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BF" w:rsidRPr="002A27D2" w:rsidRDefault="00BF00BF" w:rsidP="002A27D2">
      <w:pPr>
        <w:ind w:firstLine="0"/>
        <w:jc w:val="center"/>
        <w:rPr>
          <w:b/>
          <w:sz w:val="28"/>
          <w:szCs w:val="28"/>
          <w:lang w:eastAsia="lv-LV"/>
        </w:rPr>
      </w:pPr>
    </w:p>
    <w:p w:rsidR="00BF00BF" w:rsidRPr="002A27D2" w:rsidRDefault="00BF00BF" w:rsidP="002A27D2">
      <w:pPr>
        <w:ind w:firstLine="0"/>
        <w:jc w:val="center"/>
        <w:rPr>
          <w:b/>
          <w:sz w:val="28"/>
          <w:szCs w:val="28"/>
          <w:lang w:eastAsia="lv-LV"/>
        </w:rPr>
      </w:pPr>
      <w:r w:rsidRPr="002A27D2">
        <w:rPr>
          <w:b/>
          <w:sz w:val="28"/>
          <w:szCs w:val="28"/>
          <w:lang w:eastAsia="lv-LV"/>
        </w:rPr>
        <w:t>Ministru kabineta noteikumu projekta „Grozījum</w:t>
      </w:r>
      <w:r>
        <w:rPr>
          <w:b/>
          <w:sz w:val="28"/>
          <w:szCs w:val="28"/>
          <w:lang w:eastAsia="lv-LV"/>
        </w:rPr>
        <w:t>i</w:t>
      </w:r>
      <w:r w:rsidRPr="002A27D2">
        <w:rPr>
          <w:b/>
          <w:sz w:val="28"/>
          <w:szCs w:val="28"/>
          <w:lang w:eastAsia="lv-LV"/>
        </w:rPr>
        <w:t xml:space="preserve"> Ministru kabineta 20</w:t>
      </w:r>
      <w:r>
        <w:rPr>
          <w:b/>
          <w:sz w:val="28"/>
          <w:szCs w:val="28"/>
          <w:lang w:eastAsia="lv-LV"/>
        </w:rPr>
        <w:t>10</w:t>
      </w:r>
      <w:r w:rsidRPr="002A27D2">
        <w:rPr>
          <w:b/>
          <w:sz w:val="28"/>
          <w:szCs w:val="28"/>
          <w:lang w:eastAsia="lv-LV"/>
        </w:rPr>
        <w:t xml:space="preserve">. gada </w:t>
      </w:r>
      <w:r>
        <w:rPr>
          <w:b/>
          <w:sz w:val="28"/>
          <w:szCs w:val="28"/>
          <w:lang w:eastAsia="lv-LV"/>
        </w:rPr>
        <w:t>6</w:t>
      </w:r>
      <w:r w:rsidRPr="002A27D2">
        <w:rPr>
          <w:b/>
          <w:sz w:val="28"/>
          <w:szCs w:val="28"/>
          <w:lang w:eastAsia="lv-LV"/>
        </w:rPr>
        <w:t xml:space="preserve">. </w:t>
      </w:r>
      <w:r>
        <w:rPr>
          <w:b/>
          <w:sz w:val="28"/>
          <w:szCs w:val="28"/>
          <w:lang w:eastAsia="lv-LV"/>
        </w:rPr>
        <w:t>aprīļa</w:t>
      </w:r>
      <w:r w:rsidRPr="002A27D2">
        <w:rPr>
          <w:b/>
          <w:sz w:val="28"/>
          <w:szCs w:val="28"/>
          <w:lang w:eastAsia="lv-LV"/>
        </w:rPr>
        <w:t xml:space="preserve"> noteikumos Nr. </w:t>
      </w:r>
      <w:r>
        <w:rPr>
          <w:b/>
          <w:sz w:val="28"/>
          <w:szCs w:val="28"/>
          <w:lang w:eastAsia="lv-LV"/>
        </w:rPr>
        <w:t>343</w:t>
      </w:r>
      <w:r w:rsidRPr="002A27D2">
        <w:rPr>
          <w:b/>
          <w:sz w:val="28"/>
          <w:szCs w:val="28"/>
          <w:lang w:eastAsia="lv-LV"/>
        </w:rPr>
        <w:t xml:space="preserve"> „Noteikumi par </w:t>
      </w:r>
      <w:r>
        <w:rPr>
          <w:b/>
          <w:sz w:val="28"/>
          <w:szCs w:val="28"/>
          <w:lang w:eastAsia="lv-LV"/>
        </w:rPr>
        <w:t>lielgabarīta un smagsvara pārvadājumiem</w:t>
      </w:r>
      <w:r w:rsidRPr="002A27D2">
        <w:rPr>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2A27D2">
          <w:rPr>
            <w:b/>
            <w:sz w:val="28"/>
            <w:szCs w:val="28"/>
            <w:lang w:eastAsia="lv-LV"/>
          </w:rPr>
          <w:t>ziņojums</w:t>
        </w:r>
      </w:smartTag>
      <w:r w:rsidRPr="002A27D2">
        <w:rPr>
          <w:b/>
          <w:sz w:val="28"/>
          <w:szCs w:val="28"/>
          <w:lang w:eastAsia="lv-LV"/>
        </w:rPr>
        <w:t xml:space="preserve"> (anotācija)</w:t>
      </w:r>
    </w:p>
    <w:p w:rsidR="00BF00BF" w:rsidRPr="002A27D2" w:rsidRDefault="00BF00BF" w:rsidP="002A27D2">
      <w:pPr>
        <w:ind w:firstLine="0"/>
        <w:rPr>
          <w:sz w:val="28"/>
          <w:szCs w:val="28"/>
          <w:lang w:eastAsia="lv-LV"/>
        </w:rPr>
      </w:pPr>
    </w:p>
    <w:p w:rsidR="00BF00BF" w:rsidRPr="002A27D2" w:rsidRDefault="00BF00BF" w:rsidP="002A27D2">
      <w:pPr>
        <w:ind w:firstLine="0"/>
        <w:rPr>
          <w:sz w:val="28"/>
          <w:szCs w:val="28"/>
          <w:lang w:eastAsia="lv-LV"/>
        </w:rPr>
      </w:pP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6"/>
        <w:gridCol w:w="2268"/>
        <w:gridCol w:w="6387"/>
      </w:tblGrid>
      <w:tr w:rsidR="00BF00BF" w:rsidRPr="00A15EA8" w:rsidTr="00D8483B">
        <w:trPr>
          <w:tblCellSpacing w:w="0" w:type="dxa"/>
        </w:trPr>
        <w:tc>
          <w:tcPr>
            <w:tcW w:w="9081" w:type="dxa"/>
            <w:gridSpan w:val="3"/>
            <w:tcBorders>
              <w:top w:val="single" w:sz="4" w:space="0" w:color="auto"/>
              <w:left w:val="single" w:sz="4" w:space="0" w:color="auto"/>
              <w:bottom w:val="single" w:sz="4" w:space="0" w:color="auto"/>
              <w:right w:val="single" w:sz="4" w:space="0" w:color="auto"/>
            </w:tcBorders>
            <w:vAlign w:val="center"/>
          </w:tcPr>
          <w:p w:rsidR="00BF00BF" w:rsidRPr="002A27D2" w:rsidRDefault="00BF00BF" w:rsidP="002A27D2">
            <w:pPr>
              <w:ind w:firstLine="0"/>
              <w:jc w:val="center"/>
              <w:rPr>
                <w:szCs w:val="24"/>
                <w:lang w:eastAsia="lv-LV"/>
              </w:rPr>
            </w:pPr>
            <w:r w:rsidRPr="002A27D2">
              <w:rPr>
                <w:b/>
                <w:bCs/>
                <w:szCs w:val="24"/>
                <w:lang w:eastAsia="lv-LV"/>
              </w:rPr>
              <w:t>I. Tiesību akta projekta izstrādes nepieciešamība</w:t>
            </w:r>
          </w:p>
        </w:tc>
      </w:tr>
      <w:tr w:rsidR="00BF00BF" w:rsidRPr="00A15EA8" w:rsidTr="00D8483B">
        <w:trPr>
          <w:trHeight w:val="630"/>
          <w:tblCellSpacing w:w="0" w:type="dxa"/>
        </w:trPr>
        <w:tc>
          <w:tcPr>
            <w:tcW w:w="426"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1.</w:t>
            </w:r>
          </w:p>
        </w:tc>
        <w:tc>
          <w:tcPr>
            <w:tcW w:w="226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Pamatojums</w:t>
            </w:r>
          </w:p>
        </w:tc>
        <w:tc>
          <w:tcPr>
            <w:tcW w:w="6387"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both"/>
              <w:rPr>
                <w:color w:val="000000"/>
                <w:szCs w:val="24"/>
                <w:lang w:eastAsia="lv-LV"/>
              </w:rPr>
            </w:pPr>
            <w:r w:rsidRPr="002A27D2">
              <w:rPr>
                <w:color w:val="000000"/>
                <w:szCs w:val="24"/>
                <w:lang w:eastAsia="lv-LV"/>
              </w:rPr>
              <w:t>Projekts šo jomu neskar.</w:t>
            </w:r>
          </w:p>
        </w:tc>
      </w:tr>
      <w:tr w:rsidR="00BF00BF" w:rsidRPr="00A15EA8" w:rsidTr="00D8483B">
        <w:trPr>
          <w:trHeight w:val="472"/>
          <w:tblCellSpacing w:w="0" w:type="dxa"/>
        </w:trPr>
        <w:tc>
          <w:tcPr>
            <w:tcW w:w="426"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jc w:val="center"/>
              <w:rPr>
                <w:color w:val="000000"/>
                <w:szCs w:val="24"/>
                <w:lang w:eastAsia="lv-LV"/>
              </w:rPr>
            </w:pPr>
            <w:r w:rsidRPr="00D470B8">
              <w:rPr>
                <w:color w:val="000000"/>
                <w:szCs w:val="24"/>
                <w:lang w:eastAsia="lv-LV"/>
              </w:rPr>
              <w:t>2.</w:t>
            </w:r>
          </w:p>
        </w:tc>
        <w:tc>
          <w:tcPr>
            <w:tcW w:w="2268"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rPr>
                <w:color w:val="000000"/>
                <w:szCs w:val="24"/>
                <w:lang w:eastAsia="lv-LV"/>
              </w:rPr>
            </w:pPr>
            <w:r w:rsidRPr="00D470B8">
              <w:rPr>
                <w:color w:val="000000"/>
                <w:szCs w:val="24"/>
                <w:lang w:eastAsia="lv-LV"/>
              </w:rPr>
              <w:t>Pašreizējā situācija un problēmas</w:t>
            </w:r>
          </w:p>
        </w:tc>
        <w:tc>
          <w:tcPr>
            <w:tcW w:w="6387" w:type="dxa"/>
            <w:tcBorders>
              <w:top w:val="single" w:sz="4" w:space="0" w:color="auto"/>
              <w:left w:val="single" w:sz="4" w:space="0" w:color="auto"/>
              <w:bottom w:val="single" w:sz="4" w:space="0" w:color="auto"/>
              <w:right w:val="single" w:sz="4" w:space="0" w:color="auto"/>
            </w:tcBorders>
          </w:tcPr>
          <w:p w:rsidR="00BF00BF" w:rsidRDefault="00BF00BF" w:rsidP="00E83BF5">
            <w:pPr>
              <w:jc w:val="both"/>
              <w:rPr>
                <w:color w:val="000000"/>
                <w:szCs w:val="24"/>
                <w:lang w:eastAsia="lv-LV"/>
              </w:rPr>
            </w:pPr>
            <w:r w:rsidRPr="00D470B8">
              <w:rPr>
                <w:color w:val="000000"/>
                <w:szCs w:val="24"/>
                <w:lang w:eastAsia="lv-LV"/>
              </w:rPr>
              <w:t xml:space="preserve">Spēkā esošajos Ministru kabineta 2010. gada 6. aprīļa noteikumos Nr. 343 „Noteikumi par lielgabarīta un smagsvara pārvadājumiem” (turpmāk – Noteikumi) ir noteikts, ka atļaujas dalāmu kokmateriālu pārvadāšanai ar kopējo masu 52 t drīkst izdot tikai gadījumos, ja transportlīdzekļa sastāva kopējais garums nepārsniedz </w:t>
            </w:r>
            <w:smartTag w:uri="urn:schemas-microsoft-com:office:smarttags" w:element="metricconverter">
              <w:smartTagPr>
                <w:attr w:name="ProductID" w:val="18,75 metrus"/>
              </w:smartTagPr>
              <w:r w:rsidRPr="00D470B8">
                <w:rPr>
                  <w:color w:val="000000"/>
                  <w:szCs w:val="24"/>
                  <w:lang w:eastAsia="lv-LV"/>
                </w:rPr>
                <w:t>18,75 metrus</w:t>
              </w:r>
            </w:smartTag>
            <w:r w:rsidRPr="00D470B8">
              <w:rPr>
                <w:color w:val="000000"/>
                <w:szCs w:val="24"/>
                <w:lang w:eastAsia="lv-LV"/>
              </w:rPr>
              <w:t>. Tai pašā laikā praksē ir gadījumi, kad nepieciešams transportēt kokmateriālus (apaļkoku), kas paredzēti elektrības un sakaru līniju balstu ražošanai un šādos gadījumos transportlīdzekļu sastāva kopējais garums (ar kravu) pārsniedz iepriekš pieminēto.</w:t>
            </w:r>
          </w:p>
          <w:p w:rsidR="00BF00BF" w:rsidRDefault="00BF00BF" w:rsidP="004921B6">
            <w:pPr>
              <w:jc w:val="both"/>
              <w:rPr>
                <w:color w:val="000000"/>
                <w:szCs w:val="24"/>
                <w:lang w:eastAsia="lv-LV"/>
              </w:rPr>
            </w:pPr>
            <w:r>
              <w:rPr>
                <w:color w:val="000000"/>
                <w:szCs w:val="24"/>
                <w:lang w:eastAsia="lv-LV"/>
              </w:rPr>
              <w:t>Praksē nereti ir gadījumi, ka Ceļu policija Noteikumu 33.1. apakšpunktu traktē burtiski, t. i., pārbaudot smalcinātās koksnes kravu, neatzīst to par atbilstošu Noteikumu 33.1. apakšpunktam, tādēļ uzņēmēji ir spiesti pārvadāt nepilnas kravas, kas rada zaudējumus nozarē un palielina satiksmes intensitāti uz autoceļiem. Šķelda pēc savas būtības ir smalcināta koksne, kas mēdz būt dažādas frakcijas – gan smalkāka, gan rupjāka.</w:t>
            </w:r>
          </w:p>
          <w:p w:rsidR="00BF00BF" w:rsidRPr="00D470B8" w:rsidRDefault="00BF00BF" w:rsidP="00BA3AD3">
            <w:pPr>
              <w:jc w:val="both"/>
              <w:rPr>
                <w:color w:val="000000"/>
                <w:szCs w:val="24"/>
                <w:lang w:eastAsia="lv-LV"/>
              </w:rPr>
            </w:pPr>
            <w:r>
              <w:rPr>
                <w:color w:val="000000"/>
                <w:szCs w:val="24"/>
                <w:lang w:eastAsia="lv-LV"/>
              </w:rPr>
              <w:t>Noteikumu 36.5. apakšpunkts nosaka, ka dalāmas kokmateriālu vai lauksaimniecības produkcijas lielgabarīta un smagsvara kravu pārvadāšanai paredzētais transportlīdzekļa augstums no brauktuves virsmas nedrīkst pārsniegt 4 metrus. Prakse parāda, ka šādiem transportlīdzekļiem sarullēts brezenta pārklājs vai izliekts hidromanipulatora elastīgais hidropievads atrodas dažus centimetrus virs Noteikumos noteiktā augstuma.</w:t>
            </w:r>
          </w:p>
        </w:tc>
      </w:tr>
      <w:tr w:rsidR="00BF00BF" w:rsidRPr="00A15EA8" w:rsidTr="00D8483B">
        <w:trPr>
          <w:trHeight w:val="1071"/>
          <w:tblCellSpacing w:w="0" w:type="dxa"/>
        </w:trPr>
        <w:tc>
          <w:tcPr>
            <w:tcW w:w="426"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3.</w:t>
            </w:r>
          </w:p>
        </w:tc>
        <w:tc>
          <w:tcPr>
            <w:tcW w:w="226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Saistītie politikas ietekmes novērtējumi un pētījumi</w:t>
            </w:r>
          </w:p>
        </w:tc>
        <w:tc>
          <w:tcPr>
            <w:tcW w:w="6387"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Projekts šo jomu neskar.</w:t>
            </w:r>
          </w:p>
        </w:tc>
      </w:tr>
      <w:tr w:rsidR="00BF00BF" w:rsidRPr="00A15EA8" w:rsidTr="00D8483B">
        <w:trPr>
          <w:trHeight w:val="384"/>
          <w:tblCellSpacing w:w="0" w:type="dxa"/>
        </w:trPr>
        <w:tc>
          <w:tcPr>
            <w:tcW w:w="426"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jc w:val="center"/>
              <w:rPr>
                <w:color w:val="000000"/>
                <w:szCs w:val="24"/>
                <w:lang w:eastAsia="lv-LV"/>
              </w:rPr>
            </w:pPr>
            <w:r w:rsidRPr="00D470B8">
              <w:rPr>
                <w:color w:val="000000"/>
                <w:szCs w:val="24"/>
                <w:lang w:eastAsia="lv-LV"/>
              </w:rPr>
              <w:t>4.</w:t>
            </w:r>
          </w:p>
        </w:tc>
        <w:tc>
          <w:tcPr>
            <w:tcW w:w="2268"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rPr>
                <w:color w:val="000000"/>
                <w:szCs w:val="24"/>
                <w:lang w:eastAsia="lv-LV"/>
              </w:rPr>
            </w:pPr>
            <w:r w:rsidRPr="00D470B8">
              <w:rPr>
                <w:color w:val="000000"/>
                <w:szCs w:val="24"/>
                <w:lang w:eastAsia="lv-LV"/>
              </w:rPr>
              <w:t>Tiesiskā regulējuma mērķis un būtība</w:t>
            </w:r>
          </w:p>
        </w:tc>
        <w:tc>
          <w:tcPr>
            <w:tcW w:w="6387" w:type="dxa"/>
            <w:tcBorders>
              <w:top w:val="single" w:sz="4" w:space="0" w:color="auto"/>
              <w:left w:val="single" w:sz="4" w:space="0" w:color="auto"/>
              <w:bottom w:val="single" w:sz="4" w:space="0" w:color="auto"/>
              <w:right w:val="single" w:sz="4" w:space="0" w:color="auto"/>
            </w:tcBorders>
          </w:tcPr>
          <w:p w:rsidR="00BF00BF" w:rsidRDefault="00BF00BF" w:rsidP="00E83BF5">
            <w:pPr>
              <w:ind w:right="26"/>
              <w:jc w:val="both"/>
              <w:rPr>
                <w:color w:val="000000"/>
                <w:szCs w:val="24"/>
                <w:lang w:eastAsia="lv-LV"/>
              </w:rPr>
            </w:pPr>
            <w:r w:rsidRPr="00D470B8">
              <w:rPr>
                <w:color w:val="000000"/>
                <w:szCs w:val="24"/>
                <w:lang w:eastAsia="lv-LV"/>
              </w:rPr>
              <w:t>Grozījumi Noteikumos ir sagatavoti, lai</w:t>
            </w:r>
            <w:r>
              <w:rPr>
                <w:color w:val="000000"/>
                <w:szCs w:val="24"/>
                <w:lang w:eastAsia="lv-LV"/>
              </w:rPr>
              <w:t xml:space="preserve"> </w:t>
            </w:r>
            <w:r w:rsidRPr="00D470B8">
              <w:rPr>
                <w:color w:val="000000"/>
                <w:szCs w:val="24"/>
                <w:lang w:eastAsia="lv-LV"/>
              </w:rPr>
              <w:t>vienādotu nosacījumus svara ziņā visiem apaļkoku pārvadātājiem un lai pārvadātāji varētu saņemt nepieciešamās lielgabarīta un smagsvaru pārvadājum</w:t>
            </w:r>
            <w:r>
              <w:rPr>
                <w:color w:val="000000"/>
                <w:szCs w:val="24"/>
                <w:lang w:eastAsia="lv-LV"/>
              </w:rPr>
              <w:t>u atļaujas uz 12 mēnešu termiņu, kā arī lai novērstu domstarpības un precizētu smalcinātas koksnes aprakstu un pieļaujamo transportlīdzekļa augstumu no brauktuves virsmas.</w:t>
            </w:r>
          </w:p>
          <w:p w:rsidR="00BF00BF" w:rsidRDefault="00BF00BF" w:rsidP="00BA3AD3">
            <w:pPr>
              <w:ind w:right="26"/>
              <w:jc w:val="both"/>
              <w:rPr>
                <w:color w:val="000000"/>
              </w:rPr>
            </w:pPr>
            <w:r>
              <w:rPr>
                <w:color w:val="000000"/>
                <w:szCs w:val="24"/>
                <w:lang w:eastAsia="lv-LV"/>
              </w:rPr>
              <w:t xml:space="preserve">Ministru kabineta 2010. gada 28. septembra noteikumu Nr. 916 „Dokumentu izstrādāšanas un noformēšanas noteikumi” 54. punkts nosaka, ka dokumenta kopiju </w:t>
            </w:r>
            <w:r>
              <w:rPr>
                <w:color w:val="000000"/>
              </w:rPr>
              <w:t>izstrādā, nokopējot vai citādā tehniskā veidā iegūstot oriģināla kopiju, līdz ar to nepieciešams precizēt Noteikumu 22. un 23. punkta redakciju nosakot, ka veicot pārvadājumu, atļaujai vai tās kopijai jāatrodas pie transportlīdzekļa vadītāja. Ar šo grozījumu tiek vienādotas prasības vietējiem un starptautiskajiem kravu pārvadātājiem, kā arī atvieglo atļauju saņemšanas procesu.</w:t>
            </w:r>
          </w:p>
          <w:p w:rsidR="00BF00BF" w:rsidRPr="00D470B8" w:rsidRDefault="00BF00BF" w:rsidP="00BA3AD3">
            <w:pPr>
              <w:ind w:right="26"/>
              <w:jc w:val="both"/>
              <w:rPr>
                <w:color w:val="000000"/>
                <w:szCs w:val="24"/>
                <w:lang w:eastAsia="lv-LV"/>
              </w:rPr>
            </w:pPr>
            <w:r>
              <w:rPr>
                <w:color w:val="000000"/>
              </w:rPr>
              <w:t>Noteikumu 2. pielikums „Lielgabarīta un smagsvara pārvadājuma atļaujas pieprasījums” papildināts ar prasību pārvadātājam norādīt PVN maksātāja reģistrācijas numuru, kā arī transportlīdzekļa izgatavotāja noteikto attiecīgā transportlīdzekļa pilno masu.</w:t>
            </w:r>
          </w:p>
        </w:tc>
      </w:tr>
      <w:tr w:rsidR="00BF00BF" w:rsidRPr="00A15EA8" w:rsidTr="00D8483B">
        <w:trPr>
          <w:trHeight w:val="476"/>
          <w:tblCellSpacing w:w="0" w:type="dxa"/>
        </w:trPr>
        <w:tc>
          <w:tcPr>
            <w:tcW w:w="426"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jc w:val="center"/>
              <w:rPr>
                <w:color w:val="000000"/>
                <w:szCs w:val="24"/>
                <w:lang w:eastAsia="lv-LV"/>
              </w:rPr>
            </w:pPr>
            <w:r w:rsidRPr="00D470B8">
              <w:rPr>
                <w:color w:val="000000"/>
                <w:szCs w:val="24"/>
                <w:lang w:eastAsia="lv-LV"/>
              </w:rPr>
              <w:t>5.</w:t>
            </w:r>
          </w:p>
        </w:tc>
        <w:tc>
          <w:tcPr>
            <w:tcW w:w="2268"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rPr>
                <w:color w:val="000000"/>
                <w:szCs w:val="24"/>
                <w:lang w:eastAsia="lv-LV"/>
              </w:rPr>
            </w:pPr>
            <w:r w:rsidRPr="00D470B8">
              <w:rPr>
                <w:color w:val="000000"/>
                <w:szCs w:val="24"/>
                <w:lang w:eastAsia="lv-LV"/>
              </w:rPr>
              <w:t>Projekta izstrādē iesaistītās institūcijas</w:t>
            </w:r>
          </w:p>
        </w:tc>
        <w:tc>
          <w:tcPr>
            <w:tcW w:w="6387"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jc w:val="both"/>
              <w:rPr>
                <w:color w:val="000000"/>
                <w:szCs w:val="24"/>
                <w:lang w:eastAsia="lv-LV"/>
              </w:rPr>
            </w:pPr>
            <w:r w:rsidRPr="00D470B8">
              <w:rPr>
                <w:color w:val="000000"/>
                <w:szCs w:val="24"/>
                <w:lang w:eastAsia="lv-LV"/>
              </w:rPr>
              <w:t>Satiksmes ministrija, valsts akciju sabiedrība „Latvijas Valsts ceļi”</w:t>
            </w:r>
          </w:p>
        </w:tc>
      </w:tr>
      <w:tr w:rsidR="00BF00BF" w:rsidRPr="00A15EA8" w:rsidTr="00D8483B">
        <w:trPr>
          <w:trHeight w:val="1340"/>
          <w:tblCellSpacing w:w="0" w:type="dxa"/>
        </w:trPr>
        <w:tc>
          <w:tcPr>
            <w:tcW w:w="426"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jc w:val="center"/>
              <w:rPr>
                <w:color w:val="000000"/>
                <w:szCs w:val="24"/>
                <w:lang w:eastAsia="lv-LV"/>
              </w:rPr>
            </w:pPr>
            <w:r w:rsidRPr="00D470B8">
              <w:rPr>
                <w:color w:val="000000"/>
                <w:szCs w:val="24"/>
                <w:lang w:eastAsia="lv-LV"/>
              </w:rPr>
              <w:t>6.</w:t>
            </w:r>
          </w:p>
        </w:tc>
        <w:tc>
          <w:tcPr>
            <w:tcW w:w="2268" w:type="dxa"/>
            <w:tcBorders>
              <w:top w:val="single" w:sz="4" w:space="0" w:color="auto"/>
              <w:left w:val="single" w:sz="4" w:space="0" w:color="auto"/>
              <w:bottom w:val="single" w:sz="4" w:space="0" w:color="auto"/>
              <w:right w:val="single" w:sz="4" w:space="0" w:color="auto"/>
            </w:tcBorders>
          </w:tcPr>
          <w:p w:rsidR="00BF00BF" w:rsidRPr="00D470B8" w:rsidRDefault="00BF00BF" w:rsidP="002A27D2">
            <w:pPr>
              <w:ind w:firstLine="0"/>
              <w:rPr>
                <w:color w:val="000000"/>
                <w:szCs w:val="24"/>
                <w:lang w:eastAsia="lv-LV"/>
              </w:rPr>
            </w:pPr>
            <w:r w:rsidRPr="00D470B8">
              <w:rPr>
                <w:color w:val="000000"/>
                <w:szCs w:val="24"/>
                <w:lang w:eastAsia="lv-LV"/>
              </w:rPr>
              <w:t>Iemesli, kādēļ netika nodrošināta sabiedrības līdzdalība</w:t>
            </w:r>
          </w:p>
        </w:tc>
        <w:tc>
          <w:tcPr>
            <w:tcW w:w="6387" w:type="dxa"/>
            <w:tcBorders>
              <w:top w:val="single" w:sz="4" w:space="0" w:color="auto"/>
              <w:left w:val="single" w:sz="4" w:space="0" w:color="auto"/>
              <w:bottom w:val="single" w:sz="4" w:space="0" w:color="auto"/>
              <w:right w:val="single" w:sz="4" w:space="0" w:color="auto"/>
            </w:tcBorders>
          </w:tcPr>
          <w:p w:rsidR="00BF00BF" w:rsidRPr="00D470B8" w:rsidRDefault="00BF00BF" w:rsidP="00E83BF5">
            <w:pPr>
              <w:ind w:firstLine="0"/>
              <w:jc w:val="both"/>
              <w:rPr>
                <w:color w:val="000000"/>
                <w:szCs w:val="24"/>
                <w:lang w:eastAsia="lv-LV"/>
              </w:rPr>
            </w:pPr>
            <w:r w:rsidRPr="00D470B8">
              <w:rPr>
                <w:color w:val="000000"/>
                <w:szCs w:val="24"/>
                <w:lang w:eastAsia="lv-LV"/>
              </w:rPr>
              <w:t>Sabiedrības līdzdalība projekta izstrādē nebija nepieciešama, jo ar Noteikumu grozījumiem tiek tikai vienkāršota lielgabarīta un smagsvara pārvadājumu atļauju izsniegšana ļoti specifiskiem izņēmuma gadījumiem un ietekme uz sabiedrību šajā gadījumā nebūs.</w:t>
            </w:r>
          </w:p>
        </w:tc>
      </w:tr>
      <w:tr w:rsidR="00BF00BF" w:rsidRPr="00A15EA8" w:rsidTr="00D8483B">
        <w:trPr>
          <w:tblCellSpacing w:w="0" w:type="dxa"/>
        </w:trPr>
        <w:tc>
          <w:tcPr>
            <w:tcW w:w="426"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7.</w:t>
            </w:r>
          </w:p>
        </w:tc>
        <w:tc>
          <w:tcPr>
            <w:tcW w:w="226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Cita informācija</w:t>
            </w:r>
          </w:p>
        </w:tc>
        <w:tc>
          <w:tcPr>
            <w:tcW w:w="6387"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Nav.</w:t>
            </w:r>
          </w:p>
        </w:tc>
      </w:tr>
    </w:tbl>
    <w:p w:rsidR="00BF00BF" w:rsidRPr="002A27D2" w:rsidRDefault="00BF00BF" w:rsidP="002A27D2">
      <w:pPr>
        <w:ind w:firstLine="0"/>
        <w:rPr>
          <w:szCs w:val="24"/>
          <w:lang w:eastAsia="lv-LV"/>
        </w:rPr>
      </w:pPr>
    </w:p>
    <w:p w:rsidR="00BF00BF" w:rsidRPr="002A27D2" w:rsidRDefault="00BF00BF" w:rsidP="002A27D2">
      <w:pPr>
        <w:ind w:firstLine="0"/>
        <w:rPr>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2"/>
        <w:gridCol w:w="3298"/>
        <w:gridCol w:w="5301"/>
      </w:tblGrid>
      <w:tr w:rsidR="00BF00BF" w:rsidRPr="00A15EA8" w:rsidTr="00D8483B">
        <w:trPr>
          <w:tblCellSpacing w:w="0" w:type="dxa"/>
        </w:trPr>
        <w:tc>
          <w:tcPr>
            <w:tcW w:w="9091" w:type="dxa"/>
            <w:gridSpan w:val="3"/>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b/>
                <w:bCs/>
                <w:szCs w:val="24"/>
                <w:lang w:eastAsia="lv-LV"/>
              </w:rPr>
              <w:t>VII. Tiesību akta projekta izpildes nodrošināšana un tās ietekme uz institūcijām</w:t>
            </w:r>
          </w:p>
        </w:tc>
      </w:tr>
      <w:tr w:rsidR="00BF00BF" w:rsidRPr="00A15EA8" w:rsidTr="00D8483B">
        <w:trPr>
          <w:trHeight w:val="427"/>
          <w:tblCellSpacing w:w="0" w:type="dxa"/>
        </w:trPr>
        <w:tc>
          <w:tcPr>
            <w:tcW w:w="492"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1.</w:t>
            </w:r>
          </w:p>
        </w:tc>
        <w:tc>
          <w:tcPr>
            <w:tcW w:w="329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Projekta izpildē iesaistītās institūcijas</w:t>
            </w:r>
          </w:p>
        </w:tc>
        <w:tc>
          <w:tcPr>
            <w:tcW w:w="5301"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color w:val="000000"/>
                <w:szCs w:val="24"/>
                <w:lang w:eastAsia="lv-LV"/>
              </w:rPr>
              <w:t>Satiksmes ministrija,</w:t>
            </w:r>
            <w:r w:rsidRPr="002A27D2">
              <w:rPr>
                <w:szCs w:val="24"/>
                <w:lang w:eastAsia="lv-LV"/>
              </w:rPr>
              <w:t xml:space="preserve"> valsts akciju sabiedrība „</w:t>
            </w:r>
            <w:r w:rsidRPr="002A27D2">
              <w:rPr>
                <w:bCs/>
                <w:szCs w:val="24"/>
                <w:lang w:eastAsia="lv-LV"/>
              </w:rPr>
              <w:t>Latvijas Valsts ceļi</w:t>
            </w:r>
            <w:r w:rsidRPr="002A27D2">
              <w:rPr>
                <w:szCs w:val="24"/>
                <w:lang w:eastAsia="lv-LV"/>
              </w:rPr>
              <w:t>”.</w:t>
            </w:r>
          </w:p>
        </w:tc>
      </w:tr>
      <w:tr w:rsidR="00BF00BF" w:rsidRPr="00A15EA8" w:rsidTr="00D8483B">
        <w:trPr>
          <w:trHeight w:val="463"/>
          <w:tblCellSpacing w:w="0" w:type="dxa"/>
        </w:trPr>
        <w:tc>
          <w:tcPr>
            <w:tcW w:w="492"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2.</w:t>
            </w:r>
          </w:p>
        </w:tc>
        <w:tc>
          <w:tcPr>
            <w:tcW w:w="329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Projekta izpildes ietekme uz pārvaldes funkcijām</w:t>
            </w:r>
          </w:p>
        </w:tc>
        <w:tc>
          <w:tcPr>
            <w:tcW w:w="5301"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Projekts šo jomu neskar.</w:t>
            </w:r>
          </w:p>
        </w:tc>
      </w:tr>
      <w:tr w:rsidR="00BF00BF" w:rsidRPr="00A15EA8" w:rsidTr="00D8483B">
        <w:trPr>
          <w:trHeight w:val="725"/>
          <w:tblCellSpacing w:w="0" w:type="dxa"/>
        </w:trPr>
        <w:tc>
          <w:tcPr>
            <w:tcW w:w="492"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3.</w:t>
            </w:r>
          </w:p>
        </w:tc>
        <w:tc>
          <w:tcPr>
            <w:tcW w:w="329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Projekta izpildes ietekme uz pārvaldes institucionālo struktūru.</w:t>
            </w:r>
          </w:p>
          <w:p w:rsidR="00BF00BF" w:rsidRPr="002A27D2" w:rsidRDefault="00BF00BF" w:rsidP="002A27D2">
            <w:pPr>
              <w:ind w:firstLine="0"/>
              <w:rPr>
                <w:szCs w:val="24"/>
                <w:lang w:eastAsia="lv-LV"/>
              </w:rPr>
            </w:pPr>
            <w:r w:rsidRPr="002A27D2">
              <w:rPr>
                <w:szCs w:val="24"/>
                <w:lang w:eastAsia="lv-LV"/>
              </w:rPr>
              <w:t>Jaunu institūciju izveide</w:t>
            </w:r>
          </w:p>
        </w:tc>
        <w:tc>
          <w:tcPr>
            <w:tcW w:w="5301"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both"/>
              <w:rPr>
                <w:szCs w:val="24"/>
                <w:lang w:eastAsia="lv-LV"/>
              </w:rPr>
            </w:pPr>
            <w:r w:rsidRPr="002A27D2">
              <w:rPr>
                <w:szCs w:val="24"/>
                <w:lang w:eastAsia="lv-LV"/>
              </w:rPr>
              <w:t>Netiek radītas jaunas valsts institūcijas, kā arī netiek paplašinātas esošo institūciju funkcijas.</w:t>
            </w:r>
          </w:p>
        </w:tc>
      </w:tr>
      <w:tr w:rsidR="00BF00BF" w:rsidRPr="00A15EA8" w:rsidTr="00D8483B">
        <w:trPr>
          <w:trHeight w:val="780"/>
          <w:tblCellSpacing w:w="0" w:type="dxa"/>
        </w:trPr>
        <w:tc>
          <w:tcPr>
            <w:tcW w:w="492"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4.</w:t>
            </w:r>
          </w:p>
        </w:tc>
        <w:tc>
          <w:tcPr>
            <w:tcW w:w="329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Projekta izpildes ietekme uz pārvaldes institucionālo struktūru.</w:t>
            </w:r>
          </w:p>
          <w:p w:rsidR="00BF00BF" w:rsidRPr="002A27D2" w:rsidRDefault="00BF00BF" w:rsidP="002A27D2">
            <w:pPr>
              <w:ind w:firstLine="0"/>
              <w:rPr>
                <w:szCs w:val="24"/>
                <w:lang w:eastAsia="lv-LV"/>
              </w:rPr>
            </w:pPr>
            <w:r w:rsidRPr="002A27D2">
              <w:rPr>
                <w:szCs w:val="24"/>
                <w:lang w:eastAsia="lv-LV"/>
              </w:rPr>
              <w:t>Esošu institūciju likvidācija</w:t>
            </w:r>
          </w:p>
        </w:tc>
        <w:tc>
          <w:tcPr>
            <w:tcW w:w="5301"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both"/>
              <w:rPr>
                <w:szCs w:val="24"/>
                <w:lang w:eastAsia="lv-LV"/>
              </w:rPr>
            </w:pPr>
            <w:r w:rsidRPr="002A27D2">
              <w:rPr>
                <w:szCs w:val="24"/>
                <w:lang w:eastAsia="lv-LV"/>
              </w:rPr>
              <w:t>Netiek radītas jaunas valsts institūcijas, kā arī netiek paplašinātas esošo institūciju funkcijas.</w:t>
            </w:r>
          </w:p>
        </w:tc>
      </w:tr>
      <w:tr w:rsidR="00BF00BF" w:rsidRPr="00A15EA8" w:rsidTr="00D8483B">
        <w:trPr>
          <w:trHeight w:val="703"/>
          <w:tblCellSpacing w:w="0" w:type="dxa"/>
        </w:trPr>
        <w:tc>
          <w:tcPr>
            <w:tcW w:w="492"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5.</w:t>
            </w:r>
          </w:p>
        </w:tc>
        <w:tc>
          <w:tcPr>
            <w:tcW w:w="329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Projekta izpildes ietekme uz pārvaldes institucionālo struktūru.</w:t>
            </w:r>
          </w:p>
          <w:p w:rsidR="00BF00BF" w:rsidRPr="002A27D2" w:rsidRDefault="00BF00BF" w:rsidP="002A27D2">
            <w:pPr>
              <w:ind w:firstLine="0"/>
              <w:rPr>
                <w:szCs w:val="24"/>
                <w:lang w:eastAsia="lv-LV"/>
              </w:rPr>
            </w:pPr>
            <w:r w:rsidRPr="002A27D2">
              <w:rPr>
                <w:szCs w:val="24"/>
                <w:lang w:eastAsia="lv-LV"/>
              </w:rPr>
              <w:t>Esošu institūciju reorganizācija</w:t>
            </w:r>
          </w:p>
        </w:tc>
        <w:tc>
          <w:tcPr>
            <w:tcW w:w="5301"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color w:val="000000"/>
                <w:szCs w:val="24"/>
                <w:lang w:eastAsia="lv-LV"/>
              </w:rPr>
              <w:t>Projekts šo jomu neskar.</w:t>
            </w:r>
          </w:p>
        </w:tc>
      </w:tr>
      <w:tr w:rsidR="00BF00BF" w:rsidRPr="00A15EA8" w:rsidTr="00D8483B">
        <w:trPr>
          <w:trHeight w:val="476"/>
          <w:tblCellSpacing w:w="0" w:type="dxa"/>
        </w:trPr>
        <w:tc>
          <w:tcPr>
            <w:tcW w:w="492"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jc w:val="center"/>
              <w:rPr>
                <w:szCs w:val="24"/>
                <w:lang w:eastAsia="lv-LV"/>
              </w:rPr>
            </w:pPr>
            <w:r w:rsidRPr="002A27D2">
              <w:rPr>
                <w:szCs w:val="24"/>
                <w:lang w:eastAsia="lv-LV"/>
              </w:rPr>
              <w:t>6.</w:t>
            </w:r>
          </w:p>
        </w:tc>
        <w:tc>
          <w:tcPr>
            <w:tcW w:w="3298"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Cita informācija</w:t>
            </w:r>
          </w:p>
        </w:tc>
        <w:tc>
          <w:tcPr>
            <w:tcW w:w="5301" w:type="dxa"/>
            <w:tcBorders>
              <w:top w:val="single" w:sz="4" w:space="0" w:color="auto"/>
              <w:left w:val="single" w:sz="4" w:space="0" w:color="auto"/>
              <w:bottom w:val="single" w:sz="4" w:space="0" w:color="auto"/>
              <w:right w:val="single" w:sz="4" w:space="0" w:color="auto"/>
            </w:tcBorders>
          </w:tcPr>
          <w:p w:rsidR="00BF00BF" w:rsidRPr="002A27D2" w:rsidRDefault="00BF00BF" w:rsidP="002A27D2">
            <w:pPr>
              <w:ind w:firstLine="0"/>
              <w:rPr>
                <w:szCs w:val="24"/>
                <w:lang w:eastAsia="lv-LV"/>
              </w:rPr>
            </w:pPr>
            <w:r w:rsidRPr="002A27D2">
              <w:rPr>
                <w:szCs w:val="24"/>
                <w:lang w:eastAsia="lv-LV"/>
              </w:rPr>
              <w:t>Nav.</w:t>
            </w:r>
          </w:p>
        </w:tc>
      </w:tr>
    </w:tbl>
    <w:p w:rsidR="00BF00BF" w:rsidRPr="002A27D2" w:rsidRDefault="00BF00BF" w:rsidP="002A27D2">
      <w:pPr>
        <w:ind w:firstLine="0"/>
        <w:rPr>
          <w:sz w:val="28"/>
          <w:szCs w:val="28"/>
          <w:lang w:eastAsia="lv-LV"/>
        </w:rPr>
      </w:pPr>
    </w:p>
    <w:p w:rsidR="00BF00BF" w:rsidRPr="002A27D2" w:rsidRDefault="00BF00BF" w:rsidP="002A27D2">
      <w:pPr>
        <w:ind w:firstLine="684"/>
        <w:jc w:val="both"/>
        <w:outlineLvl w:val="0"/>
        <w:rPr>
          <w:color w:val="000000"/>
          <w:sz w:val="28"/>
          <w:szCs w:val="28"/>
        </w:rPr>
      </w:pPr>
      <w:r w:rsidRPr="002A27D2">
        <w:rPr>
          <w:sz w:val="28"/>
          <w:szCs w:val="28"/>
          <w:lang w:eastAsia="lv-LV"/>
        </w:rPr>
        <w:t>A</w:t>
      </w:r>
      <w:r w:rsidRPr="002A27D2">
        <w:rPr>
          <w:color w:val="000000"/>
          <w:sz w:val="28"/>
          <w:szCs w:val="28"/>
        </w:rPr>
        <w:t>notācijas II, III, IV, V un VI sadaļa – projekts šīs jomas neskar.</w:t>
      </w:r>
    </w:p>
    <w:p w:rsidR="00BF00BF" w:rsidRPr="002A27D2" w:rsidRDefault="00BF00BF" w:rsidP="002A27D2">
      <w:pPr>
        <w:ind w:firstLine="684"/>
        <w:rPr>
          <w:sz w:val="28"/>
          <w:szCs w:val="28"/>
          <w:lang w:eastAsia="lv-LV"/>
        </w:rPr>
      </w:pPr>
    </w:p>
    <w:p w:rsidR="00BF00BF" w:rsidRPr="002A27D2" w:rsidRDefault="00BF00BF" w:rsidP="002A27D2">
      <w:pPr>
        <w:ind w:firstLine="684"/>
        <w:rPr>
          <w:sz w:val="28"/>
          <w:szCs w:val="28"/>
          <w:lang w:eastAsia="lv-LV"/>
        </w:rPr>
      </w:pPr>
    </w:p>
    <w:p w:rsidR="00BF00BF" w:rsidRPr="002A27D2" w:rsidRDefault="00BF00BF" w:rsidP="002A27D2">
      <w:pPr>
        <w:ind w:firstLine="684"/>
        <w:rPr>
          <w:sz w:val="28"/>
          <w:szCs w:val="28"/>
          <w:lang w:eastAsia="lv-LV"/>
        </w:rPr>
      </w:pPr>
    </w:p>
    <w:p w:rsidR="00BF00BF" w:rsidRPr="002A27D2" w:rsidRDefault="00BF00BF" w:rsidP="002A27D2">
      <w:pPr>
        <w:ind w:firstLine="684"/>
        <w:rPr>
          <w:sz w:val="28"/>
          <w:szCs w:val="28"/>
          <w:lang w:eastAsia="lv-LV"/>
        </w:rPr>
      </w:pPr>
      <w:r w:rsidRPr="002A27D2">
        <w:rPr>
          <w:sz w:val="28"/>
          <w:szCs w:val="28"/>
          <w:lang w:eastAsia="lv-LV"/>
        </w:rPr>
        <w:t>Satiksmes ministrs</w:t>
      </w:r>
      <w:r w:rsidRPr="002A27D2">
        <w:rPr>
          <w:sz w:val="28"/>
          <w:szCs w:val="28"/>
          <w:lang w:eastAsia="lv-LV"/>
        </w:rPr>
        <w:tab/>
      </w:r>
      <w:r w:rsidRPr="002A27D2">
        <w:rPr>
          <w:sz w:val="28"/>
          <w:szCs w:val="28"/>
          <w:lang w:eastAsia="lv-LV"/>
        </w:rPr>
        <w:tab/>
      </w:r>
      <w:r w:rsidRPr="002A27D2">
        <w:rPr>
          <w:sz w:val="28"/>
          <w:szCs w:val="28"/>
          <w:lang w:eastAsia="lv-LV"/>
        </w:rPr>
        <w:tab/>
      </w:r>
      <w:r w:rsidRPr="002A27D2">
        <w:rPr>
          <w:sz w:val="28"/>
          <w:szCs w:val="28"/>
          <w:lang w:eastAsia="lv-LV"/>
        </w:rPr>
        <w:tab/>
      </w:r>
      <w:r w:rsidRPr="002A27D2">
        <w:rPr>
          <w:sz w:val="28"/>
          <w:szCs w:val="28"/>
          <w:lang w:eastAsia="lv-LV"/>
        </w:rPr>
        <w:tab/>
      </w:r>
      <w:r w:rsidRPr="002A27D2">
        <w:rPr>
          <w:sz w:val="28"/>
          <w:szCs w:val="28"/>
          <w:lang w:eastAsia="lv-LV"/>
        </w:rPr>
        <w:tab/>
      </w:r>
      <w:r w:rsidRPr="002A27D2">
        <w:rPr>
          <w:sz w:val="28"/>
          <w:szCs w:val="28"/>
          <w:lang w:eastAsia="lv-LV"/>
        </w:rPr>
        <w:tab/>
        <w:t xml:space="preserve">A. </w:t>
      </w:r>
      <w:r>
        <w:rPr>
          <w:sz w:val="28"/>
          <w:szCs w:val="28"/>
          <w:lang w:eastAsia="lv-LV"/>
        </w:rPr>
        <w:t>Matīss</w:t>
      </w:r>
    </w:p>
    <w:p w:rsidR="00BF00BF" w:rsidRPr="002A27D2" w:rsidRDefault="00BF00BF" w:rsidP="002A27D2">
      <w:pPr>
        <w:ind w:firstLine="684"/>
        <w:jc w:val="both"/>
        <w:rPr>
          <w:sz w:val="28"/>
          <w:szCs w:val="28"/>
          <w:lang w:eastAsia="lv-LV"/>
        </w:rPr>
      </w:pPr>
    </w:p>
    <w:p w:rsidR="00BF00BF" w:rsidRPr="002A27D2" w:rsidRDefault="00BF00BF" w:rsidP="002A27D2">
      <w:pPr>
        <w:ind w:firstLine="684"/>
        <w:jc w:val="both"/>
        <w:rPr>
          <w:sz w:val="28"/>
          <w:szCs w:val="28"/>
          <w:lang w:eastAsia="lv-LV"/>
        </w:rPr>
      </w:pPr>
      <w:r w:rsidRPr="002A27D2">
        <w:rPr>
          <w:sz w:val="28"/>
          <w:szCs w:val="28"/>
          <w:lang w:eastAsia="lv-LV"/>
        </w:rPr>
        <w:t>Vizē:</w:t>
      </w:r>
      <w:r>
        <w:rPr>
          <w:sz w:val="28"/>
          <w:szCs w:val="28"/>
          <w:lang w:eastAsia="lv-LV"/>
        </w:rPr>
        <w:t xml:space="preserve"> Valsts sekretāra p. i.</w:t>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Dž. Innusa</w:t>
      </w:r>
    </w:p>
    <w:p w:rsidR="00BF00BF" w:rsidRPr="002A27D2" w:rsidRDefault="00BF00BF" w:rsidP="002A27D2">
      <w:pPr>
        <w:ind w:firstLine="0"/>
        <w:jc w:val="both"/>
        <w:rPr>
          <w:sz w:val="28"/>
          <w:szCs w:val="28"/>
          <w:lang w:eastAsia="lv-LV"/>
        </w:rPr>
      </w:pPr>
    </w:p>
    <w:p w:rsidR="00BF00BF" w:rsidRPr="002A27D2" w:rsidRDefault="00BF00BF" w:rsidP="002A27D2">
      <w:pPr>
        <w:ind w:firstLine="0"/>
        <w:jc w:val="both"/>
        <w:rPr>
          <w:sz w:val="28"/>
          <w:szCs w:val="28"/>
          <w:lang w:eastAsia="lv-LV"/>
        </w:rPr>
      </w:pPr>
    </w:p>
    <w:p w:rsidR="00BF00BF" w:rsidRPr="002A27D2" w:rsidRDefault="00BF00BF" w:rsidP="002A27D2">
      <w:pPr>
        <w:ind w:firstLine="0"/>
        <w:jc w:val="both"/>
        <w:rPr>
          <w:sz w:val="20"/>
          <w:szCs w:val="20"/>
          <w:lang w:eastAsia="lv-LV"/>
        </w:rPr>
      </w:pPr>
      <w:r>
        <w:rPr>
          <w:sz w:val="20"/>
          <w:szCs w:val="20"/>
          <w:lang w:eastAsia="lv-LV"/>
        </w:rPr>
        <w:t>2013.03.11. 14:51</w:t>
      </w:r>
    </w:p>
    <w:p w:rsidR="00BF00BF" w:rsidRPr="002A27D2" w:rsidRDefault="00BF00BF" w:rsidP="002A27D2">
      <w:pPr>
        <w:ind w:firstLine="0"/>
        <w:jc w:val="both"/>
        <w:rPr>
          <w:sz w:val="20"/>
          <w:szCs w:val="20"/>
          <w:lang w:eastAsia="lv-LV"/>
        </w:rPr>
      </w:pPr>
      <w:fldSimple w:instr=" NUMWORDS   \* MERGEFORMAT ">
        <w:r w:rsidRPr="00024979">
          <w:rPr>
            <w:noProof/>
            <w:sz w:val="20"/>
            <w:szCs w:val="20"/>
            <w:lang w:eastAsia="lv-LV"/>
          </w:rPr>
          <w:t>560</w:t>
        </w:r>
      </w:fldSimple>
    </w:p>
    <w:p w:rsidR="00BF00BF" w:rsidRPr="002A27D2" w:rsidRDefault="00BF00BF" w:rsidP="002A27D2">
      <w:pPr>
        <w:ind w:firstLine="0"/>
        <w:jc w:val="both"/>
        <w:rPr>
          <w:sz w:val="20"/>
          <w:szCs w:val="20"/>
          <w:lang w:eastAsia="lv-LV"/>
        </w:rPr>
      </w:pPr>
      <w:r>
        <w:rPr>
          <w:sz w:val="20"/>
          <w:szCs w:val="20"/>
          <w:lang w:eastAsia="lv-LV"/>
        </w:rPr>
        <w:t>M</w:t>
      </w:r>
      <w:r w:rsidRPr="002A27D2">
        <w:rPr>
          <w:sz w:val="20"/>
          <w:szCs w:val="20"/>
          <w:lang w:eastAsia="lv-LV"/>
        </w:rPr>
        <w:t xml:space="preserve">. </w:t>
      </w:r>
      <w:r>
        <w:rPr>
          <w:sz w:val="20"/>
          <w:szCs w:val="20"/>
          <w:lang w:eastAsia="lv-LV"/>
        </w:rPr>
        <w:t>Zaļaiskalns</w:t>
      </w:r>
    </w:p>
    <w:p w:rsidR="00BF00BF" w:rsidRPr="002A27D2" w:rsidRDefault="00BF00BF" w:rsidP="002A27D2">
      <w:pPr>
        <w:ind w:firstLine="0"/>
        <w:jc w:val="both"/>
        <w:rPr>
          <w:szCs w:val="24"/>
          <w:lang w:eastAsia="lv-LV"/>
        </w:rPr>
      </w:pPr>
      <w:r w:rsidRPr="002A27D2">
        <w:rPr>
          <w:sz w:val="20"/>
          <w:szCs w:val="20"/>
          <w:lang w:eastAsia="lv-LV"/>
        </w:rPr>
        <w:t>670364</w:t>
      </w:r>
      <w:r>
        <w:rPr>
          <w:sz w:val="20"/>
          <w:szCs w:val="20"/>
          <w:lang w:eastAsia="lv-LV"/>
        </w:rPr>
        <w:t>04</w:t>
      </w:r>
      <w:r w:rsidRPr="002A27D2">
        <w:rPr>
          <w:sz w:val="20"/>
          <w:szCs w:val="20"/>
          <w:lang w:eastAsia="lv-LV"/>
        </w:rPr>
        <w:t xml:space="preserve">, </w:t>
      </w:r>
      <w:hyperlink r:id="rId6" w:history="1">
        <w:r w:rsidRPr="00E16AE9">
          <w:rPr>
            <w:rStyle w:val="Hyperlink"/>
            <w:sz w:val="20"/>
            <w:szCs w:val="20"/>
            <w:lang w:eastAsia="lv-LV"/>
          </w:rPr>
          <w:t>Maris.Zalaiskalns@lvceli.lv</w:t>
        </w:r>
      </w:hyperlink>
      <w:r>
        <w:rPr>
          <w:sz w:val="20"/>
          <w:szCs w:val="20"/>
          <w:lang w:eastAsia="lv-LV"/>
        </w:rPr>
        <w:t xml:space="preserve"> </w:t>
      </w:r>
    </w:p>
    <w:sectPr w:rsidR="00BF00BF" w:rsidRPr="002A27D2" w:rsidSect="002274F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BF" w:rsidRDefault="00BF00BF" w:rsidP="0013450D">
      <w:r>
        <w:separator/>
      </w:r>
    </w:p>
  </w:endnote>
  <w:endnote w:type="continuationSeparator" w:id="0">
    <w:p w:rsidR="00BF00BF" w:rsidRDefault="00BF00BF" w:rsidP="00134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F" w:rsidRDefault="00BF00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F" w:rsidRPr="006D68E9" w:rsidRDefault="00BF00BF" w:rsidP="00E83BF5">
    <w:pPr>
      <w:ind w:firstLine="0"/>
      <w:rPr>
        <w:sz w:val="20"/>
        <w:szCs w:val="20"/>
      </w:rPr>
    </w:pPr>
    <w:r w:rsidRPr="006D68E9">
      <w:rPr>
        <w:sz w:val="20"/>
        <w:szCs w:val="20"/>
      </w:rPr>
      <w:t>SAMAnot_</w:t>
    </w:r>
    <w:r>
      <w:rPr>
        <w:sz w:val="20"/>
        <w:szCs w:val="20"/>
      </w:rPr>
      <w:t>110313</w:t>
    </w:r>
    <w:r w:rsidRPr="006D68E9">
      <w:rPr>
        <w:sz w:val="20"/>
        <w:szCs w:val="20"/>
      </w:rPr>
      <w:t>_</w:t>
    </w:r>
    <w:r>
      <w:rPr>
        <w:sz w:val="20"/>
        <w:szCs w:val="20"/>
      </w:rPr>
      <w:t>lielgab</w:t>
    </w:r>
    <w:r w:rsidRPr="006D68E9">
      <w:rPr>
        <w:sz w:val="20"/>
        <w:szCs w:val="20"/>
      </w:rPr>
      <w:t xml:space="preserve">; Ministru kabineta </w:t>
    </w:r>
    <w:r>
      <w:rPr>
        <w:sz w:val="20"/>
        <w:szCs w:val="20"/>
      </w:rPr>
      <w:t>noteikumu</w:t>
    </w:r>
    <w:r w:rsidRPr="006D68E9">
      <w:rPr>
        <w:sz w:val="20"/>
        <w:szCs w:val="20"/>
      </w:rPr>
      <w:t xml:space="preserve"> projekta „Grozījum</w:t>
    </w:r>
    <w:r>
      <w:rPr>
        <w:sz w:val="20"/>
        <w:szCs w:val="20"/>
      </w:rPr>
      <w:t>i</w:t>
    </w:r>
    <w:r w:rsidRPr="006D68E9">
      <w:rPr>
        <w:sz w:val="20"/>
        <w:szCs w:val="20"/>
      </w:rPr>
      <w:t xml:space="preserve"> Ministru kabineta 20</w:t>
    </w:r>
    <w:r>
      <w:rPr>
        <w:sz w:val="20"/>
        <w:szCs w:val="20"/>
      </w:rPr>
      <w:t>10</w:t>
    </w:r>
    <w:r w:rsidRPr="006D68E9">
      <w:rPr>
        <w:sz w:val="20"/>
        <w:szCs w:val="20"/>
      </w:rPr>
      <w:t xml:space="preserve">. gada </w:t>
    </w:r>
    <w:r>
      <w:rPr>
        <w:sz w:val="20"/>
        <w:szCs w:val="20"/>
      </w:rPr>
      <w:t>6</w:t>
    </w:r>
    <w:r w:rsidRPr="006D68E9">
      <w:rPr>
        <w:sz w:val="20"/>
        <w:szCs w:val="20"/>
      </w:rPr>
      <w:t xml:space="preserve">. </w:t>
    </w:r>
    <w:r>
      <w:rPr>
        <w:sz w:val="20"/>
        <w:szCs w:val="20"/>
      </w:rPr>
      <w:t>aprīļa</w:t>
    </w:r>
    <w:r w:rsidRPr="006D68E9">
      <w:rPr>
        <w:sz w:val="20"/>
        <w:szCs w:val="20"/>
      </w:rPr>
      <w:t xml:space="preserve"> noteikumos Nr. </w:t>
    </w:r>
    <w:r>
      <w:rPr>
        <w:sz w:val="20"/>
        <w:szCs w:val="20"/>
      </w:rPr>
      <w:t>343</w:t>
    </w:r>
    <w:r w:rsidRPr="006D68E9">
      <w:rPr>
        <w:sz w:val="20"/>
        <w:szCs w:val="20"/>
      </w:rPr>
      <w:t xml:space="preserve"> „Noteikumi par </w:t>
    </w:r>
    <w:r>
      <w:rPr>
        <w:sz w:val="20"/>
        <w:szCs w:val="20"/>
      </w:rPr>
      <w:t>lielgabarīta un smagsvara pārvadājumiem</w:t>
    </w:r>
    <w:r w:rsidRPr="006D68E9">
      <w:rPr>
        <w:sz w:val="20"/>
        <w:szCs w:val="20"/>
      </w:rPr>
      <w:t xml:space="preserve">”” sākotnējās ietekmes novērtējuma </w:t>
    </w:r>
    <w:smartTag w:uri="schemas-tilde-lv/tildestengine" w:element="veidnes">
      <w:smartTagPr>
        <w:attr w:name="id" w:val="-1"/>
        <w:attr w:name="baseform" w:val="ziņojums"/>
        <w:attr w:name="text" w:val="ziņojums"/>
      </w:smartTagPr>
      <w:r w:rsidRPr="006D68E9">
        <w:rPr>
          <w:sz w:val="20"/>
          <w:szCs w:val="20"/>
        </w:rPr>
        <w:t>ziņojums</w:t>
      </w:r>
    </w:smartTag>
    <w:r w:rsidRPr="006D68E9">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F" w:rsidRPr="00E83BF5" w:rsidRDefault="00BF00BF" w:rsidP="00E83BF5">
    <w:pPr>
      <w:ind w:firstLine="0"/>
      <w:rPr>
        <w:sz w:val="20"/>
        <w:szCs w:val="20"/>
      </w:rPr>
    </w:pPr>
    <w:r w:rsidRPr="006D68E9">
      <w:rPr>
        <w:sz w:val="20"/>
        <w:szCs w:val="20"/>
      </w:rPr>
      <w:t>SAMAnot_</w:t>
    </w:r>
    <w:r>
      <w:rPr>
        <w:sz w:val="20"/>
        <w:szCs w:val="20"/>
      </w:rPr>
      <w:t>110313</w:t>
    </w:r>
    <w:r w:rsidRPr="006D68E9">
      <w:rPr>
        <w:sz w:val="20"/>
        <w:szCs w:val="20"/>
      </w:rPr>
      <w:t>_</w:t>
    </w:r>
    <w:r>
      <w:rPr>
        <w:sz w:val="20"/>
        <w:szCs w:val="20"/>
      </w:rPr>
      <w:t>lielgab</w:t>
    </w:r>
    <w:r w:rsidRPr="006D68E9">
      <w:rPr>
        <w:sz w:val="20"/>
        <w:szCs w:val="20"/>
      </w:rPr>
      <w:t xml:space="preserve">; Ministru kabineta </w:t>
    </w:r>
    <w:r>
      <w:rPr>
        <w:sz w:val="20"/>
        <w:szCs w:val="20"/>
      </w:rPr>
      <w:t>noteikumu</w:t>
    </w:r>
    <w:r w:rsidRPr="006D68E9">
      <w:rPr>
        <w:sz w:val="20"/>
        <w:szCs w:val="20"/>
      </w:rPr>
      <w:t xml:space="preserve"> projekta „</w:t>
    </w:r>
    <w:bookmarkStart w:id="0" w:name="_GoBack"/>
    <w:r w:rsidRPr="006D68E9">
      <w:rPr>
        <w:sz w:val="20"/>
        <w:szCs w:val="20"/>
      </w:rPr>
      <w:t>Grozījum</w:t>
    </w:r>
    <w:r>
      <w:rPr>
        <w:sz w:val="20"/>
        <w:szCs w:val="20"/>
      </w:rPr>
      <w:t>i</w:t>
    </w:r>
    <w:r w:rsidRPr="006D68E9">
      <w:rPr>
        <w:sz w:val="20"/>
        <w:szCs w:val="20"/>
      </w:rPr>
      <w:t xml:space="preserve"> Ministru kabineta 20</w:t>
    </w:r>
    <w:r>
      <w:rPr>
        <w:sz w:val="20"/>
        <w:szCs w:val="20"/>
      </w:rPr>
      <w:t>10</w:t>
    </w:r>
    <w:r w:rsidRPr="006D68E9">
      <w:rPr>
        <w:sz w:val="20"/>
        <w:szCs w:val="20"/>
      </w:rPr>
      <w:t xml:space="preserve">. gada </w:t>
    </w:r>
    <w:r>
      <w:rPr>
        <w:sz w:val="20"/>
        <w:szCs w:val="20"/>
      </w:rPr>
      <w:t>6</w:t>
    </w:r>
    <w:r w:rsidRPr="006D68E9">
      <w:rPr>
        <w:sz w:val="20"/>
        <w:szCs w:val="20"/>
      </w:rPr>
      <w:t xml:space="preserve">. </w:t>
    </w:r>
    <w:r>
      <w:rPr>
        <w:sz w:val="20"/>
        <w:szCs w:val="20"/>
      </w:rPr>
      <w:t>aprīļa</w:t>
    </w:r>
    <w:r w:rsidRPr="006D68E9">
      <w:rPr>
        <w:sz w:val="20"/>
        <w:szCs w:val="20"/>
      </w:rPr>
      <w:t xml:space="preserve"> noteikumos Nr. </w:t>
    </w:r>
    <w:r>
      <w:rPr>
        <w:sz w:val="20"/>
        <w:szCs w:val="20"/>
      </w:rPr>
      <w:t>343</w:t>
    </w:r>
    <w:r w:rsidRPr="006D68E9">
      <w:rPr>
        <w:sz w:val="20"/>
        <w:szCs w:val="20"/>
      </w:rPr>
      <w:t xml:space="preserve"> „Noteikumi par </w:t>
    </w:r>
    <w:r>
      <w:rPr>
        <w:sz w:val="20"/>
        <w:szCs w:val="20"/>
      </w:rPr>
      <w:t>lielgabarīta un smagsvara pārvadājumiem</w:t>
    </w:r>
    <w:r w:rsidRPr="006D68E9">
      <w:rPr>
        <w:sz w:val="20"/>
        <w:szCs w:val="20"/>
      </w:rPr>
      <w:t xml:space="preserve">”” </w:t>
    </w:r>
    <w:bookmarkEnd w:id="0"/>
    <w:r w:rsidRPr="006D68E9">
      <w:rPr>
        <w:sz w:val="20"/>
        <w:szCs w:val="20"/>
      </w:rPr>
      <w:t xml:space="preserve">sākotnējās ietekmes novērtējuma </w:t>
    </w:r>
    <w:smartTag w:uri="schemas-tilde-lv/tildestengine" w:element="veidnes">
      <w:smartTagPr>
        <w:attr w:name="id" w:val="-1"/>
        <w:attr w:name="baseform" w:val="ziņojums"/>
        <w:attr w:name="text" w:val="ziņojums"/>
      </w:smartTagPr>
      <w:r w:rsidRPr="006D68E9">
        <w:rPr>
          <w:sz w:val="20"/>
          <w:szCs w:val="20"/>
        </w:rPr>
        <w:t>ziņojums</w:t>
      </w:r>
    </w:smartTag>
    <w:r w:rsidRPr="006D68E9">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BF" w:rsidRDefault="00BF00BF" w:rsidP="0013450D">
      <w:r>
        <w:separator/>
      </w:r>
    </w:p>
  </w:footnote>
  <w:footnote w:type="continuationSeparator" w:id="0">
    <w:p w:rsidR="00BF00BF" w:rsidRDefault="00BF00BF" w:rsidP="0013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F" w:rsidRDefault="00BF00BF" w:rsidP="00227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0BF" w:rsidRDefault="00BF00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F" w:rsidRPr="00C802BA" w:rsidRDefault="00BF00BF" w:rsidP="002274F8">
    <w:pPr>
      <w:pStyle w:val="Header"/>
      <w:framePr w:wrap="around" w:vAnchor="text" w:hAnchor="margin" w:xAlign="center" w:y="1"/>
      <w:rPr>
        <w:rStyle w:val="PageNumber"/>
      </w:rPr>
    </w:pPr>
    <w:r w:rsidRPr="00C802BA">
      <w:rPr>
        <w:rStyle w:val="PageNumber"/>
      </w:rPr>
      <w:fldChar w:fldCharType="begin"/>
    </w:r>
    <w:r w:rsidRPr="00C802BA">
      <w:rPr>
        <w:rStyle w:val="PageNumber"/>
      </w:rPr>
      <w:instrText xml:space="preserve">PAGE  </w:instrText>
    </w:r>
    <w:r w:rsidRPr="00C802BA">
      <w:rPr>
        <w:rStyle w:val="PageNumber"/>
      </w:rPr>
      <w:fldChar w:fldCharType="separate"/>
    </w:r>
    <w:r>
      <w:rPr>
        <w:rStyle w:val="PageNumber"/>
        <w:noProof/>
      </w:rPr>
      <w:t>2</w:t>
    </w:r>
    <w:r w:rsidRPr="00C802BA">
      <w:rPr>
        <w:rStyle w:val="PageNumber"/>
      </w:rPr>
      <w:fldChar w:fldCharType="end"/>
    </w:r>
  </w:p>
  <w:p w:rsidR="00BF00BF" w:rsidRDefault="00BF00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F" w:rsidRDefault="00BF00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7D2"/>
    <w:rsid w:val="00000F5E"/>
    <w:rsid w:val="00024979"/>
    <w:rsid w:val="0013450D"/>
    <w:rsid w:val="00152ADC"/>
    <w:rsid w:val="00207653"/>
    <w:rsid w:val="002274F8"/>
    <w:rsid w:val="00246837"/>
    <w:rsid w:val="002A02AE"/>
    <w:rsid w:val="002A27D2"/>
    <w:rsid w:val="00315C54"/>
    <w:rsid w:val="00396876"/>
    <w:rsid w:val="004921B6"/>
    <w:rsid w:val="005E3237"/>
    <w:rsid w:val="00664CC3"/>
    <w:rsid w:val="006720C5"/>
    <w:rsid w:val="006C07AA"/>
    <w:rsid w:val="006D68E9"/>
    <w:rsid w:val="00700373"/>
    <w:rsid w:val="007F444D"/>
    <w:rsid w:val="00A15EA8"/>
    <w:rsid w:val="00A20017"/>
    <w:rsid w:val="00A401B5"/>
    <w:rsid w:val="00A42598"/>
    <w:rsid w:val="00A729A9"/>
    <w:rsid w:val="00AA7841"/>
    <w:rsid w:val="00BA3AD3"/>
    <w:rsid w:val="00BF00BF"/>
    <w:rsid w:val="00C07882"/>
    <w:rsid w:val="00C32404"/>
    <w:rsid w:val="00C802BA"/>
    <w:rsid w:val="00D307F9"/>
    <w:rsid w:val="00D470B8"/>
    <w:rsid w:val="00D5739E"/>
    <w:rsid w:val="00D8483B"/>
    <w:rsid w:val="00E16AE9"/>
    <w:rsid w:val="00E519AD"/>
    <w:rsid w:val="00E83BF5"/>
    <w:rsid w:val="00E83D6D"/>
    <w:rsid w:val="00F47D2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0D"/>
    <w:pPr>
      <w:ind w:firstLine="720"/>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7D2"/>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semiHidden/>
    <w:locked/>
    <w:rsid w:val="002A27D2"/>
  </w:style>
  <w:style w:type="character" w:styleId="PageNumber">
    <w:name w:val="page number"/>
    <w:basedOn w:val="DefaultParagraphFont"/>
    <w:uiPriority w:val="99"/>
    <w:rsid w:val="002A27D2"/>
    <w:rPr>
      <w:rFonts w:cs="Times New Roman"/>
    </w:rPr>
  </w:style>
  <w:style w:type="character" w:styleId="Hyperlink">
    <w:name w:val="Hyperlink"/>
    <w:basedOn w:val="DefaultParagraphFont"/>
    <w:uiPriority w:val="99"/>
    <w:rsid w:val="007F444D"/>
    <w:rPr>
      <w:rFonts w:cs="Times New Roman"/>
      <w:color w:val="0000FF"/>
      <w:u w:val="single"/>
    </w:rPr>
  </w:style>
  <w:style w:type="paragraph" w:styleId="Footer">
    <w:name w:val="footer"/>
    <w:basedOn w:val="Normal"/>
    <w:link w:val="FooterChar"/>
    <w:uiPriority w:val="99"/>
    <w:rsid w:val="00E83BF5"/>
    <w:pPr>
      <w:tabs>
        <w:tab w:val="center" w:pos="4153"/>
        <w:tab w:val="right" w:pos="8306"/>
      </w:tabs>
    </w:pPr>
  </w:style>
  <w:style w:type="character" w:customStyle="1" w:styleId="FooterChar">
    <w:name w:val="Footer Char"/>
    <w:basedOn w:val="DefaultParagraphFont"/>
    <w:link w:val="Footer"/>
    <w:uiPriority w:val="99"/>
    <w:locked/>
    <w:rsid w:val="00E83BF5"/>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s.Zalaiskalns@lvceli.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2</Pages>
  <Words>560</Words>
  <Characters>3949</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6. aprīļa noteikumos Nr. 343 „Noteikumi par lielgabarīta un smagsvara pārvadājumiem”” </dc:title>
  <dc:subject>Anotācija</dc:subject>
  <dc:creator>Imants Kaupe</dc:creator>
  <cp:keywords/>
  <dc:description>imants.kaupe@sam.gov.lv, 67028326</dc:description>
  <cp:lastModifiedBy>Baiba Šterna</cp:lastModifiedBy>
  <cp:revision>9</cp:revision>
  <dcterms:created xsi:type="dcterms:W3CDTF">2012-11-02T09:37:00Z</dcterms:created>
  <dcterms:modified xsi:type="dcterms:W3CDTF">2013-03-19T09:14:00Z</dcterms:modified>
</cp:coreProperties>
</file>