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AD" w:rsidRPr="005D6706" w:rsidRDefault="005D6706" w:rsidP="00C5218C">
      <w:pPr>
        <w:spacing w:after="0" w:line="240" w:lineRule="auto"/>
        <w:jc w:val="center"/>
        <w:rPr>
          <w:rFonts w:ascii="Times New Roman" w:eastAsia="Times New Roman" w:hAnsi="Times New Roman"/>
          <w:b/>
          <w:bCs/>
          <w:sz w:val="24"/>
          <w:szCs w:val="24"/>
          <w:lang w:eastAsia="lv-LV"/>
        </w:rPr>
      </w:pPr>
      <w:bookmarkStart w:id="0" w:name="_GoBack"/>
      <w:bookmarkEnd w:id="0"/>
      <w:r>
        <w:rPr>
          <w:rFonts w:ascii="Times New Roman" w:hAnsi="Times New Roman"/>
          <w:b/>
          <w:sz w:val="24"/>
          <w:szCs w:val="24"/>
        </w:rPr>
        <w:t>Ministru kabineta noteikumu projekta „</w:t>
      </w:r>
      <w:r w:rsidR="0077090E" w:rsidRPr="005D6706">
        <w:rPr>
          <w:rFonts w:ascii="Times New Roman" w:hAnsi="Times New Roman"/>
          <w:b/>
          <w:sz w:val="24"/>
          <w:szCs w:val="24"/>
        </w:rPr>
        <w:t>Valsts akciju sabiedrības „Latvijas autoceļu uzturētājs” sniegto publisko pakalpojumu saraksts un to cenu noteikšanas metodika</w:t>
      </w:r>
      <w:r>
        <w:rPr>
          <w:rFonts w:ascii="Times New Roman" w:hAnsi="Times New Roman"/>
          <w:b/>
          <w:sz w:val="24"/>
          <w:szCs w:val="24"/>
        </w:rPr>
        <w:t xml:space="preserve">” </w:t>
      </w:r>
      <w:r w:rsidR="00034B3B" w:rsidRPr="005D6706">
        <w:rPr>
          <w:rFonts w:ascii="Times New Roman" w:eastAsia="Times New Roman" w:hAnsi="Times New Roman"/>
          <w:b/>
          <w:bCs/>
          <w:sz w:val="24"/>
          <w:szCs w:val="24"/>
          <w:lang w:eastAsia="lv-LV"/>
        </w:rPr>
        <w:t xml:space="preserve">sākotnējās ietekmes novērtējuma </w:t>
      </w:r>
      <w:r w:rsidR="00520B62" w:rsidRPr="005D6706">
        <w:rPr>
          <w:rFonts w:ascii="Times New Roman" w:eastAsia="Times New Roman" w:hAnsi="Times New Roman"/>
          <w:b/>
          <w:bCs/>
          <w:sz w:val="24"/>
          <w:szCs w:val="24"/>
          <w:lang w:eastAsia="lv-LV"/>
        </w:rPr>
        <w:t>z</w:t>
      </w:r>
      <w:r w:rsidR="00034B3B" w:rsidRPr="005D6706">
        <w:rPr>
          <w:rFonts w:ascii="Times New Roman" w:eastAsia="Times New Roman" w:hAnsi="Times New Roman"/>
          <w:b/>
          <w:bCs/>
          <w:sz w:val="24"/>
          <w:szCs w:val="24"/>
          <w:lang w:eastAsia="lv-LV"/>
        </w:rPr>
        <w:t>iņojums (anotācija)</w:t>
      </w:r>
      <w:r w:rsidR="00323D9D" w:rsidRPr="005D6706">
        <w:rPr>
          <w:rFonts w:ascii="Times New Roman" w:eastAsia="Times New Roman" w:hAnsi="Times New Roman"/>
          <w:b/>
          <w:bCs/>
          <w:sz w:val="24"/>
          <w:szCs w:val="24"/>
          <w:lang w:eastAsia="lv-LV"/>
        </w:rPr>
        <w:t xml:space="preserve"> </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
        <w:gridCol w:w="1525"/>
        <w:gridCol w:w="7943"/>
      </w:tblGrid>
      <w:tr w:rsidR="00034B3B" w:rsidRPr="005D6706" w:rsidTr="007D5D10">
        <w:tc>
          <w:tcPr>
            <w:tcW w:w="9725" w:type="dxa"/>
            <w:gridSpan w:val="3"/>
            <w:vAlign w:val="center"/>
          </w:tcPr>
          <w:p w:rsidR="00034B3B" w:rsidRPr="005D6706" w:rsidRDefault="00034B3B" w:rsidP="00520B62">
            <w:pPr>
              <w:pStyle w:val="naisnod"/>
              <w:spacing w:before="0" w:after="0"/>
            </w:pPr>
            <w:r w:rsidRPr="005D6706">
              <w:t>I. Tiesību akta projekta izstrādes nepieciešamība</w:t>
            </w:r>
          </w:p>
        </w:tc>
      </w:tr>
      <w:tr w:rsidR="00034B3B" w:rsidRPr="005D6706" w:rsidTr="007D5D10">
        <w:trPr>
          <w:trHeight w:val="630"/>
        </w:trPr>
        <w:tc>
          <w:tcPr>
            <w:tcW w:w="550" w:type="dxa"/>
          </w:tcPr>
          <w:p w:rsidR="00034B3B" w:rsidRPr="005D6706" w:rsidRDefault="00034B3B" w:rsidP="00520B62">
            <w:pPr>
              <w:pStyle w:val="naiskr"/>
              <w:spacing w:before="0" w:after="0"/>
            </w:pPr>
            <w:r w:rsidRPr="005D6706">
              <w:t>1.</w:t>
            </w:r>
          </w:p>
        </w:tc>
        <w:tc>
          <w:tcPr>
            <w:tcW w:w="2999" w:type="dxa"/>
          </w:tcPr>
          <w:p w:rsidR="00034B3B" w:rsidRPr="005D6706" w:rsidRDefault="00034B3B" w:rsidP="00520B62">
            <w:pPr>
              <w:pStyle w:val="naiskr"/>
              <w:spacing w:before="0" w:after="0"/>
              <w:ind w:hanging="10"/>
            </w:pPr>
            <w:r w:rsidRPr="005D6706">
              <w:t>Pamatojums</w:t>
            </w:r>
          </w:p>
        </w:tc>
        <w:tc>
          <w:tcPr>
            <w:tcW w:w="6176" w:type="dxa"/>
          </w:tcPr>
          <w:p w:rsidR="00360F64" w:rsidRDefault="00980B00" w:rsidP="00C44568">
            <w:pPr>
              <w:spacing w:line="240" w:lineRule="auto"/>
              <w:ind w:firstLine="709"/>
              <w:jc w:val="both"/>
              <w:rPr>
                <w:rFonts w:ascii="Times New Roman" w:hAnsi="Times New Roman"/>
                <w:sz w:val="24"/>
                <w:szCs w:val="24"/>
                <w:lang w:eastAsia="lv-LV"/>
              </w:rPr>
            </w:pPr>
            <w:r w:rsidRPr="005D6706">
              <w:rPr>
                <w:rFonts w:ascii="Times New Roman" w:hAnsi="Times New Roman"/>
                <w:bCs/>
                <w:sz w:val="24"/>
                <w:szCs w:val="24"/>
              </w:rPr>
              <w:t>Likuma "</w:t>
            </w:r>
            <w:hyperlink r:id="rId9" w:tgtFrame="_blank" w:history="1">
              <w:r w:rsidRPr="005D6706">
                <w:rPr>
                  <w:rFonts w:ascii="Times New Roman" w:hAnsi="Times New Roman"/>
                  <w:bCs/>
                  <w:sz w:val="24"/>
                  <w:szCs w:val="24"/>
                </w:rPr>
                <w:t>Par autoceļiem</w:t>
              </w:r>
            </w:hyperlink>
            <w:r w:rsidRPr="005D6706">
              <w:rPr>
                <w:rFonts w:ascii="Times New Roman" w:hAnsi="Times New Roman"/>
                <w:bCs/>
                <w:sz w:val="24"/>
                <w:szCs w:val="24"/>
              </w:rPr>
              <w:t>"</w:t>
            </w:r>
            <w:r w:rsidR="00587012">
              <w:rPr>
                <w:rFonts w:ascii="Times New Roman" w:hAnsi="Times New Roman"/>
                <w:bCs/>
                <w:sz w:val="24"/>
                <w:szCs w:val="24"/>
              </w:rPr>
              <w:t xml:space="preserve"> </w:t>
            </w:r>
            <w:r w:rsidR="00587012">
              <w:rPr>
                <w:rFonts w:ascii="Times New Roman" w:hAnsi="Times New Roman"/>
                <w:sz w:val="24"/>
                <w:szCs w:val="24"/>
              </w:rPr>
              <w:t>(turpmāk tekstā – „Likums”)</w:t>
            </w:r>
            <w:r w:rsidRPr="005D6706">
              <w:rPr>
                <w:rFonts w:ascii="Times New Roman" w:hAnsi="Times New Roman"/>
                <w:sz w:val="24"/>
                <w:szCs w:val="24"/>
              </w:rPr>
              <w:t xml:space="preserve"> </w:t>
            </w:r>
            <w:r w:rsidRPr="005D6706">
              <w:rPr>
                <w:rFonts w:ascii="Times New Roman" w:hAnsi="Times New Roman"/>
                <w:bCs/>
                <w:sz w:val="24"/>
                <w:szCs w:val="24"/>
                <w:lang w:eastAsia="lv-LV"/>
              </w:rPr>
              <w:t>23.</w:t>
            </w:r>
            <w:r w:rsidRPr="005D6706">
              <w:rPr>
                <w:rFonts w:ascii="Times New Roman" w:hAnsi="Times New Roman"/>
                <w:sz w:val="24"/>
                <w:szCs w:val="24"/>
                <w:vertAlign w:val="superscript"/>
                <w:lang w:eastAsia="lv-LV"/>
              </w:rPr>
              <w:t>2</w:t>
            </w:r>
            <w:r w:rsidRPr="005D6706">
              <w:rPr>
                <w:rFonts w:ascii="Times New Roman" w:hAnsi="Times New Roman"/>
                <w:bCs/>
                <w:sz w:val="24"/>
                <w:szCs w:val="24"/>
                <w:lang w:eastAsia="lv-LV"/>
              </w:rPr>
              <w:t xml:space="preserve"> panta trešā daļa </w:t>
            </w:r>
            <w:r w:rsidRPr="005D6706">
              <w:rPr>
                <w:rFonts w:ascii="Times New Roman" w:hAnsi="Times New Roman"/>
                <w:sz w:val="24"/>
                <w:szCs w:val="24"/>
              </w:rPr>
              <w:t>paredz, ka  </w:t>
            </w:r>
            <w:r w:rsidRPr="005D6706">
              <w:rPr>
                <w:rFonts w:ascii="Times New Roman" w:hAnsi="Times New Roman"/>
                <w:sz w:val="24"/>
                <w:szCs w:val="24"/>
                <w:lang w:eastAsia="lv-LV"/>
              </w:rPr>
              <w:t xml:space="preserve">Ministru kabinets nosaka valsts akciju sabiedrības "Latvijas autoceļu uzturētājs" sniegtos publiskos pakalpojumus un to cenu noteikšanas metodiku. Minētā norma stājas spēkā 2014.gada 1.janvārī. </w:t>
            </w:r>
          </w:p>
          <w:p w:rsidR="00034B3B" w:rsidRPr="005D6706" w:rsidRDefault="00241B17" w:rsidP="00C44568">
            <w:pPr>
              <w:spacing w:line="240" w:lineRule="auto"/>
              <w:ind w:firstLine="709"/>
              <w:jc w:val="both"/>
              <w:rPr>
                <w:rFonts w:ascii="Times New Roman" w:hAnsi="Times New Roman"/>
                <w:sz w:val="24"/>
                <w:szCs w:val="24"/>
              </w:rPr>
            </w:pPr>
            <w:r w:rsidRPr="005D6706">
              <w:rPr>
                <w:rFonts w:ascii="Times New Roman" w:hAnsi="Times New Roman"/>
                <w:sz w:val="24"/>
                <w:szCs w:val="24"/>
                <w:lang w:eastAsia="lv-LV"/>
              </w:rPr>
              <w:t>L</w:t>
            </w:r>
            <w:r w:rsidRPr="005D6706">
              <w:rPr>
                <w:rFonts w:ascii="Times New Roman" w:hAnsi="Times New Roman"/>
                <w:sz w:val="24"/>
                <w:szCs w:val="24"/>
              </w:rPr>
              <w:t xml:space="preserve">ai nodrošinātu likuma prasību īstenošanu, </w:t>
            </w:r>
            <w:r w:rsidR="00980B00" w:rsidRPr="005D6706">
              <w:rPr>
                <w:rFonts w:ascii="Times New Roman" w:hAnsi="Times New Roman"/>
                <w:sz w:val="24"/>
                <w:szCs w:val="24"/>
                <w:lang w:eastAsia="lv-LV"/>
              </w:rPr>
              <w:t>ir nepieciešams izdot Ministru kabineta noteikumus „</w:t>
            </w:r>
            <w:r w:rsidR="00980B00" w:rsidRPr="005D6706">
              <w:rPr>
                <w:rFonts w:ascii="Times New Roman" w:hAnsi="Times New Roman"/>
                <w:sz w:val="24"/>
                <w:szCs w:val="24"/>
              </w:rPr>
              <w:t>Valsts akciju sabiedrības „Latvijas autoceļu uzturētājs” sniegto publisko pakalpojumu saraksts un to cenu noteikšanas metodika”</w:t>
            </w:r>
            <w:r w:rsidR="005D6706">
              <w:rPr>
                <w:rFonts w:ascii="Times New Roman" w:hAnsi="Times New Roman"/>
                <w:sz w:val="24"/>
                <w:szCs w:val="24"/>
              </w:rPr>
              <w:t xml:space="preserve"> (turpmāk tekstā – „Projekts”)</w:t>
            </w:r>
            <w:r w:rsidRPr="005D6706">
              <w:rPr>
                <w:rFonts w:ascii="Times New Roman" w:hAnsi="Times New Roman"/>
                <w:sz w:val="24"/>
                <w:szCs w:val="24"/>
              </w:rPr>
              <w:t>.</w:t>
            </w:r>
          </w:p>
        </w:tc>
      </w:tr>
      <w:tr w:rsidR="00034B3B" w:rsidRPr="005D6706" w:rsidTr="007D5D10">
        <w:trPr>
          <w:trHeight w:val="564"/>
        </w:trPr>
        <w:tc>
          <w:tcPr>
            <w:tcW w:w="550" w:type="dxa"/>
          </w:tcPr>
          <w:p w:rsidR="00034B3B" w:rsidRPr="005D6706" w:rsidRDefault="00034B3B" w:rsidP="007D5D10">
            <w:pPr>
              <w:pStyle w:val="naiskr"/>
              <w:spacing w:before="0" w:after="0"/>
            </w:pPr>
            <w:r w:rsidRPr="005D6706">
              <w:t>2.</w:t>
            </w:r>
          </w:p>
        </w:tc>
        <w:tc>
          <w:tcPr>
            <w:tcW w:w="2999" w:type="dxa"/>
          </w:tcPr>
          <w:p w:rsidR="00034B3B" w:rsidRPr="005D6706" w:rsidRDefault="00034B3B" w:rsidP="007D5D10">
            <w:pPr>
              <w:pStyle w:val="naiskr"/>
              <w:tabs>
                <w:tab w:val="left" w:pos="170"/>
              </w:tabs>
              <w:spacing w:before="0" w:after="0"/>
            </w:pPr>
            <w:r w:rsidRPr="005D6706">
              <w:t>Pašreizējā situācija un problēmas</w:t>
            </w:r>
          </w:p>
        </w:tc>
        <w:tc>
          <w:tcPr>
            <w:tcW w:w="6176" w:type="dxa"/>
          </w:tcPr>
          <w:p w:rsidR="002A7F27" w:rsidRDefault="00241B17" w:rsidP="00462E36">
            <w:pPr>
              <w:spacing w:line="240" w:lineRule="auto"/>
              <w:ind w:firstLine="720"/>
              <w:jc w:val="both"/>
              <w:rPr>
                <w:rFonts w:ascii="Times New Roman" w:hAnsi="Times New Roman"/>
                <w:sz w:val="24"/>
                <w:szCs w:val="24"/>
              </w:rPr>
            </w:pPr>
            <w:r w:rsidRPr="005D6706">
              <w:rPr>
                <w:rFonts w:ascii="Times New Roman" w:hAnsi="Times New Roman"/>
                <w:sz w:val="24"/>
                <w:szCs w:val="24"/>
              </w:rPr>
              <w:t>Šobrīd valsts autoceļu ikdienas kompleksās uzturēšanas darbus veic AS „Latvijas autoceļu uzturētājs” (turpmāk tekstā arī - „kapitālsabiedrība”) saskaņā ar valsts akciju sabiedrības „Latvijas Valsts ceļi” un AS „Latvijas autoceļu uzturētājs” noslēgtajiem 12 „Par valsts autoceļu komplekso ikdienas uzturēšanu” laika periodā no 2007.-2014.gadam” līgumiem</w:t>
            </w:r>
            <w:r w:rsidR="001F0D0B" w:rsidRPr="005D6706">
              <w:rPr>
                <w:rFonts w:ascii="Times New Roman" w:hAnsi="Times New Roman"/>
                <w:sz w:val="24"/>
                <w:szCs w:val="24"/>
              </w:rPr>
              <w:t>, kas nosaka gan sniedzamos pakalpojumus, gan pakalpojuma cenu saskaņā ar atklātā konkursā iesniegtajiem piedāvājumiem.</w:t>
            </w:r>
            <w:r w:rsidR="00667D1F">
              <w:rPr>
                <w:rFonts w:ascii="Times New Roman" w:hAnsi="Times New Roman"/>
                <w:sz w:val="24"/>
                <w:szCs w:val="24"/>
              </w:rPr>
              <w:t xml:space="preserve"> </w:t>
            </w:r>
            <w:r w:rsidR="00667D1F" w:rsidRPr="002A7F27">
              <w:rPr>
                <w:rFonts w:ascii="Times New Roman" w:hAnsi="Times New Roman"/>
                <w:sz w:val="24"/>
                <w:szCs w:val="24"/>
              </w:rPr>
              <w:t xml:space="preserve">Noslēgtie 12 līgumi „Par valsts autoceļu komplekso ikdienas uzturēšanu” ir spēkā līdz 2014.gada 30.septembrim. </w:t>
            </w:r>
          </w:p>
          <w:p w:rsidR="008D35E1" w:rsidRDefault="001F0D0B" w:rsidP="00462E36">
            <w:pPr>
              <w:spacing w:line="240" w:lineRule="auto"/>
              <w:ind w:firstLine="720"/>
              <w:jc w:val="both"/>
              <w:rPr>
                <w:rFonts w:ascii="Times New Roman" w:hAnsi="Times New Roman"/>
                <w:bCs/>
                <w:sz w:val="24"/>
                <w:szCs w:val="24"/>
              </w:rPr>
            </w:pPr>
            <w:r w:rsidRPr="005D6706">
              <w:rPr>
                <w:rFonts w:ascii="Times New Roman" w:hAnsi="Times New Roman"/>
                <w:sz w:val="24"/>
                <w:szCs w:val="24"/>
              </w:rPr>
              <w:t xml:space="preserve">Saskaņā ar </w:t>
            </w:r>
            <w:r w:rsidR="000220F4">
              <w:rPr>
                <w:rFonts w:ascii="Times New Roman" w:hAnsi="Times New Roman"/>
                <w:sz w:val="24"/>
                <w:szCs w:val="24"/>
              </w:rPr>
              <w:t>g</w:t>
            </w:r>
            <w:r w:rsidRPr="005D6706">
              <w:rPr>
                <w:rFonts w:ascii="Times New Roman" w:hAnsi="Times New Roman"/>
                <w:sz w:val="24"/>
                <w:szCs w:val="24"/>
              </w:rPr>
              <w:t xml:space="preserve">rozījumiem likumā „Par autoceļiem” </w:t>
            </w:r>
            <w:r w:rsidR="00920617">
              <w:rPr>
                <w:rFonts w:ascii="Times New Roman" w:hAnsi="Times New Roman"/>
                <w:sz w:val="24"/>
                <w:szCs w:val="24"/>
              </w:rPr>
              <w:t>23</w:t>
            </w:r>
            <w:r w:rsidR="00920617">
              <w:rPr>
                <w:rFonts w:ascii="Times New Roman" w:hAnsi="Times New Roman"/>
                <w:sz w:val="24"/>
                <w:szCs w:val="24"/>
                <w:vertAlign w:val="superscript"/>
              </w:rPr>
              <w:t>2</w:t>
            </w:r>
            <w:r w:rsidR="00920617" w:rsidRPr="005D6706">
              <w:rPr>
                <w:rFonts w:ascii="Times New Roman" w:hAnsi="Times New Roman"/>
                <w:sz w:val="24"/>
                <w:szCs w:val="24"/>
              </w:rPr>
              <w:t xml:space="preserve"> </w:t>
            </w:r>
            <w:r w:rsidRPr="005D6706">
              <w:rPr>
                <w:rFonts w:ascii="Times New Roman" w:hAnsi="Times New Roman"/>
                <w:sz w:val="24"/>
                <w:szCs w:val="24"/>
              </w:rPr>
              <w:t>pant</w:t>
            </w:r>
            <w:r w:rsidR="00920617">
              <w:rPr>
                <w:rFonts w:ascii="Times New Roman" w:hAnsi="Times New Roman"/>
                <w:sz w:val="24"/>
                <w:szCs w:val="24"/>
              </w:rPr>
              <w:t>a otro daļu</w:t>
            </w:r>
            <w:r w:rsidRPr="005D6706">
              <w:rPr>
                <w:rFonts w:ascii="Times New Roman" w:hAnsi="Times New Roman"/>
                <w:sz w:val="24"/>
                <w:szCs w:val="24"/>
              </w:rPr>
              <w:t xml:space="preserve"> </w:t>
            </w:r>
            <w:r w:rsidR="00920617">
              <w:rPr>
                <w:rFonts w:ascii="Times New Roman" w:hAnsi="Times New Roman"/>
                <w:sz w:val="24"/>
                <w:szCs w:val="24"/>
              </w:rPr>
              <w:t>s</w:t>
            </w:r>
            <w:r w:rsidR="008D35E1" w:rsidRPr="005D6706">
              <w:rPr>
                <w:rFonts w:ascii="Times New Roman" w:hAnsi="Times New Roman"/>
                <w:sz w:val="24"/>
                <w:szCs w:val="24"/>
              </w:rPr>
              <w:t>atiksmes ministr</w:t>
            </w:r>
            <w:r w:rsidR="00920617">
              <w:rPr>
                <w:rFonts w:ascii="Times New Roman" w:hAnsi="Times New Roman"/>
                <w:sz w:val="24"/>
                <w:szCs w:val="24"/>
              </w:rPr>
              <w:t>s</w:t>
            </w:r>
            <w:r w:rsidR="008D35E1" w:rsidRPr="005D6706">
              <w:rPr>
                <w:rFonts w:ascii="Times New Roman" w:hAnsi="Times New Roman"/>
                <w:sz w:val="24"/>
                <w:szCs w:val="24"/>
              </w:rPr>
              <w:t xml:space="preserve"> turpmāk</w:t>
            </w:r>
            <w:r w:rsidRPr="005D6706">
              <w:rPr>
                <w:rFonts w:ascii="Times New Roman" w:hAnsi="Times New Roman"/>
                <w:sz w:val="24"/>
                <w:szCs w:val="24"/>
              </w:rPr>
              <w:t xml:space="preserve"> slēgs </w:t>
            </w:r>
            <w:r w:rsidR="001A2A7E" w:rsidRPr="005D6706">
              <w:rPr>
                <w:rFonts w:ascii="Times New Roman" w:hAnsi="Times New Roman"/>
                <w:sz w:val="24"/>
                <w:szCs w:val="24"/>
              </w:rPr>
              <w:t>deleģēš</w:t>
            </w:r>
            <w:r w:rsidRPr="005D6706">
              <w:rPr>
                <w:rFonts w:ascii="Times New Roman" w:hAnsi="Times New Roman"/>
                <w:sz w:val="24"/>
                <w:szCs w:val="24"/>
              </w:rPr>
              <w:t>a</w:t>
            </w:r>
            <w:r w:rsidR="001A2A7E" w:rsidRPr="005D6706">
              <w:rPr>
                <w:rFonts w:ascii="Times New Roman" w:hAnsi="Times New Roman"/>
                <w:sz w:val="24"/>
                <w:szCs w:val="24"/>
              </w:rPr>
              <w:t>nas</w:t>
            </w:r>
            <w:r w:rsidRPr="005D6706">
              <w:rPr>
                <w:rFonts w:ascii="Times New Roman" w:hAnsi="Times New Roman"/>
                <w:sz w:val="24"/>
                <w:szCs w:val="24"/>
              </w:rPr>
              <w:t xml:space="preserve"> līgumu uz septiņiem gadiem ar VAS „Latvijas autoceļu uzturētājs” par  </w:t>
            </w:r>
            <w:r w:rsidRPr="005D6706">
              <w:rPr>
                <w:rFonts w:ascii="Times New Roman" w:eastAsia="Times New Roman" w:hAnsi="Times New Roman"/>
                <w:bCs/>
                <w:sz w:val="24"/>
                <w:szCs w:val="24"/>
              </w:rPr>
              <w:t xml:space="preserve">valsts autoceļu </w:t>
            </w:r>
            <w:r w:rsidRPr="005D6706">
              <w:rPr>
                <w:rFonts w:ascii="Times New Roman" w:hAnsi="Times New Roman"/>
                <w:sz w:val="24"/>
                <w:szCs w:val="24"/>
              </w:rPr>
              <w:t xml:space="preserve">kompleksās </w:t>
            </w:r>
            <w:r w:rsidRPr="005D6706">
              <w:rPr>
                <w:rFonts w:ascii="Times New Roman" w:eastAsia="Times New Roman" w:hAnsi="Times New Roman"/>
                <w:bCs/>
                <w:sz w:val="24"/>
                <w:szCs w:val="24"/>
              </w:rPr>
              <w:t xml:space="preserve">ikdienas uzturēšanas </w:t>
            </w:r>
            <w:r w:rsidRPr="005D6706">
              <w:rPr>
                <w:rFonts w:ascii="Times New Roman" w:hAnsi="Times New Roman"/>
                <w:sz w:val="24"/>
                <w:szCs w:val="24"/>
              </w:rPr>
              <w:t>pakalpojumiem</w:t>
            </w:r>
            <w:r w:rsidR="008D35E1" w:rsidRPr="005D6706">
              <w:rPr>
                <w:rFonts w:ascii="Times New Roman" w:hAnsi="Times New Roman"/>
                <w:sz w:val="24"/>
                <w:szCs w:val="24"/>
              </w:rPr>
              <w:t xml:space="preserve"> </w:t>
            </w:r>
            <w:r w:rsidRPr="005D6706">
              <w:rPr>
                <w:rFonts w:ascii="Times New Roman" w:hAnsi="Times New Roman"/>
                <w:sz w:val="24"/>
                <w:szCs w:val="24"/>
              </w:rPr>
              <w:t>visā valsts teritorijā.</w:t>
            </w:r>
            <w:r w:rsidR="008D35E1" w:rsidRPr="005D6706">
              <w:rPr>
                <w:rFonts w:ascii="Times New Roman" w:hAnsi="Times New Roman"/>
                <w:sz w:val="24"/>
                <w:szCs w:val="24"/>
              </w:rPr>
              <w:t xml:space="preserve"> </w:t>
            </w:r>
            <w:r w:rsidR="005D6706">
              <w:rPr>
                <w:rFonts w:ascii="Times New Roman" w:hAnsi="Times New Roman"/>
                <w:sz w:val="24"/>
                <w:szCs w:val="24"/>
              </w:rPr>
              <w:t>P</w:t>
            </w:r>
            <w:r w:rsidR="008D35E1" w:rsidRPr="005D6706">
              <w:rPr>
                <w:rFonts w:ascii="Times New Roman" w:hAnsi="Times New Roman"/>
                <w:sz w:val="24"/>
                <w:szCs w:val="24"/>
              </w:rPr>
              <w:t>rojekts nosaka  deleģēšanas līgumā iekļaujamo pakalpojumu sarakstu un kārtību, kādā tiek aprēķinātas šo pakalpojumu cenas. Sarakstā iekļautie publiskie  pakalpojumi</w:t>
            </w:r>
            <w:r w:rsidR="005D6706">
              <w:rPr>
                <w:rFonts w:ascii="Times New Roman" w:hAnsi="Times New Roman"/>
                <w:sz w:val="24"/>
                <w:szCs w:val="24"/>
              </w:rPr>
              <w:t xml:space="preserve"> atbilst līdz šim sniegtajam pakalpojumu apjomam</w:t>
            </w:r>
            <w:r w:rsidR="00521FF3">
              <w:rPr>
                <w:rFonts w:ascii="Times New Roman" w:hAnsi="Times New Roman"/>
                <w:sz w:val="24"/>
                <w:szCs w:val="24"/>
              </w:rPr>
              <w:t>, kas noteikti</w:t>
            </w:r>
            <w:r w:rsidR="008D35E1" w:rsidRPr="005D6706">
              <w:rPr>
                <w:rFonts w:ascii="Times New Roman" w:hAnsi="Times New Roman"/>
                <w:sz w:val="24"/>
                <w:szCs w:val="24"/>
              </w:rPr>
              <w:t xml:space="preserve"> M</w:t>
            </w:r>
            <w:r w:rsidR="008D35E1" w:rsidRPr="005D6706">
              <w:rPr>
                <w:rFonts w:ascii="Times New Roman" w:hAnsi="Times New Roman"/>
                <w:bCs/>
                <w:sz w:val="24"/>
                <w:szCs w:val="24"/>
              </w:rPr>
              <w:t xml:space="preserve">inistru kabineta </w:t>
            </w:r>
            <w:r w:rsidR="008D35E1" w:rsidRPr="005D6706">
              <w:rPr>
                <w:rFonts w:ascii="Times New Roman" w:hAnsi="Times New Roman"/>
                <w:sz w:val="24"/>
                <w:szCs w:val="24"/>
              </w:rPr>
              <w:t xml:space="preserve">2010.gada 9.marta </w:t>
            </w:r>
            <w:r w:rsidR="008D35E1" w:rsidRPr="005D6706">
              <w:rPr>
                <w:rFonts w:ascii="Times New Roman" w:hAnsi="Times New Roman"/>
                <w:bCs/>
                <w:sz w:val="24"/>
                <w:szCs w:val="24"/>
              </w:rPr>
              <w:t>noteikumos Nr.224</w:t>
            </w:r>
            <w:r w:rsidR="008D35E1" w:rsidRPr="005D6706">
              <w:rPr>
                <w:rFonts w:ascii="Times New Roman" w:hAnsi="Times New Roman"/>
                <w:sz w:val="24"/>
                <w:szCs w:val="24"/>
              </w:rPr>
              <w:t xml:space="preserve"> „</w:t>
            </w:r>
            <w:r w:rsidR="008D35E1" w:rsidRPr="005D6706">
              <w:rPr>
                <w:rFonts w:ascii="Times New Roman" w:hAnsi="Times New Roman"/>
                <w:bCs/>
                <w:sz w:val="24"/>
                <w:szCs w:val="24"/>
              </w:rPr>
              <w:t>Noteikumi par valsts un pašvaldību autoceļu ikdienas uzturēšanas prasībām un to izpildes kontroli” uzskaitītaji</w:t>
            </w:r>
            <w:r w:rsidR="00BF568A" w:rsidRPr="005D6706">
              <w:rPr>
                <w:rFonts w:ascii="Times New Roman" w:hAnsi="Times New Roman"/>
                <w:bCs/>
                <w:sz w:val="24"/>
                <w:szCs w:val="24"/>
              </w:rPr>
              <w:t>em ikdienas uzturēšanas darbiem.</w:t>
            </w:r>
          </w:p>
          <w:p w:rsidR="00F32807" w:rsidRDefault="005F18C7" w:rsidP="00800AE7">
            <w:pPr>
              <w:spacing w:line="240" w:lineRule="auto"/>
              <w:ind w:firstLine="709"/>
              <w:jc w:val="both"/>
              <w:rPr>
                <w:rFonts w:ascii="Times New Roman" w:hAnsi="Times New Roman"/>
                <w:sz w:val="24"/>
                <w:szCs w:val="24"/>
              </w:rPr>
            </w:pPr>
            <w:r w:rsidRPr="00F32807">
              <w:rPr>
                <w:rFonts w:ascii="Times New Roman" w:hAnsi="Times New Roman"/>
                <w:bCs/>
                <w:sz w:val="24"/>
                <w:szCs w:val="24"/>
              </w:rPr>
              <w:t xml:space="preserve">Projektā uzskaitītie publiskie pakalpojumi ir </w:t>
            </w:r>
            <w:r w:rsidR="00CF3A27" w:rsidRPr="00F32807">
              <w:rPr>
                <w:rFonts w:ascii="Times New Roman" w:hAnsi="Times New Roman"/>
                <w:bCs/>
                <w:sz w:val="24"/>
                <w:szCs w:val="24"/>
              </w:rPr>
              <w:t xml:space="preserve">tas minimālo pakalpojumu apjoms, lai spētu nodrošināt </w:t>
            </w:r>
            <w:r w:rsidRPr="00F32807">
              <w:rPr>
                <w:rFonts w:ascii="Times New Roman" w:hAnsi="Times New Roman"/>
                <w:bCs/>
                <w:sz w:val="24"/>
                <w:szCs w:val="24"/>
              </w:rPr>
              <w:t xml:space="preserve"> valsts autoceļu saglabāšanu</w:t>
            </w:r>
            <w:r w:rsidR="00800AE7">
              <w:rPr>
                <w:rFonts w:ascii="Times New Roman" w:hAnsi="Times New Roman"/>
                <w:sz w:val="24"/>
                <w:szCs w:val="24"/>
              </w:rPr>
              <w:t>.</w:t>
            </w:r>
          </w:p>
          <w:p w:rsidR="00FB4BC3" w:rsidRPr="00FD2D0F" w:rsidRDefault="00800AE7" w:rsidP="00800AE7">
            <w:pPr>
              <w:spacing w:line="240" w:lineRule="auto"/>
              <w:ind w:firstLine="709"/>
              <w:jc w:val="both"/>
              <w:rPr>
                <w:rFonts w:ascii="Times New Roman" w:hAnsi="Times New Roman"/>
                <w:sz w:val="24"/>
                <w:szCs w:val="24"/>
              </w:rPr>
            </w:pPr>
            <w:r w:rsidRPr="00F32807">
              <w:rPr>
                <w:rFonts w:ascii="Times New Roman" w:hAnsi="Times New Roman"/>
                <w:sz w:val="24"/>
                <w:szCs w:val="24"/>
              </w:rPr>
              <w:t>Ņemot vērā Likumā noteikto deleģējumu Ministru kabinetam, šajā Projektā ir ietverts tikai pakalpojumu uzskaitījums – kas ir publiskie pakalpojumi. Prasības šo pakalpojumu sniegšanai nosaka  M</w:t>
            </w:r>
            <w:r w:rsidRPr="00F32807">
              <w:rPr>
                <w:rFonts w:ascii="Times New Roman" w:hAnsi="Times New Roman"/>
                <w:bCs/>
                <w:sz w:val="24"/>
                <w:szCs w:val="24"/>
              </w:rPr>
              <w:t xml:space="preserve">inistru kabineta </w:t>
            </w:r>
            <w:r w:rsidRPr="00F32807">
              <w:rPr>
                <w:rFonts w:ascii="Times New Roman" w:hAnsi="Times New Roman"/>
                <w:sz w:val="24"/>
                <w:szCs w:val="24"/>
              </w:rPr>
              <w:t xml:space="preserve">2010.gada 9.marta </w:t>
            </w:r>
            <w:r w:rsidRPr="00F32807">
              <w:rPr>
                <w:rFonts w:ascii="Times New Roman" w:hAnsi="Times New Roman"/>
                <w:bCs/>
                <w:sz w:val="24"/>
                <w:szCs w:val="24"/>
              </w:rPr>
              <w:t>noteikumos Nr.224</w:t>
            </w:r>
            <w:r w:rsidRPr="00F32807">
              <w:rPr>
                <w:rFonts w:ascii="Times New Roman" w:hAnsi="Times New Roman"/>
                <w:sz w:val="24"/>
                <w:szCs w:val="24"/>
              </w:rPr>
              <w:t xml:space="preserve"> „</w:t>
            </w:r>
            <w:r w:rsidRPr="00F32807">
              <w:rPr>
                <w:rFonts w:ascii="Times New Roman" w:hAnsi="Times New Roman"/>
                <w:bCs/>
                <w:sz w:val="24"/>
                <w:szCs w:val="24"/>
              </w:rPr>
              <w:t xml:space="preserve">Noteikumi par valsts un pašvaldību autoceļu ikdienas uzturēšanas prasībām un to izpildes kontroli” un darbu veikšanas </w:t>
            </w:r>
            <w:r w:rsidR="00F32807" w:rsidRPr="009B78B2">
              <w:rPr>
                <w:rFonts w:ascii="Times New Roman" w:hAnsi="Times New Roman"/>
                <w:sz w:val="24"/>
                <w:szCs w:val="24"/>
              </w:rPr>
              <w:t>tehniskās specifikācijas, jeb Pasūtītāja (Satiksmes ministrijas) noteikto tehnisko prasību  (prasības materiāliem, iekārtām, tehnoloģijām, izpildījuma kvalitātei) apkopojums, kas ir deleģējuma līguma neatņemama sastāvdaļa</w:t>
            </w:r>
            <w:r w:rsidR="00F32807" w:rsidRPr="00FD2D0F">
              <w:rPr>
                <w:rFonts w:ascii="Times New Roman" w:hAnsi="Times New Roman"/>
                <w:sz w:val="24"/>
                <w:szCs w:val="24"/>
              </w:rPr>
              <w:t xml:space="preserve">. </w:t>
            </w:r>
            <w:r w:rsidR="00BF57FC" w:rsidRPr="00FD2D0F">
              <w:rPr>
                <w:rFonts w:ascii="Times New Roman" w:hAnsi="Times New Roman"/>
                <w:sz w:val="24"/>
                <w:szCs w:val="24"/>
              </w:rPr>
              <w:t>Tā piemēram: Projekta 1.pielikuma</w:t>
            </w:r>
            <w:r w:rsidR="00F57FD9" w:rsidRPr="00FD2D0F">
              <w:rPr>
                <w:rFonts w:ascii="Times New Roman" w:hAnsi="Times New Roman"/>
                <w:sz w:val="24"/>
                <w:szCs w:val="24"/>
              </w:rPr>
              <w:t xml:space="preserve"> </w:t>
            </w:r>
            <w:r w:rsidR="00467159" w:rsidRPr="00FD2D0F">
              <w:rPr>
                <w:rFonts w:ascii="Times New Roman" w:hAnsi="Times New Roman"/>
                <w:sz w:val="24"/>
                <w:szCs w:val="24"/>
              </w:rPr>
              <w:t>2.2.2.apakšpunktā minētais darbs „</w:t>
            </w:r>
            <w:r w:rsidR="002F450B" w:rsidRPr="00FD2D0F">
              <w:rPr>
                <w:rFonts w:ascii="Times New Roman" w:hAnsi="Times New Roman"/>
                <w:sz w:val="24"/>
                <w:szCs w:val="24"/>
              </w:rPr>
              <w:t xml:space="preserve">Caurteku bojāto posmu un gala (atbalsta) sienu nomaiņa” </w:t>
            </w:r>
            <w:r w:rsidR="008059EF" w:rsidRPr="00FD2D0F">
              <w:rPr>
                <w:rFonts w:ascii="Times New Roman" w:hAnsi="Times New Roman"/>
                <w:sz w:val="24"/>
                <w:szCs w:val="24"/>
              </w:rPr>
              <w:t xml:space="preserve"> tik</w:t>
            </w:r>
            <w:r w:rsidR="008059EF">
              <w:rPr>
                <w:rFonts w:ascii="Times New Roman" w:hAnsi="Times New Roman"/>
                <w:sz w:val="24"/>
                <w:szCs w:val="24"/>
              </w:rPr>
              <w:t>s</w:t>
            </w:r>
            <w:r w:rsidR="008059EF" w:rsidRPr="00FD2D0F">
              <w:rPr>
                <w:rFonts w:ascii="Times New Roman" w:hAnsi="Times New Roman"/>
                <w:sz w:val="24"/>
                <w:szCs w:val="24"/>
              </w:rPr>
              <w:t xml:space="preserve"> detalizēts </w:t>
            </w:r>
            <w:r w:rsidR="00276B20" w:rsidRPr="00FD2D0F">
              <w:rPr>
                <w:rFonts w:ascii="Times New Roman" w:hAnsi="Times New Roman"/>
                <w:sz w:val="24"/>
                <w:szCs w:val="24"/>
              </w:rPr>
              <w:t xml:space="preserve">saskaņā ar deleģējuma līgumam pievienotajām tehniskās specifikācijas prasībām: </w:t>
            </w:r>
          </w:p>
          <w:tbl>
            <w:tblPr>
              <w:tblW w:w="7820" w:type="dxa"/>
              <w:tblInd w:w="98" w:type="dxa"/>
              <w:tblLook w:val="0000" w:firstRow="0" w:lastRow="0" w:firstColumn="0" w:lastColumn="0" w:noHBand="0" w:noVBand="0"/>
            </w:tblPr>
            <w:tblGrid>
              <w:gridCol w:w="1116"/>
              <w:gridCol w:w="5499"/>
              <w:gridCol w:w="1205"/>
            </w:tblGrid>
            <w:tr w:rsidR="00FB4BC3" w:rsidRPr="007B0FD3" w:rsidTr="00CD6619">
              <w:trPr>
                <w:trHeight w:val="255"/>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both"/>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w:t>
                  </w:r>
                </w:p>
              </w:tc>
              <w:tc>
                <w:tcPr>
                  <w:tcW w:w="5499"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both"/>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Dzelzsbetona caurtekas bojāto posmu ar diametru 0,5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255"/>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both"/>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2.2.2.2.</w:t>
                  </w:r>
                </w:p>
              </w:tc>
              <w:tc>
                <w:tcPr>
                  <w:tcW w:w="5499"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both"/>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Dzelzsbetona caurtekas bojāto posmu ar diametru 0,75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lastRenderedPageBreak/>
                    <w:t>2.2.2.3.</w:t>
                  </w:r>
                </w:p>
              </w:tc>
              <w:tc>
                <w:tcPr>
                  <w:tcW w:w="5499"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Dzelzsbetona caurtekas uz grants pamata bojāto posmu ar diametru 1,0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single" w:sz="4" w:space="0" w:color="auto"/>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2.2.2.4.</w:t>
                  </w:r>
                </w:p>
              </w:tc>
              <w:tc>
                <w:tcPr>
                  <w:tcW w:w="5499" w:type="dxa"/>
                  <w:tcBorders>
                    <w:top w:val="single" w:sz="4" w:space="0" w:color="auto"/>
                    <w:left w:val="nil"/>
                    <w:bottom w:val="single" w:sz="4" w:space="0" w:color="auto"/>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Dzelzsbetona caurtekas uz betona pamata bojāto posmu ar diametru 1,0 m nomaiņa</w:t>
                  </w:r>
                </w:p>
              </w:tc>
              <w:tc>
                <w:tcPr>
                  <w:tcW w:w="1205" w:type="dxa"/>
                  <w:tcBorders>
                    <w:top w:val="single" w:sz="4" w:space="0" w:color="auto"/>
                    <w:left w:val="nil"/>
                    <w:bottom w:val="single" w:sz="4" w:space="0" w:color="auto"/>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2.2.2.5.</w:t>
                  </w:r>
                </w:p>
              </w:tc>
              <w:tc>
                <w:tcPr>
                  <w:tcW w:w="5499" w:type="dxa"/>
                  <w:tcBorders>
                    <w:top w:val="single" w:sz="4" w:space="0" w:color="auto"/>
                    <w:left w:val="nil"/>
                    <w:bottom w:val="single" w:sz="4" w:space="0" w:color="auto"/>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Dzelzsbetona caurtekas uz grants pamata bojāto posmu ar diametru 1,5 m nomaiņa</w:t>
                  </w:r>
                </w:p>
              </w:tc>
              <w:tc>
                <w:tcPr>
                  <w:tcW w:w="1205" w:type="dxa"/>
                  <w:tcBorders>
                    <w:top w:val="single" w:sz="4" w:space="0" w:color="auto"/>
                    <w:left w:val="nil"/>
                    <w:bottom w:val="single" w:sz="4" w:space="0" w:color="auto"/>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2.2.2.6.</w:t>
                  </w:r>
                </w:p>
              </w:tc>
              <w:tc>
                <w:tcPr>
                  <w:tcW w:w="5499" w:type="dxa"/>
                  <w:tcBorders>
                    <w:top w:val="single" w:sz="4" w:space="0" w:color="auto"/>
                    <w:left w:val="nil"/>
                    <w:bottom w:val="single" w:sz="4" w:space="0" w:color="auto"/>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Dzelzsbetona caurtekas uz betona pamata bojāto posmu ar diametru 1,5 m nomaiņa</w:t>
                  </w:r>
                </w:p>
              </w:tc>
              <w:tc>
                <w:tcPr>
                  <w:tcW w:w="1205" w:type="dxa"/>
                  <w:tcBorders>
                    <w:top w:val="single" w:sz="4" w:space="0" w:color="auto"/>
                    <w:left w:val="nil"/>
                    <w:bottom w:val="single" w:sz="4" w:space="0" w:color="auto"/>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2.2.2.1.2.1.</w:t>
                  </w:r>
                </w:p>
              </w:tc>
              <w:tc>
                <w:tcPr>
                  <w:tcW w:w="5499" w:type="dxa"/>
                  <w:tcBorders>
                    <w:top w:val="single" w:sz="4" w:space="0" w:color="auto"/>
                    <w:left w:val="nil"/>
                    <w:bottom w:val="nil"/>
                    <w:right w:val="single" w:sz="4" w:space="0" w:color="auto"/>
                  </w:tcBorders>
                  <w:shd w:val="clear" w:color="auto" w:fill="auto"/>
                  <w:vAlign w:val="center"/>
                </w:tcPr>
                <w:p w:rsidR="00FB4BC3" w:rsidRPr="00DD5D40" w:rsidRDefault="00FB4BC3" w:rsidP="00B922D6">
                  <w:pPr>
                    <w:framePr w:hSpace="180" w:wrap="around" w:vAnchor="text" w:hAnchor="margin" w:xAlign="center" w:y="149"/>
                    <w:spacing w:after="0"/>
                    <w:rPr>
                      <w:rFonts w:ascii="Times New Roman" w:hAnsi="Times New Roman"/>
                      <w:sz w:val="20"/>
                      <w:szCs w:val="20"/>
                    </w:rPr>
                  </w:pPr>
                  <w:r w:rsidRPr="00DD5D40">
                    <w:rPr>
                      <w:rFonts w:ascii="Times New Roman" w:hAnsi="Times New Roman"/>
                      <w:sz w:val="20"/>
                      <w:szCs w:val="20"/>
                    </w:rPr>
                    <w:t>Plastmasas caurtekas bojāto posmu ar diametru 0,3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 </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2.2.2.1.2.2.</w:t>
                  </w:r>
                </w:p>
              </w:tc>
              <w:tc>
                <w:tcPr>
                  <w:tcW w:w="5499" w:type="dxa"/>
                  <w:tcBorders>
                    <w:top w:val="single" w:sz="4" w:space="0" w:color="auto"/>
                    <w:left w:val="nil"/>
                    <w:bottom w:val="nil"/>
                    <w:right w:val="single" w:sz="4" w:space="0" w:color="auto"/>
                  </w:tcBorders>
                  <w:shd w:val="clear" w:color="auto" w:fill="auto"/>
                  <w:vAlign w:val="center"/>
                </w:tcPr>
                <w:p w:rsidR="00FB4BC3" w:rsidRPr="00DD5D40" w:rsidRDefault="00FB4BC3" w:rsidP="00B922D6">
                  <w:pPr>
                    <w:framePr w:hSpace="180" w:wrap="around" w:vAnchor="text" w:hAnchor="margin" w:xAlign="center" w:y="149"/>
                    <w:spacing w:after="0"/>
                    <w:rPr>
                      <w:rFonts w:ascii="Times New Roman" w:hAnsi="Times New Roman"/>
                      <w:sz w:val="20"/>
                      <w:szCs w:val="20"/>
                    </w:rPr>
                  </w:pPr>
                  <w:r w:rsidRPr="00DD5D40">
                    <w:rPr>
                      <w:rFonts w:ascii="Times New Roman" w:hAnsi="Times New Roman"/>
                      <w:sz w:val="20"/>
                      <w:szCs w:val="20"/>
                    </w:rPr>
                    <w:t>Plastmasas caurtekas bojāto posmu ar diametru 0,4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2.2.2.1.2.3.</w:t>
                  </w:r>
                </w:p>
              </w:tc>
              <w:tc>
                <w:tcPr>
                  <w:tcW w:w="5499" w:type="dxa"/>
                  <w:tcBorders>
                    <w:top w:val="single" w:sz="4" w:space="0" w:color="auto"/>
                    <w:left w:val="nil"/>
                    <w:bottom w:val="nil"/>
                    <w:right w:val="single" w:sz="4" w:space="0" w:color="auto"/>
                  </w:tcBorders>
                  <w:shd w:val="clear" w:color="auto" w:fill="auto"/>
                  <w:vAlign w:val="center"/>
                </w:tcPr>
                <w:p w:rsidR="00FB4BC3" w:rsidRPr="00DD5D40" w:rsidRDefault="00FB4BC3" w:rsidP="00B922D6">
                  <w:pPr>
                    <w:framePr w:hSpace="180" w:wrap="around" w:vAnchor="text" w:hAnchor="margin" w:xAlign="center" w:y="149"/>
                    <w:spacing w:after="0"/>
                    <w:rPr>
                      <w:rFonts w:ascii="Times New Roman" w:hAnsi="Times New Roman"/>
                      <w:sz w:val="20"/>
                      <w:szCs w:val="20"/>
                    </w:rPr>
                  </w:pPr>
                  <w:r w:rsidRPr="00DD5D40">
                    <w:rPr>
                      <w:rFonts w:ascii="Times New Roman" w:hAnsi="Times New Roman"/>
                      <w:sz w:val="20"/>
                      <w:szCs w:val="20"/>
                    </w:rPr>
                    <w:t>Plastmasas caurtekas bojāto posmu ar diametru 0,5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2.2.2.1.2.4.</w:t>
                  </w:r>
                </w:p>
              </w:tc>
              <w:tc>
                <w:tcPr>
                  <w:tcW w:w="5499" w:type="dxa"/>
                  <w:tcBorders>
                    <w:top w:val="single" w:sz="4" w:space="0" w:color="auto"/>
                    <w:left w:val="nil"/>
                    <w:bottom w:val="nil"/>
                    <w:right w:val="single" w:sz="4" w:space="0" w:color="auto"/>
                  </w:tcBorders>
                  <w:shd w:val="clear" w:color="auto" w:fill="auto"/>
                  <w:vAlign w:val="center"/>
                </w:tcPr>
                <w:p w:rsidR="00FB4BC3" w:rsidRPr="00DD5D40" w:rsidRDefault="00FB4BC3" w:rsidP="00B922D6">
                  <w:pPr>
                    <w:framePr w:hSpace="180" w:wrap="around" w:vAnchor="text" w:hAnchor="margin" w:xAlign="center" w:y="149"/>
                    <w:spacing w:after="0"/>
                    <w:rPr>
                      <w:rFonts w:ascii="Times New Roman" w:hAnsi="Times New Roman"/>
                      <w:sz w:val="20"/>
                      <w:szCs w:val="20"/>
                    </w:rPr>
                  </w:pPr>
                  <w:r w:rsidRPr="00DD5D40">
                    <w:rPr>
                      <w:rFonts w:ascii="Times New Roman" w:hAnsi="Times New Roman"/>
                      <w:sz w:val="20"/>
                      <w:szCs w:val="20"/>
                    </w:rPr>
                    <w:t>Plastmasas caurtekas bojāto posmu ar diametru 0,6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2.2.2.1.2.5.</w:t>
                  </w:r>
                </w:p>
              </w:tc>
              <w:tc>
                <w:tcPr>
                  <w:tcW w:w="5499" w:type="dxa"/>
                  <w:tcBorders>
                    <w:top w:val="single" w:sz="4" w:space="0" w:color="auto"/>
                    <w:left w:val="nil"/>
                    <w:bottom w:val="nil"/>
                    <w:right w:val="single" w:sz="4" w:space="0" w:color="auto"/>
                  </w:tcBorders>
                  <w:shd w:val="clear" w:color="auto" w:fill="auto"/>
                  <w:vAlign w:val="center"/>
                </w:tcPr>
                <w:p w:rsidR="00FB4BC3" w:rsidRPr="00DD5D40" w:rsidRDefault="00FB4BC3" w:rsidP="00B922D6">
                  <w:pPr>
                    <w:framePr w:hSpace="180" w:wrap="around" w:vAnchor="text" w:hAnchor="margin" w:xAlign="center" w:y="149"/>
                    <w:spacing w:after="0"/>
                    <w:rPr>
                      <w:rFonts w:ascii="Times New Roman" w:hAnsi="Times New Roman"/>
                      <w:sz w:val="20"/>
                      <w:szCs w:val="20"/>
                    </w:rPr>
                  </w:pPr>
                  <w:r w:rsidRPr="00DD5D40">
                    <w:rPr>
                      <w:rFonts w:ascii="Times New Roman" w:hAnsi="Times New Roman"/>
                      <w:sz w:val="20"/>
                      <w:szCs w:val="20"/>
                    </w:rPr>
                    <w:t>Plastmasas caurtekas bojāto posmu ar diametru 0,8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2.2.2.1.2.6.</w:t>
                  </w:r>
                </w:p>
              </w:tc>
              <w:tc>
                <w:tcPr>
                  <w:tcW w:w="5499" w:type="dxa"/>
                  <w:tcBorders>
                    <w:top w:val="single" w:sz="4" w:space="0" w:color="auto"/>
                    <w:left w:val="nil"/>
                    <w:bottom w:val="nil"/>
                    <w:right w:val="single" w:sz="4" w:space="0" w:color="auto"/>
                  </w:tcBorders>
                  <w:shd w:val="clear" w:color="auto" w:fill="auto"/>
                  <w:vAlign w:val="center"/>
                </w:tcPr>
                <w:p w:rsidR="00FB4BC3" w:rsidRPr="00DD5D40" w:rsidRDefault="00FB4BC3" w:rsidP="00B922D6">
                  <w:pPr>
                    <w:framePr w:hSpace="180" w:wrap="around" w:vAnchor="text" w:hAnchor="margin" w:xAlign="center" w:y="149"/>
                    <w:spacing w:after="0"/>
                    <w:rPr>
                      <w:rFonts w:ascii="Times New Roman" w:hAnsi="Times New Roman"/>
                      <w:sz w:val="20"/>
                      <w:szCs w:val="20"/>
                    </w:rPr>
                  </w:pPr>
                  <w:r w:rsidRPr="00DD5D40">
                    <w:rPr>
                      <w:rFonts w:ascii="Times New Roman" w:hAnsi="Times New Roman"/>
                      <w:sz w:val="20"/>
                      <w:szCs w:val="20"/>
                    </w:rPr>
                    <w:t>Plastmasas caurtekas bojāto posmu ar diametru 1,0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2.2.2.1.2.7.</w:t>
                  </w:r>
                </w:p>
              </w:tc>
              <w:tc>
                <w:tcPr>
                  <w:tcW w:w="5499" w:type="dxa"/>
                  <w:tcBorders>
                    <w:top w:val="single" w:sz="4" w:space="0" w:color="auto"/>
                    <w:left w:val="nil"/>
                    <w:bottom w:val="nil"/>
                    <w:right w:val="single" w:sz="4" w:space="0" w:color="auto"/>
                  </w:tcBorders>
                  <w:shd w:val="clear" w:color="auto" w:fill="auto"/>
                  <w:vAlign w:val="center"/>
                </w:tcPr>
                <w:p w:rsidR="00FB4BC3" w:rsidRPr="00DD5D40" w:rsidRDefault="00FB4BC3" w:rsidP="00B922D6">
                  <w:pPr>
                    <w:framePr w:hSpace="180" w:wrap="around" w:vAnchor="text" w:hAnchor="margin" w:xAlign="center" w:y="149"/>
                    <w:spacing w:after="0"/>
                    <w:rPr>
                      <w:rFonts w:ascii="Times New Roman" w:hAnsi="Times New Roman"/>
                      <w:sz w:val="20"/>
                      <w:szCs w:val="20"/>
                    </w:rPr>
                  </w:pPr>
                  <w:r w:rsidRPr="00DD5D40">
                    <w:rPr>
                      <w:rFonts w:ascii="Times New Roman" w:hAnsi="Times New Roman"/>
                      <w:sz w:val="20"/>
                      <w:szCs w:val="20"/>
                    </w:rPr>
                    <w:t>Plastmasas caurtekas bojāto posmu ar diametru 1,2 m nomaiņa</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2.2.2.1.3.1.</w:t>
                  </w:r>
                </w:p>
              </w:tc>
              <w:tc>
                <w:tcPr>
                  <w:tcW w:w="5499"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Caurtekas bojāto posmu ar diametru 0,5 m nomaiņa , izmantojot lietot</w:t>
                  </w:r>
                  <w:r>
                    <w:rPr>
                      <w:rFonts w:ascii="Times New Roman" w:eastAsia="Times New Roman" w:hAnsi="Times New Roman"/>
                      <w:sz w:val="20"/>
                      <w:szCs w:val="20"/>
                      <w:lang w:eastAsia="lv-LV"/>
                    </w:rPr>
                    <w:t>o</w:t>
                  </w:r>
                  <w:r w:rsidRPr="007B0FD3">
                    <w:rPr>
                      <w:rFonts w:ascii="Times New Roman" w:eastAsia="Times New Roman" w:hAnsi="Times New Roman"/>
                      <w:sz w:val="20"/>
                      <w:szCs w:val="20"/>
                      <w:lang w:eastAsia="lv-LV"/>
                    </w:rPr>
                    <w:t xml:space="preserve">s caurteku posmus </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2.2.2.1.3.2.</w:t>
                  </w:r>
                </w:p>
              </w:tc>
              <w:tc>
                <w:tcPr>
                  <w:tcW w:w="5499"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Caurtekas bojāto posmu ar diametru 0,75 m nomaiņa , izmantojot lietot</w:t>
                  </w:r>
                  <w:r>
                    <w:rPr>
                      <w:rFonts w:ascii="Times New Roman" w:eastAsia="Times New Roman" w:hAnsi="Times New Roman"/>
                      <w:sz w:val="20"/>
                      <w:szCs w:val="20"/>
                      <w:lang w:eastAsia="lv-LV"/>
                    </w:rPr>
                    <w:t>o</w:t>
                  </w:r>
                  <w:r w:rsidRPr="007B0FD3">
                    <w:rPr>
                      <w:rFonts w:ascii="Times New Roman" w:eastAsia="Times New Roman" w:hAnsi="Times New Roman"/>
                      <w:sz w:val="20"/>
                      <w:szCs w:val="20"/>
                      <w:lang w:eastAsia="lv-LV"/>
                    </w:rPr>
                    <w:t xml:space="preserve">s caurteku posmus </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r w:rsidR="00FB4BC3" w:rsidRPr="007B0FD3" w:rsidTr="00CD6619">
              <w:trPr>
                <w:trHeight w:val="510"/>
              </w:trPr>
              <w:tc>
                <w:tcPr>
                  <w:tcW w:w="1116" w:type="dxa"/>
                  <w:tcBorders>
                    <w:top w:val="single" w:sz="4" w:space="0" w:color="auto"/>
                    <w:left w:val="single" w:sz="8" w:space="0" w:color="auto"/>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2.2.2.1.3.3.</w:t>
                  </w:r>
                </w:p>
              </w:tc>
              <w:tc>
                <w:tcPr>
                  <w:tcW w:w="5499"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Caurtekas bojāto posmu ar diametru 1,0 m nomaiņa , izmantojot lietot</w:t>
                  </w:r>
                  <w:r>
                    <w:rPr>
                      <w:rFonts w:ascii="Times New Roman" w:eastAsia="Times New Roman" w:hAnsi="Times New Roman"/>
                      <w:sz w:val="20"/>
                      <w:szCs w:val="20"/>
                      <w:lang w:eastAsia="lv-LV"/>
                    </w:rPr>
                    <w:t>o</w:t>
                  </w:r>
                  <w:r w:rsidRPr="007B0FD3">
                    <w:rPr>
                      <w:rFonts w:ascii="Times New Roman" w:eastAsia="Times New Roman" w:hAnsi="Times New Roman"/>
                      <w:sz w:val="20"/>
                      <w:szCs w:val="20"/>
                      <w:lang w:eastAsia="lv-LV"/>
                    </w:rPr>
                    <w:t xml:space="preserve">s caurteku posmus </w:t>
                  </w:r>
                </w:p>
              </w:tc>
              <w:tc>
                <w:tcPr>
                  <w:tcW w:w="1205" w:type="dxa"/>
                  <w:tcBorders>
                    <w:top w:val="single" w:sz="4" w:space="0" w:color="auto"/>
                    <w:left w:val="nil"/>
                    <w:bottom w:val="nil"/>
                    <w:right w:val="single" w:sz="4" w:space="0" w:color="auto"/>
                  </w:tcBorders>
                  <w:shd w:val="clear" w:color="auto" w:fill="auto"/>
                  <w:vAlign w:val="center"/>
                </w:tcPr>
                <w:p w:rsidR="00FB4BC3" w:rsidRPr="007B0FD3" w:rsidRDefault="00FB4BC3" w:rsidP="00B922D6">
                  <w:pPr>
                    <w:framePr w:hSpace="180" w:wrap="around" w:vAnchor="text" w:hAnchor="margin" w:xAlign="center" w:y="149"/>
                    <w:spacing w:after="0" w:line="240" w:lineRule="auto"/>
                    <w:jc w:val="center"/>
                    <w:rPr>
                      <w:rFonts w:ascii="Times New Roman" w:eastAsia="Times New Roman" w:hAnsi="Times New Roman"/>
                      <w:sz w:val="20"/>
                      <w:szCs w:val="20"/>
                      <w:lang w:eastAsia="lv-LV"/>
                    </w:rPr>
                  </w:pPr>
                  <w:r w:rsidRPr="007B0FD3">
                    <w:rPr>
                      <w:rFonts w:ascii="Times New Roman" w:eastAsia="Times New Roman" w:hAnsi="Times New Roman"/>
                      <w:sz w:val="20"/>
                      <w:szCs w:val="20"/>
                      <w:lang w:eastAsia="lv-LV"/>
                    </w:rPr>
                    <w:t>m</w:t>
                  </w:r>
                </w:p>
              </w:tc>
            </w:tr>
          </w:tbl>
          <w:p w:rsidR="005F18C7" w:rsidRPr="00F32807" w:rsidRDefault="00467159" w:rsidP="00800AE7">
            <w:pPr>
              <w:spacing w:line="240" w:lineRule="auto"/>
              <w:ind w:firstLine="709"/>
              <w:jc w:val="both"/>
              <w:rPr>
                <w:rFonts w:ascii="Times New Roman" w:hAnsi="Times New Roman"/>
                <w:sz w:val="24"/>
                <w:szCs w:val="24"/>
              </w:rPr>
            </w:pPr>
            <w:r>
              <w:rPr>
                <w:rFonts w:ascii="Times New Roman" w:hAnsi="Times New Roman"/>
                <w:sz w:val="24"/>
                <w:szCs w:val="24"/>
              </w:rPr>
              <w:t xml:space="preserve"> </w:t>
            </w:r>
          </w:p>
          <w:p w:rsidR="00FD2D0F" w:rsidRDefault="005D6706" w:rsidP="00B77470">
            <w:pPr>
              <w:widowControl w:val="0"/>
              <w:shd w:val="clear" w:color="auto" w:fill="FFFFFF"/>
              <w:suppressAutoHyphens/>
              <w:autoSpaceDE w:val="0"/>
              <w:spacing w:after="120" w:line="240" w:lineRule="auto"/>
              <w:jc w:val="both"/>
              <w:rPr>
                <w:rFonts w:ascii="Times New Roman" w:hAnsi="Times New Roman"/>
                <w:sz w:val="24"/>
                <w:szCs w:val="24"/>
              </w:rPr>
            </w:pPr>
            <w:r>
              <w:rPr>
                <w:rFonts w:ascii="Times New Roman" w:hAnsi="Times New Roman"/>
                <w:sz w:val="24"/>
                <w:szCs w:val="24"/>
              </w:rPr>
              <w:t>P</w:t>
            </w:r>
            <w:r w:rsidR="001A2A7E" w:rsidRPr="005D6706">
              <w:rPr>
                <w:rFonts w:ascii="Times New Roman" w:hAnsi="Times New Roman"/>
                <w:sz w:val="24"/>
                <w:szCs w:val="24"/>
              </w:rPr>
              <w:t xml:space="preserve">rojektā ir ietverta </w:t>
            </w:r>
            <w:r w:rsidR="002575BC">
              <w:rPr>
                <w:rFonts w:ascii="Times New Roman" w:hAnsi="Times New Roman"/>
                <w:sz w:val="24"/>
                <w:szCs w:val="24"/>
              </w:rPr>
              <w:t xml:space="preserve">publisko </w:t>
            </w:r>
            <w:r w:rsidR="001A2A7E" w:rsidRPr="005D6706">
              <w:rPr>
                <w:rFonts w:ascii="Times New Roman" w:eastAsia="Times New Roman" w:hAnsi="Times New Roman"/>
                <w:sz w:val="24"/>
                <w:szCs w:val="24"/>
              </w:rPr>
              <w:t xml:space="preserve">pakalpojumu </w:t>
            </w:r>
            <w:r w:rsidR="001A2A7E" w:rsidRPr="005D6706">
              <w:rPr>
                <w:rFonts w:ascii="Times New Roman" w:hAnsi="Times New Roman"/>
                <w:sz w:val="24"/>
                <w:szCs w:val="24"/>
              </w:rPr>
              <w:t xml:space="preserve">cenu aprēķināšanas metodika. </w:t>
            </w:r>
          </w:p>
          <w:p w:rsidR="004E62D9" w:rsidRDefault="005D6706" w:rsidP="00B77470">
            <w:pPr>
              <w:widowControl w:val="0"/>
              <w:shd w:val="clear" w:color="auto" w:fill="FFFFFF"/>
              <w:suppressAutoHyphens/>
              <w:autoSpaceDE w:val="0"/>
              <w:spacing w:after="120" w:line="240" w:lineRule="auto"/>
              <w:jc w:val="both"/>
              <w:rPr>
                <w:rFonts w:ascii="Times New Roman" w:hAnsi="Times New Roman"/>
                <w:sz w:val="24"/>
                <w:szCs w:val="24"/>
              </w:rPr>
            </w:pPr>
            <w:r>
              <w:rPr>
                <w:rFonts w:ascii="Times New Roman" w:hAnsi="Times New Roman"/>
                <w:sz w:val="24"/>
                <w:szCs w:val="24"/>
              </w:rPr>
              <w:t>Publ</w:t>
            </w:r>
            <w:r w:rsidR="00D6705B">
              <w:rPr>
                <w:rFonts w:ascii="Times New Roman" w:hAnsi="Times New Roman"/>
                <w:sz w:val="24"/>
                <w:szCs w:val="24"/>
              </w:rPr>
              <w:t>i</w:t>
            </w:r>
            <w:r>
              <w:rPr>
                <w:rFonts w:ascii="Times New Roman" w:hAnsi="Times New Roman"/>
                <w:sz w:val="24"/>
                <w:szCs w:val="24"/>
              </w:rPr>
              <w:t>sko pakalpojumu c</w:t>
            </w:r>
            <w:r w:rsidR="001A2A7E" w:rsidRPr="005D6706">
              <w:rPr>
                <w:rFonts w:ascii="Times New Roman" w:hAnsi="Times New Roman"/>
                <w:sz w:val="24"/>
                <w:szCs w:val="24"/>
              </w:rPr>
              <w:t xml:space="preserve">enas tiks fiksētas deleģēšanas līgumā, bet aprēķinātas </w:t>
            </w:r>
            <w:r>
              <w:rPr>
                <w:rFonts w:ascii="Times New Roman" w:hAnsi="Times New Roman"/>
                <w:sz w:val="24"/>
                <w:szCs w:val="24"/>
              </w:rPr>
              <w:t xml:space="preserve">- </w:t>
            </w:r>
            <w:r w:rsidR="001A2A7E" w:rsidRPr="005D6706">
              <w:rPr>
                <w:rFonts w:ascii="Times New Roman" w:hAnsi="Times New Roman"/>
                <w:sz w:val="24"/>
                <w:szCs w:val="24"/>
              </w:rPr>
              <w:t xml:space="preserve"> balstoties uz šajos noteikumos noteikto kārtību.  Cenu aprēķins  tiks veikt</w:t>
            </w:r>
            <w:r w:rsidR="002171B8" w:rsidRPr="005D6706">
              <w:rPr>
                <w:rFonts w:ascii="Times New Roman" w:hAnsi="Times New Roman"/>
                <w:sz w:val="24"/>
                <w:szCs w:val="24"/>
              </w:rPr>
              <w:t>s</w:t>
            </w:r>
            <w:r w:rsidR="001A2A7E" w:rsidRPr="005D6706">
              <w:rPr>
                <w:rFonts w:ascii="Times New Roman" w:hAnsi="Times New Roman"/>
                <w:sz w:val="24"/>
                <w:szCs w:val="24"/>
              </w:rPr>
              <w:t xml:space="preserve">, izvērtējot izmaksu analīzi, kas, pildot sabiedriskā pakalpojuma sniegšanas pienākumu, rastos tipiskam uzņēmumam, kas veiksmīgi darbojas un kuram ir nepieciešamie materiālie līdzekļi, ņemot vērā ar to saistītos ieņēmumus un saprātīgu peļņu. </w:t>
            </w:r>
          </w:p>
          <w:p w:rsidR="00886EBA" w:rsidRPr="004A71AD" w:rsidRDefault="004E62D9" w:rsidP="009F5BE3">
            <w:pPr>
              <w:widowControl w:val="0"/>
              <w:shd w:val="clear" w:color="auto" w:fill="FFFFFF"/>
              <w:suppressAutoHyphens/>
              <w:autoSpaceDE w:val="0"/>
              <w:spacing w:after="0" w:line="240" w:lineRule="auto"/>
              <w:jc w:val="both"/>
              <w:rPr>
                <w:rFonts w:ascii="Times New Roman" w:hAnsi="Times New Roman"/>
                <w:sz w:val="24"/>
                <w:szCs w:val="24"/>
              </w:rPr>
            </w:pPr>
            <w:r w:rsidRPr="00FD2D0F">
              <w:rPr>
                <w:rFonts w:ascii="Times New Roman" w:hAnsi="Times New Roman"/>
                <w:sz w:val="24"/>
                <w:szCs w:val="24"/>
              </w:rPr>
              <w:t>Pamatojoties uz publiski pieejamās informācijas izpēti par publisko pakalpojumu cenas noteikšanu (regulēšanu), Sabiedrība cenas noteikšanai  ir izvēlējusies</w:t>
            </w:r>
            <w:r w:rsidR="00521FF3" w:rsidRPr="00FD2D0F">
              <w:rPr>
                <w:rFonts w:ascii="Times New Roman" w:hAnsi="Times New Roman"/>
                <w:sz w:val="24"/>
                <w:szCs w:val="24"/>
              </w:rPr>
              <w:t xml:space="preserve"> </w:t>
            </w:r>
            <w:r w:rsidRPr="00FD2D0F">
              <w:rPr>
                <w:rFonts w:ascii="Times New Roman" w:hAnsi="Times New Roman"/>
                <w:sz w:val="24"/>
                <w:szCs w:val="24"/>
              </w:rPr>
              <w:t xml:space="preserve">tradicionālu </w:t>
            </w:r>
            <w:r w:rsidR="00D23698" w:rsidRPr="00FD2D0F">
              <w:rPr>
                <w:rFonts w:ascii="Times New Roman" w:hAnsi="Times New Roman"/>
                <w:sz w:val="24"/>
                <w:szCs w:val="24"/>
              </w:rPr>
              <w:t xml:space="preserve"> </w:t>
            </w:r>
            <w:r w:rsidRPr="00FD2D0F">
              <w:rPr>
                <w:rFonts w:ascii="Times New Roman" w:hAnsi="Times New Roman"/>
                <w:sz w:val="24"/>
                <w:szCs w:val="24"/>
              </w:rPr>
              <w:t>cenu noteikšanas pieeju</w:t>
            </w:r>
            <w:r w:rsidR="00521FF3" w:rsidRPr="00FD2D0F">
              <w:rPr>
                <w:rFonts w:ascii="Times New Roman" w:hAnsi="Times New Roman"/>
                <w:sz w:val="24"/>
                <w:szCs w:val="24"/>
              </w:rPr>
              <w:t xml:space="preserve"> -</w:t>
            </w:r>
            <w:r w:rsidRPr="00FD2D0F">
              <w:rPr>
                <w:rFonts w:ascii="Times New Roman" w:hAnsi="Times New Roman"/>
                <w:sz w:val="24"/>
                <w:szCs w:val="24"/>
              </w:rPr>
              <w:t xml:space="preserve"> Kapitāla atdeves likmes regulēšana ( </w:t>
            </w:r>
            <w:proofErr w:type="spellStart"/>
            <w:r w:rsidRPr="00FD2D0F">
              <w:rPr>
                <w:rFonts w:ascii="Times New Roman" w:hAnsi="Times New Roman"/>
                <w:sz w:val="24"/>
                <w:szCs w:val="24"/>
              </w:rPr>
              <w:t>Rate</w:t>
            </w:r>
            <w:proofErr w:type="spellEnd"/>
            <w:r w:rsidRPr="00FD2D0F">
              <w:rPr>
                <w:rFonts w:ascii="Times New Roman" w:hAnsi="Times New Roman"/>
                <w:sz w:val="24"/>
                <w:szCs w:val="24"/>
              </w:rPr>
              <w:t xml:space="preserve"> of </w:t>
            </w:r>
            <w:proofErr w:type="spellStart"/>
            <w:r w:rsidRPr="00FD2D0F">
              <w:rPr>
                <w:rFonts w:ascii="Times New Roman" w:hAnsi="Times New Roman"/>
                <w:sz w:val="24"/>
                <w:szCs w:val="24"/>
              </w:rPr>
              <w:t>Return</w:t>
            </w:r>
            <w:proofErr w:type="spellEnd"/>
            <w:r w:rsidRPr="00FD2D0F">
              <w:rPr>
                <w:rFonts w:ascii="Times New Roman" w:hAnsi="Times New Roman"/>
                <w:sz w:val="24"/>
                <w:szCs w:val="24"/>
              </w:rPr>
              <w:t xml:space="preserve"> jeb ROR </w:t>
            </w:r>
            <w:proofErr w:type="spellStart"/>
            <w:r w:rsidRPr="00FD2D0F">
              <w:rPr>
                <w:rFonts w:ascii="Times New Roman" w:hAnsi="Times New Roman"/>
                <w:sz w:val="24"/>
                <w:szCs w:val="24"/>
              </w:rPr>
              <w:t>regulation</w:t>
            </w:r>
            <w:proofErr w:type="spellEnd"/>
            <w:r w:rsidRPr="00FD2D0F">
              <w:rPr>
                <w:rFonts w:ascii="Times New Roman" w:hAnsi="Times New Roman"/>
                <w:sz w:val="24"/>
                <w:szCs w:val="24"/>
              </w:rPr>
              <w:t>). Šīs pieejas cenu noteikšanas pamatprincipi paredz, ka cena veidojas no izmaksām, kas ir nepieciešamas, lai nodrošinātu pakalpojuma sniegšan</w:t>
            </w:r>
            <w:r w:rsidR="00521FF3" w:rsidRPr="00FD2D0F">
              <w:rPr>
                <w:rFonts w:ascii="Times New Roman" w:hAnsi="Times New Roman"/>
                <w:sz w:val="24"/>
                <w:szCs w:val="24"/>
              </w:rPr>
              <w:t>u</w:t>
            </w:r>
            <w:r w:rsidRPr="00FD2D0F">
              <w:rPr>
                <w:rFonts w:ascii="Times New Roman" w:hAnsi="Times New Roman"/>
                <w:sz w:val="24"/>
                <w:szCs w:val="24"/>
              </w:rPr>
              <w:t>, iekļauj kapitāla atdeves komponenti, kā arī nodrošina izmaksām tuvinātu cenu par publiskā pakalpojuma sniegšanu</w:t>
            </w:r>
            <w:r w:rsidR="00FC4FE2" w:rsidRPr="00FD2D0F">
              <w:rPr>
                <w:rFonts w:ascii="Times New Roman" w:hAnsi="Times New Roman"/>
                <w:sz w:val="24"/>
                <w:szCs w:val="24"/>
              </w:rPr>
              <w:t>, tā lai cena no publiskā pakalpojuma sniegšan</w:t>
            </w:r>
            <w:r w:rsidR="00521FF3" w:rsidRPr="00FD2D0F">
              <w:rPr>
                <w:rFonts w:ascii="Times New Roman" w:hAnsi="Times New Roman"/>
                <w:sz w:val="24"/>
                <w:szCs w:val="24"/>
              </w:rPr>
              <w:t>as</w:t>
            </w:r>
            <w:r w:rsidR="00FC4FE2" w:rsidRPr="00FD2D0F">
              <w:rPr>
                <w:rFonts w:ascii="Times New Roman" w:hAnsi="Times New Roman"/>
                <w:sz w:val="24"/>
                <w:szCs w:val="24"/>
              </w:rPr>
              <w:t xml:space="preserve"> nepārsniedz izmaksas no publiskā pakalpojuma sniegšanas un saprātīgu peļņu.  Sabiedrība</w:t>
            </w:r>
            <w:r w:rsidR="0052665A">
              <w:rPr>
                <w:rFonts w:ascii="Times New Roman" w:hAnsi="Times New Roman"/>
                <w:sz w:val="24"/>
                <w:szCs w:val="24"/>
              </w:rPr>
              <w:t>s</w:t>
            </w:r>
            <w:r w:rsidR="00FC4FE2" w:rsidRPr="00FD2D0F">
              <w:rPr>
                <w:rFonts w:ascii="Times New Roman" w:hAnsi="Times New Roman"/>
                <w:sz w:val="24"/>
                <w:szCs w:val="24"/>
              </w:rPr>
              <w:t xml:space="preserve"> peļņa tiek aprēķināta kā kapitāla atdeve, kas nodrošina ienākumus no kapitālieguldījumiem un kredītu procentu maksājumus.</w:t>
            </w:r>
            <w:r w:rsidRPr="00FD2D0F">
              <w:rPr>
                <w:rFonts w:ascii="Times New Roman" w:hAnsi="Times New Roman"/>
                <w:sz w:val="24"/>
                <w:szCs w:val="24"/>
              </w:rPr>
              <w:t xml:space="preserve"> </w:t>
            </w:r>
            <w:r w:rsidR="00FD2D0F" w:rsidRPr="004A71AD">
              <w:rPr>
                <w:rFonts w:ascii="Times New Roman" w:hAnsi="Times New Roman"/>
                <w:sz w:val="24"/>
                <w:szCs w:val="24"/>
              </w:rPr>
              <w:t>V</w:t>
            </w:r>
            <w:r w:rsidR="00886EBA" w:rsidRPr="004A71AD">
              <w:rPr>
                <w:rFonts w:ascii="Times New Roman" w:hAnsi="Times New Roman"/>
                <w:sz w:val="24"/>
                <w:szCs w:val="24"/>
              </w:rPr>
              <w:t xml:space="preserve">alsts autoceļu ikdienas uzturēšanas pakalpojuma cenu veidojošās komponentes: </w:t>
            </w:r>
          </w:p>
          <w:p w:rsidR="006952BB" w:rsidRPr="004A71AD" w:rsidRDefault="00FD2D0F" w:rsidP="009F5BE3">
            <w:pPr>
              <w:widowControl w:val="0"/>
              <w:shd w:val="clear" w:color="auto" w:fill="FFFFFF"/>
              <w:suppressAutoHyphens/>
              <w:autoSpaceDE w:val="0"/>
              <w:spacing w:after="0" w:line="240" w:lineRule="auto"/>
              <w:jc w:val="both"/>
              <w:rPr>
                <w:rFonts w:ascii="Times New Roman" w:hAnsi="Times New Roman"/>
                <w:sz w:val="20"/>
                <w:szCs w:val="20"/>
              </w:rPr>
            </w:pPr>
            <w:r w:rsidRPr="004A71AD">
              <w:rPr>
                <w:rFonts w:ascii="Times New Roman" w:hAnsi="Times New Roman"/>
                <w:sz w:val="24"/>
                <w:szCs w:val="24"/>
              </w:rPr>
              <w:t>1.</w:t>
            </w:r>
            <w:r w:rsidR="00886EBA" w:rsidRPr="004A71AD">
              <w:rPr>
                <w:rFonts w:ascii="Times New Roman" w:hAnsi="Times New Roman"/>
                <w:sz w:val="24"/>
                <w:szCs w:val="24"/>
              </w:rPr>
              <w:t>Tiešās darba spēka izmaksas</w:t>
            </w:r>
            <w:r w:rsidR="008059EF">
              <w:rPr>
                <w:rFonts w:ascii="Times New Roman" w:hAnsi="Times New Roman"/>
                <w:sz w:val="24"/>
                <w:szCs w:val="24"/>
              </w:rPr>
              <w:t>;</w:t>
            </w:r>
            <w:r w:rsidR="006952BB" w:rsidRPr="004A71AD">
              <w:rPr>
                <w:rFonts w:ascii="Times New Roman" w:hAnsi="Times New Roman"/>
                <w:sz w:val="20"/>
                <w:szCs w:val="20"/>
              </w:rPr>
              <w:t xml:space="preserve">  </w:t>
            </w:r>
          </w:p>
          <w:p w:rsidR="00886EBA" w:rsidRPr="004A71AD" w:rsidRDefault="00FD2D0F" w:rsidP="009F5BE3">
            <w:pPr>
              <w:widowControl w:val="0"/>
              <w:shd w:val="clear" w:color="auto" w:fill="FFFFFF"/>
              <w:suppressAutoHyphens/>
              <w:autoSpaceDE w:val="0"/>
              <w:spacing w:after="0" w:line="240" w:lineRule="auto"/>
              <w:jc w:val="both"/>
              <w:rPr>
                <w:rFonts w:ascii="Times New Roman" w:hAnsi="Times New Roman"/>
                <w:sz w:val="24"/>
                <w:szCs w:val="24"/>
              </w:rPr>
            </w:pPr>
            <w:r w:rsidRPr="004A71AD">
              <w:rPr>
                <w:rFonts w:ascii="Times New Roman" w:hAnsi="Times New Roman"/>
                <w:sz w:val="24"/>
                <w:szCs w:val="24"/>
              </w:rPr>
              <w:lastRenderedPageBreak/>
              <w:t>2.</w:t>
            </w:r>
            <w:r w:rsidR="00886EBA" w:rsidRPr="004A71AD">
              <w:rPr>
                <w:rFonts w:ascii="Times New Roman" w:hAnsi="Times New Roman"/>
                <w:sz w:val="24"/>
                <w:szCs w:val="24"/>
              </w:rPr>
              <w:t xml:space="preserve">Tiešās mehānismu un </w:t>
            </w:r>
            <w:proofErr w:type="spellStart"/>
            <w:r w:rsidR="00886EBA" w:rsidRPr="004A71AD">
              <w:rPr>
                <w:rFonts w:ascii="Times New Roman" w:hAnsi="Times New Roman"/>
                <w:sz w:val="24"/>
                <w:szCs w:val="24"/>
              </w:rPr>
              <w:t>automob</w:t>
            </w:r>
            <w:r w:rsidR="001D2483" w:rsidRPr="004A71AD">
              <w:rPr>
                <w:rFonts w:ascii="Times New Roman" w:hAnsi="Times New Roman"/>
                <w:sz w:val="24"/>
                <w:szCs w:val="24"/>
              </w:rPr>
              <w:t>ī</w:t>
            </w:r>
            <w:r w:rsidR="00886EBA" w:rsidRPr="004A71AD">
              <w:rPr>
                <w:rFonts w:ascii="Times New Roman" w:hAnsi="Times New Roman"/>
                <w:sz w:val="24"/>
                <w:szCs w:val="24"/>
              </w:rPr>
              <w:t>ļu</w:t>
            </w:r>
            <w:proofErr w:type="spellEnd"/>
            <w:r w:rsidR="00886EBA" w:rsidRPr="004A71AD">
              <w:rPr>
                <w:rFonts w:ascii="Times New Roman" w:hAnsi="Times New Roman"/>
                <w:sz w:val="24"/>
                <w:szCs w:val="24"/>
              </w:rPr>
              <w:t xml:space="preserve"> izmaksas</w:t>
            </w:r>
            <w:r w:rsidR="008059EF">
              <w:rPr>
                <w:rFonts w:ascii="Times New Roman" w:hAnsi="Times New Roman"/>
                <w:sz w:val="24"/>
                <w:szCs w:val="24"/>
              </w:rPr>
              <w:t>;</w:t>
            </w:r>
            <w:r w:rsidR="009D30C0" w:rsidRPr="004A71AD">
              <w:rPr>
                <w:rFonts w:ascii="Times New Roman" w:hAnsi="Times New Roman"/>
                <w:sz w:val="24"/>
                <w:szCs w:val="24"/>
              </w:rPr>
              <w:t xml:space="preserve"> </w:t>
            </w:r>
          </w:p>
          <w:p w:rsidR="00FD2D0F" w:rsidRPr="004A71AD" w:rsidRDefault="00FD2D0F" w:rsidP="009F5BE3">
            <w:pPr>
              <w:widowControl w:val="0"/>
              <w:pBdr>
                <w:bottom w:val="single" w:sz="4" w:space="1" w:color="auto"/>
              </w:pBdr>
              <w:shd w:val="clear" w:color="auto" w:fill="FFFFFF"/>
              <w:suppressAutoHyphens/>
              <w:autoSpaceDE w:val="0"/>
              <w:spacing w:after="0" w:line="240" w:lineRule="auto"/>
              <w:jc w:val="both"/>
              <w:rPr>
                <w:rFonts w:ascii="Times New Roman" w:hAnsi="Times New Roman"/>
                <w:sz w:val="24"/>
                <w:szCs w:val="24"/>
              </w:rPr>
            </w:pPr>
            <w:r w:rsidRPr="004A71AD">
              <w:rPr>
                <w:rFonts w:ascii="Times New Roman" w:hAnsi="Times New Roman"/>
                <w:sz w:val="24"/>
                <w:szCs w:val="24"/>
              </w:rPr>
              <w:t>3.</w:t>
            </w:r>
            <w:r w:rsidR="00886EBA" w:rsidRPr="004A71AD">
              <w:rPr>
                <w:rFonts w:ascii="Times New Roman" w:hAnsi="Times New Roman"/>
                <w:sz w:val="24"/>
                <w:szCs w:val="24"/>
              </w:rPr>
              <w:t>Tiešās materiālu izmaksas</w:t>
            </w:r>
            <w:r w:rsidR="008059EF">
              <w:rPr>
                <w:rFonts w:ascii="Times New Roman" w:hAnsi="Times New Roman"/>
                <w:sz w:val="24"/>
                <w:szCs w:val="24"/>
              </w:rPr>
              <w:t>;</w:t>
            </w:r>
          </w:p>
          <w:p w:rsidR="00FD2D0F" w:rsidRPr="004A71AD" w:rsidRDefault="00FD2D0F" w:rsidP="009F5BE3">
            <w:pPr>
              <w:widowControl w:val="0"/>
              <w:pBdr>
                <w:bottom w:val="single" w:sz="4" w:space="1" w:color="auto"/>
              </w:pBdr>
              <w:shd w:val="clear" w:color="auto" w:fill="FFFFFF"/>
              <w:suppressAutoHyphens/>
              <w:autoSpaceDE w:val="0"/>
              <w:spacing w:after="0" w:line="240" w:lineRule="auto"/>
              <w:jc w:val="both"/>
              <w:rPr>
                <w:rFonts w:ascii="Times New Roman" w:hAnsi="Times New Roman"/>
                <w:sz w:val="24"/>
                <w:szCs w:val="24"/>
              </w:rPr>
            </w:pPr>
            <w:r w:rsidRPr="004A71AD">
              <w:rPr>
                <w:rFonts w:ascii="Times New Roman" w:hAnsi="Times New Roman"/>
                <w:sz w:val="24"/>
                <w:szCs w:val="24"/>
              </w:rPr>
              <w:t xml:space="preserve">4. Netiešās izmaksas </w:t>
            </w:r>
            <w:r w:rsidRPr="004A71AD">
              <w:rPr>
                <w:rFonts w:ascii="Times New Roman" w:hAnsi="Times New Roman"/>
                <w:sz w:val="20"/>
                <w:szCs w:val="20"/>
              </w:rPr>
              <w:t>(izmaksas, kas netieši saistītas ar pakalpojuma sniegšanu)</w:t>
            </w:r>
            <w:r w:rsidR="008059EF">
              <w:rPr>
                <w:rFonts w:ascii="Times New Roman" w:hAnsi="Times New Roman"/>
                <w:sz w:val="20"/>
                <w:szCs w:val="20"/>
              </w:rPr>
              <w:t>;</w:t>
            </w:r>
            <w:r w:rsidRPr="004A71AD">
              <w:rPr>
                <w:rFonts w:ascii="Times New Roman" w:hAnsi="Times New Roman"/>
                <w:sz w:val="24"/>
                <w:szCs w:val="24"/>
              </w:rPr>
              <w:t xml:space="preserve"> </w:t>
            </w:r>
          </w:p>
          <w:p w:rsidR="008059EF" w:rsidRDefault="00FD2D0F" w:rsidP="009F5BE3">
            <w:pPr>
              <w:widowControl w:val="0"/>
              <w:pBdr>
                <w:bottom w:val="single" w:sz="4" w:space="1" w:color="auto"/>
              </w:pBdr>
              <w:shd w:val="clear" w:color="auto" w:fill="FFFFFF"/>
              <w:suppressAutoHyphens/>
              <w:autoSpaceDE w:val="0"/>
              <w:spacing w:after="0" w:line="240" w:lineRule="auto"/>
              <w:jc w:val="both"/>
              <w:rPr>
                <w:rFonts w:ascii="Times New Roman" w:hAnsi="Times New Roman"/>
                <w:sz w:val="20"/>
                <w:szCs w:val="20"/>
              </w:rPr>
            </w:pPr>
            <w:r w:rsidRPr="004A71AD">
              <w:rPr>
                <w:rFonts w:ascii="Times New Roman" w:hAnsi="Times New Roman"/>
                <w:sz w:val="24"/>
                <w:szCs w:val="24"/>
              </w:rPr>
              <w:t xml:space="preserve">5.Vispārējās izmaksas </w:t>
            </w:r>
            <w:r w:rsidRPr="004A71AD">
              <w:rPr>
                <w:rFonts w:ascii="Times New Roman" w:hAnsi="Times New Roman"/>
                <w:sz w:val="20"/>
                <w:szCs w:val="20"/>
              </w:rPr>
              <w:t xml:space="preserve">( administratīvas un </w:t>
            </w:r>
            <w:proofErr w:type="spellStart"/>
            <w:r w:rsidRPr="004A71AD">
              <w:rPr>
                <w:rFonts w:ascii="Times New Roman" w:hAnsi="Times New Roman"/>
                <w:sz w:val="20"/>
                <w:szCs w:val="20"/>
              </w:rPr>
              <w:t>tml</w:t>
            </w:r>
            <w:proofErr w:type="spellEnd"/>
            <w:r w:rsidRPr="004A71AD">
              <w:rPr>
                <w:rFonts w:ascii="Times New Roman" w:hAnsi="Times New Roman"/>
                <w:sz w:val="20"/>
                <w:szCs w:val="20"/>
              </w:rPr>
              <w:t>. izmaksas)</w:t>
            </w:r>
            <w:r w:rsidR="008059EF">
              <w:rPr>
                <w:rFonts w:ascii="Times New Roman" w:hAnsi="Times New Roman"/>
                <w:sz w:val="20"/>
                <w:szCs w:val="20"/>
              </w:rPr>
              <w:t>;</w:t>
            </w:r>
          </w:p>
          <w:p w:rsidR="00FD2D0F" w:rsidRDefault="008059EF" w:rsidP="009F5BE3">
            <w:pPr>
              <w:widowControl w:val="0"/>
              <w:pBdr>
                <w:bottom w:val="single" w:sz="4" w:space="1" w:color="auto"/>
              </w:pBdr>
              <w:shd w:val="clear" w:color="auto" w:fill="FFFFFF"/>
              <w:suppressAutoHyphens/>
              <w:autoSpaceDE w:val="0"/>
              <w:spacing w:after="0" w:line="240" w:lineRule="auto"/>
              <w:jc w:val="both"/>
              <w:rPr>
                <w:rFonts w:ascii="Times New Roman" w:hAnsi="Times New Roman"/>
                <w:sz w:val="20"/>
                <w:szCs w:val="20"/>
              </w:rPr>
            </w:pPr>
            <w:r>
              <w:rPr>
                <w:rFonts w:ascii="Times New Roman" w:hAnsi="Times New Roman"/>
                <w:sz w:val="20"/>
                <w:szCs w:val="20"/>
              </w:rPr>
              <w:t>6.</w:t>
            </w:r>
            <w:r w:rsidRPr="004A71AD">
              <w:rPr>
                <w:rFonts w:ascii="Times New Roman" w:hAnsi="Times New Roman"/>
                <w:sz w:val="24"/>
                <w:szCs w:val="24"/>
              </w:rPr>
              <w:t xml:space="preserve"> Peļņa </w:t>
            </w:r>
            <w:r w:rsidRPr="004A71AD">
              <w:rPr>
                <w:rFonts w:ascii="Times New Roman" w:hAnsi="Times New Roman"/>
                <w:sz w:val="20"/>
                <w:szCs w:val="20"/>
              </w:rPr>
              <w:t>( tiek aprēķināta, kā ekonomiski pamatotu aktīvu vērtības un kapitāla vidējās svērtās cenas reizinājums)</w:t>
            </w:r>
            <w:r>
              <w:rPr>
                <w:rFonts w:ascii="Times New Roman" w:hAnsi="Times New Roman"/>
                <w:sz w:val="20"/>
                <w:szCs w:val="20"/>
              </w:rPr>
              <w:t>.</w:t>
            </w:r>
          </w:p>
          <w:p w:rsidR="003F2D8B" w:rsidRPr="00784C90" w:rsidRDefault="003F2D8B" w:rsidP="00FC1C61">
            <w:pPr>
              <w:spacing w:line="240" w:lineRule="auto"/>
              <w:jc w:val="both"/>
              <w:rPr>
                <w:rFonts w:ascii="Times New Roman" w:hAnsi="Times New Roman"/>
                <w:sz w:val="24"/>
                <w:szCs w:val="24"/>
              </w:rPr>
            </w:pPr>
            <w:r w:rsidRPr="00784C90">
              <w:rPr>
                <w:rFonts w:ascii="Times New Roman" w:hAnsi="Times New Roman"/>
                <w:sz w:val="24"/>
                <w:szCs w:val="24"/>
              </w:rPr>
              <w:t xml:space="preserve">Šādu metodiku pielieto uzņēmumi, kuri sniedz Sabiedriskos pakalpojumus Latvijā un kuri tiek līdzīgā veidā regulēti saskaņā ar Sabiedrisko pakalpojumu regulēšanas komisijas padomes lēmumiem. Piemēram, 2010.gada 12.maija Sabiedrisko pakalpojumu regulēšanas komisijas padomes lēmums     Nr.1/8 „ Ūdenssaimniecības pakalpojumu tarifu aprēķināšanas metodika”, 2008.gada 27.februāra lēmumu Nr.58 ”Dabasgāzes tirdzniecības tarifu aprēķināšanas metodika” 2011.gada 21.septembrī „Metodika maksas aprēķināšanai par publiskās lietošanas dzelzceļa infrastruktūras izmantošanas pārvadājumiem” </w:t>
            </w:r>
            <w:proofErr w:type="spellStart"/>
            <w:r w:rsidRPr="00784C90">
              <w:rPr>
                <w:rFonts w:ascii="Times New Roman" w:hAnsi="Times New Roman"/>
                <w:sz w:val="24"/>
                <w:szCs w:val="24"/>
              </w:rPr>
              <w:t>u.</w:t>
            </w:r>
            <w:r w:rsidR="003024A4" w:rsidRPr="00784C90">
              <w:rPr>
                <w:rFonts w:ascii="Times New Roman" w:hAnsi="Times New Roman"/>
                <w:sz w:val="24"/>
                <w:szCs w:val="24"/>
              </w:rPr>
              <w:t>c</w:t>
            </w:r>
            <w:proofErr w:type="spellEnd"/>
            <w:r w:rsidR="003024A4" w:rsidRPr="00784C90">
              <w:rPr>
                <w:rFonts w:ascii="Times New Roman" w:hAnsi="Times New Roman"/>
                <w:sz w:val="24"/>
                <w:szCs w:val="24"/>
              </w:rPr>
              <w:t>.</w:t>
            </w:r>
            <w:r w:rsidRPr="00784C90">
              <w:rPr>
                <w:rFonts w:ascii="Times New Roman" w:hAnsi="Times New Roman"/>
                <w:sz w:val="24"/>
                <w:szCs w:val="24"/>
              </w:rPr>
              <w:t xml:space="preserve">    Saskaņā ar publiski pieejamo informāciju un starptautiskās auditoru kompānijas pētījumu ”Autoceļu un tiltu būvniecības izmaksu analīze” autoceļu jomā peļņas līmenis autoceļu jomas uzņēmumiem ir nostabilizējies robežās no 3-6%.  </w:t>
            </w:r>
          </w:p>
          <w:p w:rsidR="00FD2D0F" w:rsidRPr="005D6706" w:rsidRDefault="008059EF" w:rsidP="00F85D8C">
            <w:pPr>
              <w:widowControl w:val="0"/>
              <w:pBdr>
                <w:bottom w:val="single" w:sz="4" w:space="1" w:color="auto"/>
              </w:pBdr>
              <w:shd w:val="clear" w:color="auto" w:fill="FFFFFF"/>
              <w:suppressAutoHyphens/>
              <w:autoSpaceDE w:val="0"/>
              <w:spacing w:after="0" w:line="240" w:lineRule="auto"/>
              <w:jc w:val="both"/>
              <w:rPr>
                <w:rFonts w:ascii="Times New Roman" w:hAnsi="Times New Roman"/>
                <w:sz w:val="24"/>
                <w:szCs w:val="24"/>
              </w:rPr>
            </w:pPr>
            <w:r w:rsidRPr="005D6706">
              <w:rPr>
                <w:rFonts w:ascii="Times New Roman" w:hAnsi="Times New Roman"/>
                <w:sz w:val="24"/>
                <w:szCs w:val="24"/>
              </w:rPr>
              <w:t xml:space="preserve">Lai nodrošinātu neatkarīgu un kvalitatīvu cenas aprēķina mehānisma izstrādi, </w:t>
            </w:r>
            <w:r>
              <w:rPr>
                <w:rFonts w:ascii="Times New Roman" w:hAnsi="Times New Roman"/>
                <w:sz w:val="24"/>
                <w:szCs w:val="24"/>
              </w:rPr>
              <w:t>P</w:t>
            </w:r>
            <w:r w:rsidRPr="005D6706">
              <w:rPr>
                <w:rFonts w:ascii="Times New Roman" w:hAnsi="Times New Roman"/>
                <w:sz w:val="24"/>
                <w:szCs w:val="24"/>
              </w:rPr>
              <w:t>rojekta izstrādē  tika pieaicināts starptautisks auditors (</w:t>
            </w:r>
            <w:proofErr w:type="spellStart"/>
            <w:r w:rsidRPr="005D6706">
              <w:rPr>
                <w:rFonts w:ascii="Times New Roman" w:hAnsi="Times New Roman"/>
                <w:sz w:val="24"/>
                <w:szCs w:val="24"/>
              </w:rPr>
              <w:t>Deloitte</w:t>
            </w:r>
            <w:proofErr w:type="spellEnd"/>
            <w:r w:rsidRPr="005D6706">
              <w:rPr>
                <w:rFonts w:ascii="Times New Roman" w:hAnsi="Times New Roman"/>
                <w:sz w:val="24"/>
                <w:szCs w:val="24"/>
              </w:rPr>
              <w:t xml:space="preserve"> </w:t>
            </w:r>
            <w:proofErr w:type="spellStart"/>
            <w:r w:rsidRPr="005D6706">
              <w:rPr>
                <w:rFonts w:ascii="Times New Roman" w:hAnsi="Times New Roman"/>
                <w:sz w:val="24"/>
                <w:szCs w:val="24"/>
              </w:rPr>
              <w:t>Latvia</w:t>
            </w:r>
            <w:proofErr w:type="spellEnd"/>
            <w:r w:rsidRPr="005D6706">
              <w:rPr>
                <w:rFonts w:ascii="Times New Roman" w:hAnsi="Times New Roman"/>
                <w:sz w:val="24"/>
                <w:szCs w:val="24"/>
              </w:rPr>
              <w:t xml:space="preserve"> SIA)</w:t>
            </w:r>
            <w:r w:rsidR="00083E9C">
              <w:rPr>
                <w:rFonts w:ascii="Times New Roman" w:hAnsi="Times New Roman"/>
                <w:sz w:val="24"/>
                <w:szCs w:val="24"/>
              </w:rPr>
              <w:t>.</w:t>
            </w:r>
          </w:p>
          <w:p w:rsidR="00886EBA" w:rsidRDefault="00886EBA" w:rsidP="004A71AD">
            <w:pPr>
              <w:widowControl w:val="0"/>
              <w:pBdr>
                <w:bottom w:val="single" w:sz="4" w:space="1" w:color="auto"/>
              </w:pBdr>
              <w:shd w:val="clear" w:color="auto" w:fill="FFFFFF"/>
              <w:suppressAutoHyphens/>
              <w:autoSpaceDE w:val="0"/>
              <w:spacing w:after="0" w:line="240" w:lineRule="auto"/>
              <w:jc w:val="both"/>
              <w:rPr>
                <w:rFonts w:ascii="Times New Roman" w:hAnsi="Times New Roman"/>
                <w:color w:val="4F81BD" w:themeColor="accent1"/>
                <w:sz w:val="24"/>
                <w:szCs w:val="24"/>
              </w:rPr>
            </w:pPr>
          </w:p>
          <w:p w:rsidR="00034B3B" w:rsidRPr="005D6706" w:rsidRDefault="00034B3B" w:rsidP="004A71AD">
            <w:pPr>
              <w:widowControl w:val="0"/>
              <w:shd w:val="clear" w:color="auto" w:fill="FFFFFF"/>
              <w:suppressAutoHyphens/>
              <w:autoSpaceDE w:val="0"/>
              <w:spacing w:after="120"/>
              <w:ind w:firstLine="709"/>
              <w:jc w:val="both"/>
              <w:rPr>
                <w:rFonts w:ascii="Times New Roman" w:eastAsia="Times New Roman" w:hAnsi="Times New Roman"/>
                <w:color w:val="000000"/>
                <w:sz w:val="24"/>
                <w:szCs w:val="24"/>
                <w:lang w:eastAsia="lv-LV"/>
              </w:rPr>
            </w:pPr>
          </w:p>
        </w:tc>
      </w:tr>
      <w:tr w:rsidR="00034B3B" w:rsidRPr="005D6706" w:rsidTr="007D5D10">
        <w:trPr>
          <w:trHeight w:val="554"/>
        </w:trPr>
        <w:tc>
          <w:tcPr>
            <w:tcW w:w="550" w:type="dxa"/>
          </w:tcPr>
          <w:p w:rsidR="00034B3B" w:rsidRPr="005D6706" w:rsidRDefault="00034B3B" w:rsidP="007D5D10">
            <w:pPr>
              <w:pStyle w:val="naiskr"/>
              <w:spacing w:before="0" w:after="0"/>
            </w:pPr>
            <w:r w:rsidRPr="005D6706">
              <w:lastRenderedPageBreak/>
              <w:t>3.</w:t>
            </w:r>
          </w:p>
        </w:tc>
        <w:tc>
          <w:tcPr>
            <w:tcW w:w="2999" w:type="dxa"/>
          </w:tcPr>
          <w:p w:rsidR="00034B3B" w:rsidRPr="005D6706" w:rsidRDefault="00034B3B" w:rsidP="007D5D10">
            <w:pPr>
              <w:pStyle w:val="naiskr"/>
              <w:spacing w:before="0" w:after="0"/>
            </w:pPr>
            <w:r w:rsidRPr="005D6706">
              <w:t>Saistītie politikas ietekmes novērtējumi un pētījumi</w:t>
            </w:r>
          </w:p>
        </w:tc>
        <w:tc>
          <w:tcPr>
            <w:tcW w:w="6176" w:type="dxa"/>
          </w:tcPr>
          <w:p w:rsidR="00034B3B" w:rsidRPr="005D6706" w:rsidRDefault="00034B3B" w:rsidP="007D5D10">
            <w:pPr>
              <w:pStyle w:val="FootnoteText"/>
              <w:contextualSpacing/>
              <w:jc w:val="both"/>
              <w:rPr>
                <w:rFonts w:cs="Times New Roman"/>
                <w:sz w:val="24"/>
                <w:szCs w:val="24"/>
                <w:lang w:val="lv-LV" w:bidi="ar-SA"/>
              </w:rPr>
            </w:pPr>
            <w:r w:rsidRPr="005D6706">
              <w:rPr>
                <w:rFonts w:cs="Times New Roman"/>
                <w:sz w:val="24"/>
                <w:szCs w:val="24"/>
                <w:lang w:val="lv-LV" w:bidi="ar-SA"/>
              </w:rPr>
              <w:t>Ministru kabineta 2013. gada 28.maija sēdē zināšanai pieņemtais informatīvais ziņojums „</w:t>
            </w:r>
            <w:r w:rsidRPr="005D6706">
              <w:rPr>
                <w:rStyle w:val="Strong"/>
                <w:rFonts w:cs="Times New Roman"/>
                <w:b w:val="0"/>
                <w:sz w:val="24"/>
                <w:szCs w:val="24"/>
                <w:lang w:val="lv-LV" w:bidi="ar-SA"/>
              </w:rPr>
              <w:t>Valsts autoceļu tīkla pārvaldīšana un autoceļu būvniecības vadīšana”</w:t>
            </w:r>
            <w:r w:rsidRPr="005D6706">
              <w:rPr>
                <w:rStyle w:val="Strong"/>
                <w:rFonts w:cs="Times New Roman"/>
                <w:sz w:val="24"/>
                <w:szCs w:val="24"/>
                <w:lang w:val="lv-LV" w:bidi="ar-SA"/>
              </w:rPr>
              <w:t xml:space="preserve"> </w:t>
            </w:r>
            <w:r w:rsidRPr="005D6706">
              <w:rPr>
                <w:rFonts w:cs="Times New Roman"/>
                <w:sz w:val="24"/>
                <w:szCs w:val="24"/>
                <w:lang w:val="lv-LV" w:bidi="ar-SA"/>
              </w:rPr>
              <w:t xml:space="preserve">(TA-1145, </w:t>
            </w:r>
            <w:proofErr w:type="spellStart"/>
            <w:r w:rsidRPr="005D6706">
              <w:rPr>
                <w:rFonts w:cs="Times New Roman"/>
                <w:sz w:val="24"/>
                <w:szCs w:val="24"/>
                <w:lang w:val="lv-LV" w:bidi="ar-SA"/>
              </w:rPr>
              <w:t>prot</w:t>
            </w:r>
            <w:proofErr w:type="spellEnd"/>
            <w:r w:rsidRPr="005D6706">
              <w:rPr>
                <w:rFonts w:cs="Times New Roman"/>
                <w:sz w:val="24"/>
                <w:szCs w:val="24"/>
                <w:lang w:val="lv-LV" w:bidi="ar-SA"/>
              </w:rPr>
              <w:t>. Nr.32, 72. §).</w:t>
            </w:r>
          </w:p>
        </w:tc>
      </w:tr>
      <w:tr w:rsidR="00034B3B" w:rsidRPr="005D6706" w:rsidTr="00C5622F">
        <w:trPr>
          <w:trHeight w:val="4243"/>
        </w:trPr>
        <w:tc>
          <w:tcPr>
            <w:tcW w:w="550" w:type="dxa"/>
          </w:tcPr>
          <w:p w:rsidR="00034B3B" w:rsidRPr="005D6706" w:rsidRDefault="00034B3B" w:rsidP="007D5D10">
            <w:pPr>
              <w:pStyle w:val="naiskr"/>
              <w:spacing w:before="0" w:after="0"/>
            </w:pPr>
            <w:r w:rsidRPr="005D6706">
              <w:t>4.</w:t>
            </w:r>
          </w:p>
        </w:tc>
        <w:tc>
          <w:tcPr>
            <w:tcW w:w="2999" w:type="dxa"/>
          </w:tcPr>
          <w:p w:rsidR="00034B3B" w:rsidRPr="005D6706" w:rsidRDefault="00034B3B" w:rsidP="007D5D10">
            <w:pPr>
              <w:pStyle w:val="naiskr"/>
              <w:spacing w:before="0" w:after="0"/>
            </w:pPr>
            <w:r w:rsidRPr="005D6706">
              <w:t>Tiesiskā regulējuma mērķis un būtība</w:t>
            </w:r>
          </w:p>
        </w:tc>
        <w:tc>
          <w:tcPr>
            <w:tcW w:w="6176" w:type="dxa"/>
          </w:tcPr>
          <w:p w:rsidR="00034B3B" w:rsidRPr="005D6706" w:rsidRDefault="00760749" w:rsidP="007D5D10">
            <w:pPr>
              <w:widowControl w:val="0"/>
              <w:shd w:val="clear" w:color="auto" w:fill="FFFFFF"/>
              <w:suppressAutoHyphens/>
              <w:autoSpaceDE w:val="0"/>
              <w:spacing w:after="0" w:line="240" w:lineRule="auto"/>
              <w:jc w:val="both"/>
              <w:rPr>
                <w:rFonts w:ascii="Times New Roman" w:hAnsi="Times New Roman"/>
                <w:sz w:val="24"/>
                <w:szCs w:val="24"/>
              </w:rPr>
            </w:pPr>
            <w:r>
              <w:rPr>
                <w:rFonts w:ascii="Times New Roman" w:hAnsi="Times New Roman"/>
                <w:sz w:val="24"/>
                <w:szCs w:val="24"/>
              </w:rPr>
              <w:t>P</w:t>
            </w:r>
            <w:r w:rsidR="003A5A35" w:rsidRPr="005D6706">
              <w:rPr>
                <w:rFonts w:ascii="Times New Roman" w:hAnsi="Times New Roman"/>
                <w:sz w:val="24"/>
                <w:szCs w:val="24"/>
              </w:rPr>
              <w:t xml:space="preserve">rojekts </w:t>
            </w:r>
            <w:r w:rsidR="00034B3B" w:rsidRPr="005D6706">
              <w:rPr>
                <w:rFonts w:ascii="Times New Roman" w:hAnsi="Times New Roman"/>
                <w:sz w:val="24"/>
                <w:szCs w:val="24"/>
              </w:rPr>
              <w:t>ir vērsts uz autoceļu nozares sakārtošanu:</w:t>
            </w:r>
          </w:p>
          <w:p w:rsidR="00034B3B" w:rsidRPr="005D6706" w:rsidRDefault="009747B4" w:rsidP="00034B3B">
            <w:pPr>
              <w:pStyle w:val="ListParagraph"/>
              <w:widowControl w:val="0"/>
              <w:numPr>
                <w:ilvl w:val="0"/>
                <w:numId w:val="1"/>
              </w:numPr>
              <w:shd w:val="clear" w:color="auto" w:fill="FFFFFF"/>
              <w:suppressAutoHyphens/>
              <w:autoSpaceDE w:val="0"/>
              <w:spacing w:after="120"/>
              <w:jc w:val="both"/>
              <w:rPr>
                <w:rFonts w:ascii="Times New Roman" w:hAnsi="Times New Roman"/>
                <w:sz w:val="24"/>
                <w:szCs w:val="24"/>
              </w:rPr>
            </w:pPr>
            <w:r w:rsidRPr="005D6706">
              <w:rPr>
                <w:rFonts w:ascii="Times New Roman" w:eastAsia="Times New Roman" w:hAnsi="Times New Roman"/>
                <w:kern w:val="1"/>
                <w:sz w:val="24"/>
                <w:szCs w:val="24"/>
                <w:lang w:eastAsia="zh-CN" w:bidi="hi-IN"/>
              </w:rPr>
              <w:t xml:space="preserve">sniedzot skaidru </w:t>
            </w:r>
            <w:r w:rsidR="00034B3B" w:rsidRPr="005D6706">
              <w:rPr>
                <w:rFonts w:ascii="Times New Roman" w:eastAsia="Times New Roman" w:hAnsi="Times New Roman"/>
                <w:kern w:val="1"/>
                <w:sz w:val="24"/>
                <w:szCs w:val="24"/>
                <w:lang w:eastAsia="zh-CN" w:bidi="hi-IN"/>
              </w:rPr>
              <w:t>un nepārprotamu norādi,</w:t>
            </w:r>
            <w:r w:rsidR="00034B3B" w:rsidRPr="005D6706">
              <w:rPr>
                <w:rFonts w:ascii="Times New Roman" w:hAnsi="Times New Roman"/>
                <w:sz w:val="24"/>
                <w:szCs w:val="24"/>
              </w:rPr>
              <w:t xml:space="preserve"> k</w:t>
            </w:r>
            <w:r w:rsidRPr="005D6706">
              <w:rPr>
                <w:rFonts w:ascii="Times New Roman" w:hAnsi="Times New Roman"/>
                <w:sz w:val="24"/>
                <w:szCs w:val="24"/>
              </w:rPr>
              <w:t>ādi</w:t>
            </w:r>
            <w:r w:rsidR="00034B3B" w:rsidRPr="005D6706">
              <w:rPr>
                <w:rFonts w:ascii="Times New Roman" w:hAnsi="Times New Roman"/>
                <w:sz w:val="24"/>
                <w:szCs w:val="24"/>
              </w:rPr>
              <w:t xml:space="preserve"> </w:t>
            </w:r>
            <w:r w:rsidR="00034B3B" w:rsidRPr="005D6706">
              <w:rPr>
                <w:rFonts w:ascii="Times New Roman" w:eastAsia="Times New Roman" w:hAnsi="Times New Roman"/>
                <w:bCs/>
                <w:sz w:val="24"/>
                <w:szCs w:val="24"/>
              </w:rPr>
              <w:t xml:space="preserve">valsts autoceļu </w:t>
            </w:r>
            <w:r w:rsidR="00034B3B" w:rsidRPr="005D6706">
              <w:rPr>
                <w:rFonts w:ascii="Times New Roman" w:hAnsi="Times New Roman"/>
                <w:sz w:val="24"/>
                <w:szCs w:val="24"/>
              </w:rPr>
              <w:t xml:space="preserve">kompleksās </w:t>
            </w:r>
            <w:r w:rsidR="00034B3B" w:rsidRPr="005D6706">
              <w:rPr>
                <w:rFonts w:ascii="Times New Roman" w:eastAsia="Times New Roman" w:hAnsi="Times New Roman"/>
                <w:bCs/>
                <w:sz w:val="24"/>
                <w:szCs w:val="24"/>
              </w:rPr>
              <w:t xml:space="preserve">ikdienas uzturēšanas </w:t>
            </w:r>
            <w:r w:rsidR="00034B3B" w:rsidRPr="005D6706">
              <w:rPr>
                <w:rFonts w:ascii="Times New Roman" w:hAnsi="Times New Roman"/>
                <w:sz w:val="24"/>
                <w:szCs w:val="24"/>
              </w:rPr>
              <w:t>pakalpojum</w:t>
            </w:r>
            <w:r w:rsidRPr="005D6706">
              <w:rPr>
                <w:rFonts w:ascii="Times New Roman" w:hAnsi="Times New Roman"/>
                <w:sz w:val="24"/>
                <w:szCs w:val="24"/>
              </w:rPr>
              <w:t>i</w:t>
            </w:r>
            <w:r w:rsidR="00034B3B" w:rsidRPr="005D6706">
              <w:rPr>
                <w:rFonts w:ascii="Times New Roman" w:hAnsi="Times New Roman"/>
                <w:sz w:val="24"/>
                <w:szCs w:val="24"/>
              </w:rPr>
              <w:t xml:space="preserve"> (darbi uz valsts autoceļiem, kas tiek veikti saskaņā ar M</w:t>
            </w:r>
            <w:r w:rsidR="00034B3B" w:rsidRPr="005D6706">
              <w:rPr>
                <w:rFonts w:ascii="Times New Roman" w:hAnsi="Times New Roman"/>
                <w:bCs/>
                <w:sz w:val="24"/>
                <w:szCs w:val="24"/>
              </w:rPr>
              <w:t xml:space="preserve">inistru kabineta </w:t>
            </w:r>
            <w:r w:rsidR="00034B3B" w:rsidRPr="005D6706">
              <w:rPr>
                <w:rFonts w:ascii="Times New Roman" w:hAnsi="Times New Roman"/>
                <w:sz w:val="24"/>
                <w:szCs w:val="24"/>
              </w:rPr>
              <w:t xml:space="preserve">2010.gada 9.marta </w:t>
            </w:r>
            <w:r w:rsidR="00034B3B" w:rsidRPr="005D6706">
              <w:rPr>
                <w:rFonts w:ascii="Times New Roman" w:hAnsi="Times New Roman"/>
                <w:bCs/>
                <w:sz w:val="24"/>
                <w:szCs w:val="24"/>
              </w:rPr>
              <w:t>noteikumiem Nr.224</w:t>
            </w:r>
            <w:r w:rsidR="00034B3B" w:rsidRPr="005D6706">
              <w:rPr>
                <w:rFonts w:ascii="Times New Roman" w:hAnsi="Times New Roman"/>
                <w:sz w:val="24"/>
                <w:szCs w:val="24"/>
              </w:rPr>
              <w:t xml:space="preserve"> „</w:t>
            </w:r>
            <w:r w:rsidR="00034B3B" w:rsidRPr="005D6706">
              <w:rPr>
                <w:rFonts w:ascii="Times New Roman" w:hAnsi="Times New Roman"/>
                <w:bCs/>
                <w:sz w:val="24"/>
                <w:szCs w:val="24"/>
              </w:rPr>
              <w:t>Noteikumi par valsts un pašvaldību autoceļu ikdienas uzturēšanas prasībām un to izpildes kontroli”)</w:t>
            </w:r>
            <w:r w:rsidR="00034B3B" w:rsidRPr="005D6706">
              <w:rPr>
                <w:rFonts w:ascii="Times New Roman" w:hAnsi="Times New Roman"/>
                <w:sz w:val="24"/>
                <w:szCs w:val="24"/>
              </w:rPr>
              <w:t xml:space="preserve"> ir </w:t>
            </w:r>
            <w:r w:rsidRPr="005D6706">
              <w:rPr>
                <w:rFonts w:ascii="Times New Roman" w:hAnsi="Times New Roman"/>
                <w:sz w:val="24"/>
                <w:szCs w:val="24"/>
              </w:rPr>
              <w:t>publiskie</w:t>
            </w:r>
            <w:r w:rsidR="00034B3B" w:rsidRPr="005D6706">
              <w:rPr>
                <w:rFonts w:ascii="Times New Roman" w:hAnsi="Times New Roman"/>
                <w:sz w:val="24"/>
                <w:szCs w:val="24"/>
              </w:rPr>
              <w:t xml:space="preserve"> pak</w:t>
            </w:r>
            <w:r w:rsidRPr="005D6706">
              <w:rPr>
                <w:rFonts w:ascii="Times New Roman" w:hAnsi="Times New Roman"/>
                <w:sz w:val="24"/>
                <w:szCs w:val="24"/>
              </w:rPr>
              <w:t>alpojumi</w:t>
            </w:r>
            <w:r w:rsidR="009B7FC1" w:rsidRPr="005D6706">
              <w:rPr>
                <w:rFonts w:ascii="Times New Roman" w:hAnsi="Times New Roman"/>
                <w:sz w:val="24"/>
                <w:szCs w:val="24"/>
              </w:rPr>
              <w:t>;</w:t>
            </w:r>
          </w:p>
          <w:p w:rsidR="003226A3" w:rsidRDefault="009B7FC1" w:rsidP="009B7FC1">
            <w:pPr>
              <w:pStyle w:val="ListParagraph"/>
              <w:widowControl w:val="0"/>
              <w:numPr>
                <w:ilvl w:val="0"/>
                <w:numId w:val="1"/>
              </w:numPr>
              <w:shd w:val="clear" w:color="auto" w:fill="FFFFFF"/>
              <w:suppressAutoHyphens/>
              <w:autoSpaceDE w:val="0"/>
              <w:spacing w:after="120"/>
              <w:jc w:val="both"/>
              <w:rPr>
                <w:rFonts w:ascii="Times New Roman" w:hAnsi="Times New Roman"/>
                <w:sz w:val="24"/>
                <w:szCs w:val="24"/>
              </w:rPr>
            </w:pPr>
            <w:r w:rsidRPr="005D6706">
              <w:rPr>
                <w:rFonts w:ascii="Times New Roman" w:hAnsi="Times New Roman"/>
                <w:sz w:val="24"/>
                <w:szCs w:val="24"/>
              </w:rPr>
              <w:t>radot priekšnoteikumus sabalansētu (pakalpojuma izcenojuma aprēķina formula) un caurspīdīgu (publiski, atklāti) valsts autoceļu kompleksās ikdienas uzturēšanas pakalpojumu cenu noteikšanai.</w:t>
            </w:r>
          </w:p>
          <w:p w:rsidR="006A35A4" w:rsidRPr="006A35A4" w:rsidRDefault="006A35A4" w:rsidP="006A35A4">
            <w:pPr>
              <w:spacing w:after="0" w:line="240" w:lineRule="auto"/>
              <w:jc w:val="both"/>
              <w:rPr>
                <w:rFonts w:ascii="Times New Roman" w:eastAsia="Times New Roman" w:hAnsi="Times New Roman"/>
                <w:sz w:val="24"/>
                <w:szCs w:val="24"/>
                <w:lang w:eastAsia="lv-LV"/>
              </w:rPr>
            </w:pPr>
            <w:r w:rsidRPr="006A35A4">
              <w:rPr>
                <w:rFonts w:ascii="Times New Roman" w:eastAsia="Times New Roman" w:hAnsi="Times New Roman"/>
                <w:sz w:val="24"/>
                <w:szCs w:val="24"/>
                <w:lang w:eastAsia="lv-LV"/>
              </w:rPr>
              <w:t>Projekts neietver   valsts autoceļu ikdienas uzturēšanas darbus, kuriem tiks piemērotas publiskā iepirkuma procedūras brīvajā tirgū, tas ir,  horizontālo marķējumu atjaunošana, elektrības piegāde un apkope satiksmes drošības elementiem – apgaismojumam, luksoforiem, elektrības piegāde un apkope sūkņu stacijām, atkritumu apsaimniekošana valsts pierobežā un sanitāro mezglu uzturēšana.         </w:t>
            </w:r>
          </w:p>
          <w:p w:rsidR="006A35A4" w:rsidRPr="005D6706" w:rsidRDefault="006A35A4" w:rsidP="006A35A4">
            <w:pPr>
              <w:pStyle w:val="ListParagraph"/>
              <w:widowControl w:val="0"/>
              <w:shd w:val="clear" w:color="auto" w:fill="FFFFFF"/>
              <w:suppressAutoHyphens/>
              <w:autoSpaceDE w:val="0"/>
              <w:spacing w:after="120"/>
              <w:jc w:val="both"/>
              <w:rPr>
                <w:rFonts w:ascii="Times New Roman" w:hAnsi="Times New Roman"/>
                <w:sz w:val="24"/>
                <w:szCs w:val="24"/>
              </w:rPr>
            </w:pPr>
          </w:p>
        </w:tc>
      </w:tr>
      <w:tr w:rsidR="00034B3B" w:rsidRPr="005D6706" w:rsidTr="007D5D10">
        <w:trPr>
          <w:trHeight w:val="476"/>
        </w:trPr>
        <w:tc>
          <w:tcPr>
            <w:tcW w:w="550" w:type="dxa"/>
          </w:tcPr>
          <w:p w:rsidR="00034B3B" w:rsidRPr="005D6706" w:rsidRDefault="00034B3B" w:rsidP="007D5D10">
            <w:pPr>
              <w:pStyle w:val="naiskr"/>
              <w:spacing w:before="0" w:after="0"/>
            </w:pPr>
            <w:r w:rsidRPr="005D6706">
              <w:t>5.</w:t>
            </w:r>
          </w:p>
        </w:tc>
        <w:tc>
          <w:tcPr>
            <w:tcW w:w="2999" w:type="dxa"/>
          </w:tcPr>
          <w:p w:rsidR="00034B3B" w:rsidRPr="005D6706" w:rsidRDefault="00034B3B" w:rsidP="007D5D10">
            <w:pPr>
              <w:pStyle w:val="naiskr"/>
              <w:spacing w:before="0" w:after="0"/>
            </w:pPr>
            <w:r w:rsidRPr="005D6706">
              <w:t>Projekta izstrādē iesaistītās institūcijas</w:t>
            </w:r>
          </w:p>
        </w:tc>
        <w:tc>
          <w:tcPr>
            <w:tcW w:w="6176" w:type="dxa"/>
          </w:tcPr>
          <w:p w:rsidR="00034B3B" w:rsidRPr="005D6706" w:rsidRDefault="00034B3B" w:rsidP="007D5D10">
            <w:pPr>
              <w:spacing w:after="0" w:line="240" w:lineRule="auto"/>
              <w:jc w:val="both"/>
              <w:rPr>
                <w:rFonts w:ascii="Times New Roman" w:hAnsi="Times New Roman"/>
                <w:sz w:val="24"/>
                <w:szCs w:val="24"/>
              </w:rPr>
            </w:pPr>
            <w:r w:rsidRPr="005D6706">
              <w:rPr>
                <w:rFonts w:ascii="Times New Roman" w:hAnsi="Times New Roman"/>
                <w:sz w:val="24"/>
                <w:szCs w:val="24"/>
              </w:rPr>
              <w:t>Projekts šo jomu neskar.</w:t>
            </w:r>
          </w:p>
        </w:tc>
      </w:tr>
      <w:tr w:rsidR="00034B3B" w:rsidRPr="005D6706" w:rsidTr="007D5D10">
        <w:trPr>
          <w:trHeight w:val="410"/>
        </w:trPr>
        <w:tc>
          <w:tcPr>
            <w:tcW w:w="550" w:type="dxa"/>
          </w:tcPr>
          <w:p w:rsidR="00034B3B" w:rsidRPr="005D6706" w:rsidRDefault="00034B3B" w:rsidP="007D5D10">
            <w:pPr>
              <w:pStyle w:val="naiskr"/>
              <w:spacing w:before="0" w:after="0"/>
            </w:pPr>
            <w:r w:rsidRPr="005D6706">
              <w:lastRenderedPageBreak/>
              <w:t>6.</w:t>
            </w:r>
          </w:p>
        </w:tc>
        <w:tc>
          <w:tcPr>
            <w:tcW w:w="2999" w:type="dxa"/>
          </w:tcPr>
          <w:p w:rsidR="00034B3B" w:rsidRPr="005D6706" w:rsidRDefault="00034B3B" w:rsidP="007D5D10">
            <w:pPr>
              <w:pStyle w:val="naiskr"/>
              <w:spacing w:before="0" w:after="0"/>
              <w:rPr>
                <w:i/>
                <w:highlight w:val="yellow"/>
              </w:rPr>
            </w:pPr>
            <w:r w:rsidRPr="005D6706">
              <w:t>Iemesli, kādēļ netika nodrošināta sabiedrības līdzdalība</w:t>
            </w:r>
          </w:p>
        </w:tc>
        <w:tc>
          <w:tcPr>
            <w:tcW w:w="6176" w:type="dxa"/>
          </w:tcPr>
          <w:p w:rsidR="00034B3B" w:rsidRPr="005D6706" w:rsidRDefault="00565583" w:rsidP="00565583">
            <w:pPr>
              <w:spacing w:after="0" w:line="240" w:lineRule="auto"/>
              <w:ind w:right="81"/>
              <w:jc w:val="both"/>
              <w:rPr>
                <w:rFonts w:ascii="Times New Roman" w:hAnsi="Times New Roman"/>
                <w:sz w:val="24"/>
                <w:szCs w:val="24"/>
              </w:rPr>
            </w:pPr>
            <w:r w:rsidRPr="005D6706">
              <w:rPr>
                <w:rFonts w:ascii="Times New Roman" w:hAnsi="Times New Roman"/>
                <w:bCs/>
                <w:sz w:val="24"/>
                <w:szCs w:val="24"/>
              </w:rPr>
              <w:t xml:space="preserve">Projekts paredz risināt </w:t>
            </w:r>
            <w:r w:rsidRPr="005D6706">
              <w:rPr>
                <w:rFonts w:ascii="Times New Roman" w:hAnsi="Times New Roman"/>
                <w:sz w:val="24"/>
                <w:szCs w:val="24"/>
              </w:rPr>
              <w:t>organizatoriskus valsts pārvaldes jautājumus un neierobežo sabiedrības pārstāvju vai indivīda tiesības.</w:t>
            </w:r>
          </w:p>
        </w:tc>
      </w:tr>
      <w:tr w:rsidR="00034B3B" w:rsidRPr="005D6706" w:rsidTr="007D5D10">
        <w:tc>
          <w:tcPr>
            <w:tcW w:w="550" w:type="dxa"/>
          </w:tcPr>
          <w:p w:rsidR="00034B3B" w:rsidRPr="005D6706" w:rsidRDefault="00034B3B" w:rsidP="007D5D10">
            <w:pPr>
              <w:pStyle w:val="naiskr"/>
              <w:spacing w:before="0" w:after="0"/>
            </w:pPr>
            <w:r w:rsidRPr="005D6706">
              <w:t>7.</w:t>
            </w:r>
          </w:p>
        </w:tc>
        <w:tc>
          <w:tcPr>
            <w:tcW w:w="2999" w:type="dxa"/>
          </w:tcPr>
          <w:p w:rsidR="00034B3B" w:rsidRPr="005D6706" w:rsidRDefault="00034B3B" w:rsidP="007D5D10">
            <w:pPr>
              <w:pStyle w:val="naiskr"/>
              <w:spacing w:before="0" w:after="0"/>
            </w:pPr>
            <w:r w:rsidRPr="005D6706">
              <w:t>Cita informācija</w:t>
            </w:r>
          </w:p>
        </w:tc>
        <w:tc>
          <w:tcPr>
            <w:tcW w:w="6176" w:type="dxa"/>
          </w:tcPr>
          <w:p w:rsidR="00034B3B" w:rsidRPr="00784C90" w:rsidRDefault="00714ED7" w:rsidP="007D5D10">
            <w:pPr>
              <w:pStyle w:val="naiskr"/>
              <w:spacing w:before="0" w:after="0"/>
              <w:jc w:val="both"/>
            </w:pPr>
            <w:r w:rsidRPr="00784C90">
              <w:t xml:space="preserve">Tiesību aktam nav ietekme uz budžeta izmaiņām, jo visi plānotie izdevumi attiecībā uz deleģēšanas līgumā iekļautajiem pasākumiem tiks finansēti esošo resursu ietvaros, </w:t>
            </w:r>
            <w:proofErr w:type="spellStart"/>
            <w:r w:rsidRPr="00784C90">
              <w:t>t.i</w:t>
            </w:r>
            <w:proofErr w:type="spellEnd"/>
            <w:r w:rsidRPr="00784C90">
              <w:t>. no Satiksmes ministrijas pam</w:t>
            </w:r>
            <w:r w:rsidR="00FB251A" w:rsidRPr="00784C90">
              <w:t>atbudžeta programmas 23.00.00 „</w:t>
            </w:r>
            <w:r w:rsidRPr="00784C90">
              <w:t>Valsts autoceļu fonds” apakšprogrammas 23.06.00 „Valsta autoceļu pārvaldīšana, uzturēšana un atjaunošana” atbilstoši kārtējā gadā piešķirto līdzekļu apmēram.</w:t>
            </w:r>
          </w:p>
        </w:tc>
      </w:tr>
    </w:tbl>
    <w:p w:rsidR="006B74F3" w:rsidRPr="007F471E" w:rsidRDefault="006B74F3" w:rsidP="00034B3B">
      <w:pPr>
        <w:pStyle w:val="naisf"/>
        <w:tabs>
          <w:tab w:val="left" w:pos="5760"/>
        </w:tabs>
        <w:spacing w:before="0" w:after="0"/>
        <w:ind w:firstLine="0"/>
        <w:rPr>
          <w:rFonts w:cs="Times New Roman"/>
          <w:lang w:val="lv-LV"/>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034B3B" w:rsidRPr="005D6706" w:rsidTr="007D5D10">
        <w:tc>
          <w:tcPr>
            <w:tcW w:w="9725" w:type="dxa"/>
            <w:gridSpan w:val="3"/>
            <w:vAlign w:val="center"/>
          </w:tcPr>
          <w:p w:rsidR="00034B3B" w:rsidRPr="005D6706" w:rsidRDefault="00034B3B" w:rsidP="007D5D10">
            <w:pPr>
              <w:pStyle w:val="naisnod"/>
              <w:spacing w:before="0" w:after="0"/>
            </w:pPr>
            <w:r w:rsidRPr="005D6706">
              <w:t>II. Tiesību akta projekta ietekme uz sabiedrību</w:t>
            </w:r>
          </w:p>
        </w:tc>
      </w:tr>
      <w:tr w:rsidR="00034B3B" w:rsidRPr="005D6706" w:rsidTr="007D5D10">
        <w:trPr>
          <w:trHeight w:val="281"/>
        </w:trPr>
        <w:tc>
          <w:tcPr>
            <w:tcW w:w="550" w:type="dxa"/>
          </w:tcPr>
          <w:p w:rsidR="00034B3B" w:rsidRPr="005D6706" w:rsidRDefault="00034B3B" w:rsidP="007D5D10">
            <w:pPr>
              <w:pStyle w:val="naiskr"/>
              <w:spacing w:before="0" w:after="0"/>
            </w:pPr>
            <w:r w:rsidRPr="005D6706">
              <w:t>1.</w:t>
            </w:r>
          </w:p>
        </w:tc>
        <w:tc>
          <w:tcPr>
            <w:tcW w:w="3708" w:type="dxa"/>
          </w:tcPr>
          <w:p w:rsidR="00034B3B" w:rsidRPr="005D6706" w:rsidRDefault="00034B3B" w:rsidP="007D5D10">
            <w:pPr>
              <w:pStyle w:val="naiskr"/>
              <w:spacing w:before="0" w:after="0"/>
              <w:ind w:hanging="10"/>
            </w:pPr>
            <w:r w:rsidRPr="005D6706">
              <w:t xml:space="preserve">Sabiedrības </w:t>
            </w:r>
            <w:proofErr w:type="spellStart"/>
            <w:r w:rsidRPr="005D6706">
              <w:t>mērķgrupa</w:t>
            </w:r>
            <w:proofErr w:type="spellEnd"/>
          </w:p>
        </w:tc>
        <w:tc>
          <w:tcPr>
            <w:tcW w:w="5467" w:type="dxa"/>
          </w:tcPr>
          <w:p w:rsidR="00034B3B" w:rsidRPr="005D6706" w:rsidRDefault="00034B3B" w:rsidP="007C5737">
            <w:pPr>
              <w:spacing w:after="0" w:line="240" w:lineRule="auto"/>
              <w:jc w:val="both"/>
              <w:rPr>
                <w:rFonts w:ascii="Times New Roman" w:hAnsi="Times New Roman"/>
                <w:bCs/>
                <w:sz w:val="24"/>
                <w:szCs w:val="24"/>
              </w:rPr>
            </w:pPr>
            <w:r w:rsidRPr="005D6706">
              <w:rPr>
                <w:rFonts w:ascii="Times New Roman" w:hAnsi="Times New Roman"/>
                <w:bCs/>
                <w:sz w:val="24"/>
                <w:szCs w:val="24"/>
              </w:rPr>
              <w:t>Satiksmes ministrija kā pasūtījuma devējs jeb valsts pārvaldes funkcijas deleģētājs</w:t>
            </w:r>
            <w:r w:rsidR="007C5737">
              <w:rPr>
                <w:rFonts w:ascii="Times New Roman" w:hAnsi="Times New Roman"/>
                <w:bCs/>
                <w:sz w:val="24"/>
                <w:szCs w:val="24"/>
              </w:rPr>
              <w:t>.</w:t>
            </w:r>
          </w:p>
        </w:tc>
      </w:tr>
      <w:tr w:rsidR="00034B3B" w:rsidRPr="005D6706" w:rsidTr="007D5D10">
        <w:trPr>
          <w:trHeight w:val="472"/>
        </w:trPr>
        <w:tc>
          <w:tcPr>
            <w:tcW w:w="550" w:type="dxa"/>
          </w:tcPr>
          <w:p w:rsidR="00034B3B" w:rsidRPr="005D6706" w:rsidRDefault="00034B3B" w:rsidP="007D5D10">
            <w:pPr>
              <w:pStyle w:val="naiskr"/>
              <w:spacing w:before="0" w:after="0"/>
            </w:pPr>
            <w:r w:rsidRPr="005D6706">
              <w:t>2.</w:t>
            </w:r>
          </w:p>
        </w:tc>
        <w:tc>
          <w:tcPr>
            <w:tcW w:w="3708" w:type="dxa"/>
          </w:tcPr>
          <w:p w:rsidR="00034B3B" w:rsidRPr="005D6706" w:rsidRDefault="00034B3B" w:rsidP="007D5D10">
            <w:pPr>
              <w:pStyle w:val="naiskr"/>
              <w:tabs>
                <w:tab w:val="left" w:pos="170"/>
              </w:tabs>
              <w:spacing w:before="0" w:after="0"/>
            </w:pPr>
            <w:r w:rsidRPr="005D6706">
              <w:t xml:space="preserve">Citas sabiedrības grupas (bez </w:t>
            </w:r>
            <w:proofErr w:type="spellStart"/>
            <w:r w:rsidRPr="005D6706">
              <w:t>mērķgrupas</w:t>
            </w:r>
            <w:proofErr w:type="spellEnd"/>
            <w:r w:rsidRPr="005D6706">
              <w:t>), kuras tiesiskais regulējums arī ietekmē vai varētu ietekmēt</w:t>
            </w:r>
          </w:p>
        </w:tc>
        <w:tc>
          <w:tcPr>
            <w:tcW w:w="5467" w:type="dxa"/>
          </w:tcPr>
          <w:p w:rsidR="00034B3B" w:rsidRPr="005D6706" w:rsidRDefault="00034B3B" w:rsidP="007D5D10">
            <w:pPr>
              <w:spacing w:after="0" w:line="240" w:lineRule="auto"/>
              <w:jc w:val="both"/>
              <w:rPr>
                <w:rStyle w:val="Strong"/>
                <w:rFonts w:ascii="Times New Roman" w:hAnsi="Times New Roman"/>
                <w:b w:val="0"/>
                <w:sz w:val="24"/>
                <w:szCs w:val="24"/>
              </w:rPr>
            </w:pPr>
            <w:r w:rsidRPr="005D6706">
              <w:rPr>
                <w:rFonts w:ascii="Times New Roman" w:hAnsi="Times New Roman"/>
                <w:iCs/>
                <w:sz w:val="24"/>
                <w:szCs w:val="24"/>
              </w:rPr>
              <w:t xml:space="preserve"> </w:t>
            </w:r>
            <w:r w:rsidRPr="005D6706">
              <w:rPr>
                <w:rFonts w:ascii="Times New Roman" w:hAnsi="Times New Roman"/>
                <w:sz w:val="24"/>
                <w:szCs w:val="24"/>
              </w:rPr>
              <w:t>Autoceļu ikdienas stāvoklis, kura uzturēšanu nodrošina kapitālsabiedrība, būtiski ietekmē katra indivīda ikdienu un iespēju brīvi un garantēti pārvietoties pa valsts autoceļiem, lai apmierinātu individuālās vajadzības. Saskaņā ar</w:t>
            </w:r>
            <w:r w:rsidRPr="005D6706">
              <w:rPr>
                <w:rFonts w:ascii="Times New Roman" w:hAnsi="Times New Roman"/>
                <w:b/>
                <w:sz w:val="24"/>
                <w:szCs w:val="24"/>
              </w:rPr>
              <w:t xml:space="preserve"> </w:t>
            </w:r>
            <w:r w:rsidRPr="005D6706">
              <w:rPr>
                <w:rStyle w:val="Strong"/>
                <w:rFonts w:ascii="Times New Roman" w:hAnsi="Times New Roman"/>
                <w:b w:val="0"/>
                <w:sz w:val="24"/>
                <w:szCs w:val="24"/>
              </w:rPr>
              <w:t>Pilsonības un migrācijas lietu pārvaldes sniegtajiem datiem uz 01.07.2012 Latvijas iedzīvotāju skaits - 2 207 708. Pieņemam, ka lielai daļai no iedzīvotāju kopējā skaita ir būtiski izmanot valsts autoceļu infrastruktūru jeb pastarpināti saņemt kapitālsabiedrības sniegto</w:t>
            </w:r>
            <w:r w:rsidR="00F0080B">
              <w:rPr>
                <w:rStyle w:val="Strong"/>
                <w:rFonts w:ascii="Times New Roman" w:hAnsi="Times New Roman"/>
                <w:b w:val="0"/>
                <w:sz w:val="24"/>
                <w:szCs w:val="24"/>
              </w:rPr>
              <w:t xml:space="preserve"> publisko</w:t>
            </w:r>
            <w:r w:rsidRPr="005D6706">
              <w:rPr>
                <w:rStyle w:val="Strong"/>
                <w:rFonts w:ascii="Times New Roman" w:hAnsi="Times New Roman"/>
                <w:b w:val="0"/>
                <w:sz w:val="24"/>
                <w:szCs w:val="24"/>
              </w:rPr>
              <w:t xml:space="preserve"> pakalpojumu (valsts autoceļu</w:t>
            </w:r>
            <w:r w:rsidR="005C7216">
              <w:rPr>
                <w:rStyle w:val="Strong"/>
                <w:rFonts w:ascii="Times New Roman" w:hAnsi="Times New Roman"/>
                <w:b w:val="0"/>
                <w:sz w:val="24"/>
                <w:szCs w:val="24"/>
              </w:rPr>
              <w:t xml:space="preserve"> </w:t>
            </w:r>
            <w:r w:rsidR="005C7216" w:rsidRPr="005D6706">
              <w:rPr>
                <w:rFonts w:ascii="Times New Roman" w:hAnsi="Times New Roman"/>
                <w:sz w:val="24"/>
                <w:szCs w:val="24"/>
              </w:rPr>
              <w:t xml:space="preserve"> kompleks</w:t>
            </w:r>
            <w:r w:rsidR="005C7216">
              <w:rPr>
                <w:rFonts w:ascii="Times New Roman" w:hAnsi="Times New Roman"/>
                <w:sz w:val="24"/>
                <w:szCs w:val="24"/>
              </w:rPr>
              <w:t>o</w:t>
            </w:r>
            <w:r w:rsidR="005C7216" w:rsidRPr="005D6706">
              <w:rPr>
                <w:rFonts w:ascii="Times New Roman" w:hAnsi="Times New Roman"/>
                <w:sz w:val="24"/>
                <w:szCs w:val="24"/>
              </w:rPr>
              <w:t xml:space="preserve"> </w:t>
            </w:r>
            <w:r w:rsidRPr="005D6706">
              <w:rPr>
                <w:rStyle w:val="Strong"/>
                <w:rFonts w:ascii="Times New Roman" w:hAnsi="Times New Roman"/>
                <w:b w:val="0"/>
                <w:sz w:val="24"/>
                <w:szCs w:val="24"/>
              </w:rPr>
              <w:t xml:space="preserve"> i</w:t>
            </w:r>
            <w:r w:rsidR="007C5737">
              <w:rPr>
                <w:rStyle w:val="Strong"/>
                <w:rFonts w:ascii="Times New Roman" w:hAnsi="Times New Roman"/>
                <w:b w:val="0"/>
                <w:sz w:val="24"/>
                <w:szCs w:val="24"/>
              </w:rPr>
              <w:t>k</w:t>
            </w:r>
            <w:r w:rsidRPr="005D6706">
              <w:rPr>
                <w:rStyle w:val="Strong"/>
                <w:rFonts w:ascii="Times New Roman" w:hAnsi="Times New Roman"/>
                <w:b w:val="0"/>
                <w:sz w:val="24"/>
                <w:szCs w:val="24"/>
              </w:rPr>
              <w:t>dienas uzturēšanu).</w:t>
            </w:r>
          </w:p>
          <w:p w:rsidR="00034B3B" w:rsidRPr="005D6706" w:rsidRDefault="00034B3B" w:rsidP="007D5D10">
            <w:pPr>
              <w:spacing w:after="0" w:line="240" w:lineRule="auto"/>
              <w:jc w:val="both"/>
              <w:rPr>
                <w:rFonts w:ascii="Times New Roman" w:hAnsi="Times New Roman"/>
                <w:sz w:val="24"/>
                <w:szCs w:val="24"/>
              </w:rPr>
            </w:pPr>
          </w:p>
        </w:tc>
      </w:tr>
      <w:tr w:rsidR="00034B3B" w:rsidRPr="005D6706" w:rsidTr="007D5D10">
        <w:trPr>
          <w:trHeight w:val="481"/>
        </w:trPr>
        <w:tc>
          <w:tcPr>
            <w:tcW w:w="550" w:type="dxa"/>
          </w:tcPr>
          <w:p w:rsidR="00034B3B" w:rsidRPr="005D6706" w:rsidRDefault="00034B3B" w:rsidP="007D5D10">
            <w:pPr>
              <w:pStyle w:val="naiskr"/>
              <w:spacing w:before="0" w:after="0"/>
            </w:pPr>
            <w:r w:rsidRPr="005D6706">
              <w:t>3.</w:t>
            </w:r>
          </w:p>
        </w:tc>
        <w:tc>
          <w:tcPr>
            <w:tcW w:w="3708"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Tiesiskā regulējuma finansiālā ietekme</w:t>
            </w:r>
          </w:p>
        </w:tc>
        <w:tc>
          <w:tcPr>
            <w:tcW w:w="5467" w:type="dxa"/>
          </w:tcPr>
          <w:p w:rsidR="00034B3B" w:rsidRPr="005D6706" w:rsidRDefault="00034B3B" w:rsidP="007D5D10">
            <w:pPr>
              <w:spacing w:after="0" w:line="240" w:lineRule="auto"/>
              <w:contextualSpacing/>
              <w:jc w:val="both"/>
              <w:rPr>
                <w:rFonts w:ascii="Times New Roman" w:hAnsi="Times New Roman"/>
                <w:sz w:val="24"/>
                <w:szCs w:val="24"/>
              </w:rPr>
            </w:pPr>
            <w:r w:rsidRPr="005D6706">
              <w:rPr>
                <w:rFonts w:ascii="Times New Roman" w:hAnsi="Times New Roman"/>
                <w:iCs/>
                <w:sz w:val="24"/>
                <w:szCs w:val="24"/>
              </w:rPr>
              <w:t>Projekts šo jomu neskar</w:t>
            </w:r>
          </w:p>
        </w:tc>
      </w:tr>
      <w:tr w:rsidR="00034B3B" w:rsidRPr="005D6706" w:rsidTr="007D5D10">
        <w:trPr>
          <w:trHeight w:val="274"/>
        </w:trPr>
        <w:tc>
          <w:tcPr>
            <w:tcW w:w="550" w:type="dxa"/>
          </w:tcPr>
          <w:p w:rsidR="00034B3B" w:rsidRPr="005D6706" w:rsidRDefault="00034B3B" w:rsidP="007D5D10">
            <w:pPr>
              <w:pStyle w:val="naiskr"/>
              <w:spacing w:before="0" w:after="0"/>
            </w:pPr>
            <w:r w:rsidRPr="005D6706">
              <w:t>4.</w:t>
            </w:r>
          </w:p>
        </w:tc>
        <w:tc>
          <w:tcPr>
            <w:tcW w:w="3708"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Tiesiskā regulējuma nefinansiālā ietekme</w:t>
            </w:r>
          </w:p>
        </w:tc>
        <w:tc>
          <w:tcPr>
            <w:tcW w:w="5467" w:type="dxa"/>
          </w:tcPr>
          <w:p w:rsidR="00034B3B" w:rsidRPr="005D6706" w:rsidRDefault="00565583" w:rsidP="00565583">
            <w:pPr>
              <w:spacing w:after="0" w:line="240" w:lineRule="auto"/>
              <w:jc w:val="both"/>
              <w:rPr>
                <w:rFonts w:ascii="Times New Roman" w:eastAsia="Times New Roman" w:hAnsi="Times New Roman"/>
                <w:sz w:val="24"/>
                <w:szCs w:val="24"/>
                <w:lang w:eastAsia="lv-LV"/>
              </w:rPr>
            </w:pPr>
            <w:r w:rsidRPr="005D6706">
              <w:rPr>
                <w:rFonts w:ascii="Times New Roman" w:hAnsi="Times New Roman"/>
                <w:iCs/>
                <w:sz w:val="24"/>
                <w:szCs w:val="24"/>
              </w:rPr>
              <w:t>Projekts</w:t>
            </w:r>
            <w:r w:rsidR="00034B3B" w:rsidRPr="005D6706">
              <w:rPr>
                <w:rFonts w:ascii="Times New Roman" w:hAnsi="Times New Roman"/>
                <w:iCs/>
                <w:sz w:val="24"/>
                <w:szCs w:val="24"/>
              </w:rPr>
              <w:t xml:space="preserve"> paredz </w:t>
            </w:r>
            <w:r w:rsidRPr="005D6706">
              <w:rPr>
                <w:rFonts w:ascii="Times New Roman" w:hAnsi="Times New Roman"/>
                <w:iCs/>
                <w:sz w:val="24"/>
                <w:szCs w:val="24"/>
              </w:rPr>
              <w:t>preci</w:t>
            </w:r>
            <w:r w:rsidR="00034B3B" w:rsidRPr="005D6706">
              <w:rPr>
                <w:rFonts w:ascii="Times New Roman" w:hAnsi="Times New Roman"/>
                <w:iCs/>
                <w:sz w:val="24"/>
                <w:szCs w:val="24"/>
              </w:rPr>
              <w:t>z</w:t>
            </w:r>
            <w:r w:rsidRPr="005D6706">
              <w:rPr>
                <w:rFonts w:ascii="Times New Roman" w:hAnsi="Times New Roman"/>
                <w:iCs/>
                <w:sz w:val="24"/>
                <w:szCs w:val="24"/>
              </w:rPr>
              <w:t>ēt</w:t>
            </w:r>
            <w:r w:rsidR="00034B3B" w:rsidRPr="005D6706">
              <w:rPr>
                <w:rFonts w:ascii="Times New Roman" w:hAnsi="Times New Roman"/>
                <w:iCs/>
                <w:sz w:val="24"/>
                <w:szCs w:val="24"/>
              </w:rPr>
              <w:t xml:space="preserve"> </w:t>
            </w:r>
            <w:r w:rsidR="00034B3B" w:rsidRPr="005D6706">
              <w:rPr>
                <w:rFonts w:ascii="Times New Roman" w:eastAsia="Times New Roman" w:hAnsi="Times New Roman"/>
                <w:bCs/>
                <w:sz w:val="24"/>
                <w:szCs w:val="24"/>
              </w:rPr>
              <w:t xml:space="preserve">valsts autoceļu </w:t>
            </w:r>
            <w:r w:rsidR="00034B3B" w:rsidRPr="005D6706">
              <w:rPr>
                <w:rFonts w:ascii="Times New Roman" w:hAnsi="Times New Roman"/>
                <w:sz w:val="24"/>
                <w:szCs w:val="24"/>
              </w:rPr>
              <w:t xml:space="preserve">kompleksās </w:t>
            </w:r>
            <w:r w:rsidR="00034B3B" w:rsidRPr="005D6706">
              <w:rPr>
                <w:rFonts w:ascii="Times New Roman" w:eastAsia="Times New Roman" w:hAnsi="Times New Roman"/>
                <w:bCs/>
                <w:sz w:val="24"/>
                <w:szCs w:val="24"/>
              </w:rPr>
              <w:t xml:space="preserve">ikdienas uzturēšanas </w:t>
            </w:r>
            <w:r w:rsidR="00034B3B" w:rsidRPr="005D6706">
              <w:rPr>
                <w:rFonts w:ascii="Times New Roman" w:hAnsi="Times New Roman"/>
                <w:sz w:val="24"/>
                <w:szCs w:val="24"/>
              </w:rPr>
              <w:t xml:space="preserve">pakalpojuma </w:t>
            </w:r>
            <w:r w:rsidR="00034B3B" w:rsidRPr="005D6706">
              <w:rPr>
                <w:rFonts w:ascii="Times New Roman" w:hAnsi="Times New Roman"/>
                <w:iCs/>
                <w:sz w:val="24"/>
                <w:szCs w:val="24"/>
              </w:rPr>
              <w:t>ietvaru, radot stabilu tiesisko vidi.</w:t>
            </w:r>
          </w:p>
        </w:tc>
      </w:tr>
      <w:tr w:rsidR="00034B3B" w:rsidRPr="005D6706" w:rsidTr="007D5D10">
        <w:trPr>
          <w:trHeight w:val="476"/>
        </w:trPr>
        <w:tc>
          <w:tcPr>
            <w:tcW w:w="550" w:type="dxa"/>
          </w:tcPr>
          <w:p w:rsidR="00034B3B" w:rsidRPr="005D6706" w:rsidRDefault="00034B3B" w:rsidP="007D5D10">
            <w:pPr>
              <w:pStyle w:val="naiskr"/>
              <w:spacing w:before="0" w:after="0"/>
            </w:pPr>
            <w:r w:rsidRPr="005D6706">
              <w:t>5.</w:t>
            </w:r>
          </w:p>
        </w:tc>
        <w:tc>
          <w:tcPr>
            <w:tcW w:w="3708"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Administratīvās procedūras raksturojums</w:t>
            </w:r>
          </w:p>
        </w:tc>
        <w:tc>
          <w:tcPr>
            <w:tcW w:w="5467" w:type="dxa"/>
          </w:tcPr>
          <w:p w:rsidR="00034B3B" w:rsidRPr="005D6706" w:rsidRDefault="00034B3B" w:rsidP="007D5D10">
            <w:pPr>
              <w:spacing w:after="0" w:line="240" w:lineRule="auto"/>
              <w:jc w:val="both"/>
              <w:rPr>
                <w:rFonts w:ascii="Times New Roman" w:eastAsia="Times New Roman" w:hAnsi="Times New Roman"/>
                <w:sz w:val="24"/>
                <w:szCs w:val="24"/>
                <w:lang w:eastAsia="lv-LV"/>
              </w:rPr>
            </w:pPr>
            <w:r w:rsidRPr="005D6706">
              <w:rPr>
                <w:rFonts w:ascii="Times New Roman" w:hAnsi="Times New Roman"/>
                <w:sz w:val="24"/>
                <w:szCs w:val="24"/>
              </w:rPr>
              <w:t>Projekts šo jomu neskar.</w:t>
            </w:r>
          </w:p>
        </w:tc>
      </w:tr>
      <w:tr w:rsidR="00034B3B" w:rsidRPr="005D6706" w:rsidTr="007D5D10">
        <w:trPr>
          <w:trHeight w:val="469"/>
        </w:trPr>
        <w:tc>
          <w:tcPr>
            <w:tcW w:w="550" w:type="dxa"/>
          </w:tcPr>
          <w:p w:rsidR="00034B3B" w:rsidRPr="005D6706" w:rsidRDefault="00034B3B" w:rsidP="007D5D10">
            <w:pPr>
              <w:pStyle w:val="naiskr"/>
              <w:spacing w:before="0" w:after="0"/>
            </w:pPr>
            <w:r w:rsidRPr="005D6706">
              <w:t>6.</w:t>
            </w:r>
          </w:p>
        </w:tc>
        <w:tc>
          <w:tcPr>
            <w:tcW w:w="3708"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Administratīvo izmaksu monetārs novērtējums</w:t>
            </w:r>
          </w:p>
        </w:tc>
        <w:tc>
          <w:tcPr>
            <w:tcW w:w="5467" w:type="dxa"/>
          </w:tcPr>
          <w:p w:rsidR="00034B3B" w:rsidRPr="005D6706" w:rsidRDefault="00034B3B" w:rsidP="007D5D10">
            <w:pPr>
              <w:spacing w:after="0" w:line="240" w:lineRule="auto"/>
              <w:jc w:val="both"/>
              <w:rPr>
                <w:rFonts w:ascii="Times New Roman" w:eastAsia="Times New Roman" w:hAnsi="Times New Roman"/>
                <w:sz w:val="24"/>
                <w:szCs w:val="24"/>
                <w:lang w:eastAsia="lv-LV"/>
              </w:rPr>
            </w:pPr>
            <w:r w:rsidRPr="005D6706">
              <w:rPr>
                <w:rFonts w:ascii="Times New Roman" w:hAnsi="Times New Roman"/>
                <w:sz w:val="24"/>
                <w:szCs w:val="24"/>
              </w:rPr>
              <w:t>Projekts šo jomu neskar.</w:t>
            </w:r>
          </w:p>
        </w:tc>
      </w:tr>
      <w:tr w:rsidR="00034B3B" w:rsidRPr="005D6706" w:rsidTr="007D5D10">
        <w:trPr>
          <w:trHeight w:val="324"/>
        </w:trPr>
        <w:tc>
          <w:tcPr>
            <w:tcW w:w="550" w:type="dxa"/>
          </w:tcPr>
          <w:p w:rsidR="00034B3B" w:rsidRPr="005D6706" w:rsidRDefault="00034B3B" w:rsidP="007D5D10">
            <w:pPr>
              <w:pStyle w:val="naiskr"/>
              <w:spacing w:before="0" w:after="0"/>
            </w:pPr>
            <w:r w:rsidRPr="005D6706">
              <w:t>7.</w:t>
            </w:r>
          </w:p>
        </w:tc>
        <w:tc>
          <w:tcPr>
            <w:tcW w:w="3708"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Cita informācija</w:t>
            </w:r>
          </w:p>
        </w:tc>
        <w:tc>
          <w:tcPr>
            <w:tcW w:w="5467"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Nav</w:t>
            </w:r>
          </w:p>
        </w:tc>
      </w:tr>
    </w:tbl>
    <w:p w:rsidR="005949AD" w:rsidRPr="005D6706" w:rsidRDefault="005949AD" w:rsidP="00034B3B">
      <w:pPr>
        <w:spacing w:after="0" w:line="240" w:lineRule="auto"/>
        <w:rPr>
          <w:rFonts w:ascii="Times New Roman" w:eastAsia="Times New Roman" w:hAnsi="Times New Roman"/>
          <w:sz w:val="24"/>
          <w:szCs w:val="24"/>
          <w:lang w:eastAsia="lv-LV"/>
        </w:rPr>
      </w:pP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78"/>
        <w:gridCol w:w="1373"/>
        <w:gridCol w:w="1290"/>
        <w:gridCol w:w="1290"/>
        <w:gridCol w:w="1290"/>
        <w:gridCol w:w="1561"/>
      </w:tblGrid>
      <w:tr w:rsidR="0057624E" w:rsidRPr="005D6706" w:rsidTr="0057624E">
        <w:trPr>
          <w:trHeight w:val="652"/>
          <w:tblCellSpacing w:w="0" w:type="dxa"/>
        </w:trPr>
        <w:tc>
          <w:tcPr>
            <w:tcW w:w="9782" w:type="dxa"/>
            <w:gridSpan w:val="6"/>
            <w:tcBorders>
              <w:top w:val="outset" w:sz="6" w:space="0" w:color="auto"/>
              <w:left w:val="single" w:sz="4" w:space="0" w:color="auto"/>
              <w:bottom w:val="outset" w:sz="6" w:space="0" w:color="auto"/>
            </w:tcBorders>
          </w:tcPr>
          <w:p w:rsidR="0057624E" w:rsidRPr="005D6706" w:rsidRDefault="0057624E" w:rsidP="002A2A83">
            <w:pPr>
              <w:spacing w:before="150" w:after="150" w:line="240" w:lineRule="auto"/>
              <w:jc w:val="center"/>
              <w:rPr>
                <w:rFonts w:ascii="Times New Roman" w:hAnsi="Times New Roman"/>
                <w:b/>
                <w:bCs/>
                <w:sz w:val="24"/>
                <w:szCs w:val="24"/>
                <w:lang w:eastAsia="lv-LV"/>
              </w:rPr>
            </w:pPr>
            <w:r w:rsidRPr="005D6706">
              <w:rPr>
                <w:rFonts w:ascii="Times New Roman" w:hAnsi="Times New Roman"/>
                <w:b/>
                <w:bCs/>
                <w:sz w:val="24"/>
                <w:szCs w:val="24"/>
                <w:lang w:eastAsia="lv-LV"/>
              </w:rPr>
              <w:t>III. Tiesību akta projekta ietekme uz valsts budžetu un pašvaldību budžetiem</w:t>
            </w:r>
          </w:p>
        </w:tc>
      </w:tr>
      <w:tr w:rsidR="0057624E" w:rsidRPr="005D6706" w:rsidTr="0057624E">
        <w:trPr>
          <w:tblCellSpacing w:w="0" w:type="dxa"/>
        </w:trPr>
        <w:tc>
          <w:tcPr>
            <w:tcW w:w="2978" w:type="dxa"/>
            <w:vMerge w:val="restart"/>
            <w:tcBorders>
              <w:top w:val="outset" w:sz="6" w:space="0" w:color="auto"/>
              <w:left w:val="single" w:sz="4"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w:t>
            </w:r>
            <w:r w:rsidRPr="005D6706">
              <w:rPr>
                <w:rFonts w:ascii="Times New Roman" w:hAnsi="Times New Roman"/>
                <w:b/>
                <w:bCs/>
                <w:sz w:val="24"/>
                <w:szCs w:val="24"/>
                <w:lang w:eastAsia="lv-LV"/>
              </w:rPr>
              <w:t>Rādītāji</w:t>
            </w:r>
          </w:p>
        </w:tc>
        <w:tc>
          <w:tcPr>
            <w:tcW w:w="2663" w:type="dxa"/>
            <w:gridSpan w:val="2"/>
            <w:vMerge w:val="restart"/>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b/>
                <w:sz w:val="24"/>
                <w:szCs w:val="24"/>
                <w:lang w:eastAsia="lv-LV"/>
              </w:rPr>
              <w:t>2013.</w:t>
            </w:r>
            <w:r w:rsidRPr="005D6706">
              <w:rPr>
                <w:rFonts w:ascii="Times New Roman" w:hAnsi="Times New Roman"/>
                <w:b/>
                <w:bCs/>
                <w:sz w:val="24"/>
                <w:szCs w:val="24"/>
                <w:lang w:eastAsia="lv-LV"/>
              </w:rPr>
              <w:t>gads</w:t>
            </w:r>
          </w:p>
        </w:tc>
        <w:tc>
          <w:tcPr>
            <w:tcW w:w="4141" w:type="dxa"/>
            <w:gridSpan w:val="3"/>
            <w:tcBorders>
              <w:top w:val="outset" w:sz="6" w:space="0" w:color="auto"/>
              <w:left w:val="outset" w:sz="6" w:space="0" w:color="auto"/>
              <w:bottom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Turpmākie trīs gadi (</w:t>
            </w:r>
            <w:proofErr w:type="spellStart"/>
            <w:r w:rsidRPr="005D6706">
              <w:rPr>
                <w:rFonts w:ascii="Times New Roman" w:hAnsi="Times New Roman"/>
                <w:sz w:val="24"/>
                <w:szCs w:val="24"/>
                <w:lang w:eastAsia="lv-LV"/>
              </w:rPr>
              <w:t>tūkst</w:t>
            </w:r>
            <w:proofErr w:type="spellEnd"/>
            <w:r w:rsidRPr="005D6706">
              <w:rPr>
                <w:rFonts w:ascii="Times New Roman" w:hAnsi="Times New Roman"/>
                <w:sz w:val="24"/>
                <w:szCs w:val="24"/>
                <w:lang w:eastAsia="lv-LV"/>
              </w:rPr>
              <w:t>. latu)</w:t>
            </w:r>
          </w:p>
        </w:tc>
      </w:tr>
      <w:tr w:rsidR="0057624E" w:rsidRPr="005D6706"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2663" w:type="dxa"/>
            <w:gridSpan w:val="2"/>
            <w:vMerge/>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150" w:after="150" w:line="240" w:lineRule="auto"/>
              <w:jc w:val="center"/>
              <w:rPr>
                <w:rFonts w:ascii="Times New Roman" w:hAnsi="Times New Roman"/>
                <w:b/>
                <w:bCs/>
                <w:sz w:val="24"/>
                <w:szCs w:val="24"/>
                <w:lang w:eastAsia="lv-LV"/>
              </w:rPr>
            </w:pPr>
            <w:r w:rsidRPr="005D6706">
              <w:rPr>
                <w:rFonts w:ascii="Times New Roman" w:hAnsi="Times New Roman"/>
                <w:b/>
                <w:bCs/>
                <w:sz w:val="24"/>
                <w:szCs w:val="24"/>
                <w:lang w:eastAsia="lv-LV"/>
              </w:rPr>
              <w:t>2014</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150" w:after="150" w:line="240" w:lineRule="auto"/>
              <w:jc w:val="center"/>
              <w:rPr>
                <w:rFonts w:ascii="Times New Roman" w:hAnsi="Times New Roman"/>
                <w:b/>
                <w:bCs/>
                <w:sz w:val="24"/>
                <w:szCs w:val="24"/>
                <w:lang w:eastAsia="lv-LV"/>
              </w:rPr>
            </w:pPr>
            <w:r w:rsidRPr="005D6706">
              <w:rPr>
                <w:rFonts w:ascii="Times New Roman" w:hAnsi="Times New Roman"/>
                <w:b/>
                <w:bCs/>
                <w:sz w:val="24"/>
                <w:szCs w:val="24"/>
                <w:lang w:eastAsia="lv-LV"/>
              </w:rPr>
              <w:t>2015</w:t>
            </w:r>
          </w:p>
        </w:tc>
        <w:tc>
          <w:tcPr>
            <w:tcW w:w="1561" w:type="dxa"/>
            <w:tcBorders>
              <w:top w:val="outset" w:sz="6" w:space="0" w:color="auto"/>
              <w:left w:val="outset" w:sz="6" w:space="0" w:color="auto"/>
              <w:bottom w:val="outset" w:sz="6" w:space="0" w:color="auto"/>
            </w:tcBorders>
            <w:vAlign w:val="center"/>
          </w:tcPr>
          <w:p w:rsidR="0057624E" w:rsidRPr="005D6706" w:rsidRDefault="0057624E" w:rsidP="002A2A83">
            <w:pPr>
              <w:spacing w:before="150" w:after="150" w:line="240" w:lineRule="auto"/>
              <w:jc w:val="center"/>
              <w:rPr>
                <w:rFonts w:ascii="Times New Roman" w:hAnsi="Times New Roman"/>
                <w:b/>
                <w:bCs/>
                <w:sz w:val="24"/>
                <w:szCs w:val="24"/>
                <w:lang w:eastAsia="lv-LV"/>
              </w:rPr>
            </w:pPr>
            <w:r w:rsidRPr="005D6706">
              <w:rPr>
                <w:rFonts w:ascii="Times New Roman" w:hAnsi="Times New Roman"/>
                <w:b/>
                <w:bCs/>
                <w:sz w:val="24"/>
                <w:szCs w:val="24"/>
                <w:lang w:eastAsia="lv-LV"/>
              </w:rPr>
              <w:t>2016</w:t>
            </w:r>
          </w:p>
        </w:tc>
      </w:tr>
      <w:tr w:rsidR="0057624E" w:rsidRPr="005D6706"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1373"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xml:space="preserve"> Saskaņā ar valsts budžetu </w:t>
            </w:r>
            <w:r w:rsidRPr="005D6706">
              <w:rPr>
                <w:rFonts w:ascii="Times New Roman" w:hAnsi="Times New Roman"/>
                <w:sz w:val="24"/>
                <w:szCs w:val="24"/>
                <w:lang w:eastAsia="lv-LV"/>
              </w:rPr>
              <w:lastRenderedPageBreak/>
              <w:t>kārtējam gadam</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lastRenderedPageBreak/>
              <w:t xml:space="preserve"> Izmaiņas kārtējā gadā, salīdzinot ar </w:t>
            </w:r>
            <w:r w:rsidRPr="005D6706">
              <w:rPr>
                <w:rFonts w:ascii="Times New Roman" w:hAnsi="Times New Roman"/>
                <w:sz w:val="24"/>
                <w:szCs w:val="24"/>
                <w:lang w:eastAsia="lv-LV"/>
              </w:rPr>
              <w:lastRenderedPageBreak/>
              <w:t>budžetu kārtējam gadam</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lastRenderedPageBreak/>
              <w:t xml:space="preserve"> Izmaiņas, salīdzinot ar kārtējo (n) </w:t>
            </w:r>
            <w:r w:rsidRPr="005D6706">
              <w:rPr>
                <w:rFonts w:ascii="Times New Roman" w:hAnsi="Times New Roman"/>
                <w:sz w:val="24"/>
                <w:szCs w:val="24"/>
                <w:lang w:eastAsia="lv-LV"/>
              </w:rPr>
              <w:lastRenderedPageBreak/>
              <w:t>gadu</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lastRenderedPageBreak/>
              <w:t xml:space="preserve"> Izmaiņas, salīdzinot ar kārtējo (n) </w:t>
            </w:r>
            <w:r w:rsidRPr="005D6706">
              <w:rPr>
                <w:rFonts w:ascii="Times New Roman" w:hAnsi="Times New Roman"/>
                <w:sz w:val="24"/>
                <w:szCs w:val="24"/>
                <w:lang w:eastAsia="lv-LV"/>
              </w:rPr>
              <w:lastRenderedPageBreak/>
              <w:t>gadu</w:t>
            </w:r>
          </w:p>
        </w:tc>
        <w:tc>
          <w:tcPr>
            <w:tcW w:w="1561" w:type="dxa"/>
            <w:tcBorders>
              <w:top w:val="outset" w:sz="6" w:space="0" w:color="auto"/>
              <w:left w:val="outset" w:sz="6" w:space="0" w:color="auto"/>
              <w:bottom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lastRenderedPageBreak/>
              <w:t xml:space="preserve"> Izmaiņas, salīdzinot ar kārtējo (n) </w:t>
            </w:r>
            <w:r w:rsidRPr="005D6706">
              <w:rPr>
                <w:rFonts w:ascii="Times New Roman" w:hAnsi="Times New Roman"/>
                <w:sz w:val="24"/>
                <w:szCs w:val="24"/>
                <w:lang w:eastAsia="lv-LV"/>
              </w:rPr>
              <w:lastRenderedPageBreak/>
              <w:t>gadu</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lastRenderedPageBreak/>
              <w:t> 1</w:t>
            </w:r>
          </w:p>
        </w:tc>
        <w:tc>
          <w:tcPr>
            <w:tcW w:w="1373"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2</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3</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4</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5</w:t>
            </w:r>
          </w:p>
        </w:tc>
        <w:tc>
          <w:tcPr>
            <w:tcW w:w="1561" w:type="dxa"/>
            <w:tcBorders>
              <w:top w:val="outset" w:sz="6" w:space="0" w:color="auto"/>
              <w:left w:val="outset" w:sz="6" w:space="0" w:color="auto"/>
              <w:bottom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6</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1. Budžeta ieņēmumi:</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1.1. valsts pamatbudžets, tai skaitā ieņēmumi no maksas pakalpojumiem un citi pašu ieņēmumi</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375"/>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140"/>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1.2. valsts speciālais budžets</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12"/>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1.3. pašvaldību budžets</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2. Budžeta izdevumi:</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2.1. valsts pamatbudžets</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tabs>
                <w:tab w:val="left" w:pos="510"/>
                <w:tab w:val="center" w:pos="624"/>
              </w:tabs>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2.2. valsts speciālais budžets</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57624E">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50"/>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 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2.3. pašvaldību budžets</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12"/>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50"/>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3. Finansiālā ietekme:</w:t>
            </w:r>
          </w:p>
        </w:tc>
        <w:tc>
          <w:tcPr>
            <w:tcW w:w="1373" w:type="dxa"/>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3.1. valsts pamatbudžets</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61"/>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65"/>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3.2. speciālais budžets</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61"/>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65"/>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3.3. pašvaldību budžets</w:t>
            </w:r>
          </w:p>
        </w:tc>
        <w:tc>
          <w:tcPr>
            <w:tcW w:w="1373"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65"/>
              <w:jc w:val="center"/>
              <w:rPr>
                <w:rFonts w:ascii="Times New Roman" w:hAnsi="Times New Roman"/>
                <w:sz w:val="24"/>
                <w:szCs w:val="24"/>
                <w:lang w:eastAsia="lv-LV"/>
              </w:rPr>
            </w:pPr>
            <w:r w:rsidRPr="005D6706">
              <w:rPr>
                <w:rFonts w:ascii="Times New Roman" w:hAnsi="Times New Roman"/>
                <w:sz w:val="24"/>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vMerge w:val="restart"/>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4. Finanšu līdzekļi papildu izde</w:t>
            </w:r>
            <w:r w:rsidRPr="005D6706">
              <w:rPr>
                <w:rFonts w:ascii="Times New Roman" w:hAnsi="Times New Roman"/>
                <w:sz w:val="24"/>
                <w:szCs w:val="24"/>
                <w:lang w:eastAsia="lv-LV"/>
              </w:rPr>
              <w:softHyphen/>
              <w:t>vumu finansēšanai (kompensējošu izdevumu samazinājumu norāda ar "+" zīmi)</w:t>
            </w:r>
          </w:p>
        </w:tc>
        <w:tc>
          <w:tcPr>
            <w:tcW w:w="1373" w:type="dxa"/>
            <w:vMerge w:val="restart"/>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X</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375"/>
              <w:jc w:val="both"/>
              <w:rPr>
                <w:rFonts w:ascii="Times New Roman" w:hAnsi="Times New Roman"/>
                <w:sz w:val="24"/>
                <w:szCs w:val="24"/>
                <w:lang w:eastAsia="lv-LV"/>
              </w:rPr>
            </w:pPr>
            <w:r w:rsidRPr="005D6706">
              <w:rPr>
                <w:rFonts w:ascii="Times New Roman" w:hAnsi="Times New Roman"/>
                <w:sz w:val="24"/>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r>
      <w:tr w:rsidR="0057624E" w:rsidRPr="005D6706"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375"/>
              <w:jc w:val="both"/>
              <w:rPr>
                <w:rFonts w:ascii="Times New Roman" w:hAnsi="Times New Roman"/>
                <w:sz w:val="24"/>
                <w:szCs w:val="24"/>
                <w:lang w:eastAsia="lv-LV"/>
              </w:rPr>
            </w:pPr>
            <w:r w:rsidRPr="005D6706">
              <w:rPr>
                <w:rFonts w:ascii="Times New Roman" w:hAnsi="Times New Roman"/>
                <w:sz w:val="24"/>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375"/>
              <w:jc w:val="both"/>
              <w:rPr>
                <w:rFonts w:ascii="Times New Roman" w:hAnsi="Times New Roman"/>
                <w:sz w:val="24"/>
                <w:szCs w:val="24"/>
                <w:lang w:eastAsia="lv-LV"/>
              </w:rPr>
            </w:pPr>
            <w:r w:rsidRPr="005D6706">
              <w:rPr>
                <w:rFonts w:ascii="Times New Roman" w:hAnsi="Times New Roman"/>
                <w:sz w:val="24"/>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5. Precizēta finansiālā ietekme:</w:t>
            </w:r>
          </w:p>
        </w:tc>
        <w:tc>
          <w:tcPr>
            <w:tcW w:w="1373" w:type="dxa"/>
            <w:vMerge w:val="restart"/>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center"/>
              <w:rPr>
                <w:rFonts w:ascii="Times New Roman" w:hAnsi="Times New Roman"/>
                <w:sz w:val="24"/>
                <w:szCs w:val="24"/>
                <w:lang w:eastAsia="lv-LV"/>
              </w:rPr>
            </w:pPr>
            <w:r w:rsidRPr="005D6706">
              <w:rPr>
                <w:rFonts w:ascii="Times New Roman" w:hAnsi="Times New Roman"/>
                <w:sz w:val="24"/>
                <w:szCs w:val="24"/>
                <w:lang w:eastAsia="lv-LV"/>
              </w:rPr>
              <w:t> X</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375"/>
              <w:jc w:val="both"/>
              <w:rPr>
                <w:rFonts w:ascii="Times New Roman" w:hAnsi="Times New Roman"/>
                <w:sz w:val="24"/>
                <w:szCs w:val="24"/>
                <w:lang w:eastAsia="lv-LV"/>
              </w:rPr>
            </w:pPr>
            <w:r w:rsidRPr="005D6706">
              <w:rPr>
                <w:rFonts w:ascii="Times New Roman" w:hAnsi="Times New Roman"/>
                <w:sz w:val="24"/>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lastRenderedPageBreak/>
              <w:t> 5.1. valsts pamatbudžets</w:t>
            </w: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375"/>
              <w:jc w:val="both"/>
              <w:rPr>
                <w:rFonts w:ascii="Times New Roman" w:hAnsi="Times New Roman"/>
                <w:sz w:val="24"/>
                <w:szCs w:val="24"/>
                <w:lang w:eastAsia="lv-LV"/>
              </w:rPr>
            </w:pPr>
            <w:r w:rsidRPr="005D6706">
              <w:rPr>
                <w:rFonts w:ascii="Times New Roman" w:hAnsi="Times New Roman"/>
                <w:sz w:val="24"/>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  </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5.2. speciālais budžets</w:t>
            </w: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375"/>
              <w:jc w:val="both"/>
              <w:rPr>
                <w:rFonts w:ascii="Times New Roman" w:hAnsi="Times New Roman"/>
                <w:sz w:val="24"/>
                <w:szCs w:val="24"/>
                <w:lang w:eastAsia="lv-LV"/>
              </w:rPr>
            </w:pPr>
            <w:r w:rsidRPr="005D6706">
              <w:rPr>
                <w:rFonts w:ascii="Times New Roman" w:hAnsi="Times New Roman"/>
                <w:sz w:val="24"/>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5.3. pašvaldību budžets</w:t>
            </w: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ind w:firstLine="375"/>
              <w:jc w:val="both"/>
              <w:rPr>
                <w:rFonts w:ascii="Times New Roman" w:hAnsi="Times New Roman"/>
                <w:sz w:val="24"/>
                <w:szCs w:val="24"/>
                <w:lang w:eastAsia="lv-LV"/>
              </w:rPr>
            </w:pPr>
            <w:r w:rsidRPr="005D6706">
              <w:rPr>
                <w:rFonts w:ascii="Times New Roman" w:hAnsi="Times New Roman"/>
                <w:sz w:val="24"/>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lang w:eastAsia="lv-LV"/>
              </w:rPr>
              <w:t>Nav attiecināms</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6. Detalizēts ieņēmumu un izdevu</w:t>
            </w:r>
            <w:r w:rsidRPr="005D6706">
              <w:rPr>
                <w:rFonts w:ascii="Times New Roman" w:hAnsi="Times New Roman"/>
                <w:sz w:val="24"/>
                <w:szCs w:val="24"/>
                <w:lang w:eastAsia="lv-LV"/>
              </w:rPr>
              <w:softHyphen/>
              <w:t>mu aprēķins (ja nepieciešams, detalizētu ieņēmumu un izdevumu aprēķinu var pievienot anotācijas pielikumā):</w:t>
            </w:r>
          </w:p>
        </w:tc>
        <w:tc>
          <w:tcPr>
            <w:tcW w:w="6804" w:type="dxa"/>
            <w:gridSpan w:val="5"/>
            <w:vMerge w:val="restart"/>
            <w:tcBorders>
              <w:top w:val="outset" w:sz="6" w:space="0" w:color="auto"/>
              <w:left w:val="outset" w:sz="6" w:space="0" w:color="auto"/>
              <w:bottom w:val="outset" w:sz="6" w:space="0" w:color="auto"/>
            </w:tcBorders>
            <w:vAlign w:val="center"/>
          </w:tcPr>
          <w:p w:rsidR="0057624E" w:rsidRPr="005D6706" w:rsidRDefault="0057624E" w:rsidP="002A2A83">
            <w:pPr>
              <w:spacing w:before="75" w:after="75" w:line="240" w:lineRule="auto"/>
              <w:jc w:val="both"/>
              <w:rPr>
                <w:rFonts w:ascii="Times New Roman" w:hAnsi="Times New Roman"/>
                <w:sz w:val="24"/>
                <w:szCs w:val="24"/>
                <w:lang w:eastAsia="lv-LV"/>
              </w:rPr>
            </w:pPr>
            <w:r w:rsidRPr="005D6706">
              <w:rPr>
                <w:rFonts w:ascii="Times New Roman" w:hAnsi="Times New Roman"/>
                <w:sz w:val="24"/>
                <w:szCs w:val="24"/>
              </w:rPr>
              <w:t>Projekts šo jomu neskar</w:t>
            </w: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6.1. detalizēts ieņēmumu aprēķins</w:t>
            </w:r>
          </w:p>
        </w:tc>
        <w:tc>
          <w:tcPr>
            <w:tcW w:w="6804" w:type="dxa"/>
            <w:gridSpan w:val="5"/>
            <w:vMerge/>
            <w:tcBorders>
              <w:top w:val="outset" w:sz="6" w:space="0" w:color="auto"/>
              <w:left w:val="outset" w:sz="6" w:space="0" w:color="auto"/>
              <w:bottom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6.2. detalizēts izdevumu aprēķins</w:t>
            </w:r>
          </w:p>
        </w:tc>
        <w:tc>
          <w:tcPr>
            <w:tcW w:w="6804" w:type="dxa"/>
            <w:gridSpan w:val="5"/>
            <w:vMerge/>
            <w:tcBorders>
              <w:top w:val="outset" w:sz="6" w:space="0" w:color="auto"/>
              <w:left w:val="outset" w:sz="6" w:space="0" w:color="auto"/>
              <w:bottom w:val="outset" w:sz="6" w:space="0" w:color="auto"/>
            </w:tcBorders>
            <w:vAlign w:val="center"/>
          </w:tcPr>
          <w:p w:rsidR="0057624E" w:rsidRPr="005D6706" w:rsidRDefault="0057624E" w:rsidP="002A2A83">
            <w:pPr>
              <w:spacing w:after="0" w:line="240" w:lineRule="auto"/>
              <w:rPr>
                <w:rFonts w:ascii="Times New Roman" w:hAnsi="Times New Roman"/>
                <w:sz w:val="24"/>
                <w:szCs w:val="24"/>
                <w:lang w:eastAsia="lv-LV"/>
              </w:rPr>
            </w:pPr>
          </w:p>
        </w:tc>
      </w:tr>
      <w:tr w:rsidR="0057624E" w:rsidRPr="005D6706"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D6706" w:rsidRDefault="0057624E" w:rsidP="002A2A83">
            <w:pPr>
              <w:spacing w:before="75" w:after="75" w:line="240" w:lineRule="auto"/>
              <w:rPr>
                <w:rFonts w:ascii="Times New Roman" w:hAnsi="Times New Roman"/>
                <w:sz w:val="24"/>
                <w:szCs w:val="24"/>
                <w:lang w:eastAsia="lv-LV"/>
              </w:rPr>
            </w:pPr>
            <w:r w:rsidRPr="005D6706">
              <w:rPr>
                <w:rFonts w:ascii="Times New Roman" w:hAnsi="Times New Roman"/>
                <w:sz w:val="24"/>
                <w:szCs w:val="24"/>
                <w:lang w:eastAsia="lv-LV"/>
              </w:rPr>
              <w:t> 7. Cita informācija</w:t>
            </w:r>
          </w:p>
        </w:tc>
        <w:tc>
          <w:tcPr>
            <w:tcW w:w="6804" w:type="dxa"/>
            <w:gridSpan w:val="5"/>
            <w:tcBorders>
              <w:top w:val="outset" w:sz="6" w:space="0" w:color="auto"/>
              <w:left w:val="outset" w:sz="6" w:space="0" w:color="auto"/>
              <w:bottom w:val="outset" w:sz="6" w:space="0" w:color="auto"/>
            </w:tcBorders>
          </w:tcPr>
          <w:p w:rsidR="00265C81" w:rsidRPr="005D6706" w:rsidRDefault="00265C81" w:rsidP="00D81E77">
            <w:pPr>
              <w:spacing w:before="75" w:after="75" w:line="240" w:lineRule="auto"/>
              <w:jc w:val="both"/>
              <w:rPr>
                <w:rFonts w:ascii="Times New Roman" w:hAnsi="Times New Roman"/>
                <w:b/>
                <w:color w:val="FF0000"/>
                <w:sz w:val="24"/>
                <w:szCs w:val="24"/>
                <w:lang w:eastAsia="lv-LV"/>
              </w:rPr>
            </w:pPr>
          </w:p>
        </w:tc>
      </w:tr>
    </w:tbl>
    <w:p w:rsidR="00034B3B" w:rsidRPr="005D6706" w:rsidRDefault="00034B3B" w:rsidP="00034B3B">
      <w:pPr>
        <w:spacing w:after="0" w:line="240" w:lineRule="auto"/>
        <w:rPr>
          <w:rFonts w:ascii="Times New Roman" w:eastAsia="Times New Roman" w:hAnsi="Times New Roman"/>
          <w:sz w:val="24"/>
          <w:szCs w:val="24"/>
          <w:lang w:eastAsia="lv-LV"/>
        </w:rPr>
      </w:pPr>
    </w:p>
    <w:p w:rsidR="00695B78" w:rsidRPr="005D6706" w:rsidRDefault="00695B78" w:rsidP="00034B3B">
      <w:pPr>
        <w:spacing w:after="0" w:line="240" w:lineRule="auto"/>
        <w:rPr>
          <w:rFonts w:ascii="Times New Roman" w:eastAsia="Times New Roman" w:hAnsi="Times New Roman"/>
          <w:sz w:val="24"/>
          <w:szCs w:val="24"/>
          <w:lang w:eastAsia="lv-LV"/>
        </w:rPr>
      </w:pPr>
    </w:p>
    <w:p w:rsidR="00695B78" w:rsidRPr="005D6706" w:rsidRDefault="00695B78" w:rsidP="00034B3B">
      <w:pPr>
        <w:spacing w:after="0" w:line="240" w:lineRule="auto"/>
        <w:rPr>
          <w:rFonts w:ascii="Times New Roman" w:eastAsia="Times New Roman" w:hAnsi="Times New Roman"/>
          <w:sz w:val="24"/>
          <w:szCs w:val="24"/>
          <w:lang w:eastAsia="lv-LV"/>
        </w:rPr>
      </w:pPr>
    </w:p>
    <w:tbl>
      <w:tblPr>
        <w:tblW w:w="973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0"/>
        <w:gridCol w:w="3965"/>
        <w:gridCol w:w="5336"/>
      </w:tblGrid>
      <w:tr w:rsidR="00034B3B" w:rsidRPr="005D6706" w:rsidTr="007D5D10">
        <w:trPr>
          <w:trHeight w:val="282"/>
        </w:trPr>
        <w:tc>
          <w:tcPr>
            <w:tcW w:w="9731" w:type="dxa"/>
            <w:gridSpan w:val="3"/>
            <w:tcBorders>
              <w:top w:val="outset" w:sz="6" w:space="0" w:color="auto"/>
              <w:bottom w:val="outset" w:sz="6" w:space="0" w:color="auto"/>
            </w:tcBorders>
          </w:tcPr>
          <w:p w:rsidR="00034B3B" w:rsidRPr="005D6706" w:rsidRDefault="00034B3B" w:rsidP="007D5D10">
            <w:pPr>
              <w:spacing w:before="100" w:beforeAutospacing="1" w:after="100" w:afterAutospacing="1" w:line="240" w:lineRule="auto"/>
              <w:jc w:val="center"/>
              <w:rPr>
                <w:rFonts w:ascii="Times New Roman" w:hAnsi="Times New Roman"/>
                <w:b/>
                <w:sz w:val="24"/>
                <w:szCs w:val="24"/>
              </w:rPr>
            </w:pPr>
            <w:r w:rsidRPr="005D6706">
              <w:rPr>
                <w:rFonts w:ascii="Times New Roman" w:hAnsi="Times New Roman"/>
                <w:b/>
                <w:sz w:val="24"/>
                <w:szCs w:val="24"/>
              </w:rPr>
              <w:t> IV. Tiesību akta projekta ietekme uz spēkā esošo tiesību normu sistēmu</w:t>
            </w:r>
          </w:p>
        </w:tc>
      </w:tr>
      <w:tr w:rsidR="00034B3B" w:rsidRPr="005D6706" w:rsidTr="007D5D10">
        <w:trPr>
          <w:trHeight w:val="698"/>
        </w:trPr>
        <w:tc>
          <w:tcPr>
            <w:tcW w:w="430" w:type="dxa"/>
            <w:tcBorders>
              <w:top w:val="outset" w:sz="6" w:space="0" w:color="auto"/>
              <w:bottom w:val="outset" w:sz="6" w:space="0" w:color="auto"/>
              <w:right w:val="outset" w:sz="6" w:space="0" w:color="auto"/>
            </w:tcBorders>
          </w:tcPr>
          <w:p w:rsidR="00034B3B" w:rsidRPr="005D6706" w:rsidRDefault="00034B3B" w:rsidP="007D5D10">
            <w:pPr>
              <w:spacing w:before="100" w:beforeAutospacing="1" w:after="100" w:afterAutospacing="1" w:line="240" w:lineRule="auto"/>
              <w:rPr>
                <w:rFonts w:ascii="Times New Roman" w:hAnsi="Times New Roman"/>
                <w:sz w:val="24"/>
                <w:szCs w:val="24"/>
              </w:rPr>
            </w:pPr>
            <w:r w:rsidRPr="005D6706">
              <w:rPr>
                <w:rFonts w:ascii="Times New Roman" w:hAnsi="Times New Roman"/>
                <w:sz w:val="24"/>
                <w:szCs w:val="24"/>
              </w:rPr>
              <w:t> 1.</w:t>
            </w:r>
          </w:p>
        </w:tc>
        <w:tc>
          <w:tcPr>
            <w:tcW w:w="3965" w:type="dxa"/>
            <w:tcBorders>
              <w:top w:val="outset" w:sz="6" w:space="0" w:color="auto"/>
              <w:left w:val="outset" w:sz="6" w:space="0" w:color="auto"/>
              <w:bottom w:val="outset" w:sz="6" w:space="0" w:color="auto"/>
              <w:right w:val="outset" w:sz="6" w:space="0" w:color="auto"/>
            </w:tcBorders>
          </w:tcPr>
          <w:p w:rsidR="00034B3B" w:rsidRPr="005D6706" w:rsidRDefault="00034B3B" w:rsidP="007D5D10">
            <w:pPr>
              <w:spacing w:before="100" w:beforeAutospacing="1" w:after="100" w:afterAutospacing="1" w:line="240" w:lineRule="auto"/>
              <w:rPr>
                <w:rFonts w:ascii="Times New Roman" w:hAnsi="Times New Roman"/>
                <w:sz w:val="24"/>
                <w:szCs w:val="24"/>
              </w:rPr>
            </w:pPr>
            <w:r w:rsidRPr="005D6706">
              <w:rPr>
                <w:rFonts w:ascii="Times New Roman" w:hAnsi="Times New Roman"/>
                <w:sz w:val="24"/>
                <w:szCs w:val="24"/>
              </w:rPr>
              <w:t> Nepieciešamie saistītie tiesību aktu projekti</w:t>
            </w:r>
          </w:p>
        </w:tc>
        <w:tc>
          <w:tcPr>
            <w:tcW w:w="5336" w:type="dxa"/>
            <w:tcBorders>
              <w:top w:val="outset" w:sz="6" w:space="0" w:color="auto"/>
              <w:left w:val="outset" w:sz="6" w:space="0" w:color="auto"/>
              <w:bottom w:val="outset" w:sz="6" w:space="0" w:color="auto"/>
            </w:tcBorders>
          </w:tcPr>
          <w:p w:rsidR="00251A77" w:rsidRPr="005D6706" w:rsidRDefault="00003ACC" w:rsidP="00526A67">
            <w:pPr>
              <w:spacing w:after="0" w:line="240" w:lineRule="auto"/>
              <w:ind w:firstLine="720"/>
              <w:jc w:val="both"/>
              <w:rPr>
                <w:rFonts w:ascii="Times New Roman" w:hAnsi="Times New Roman"/>
                <w:sz w:val="24"/>
                <w:szCs w:val="24"/>
              </w:rPr>
            </w:pPr>
            <w:r w:rsidRPr="005D6706">
              <w:rPr>
                <w:rFonts w:ascii="Times New Roman" w:hAnsi="Times New Roman"/>
                <w:sz w:val="24"/>
                <w:szCs w:val="24"/>
              </w:rPr>
              <w:t>Projekts virzāms izskatīšanai Ministru kabineta sēdē vienlaicīgi ar Satiksmes ministrijas izstrādāto rīkojuma projektu „</w:t>
            </w:r>
            <w:r w:rsidR="00526A67" w:rsidRPr="00526A67">
              <w:rPr>
                <w:rFonts w:ascii="Times New Roman" w:hAnsi="Times New Roman"/>
                <w:sz w:val="24"/>
                <w:szCs w:val="24"/>
              </w:rPr>
              <w:t>Par valsts autoceļu kompleksās ikdienas uzturēšanas darbu plānošanas un veikšanas deleģēšanu akciju sabiedrībai „Latvijas autoceļu uzturētājs”</w:t>
            </w:r>
            <w:r w:rsidRPr="005D6706">
              <w:rPr>
                <w:rFonts w:ascii="Times New Roman" w:hAnsi="Times New Roman"/>
                <w:sz w:val="24"/>
                <w:szCs w:val="24"/>
              </w:rPr>
              <w:t>” .</w:t>
            </w:r>
          </w:p>
        </w:tc>
      </w:tr>
      <w:tr w:rsidR="00034B3B" w:rsidRPr="005D6706" w:rsidTr="007D5D10">
        <w:trPr>
          <w:trHeight w:val="282"/>
        </w:trPr>
        <w:tc>
          <w:tcPr>
            <w:tcW w:w="430" w:type="dxa"/>
            <w:tcBorders>
              <w:top w:val="outset" w:sz="6" w:space="0" w:color="auto"/>
              <w:bottom w:val="outset" w:sz="6" w:space="0" w:color="auto"/>
              <w:right w:val="outset" w:sz="6" w:space="0" w:color="auto"/>
            </w:tcBorders>
          </w:tcPr>
          <w:p w:rsidR="00034B3B" w:rsidRPr="005D6706" w:rsidRDefault="00034B3B" w:rsidP="007D5D10">
            <w:pPr>
              <w:spacing w:before="100" w:beforeAutospacing="1" w:after="100" w:afterAutospacing="1" w:line="240" w:lineRule="auto"/>
              <w:rPr>
                <w:rFonts w:ascii="Times New Roman" w:hAnsi="Times New Roman"/>
                <w:sz w:val="24"/>
                <w:szCs w:val="24"/>
              </w:rPr>
            </w:pPr>
            <w:r w:rsidRPr="005D6706">
              <w:rPr>
                <w:rFonts w:ascii="Times New Roman" w:hAnsi="Times New Roman"/>
                <w:sz w:val="24"/>
                <w:szCs w:val="24"/>
              </w:rPr>
              <w:t> 2.</w:t>
            </w:r>
          </w:p>
        </w:tc>
        <w:tc>
          <w:tcPr>
            <w:tcW w:w="3965" w:type="dxa"/>
            <w:tcBorders>
              <w:top w:val="outset" w:sz="6" w:space="0" w:color="auto"/>
              <w:left w:val="outset" w:sz="6" w:space="0" w:color="auto"/>
              <w:bottom w:val="outset" w:sz="6" w:space="0" w:color="auto"/>
              <w:right w:val="outset" w:sz="6" w:space="0" w:color="auto"/>
            </w:tcBorders>
          </w:tcPr>
          <w:p w:rsidR="00034B3B" w:rsidRPr="005D6706" w:rsidRDefault="00034B3B" w:rsidP="007D5D10">
            <w:pPr>
              <w:spacing w:before="100" w:beforeAutospacing="1" w:after="100" w:afterAutospacing="1" w:line="240" w:lineRule="auto"/>
              <w:rPr>
                <w:rFonts w:ascii="Times New Roman" w:hAnsi="Times New Roman"/>
                <w:sz w:val="24"/>
                <w:szCs w:val="24"/>
              </w:rPr>
            </w:pPr>
            <w:r w:rsidRPr="005D6706">
              <w:rPr>
                <w:rFonts w:ascii="Times New Roman" w:hAnsi="Times New Roman"/>
                <w:sz w:val="24"/>
                <w:szCs w:val="24"/>
              </w:rPr>
              <w:t> Cita informācija</w:t>
            </w:r>
          </w:p>
        </w:tc>
        <w:tc>
          <w:tcPr>
            <w:tcW w:w="5336" w:type="dxa"/>
            <w:tcBorders>
              <w:top w:val="outset" w:sz="6" w:space="0" w:color="auto"/>
              <w:left w:val="outset" w:sz="6" w:space="0" w:color="auto"/>
              <w:bottom w:val="outset" w:sz="6" w:space="0" w:color="auto"/>
            </w:tcBorders>
          </w:tcPr>
          <w:p w:rsidR="00034B3B" w:rsidRPr="005D6706" w:rsidRDefault="00034B3B" w:rsidP="007D5D10">
            <w:pPr>
              <w:spacing w:before="100" w:beforeAutospacing="1" w:after="100" w:afterAutospacing="1" w:line="240" w:lineRule="auto"/>
              <w:ind w:firstLine="425"/>
              <w:rPr>
                <w:rFonts w:ascii="Times New Roman" w:hAnsi="Times New Roman"/>
                <w:sz w:val="24"/>
                <w:szCs w:val="24"/>
              </w:rPr>
            </w:pPr>
          </w:p>
        </w:tc>
      </w:tr>
    </w:tbl>
    <w:p w:rsidR="00034B3B" w:rsidRPr="005D6706" w:rsidRDefault="00034B3B" w:rsidP="00034B3B">
      <w:pPr>
        <w:spacing w:after="0" w:line="240" w:lineRule="auto"/>
        <w:rPr>
          <w:rFonts w:ascii="Times New Roman" w:hAnsi="Times New Roman"/>
          <w:sz w:val="24"/>
          <w:szCs w:val="24"/>
        </w:rPr>
      </w:pPr>
    </w:p>
    <w:tbl>
      <w:tblPr>
        <w:tblW w:w="5219" w:type="pct"/>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53"/>
        <w:gridCol w:w="1496"/>
        <w:gridCol w:w="286"/>
        <w:gridCol w:w="4072"/>
        <w:gridCol w:w="2417"/>
      </w:tblGrid>
      <w:tr w:rsidR="00034B3B" w:rsidRPr="005D6706" w:rsidTr="007D5D10">
        <w:trPr>
          <w:jc w:val="center"/>
        </w:trPr>
        <w:tc>
          <w:tcPr>
            <w:tcW w:w="5000" w:type="pct"/>
            <w:gridSpan w:val="6"/>
          </w:tcPr>
          <w:p w:rsidR="00034B3B" w:rsidRPr="005D6706" w:rsidRDefault="00034B3B" w:rsidP="007D5D10">
            <w:pPr>
              <w:pStyle w:val="naisnod"/>
              <w:spacing w:before="0" w:after="0"/>
              <w:rPr>
                <w:rFonts w:eastAsia="Calibri"/>
                <w:bCs w:val="0"/>
                <w:lang w:eastAsia="en-US"/>
              </w:rPr>
            </w:pPr>
            <w:r w:rsidRPr="005D6706">
              <w:rPr>
                <w:rFonts w:eastAsia="Calibri"/>
                <w:bCs w:val="0"/>
                <w:lang w:eastAsia="en-US"/>
              </w:rPr>
              <w:t>V. Tiesību akta projekta atbilstība Latvijas Republikas starptautiskajām saistībām</w:t>
            </w:r>
          </w:p>
        </w:tc>
      </w:tr>
      <w:tr w:rsidR="00034B3B" w:rsidRPr="005D6706" w:rsidTr="007D5D10">
        <w:trPr>
          <w:jc w:val="center"/>
        </w:trPr>
        <w:tc>
          <w:tcPr>
            <w:tcW w:w="533" w:type="pct"/>
          </w:tcPr>
          <w:p w:rsidR="00034B3B" w:rsidRPr="005D6706" w:rsidRDefault="00034B3B" w:rsidP="007D5D10">
            <w:pPr>
              <w:pStyle w:val="naiskr"/>
              <w:tabs>
                <w:tab w:val="left" w:pos="2628"/>
              </w:tabs>
              <w:spacing w:before="0" w:after="0"/>
              <w:jc w:val="both"/>
              <w:rPr>
                <w:rFonts w:eastAsia="Calibri"/>
                <w:lang w:eastAsia="en-US"/>
              </w:rPr>
            </w:pPr>
            <w:r w:rsidRPr="005D6706">
              <w:rPr>
                <w:rFonts w:eastAsia="Calibri"/>
                <w:lang w:eastAsia="en-US"/>
              </w:rPr>
              <w:t>1.</w:t>
            </w:r>
          </w:p>
        </w:tc>
        <w:tc>
          <w:tcPr>
            <w:tcW w:w="1219" w:type="pct"/>
            <w:gridSpan w:val="3"/>
          </w:tcPr>
          <w:p w:rsidR="00034B3B" w:rsidRPr="005D6706" w:rsidRDefault="00034B3B" w:rsidP="007D5D10">
            <w:pPr>
              <w:pStyle w:val="naiskr"/>
              <w:tabs>
                <w:tab w:val="left" w:pos="2628"/>
              </w:tabs>
              <w:spacing w:before="0" w:after="0"/>
              <w:jc w:val="both"/>
              <w:rPr>
                <w:rFonts w:eastAsia="Calibri"/>
                <w:lang w:eastAsia="en-US"/>
              </w:rPr>
            </w:pPr>
            <w:r w:rsidRPr="005D6706">
              <w:rPr>
                <w:rFonts w:eastAsia="Calibri"/>
                <w:lang w:eastAsia="en-US"/>
              </w:rPr>
              <w:t>Saistības pret Eiropas Savienību</w:t>
            </w:r>
          </w:p>
        </w:tc>
        <w:tc>
          <w:tcPr>
            <w:tcW w:w="3248" w:type="pct"/>
            <w:gridSpan w:val="2"/>
          </w:tcPr>
          <w:p w:rsidR="00034B3B" w:rsidRPr="005D6706" w:rsidRDefault="00034B3B" w:rsidP="007D5D10">
            <w:pPr>
              <w:pStyle w:val="Default"/>
              <w:jc w:val="both"/>
              <w:rPr>
                <w:rFonts w:ascii="Times New Roman" w:eastAsia="Calibri" w:hAnsi="Times New Roman" w:cs="Times New Roman"/>
                <w:color w:val="auto"/>
                <w:lang w:eastAsia="en-US"/>
              </w:rPr>
            </w:pPr>
            <w:r w:rsidRPr="005D6706">
              <w:rPr>
                <w:rFonts w:ascii="Times New Roman" w:eastAsia="Calibri" w:hAnsi="Times New Roman" w:cs="Times New Roman"/>
                <w:color w:val="auto"/>
                <w:lang w:eastAsia="en-US"/>
              </w:rPr>
              <w:t>Projekts šo jomu neskar.</w:t>
            </w:r>
          </w:p>
        </w:tc>
      </w:tr>
      <w:tr w:rsidR="00034B3B" w:rsidRPr="005D6706" w:rsidTr="007D5D10">
        <w:trPr>
          <w:jc w:val="center"/>
        </w:trPr>
        <w:tc>
          <w:tcPr>
            <w:tcW w:w="533" w:type="pct"/>
          </w:tcPr>
          <w:p w:rsidR="00034B3B" w:rsidRPr="005D6706" w:rsidRDefault="00034B3B" w:rsidP="007D5D10">
            <w:pPr>
              <w:pStyle w:val="naiskr"/>
              <w:tabs>
                <w:tab w:val="left" w:pos="2628"/>
              </w:tabs>
              <w:spacing w:before="0" w:after="0"/>
              <w:jc w:val="both"/>
              <w:rPr>
                <w:rFonts w:eastAsia="Calibri"/>
                <w:lang w:eastAsia="en-US"/>
              </w:rPr>
            </w:pPr>
            <w:r w:rsidRPr="005D6706">
              <w:rPr>
                <w:rFonts w:eastAsia="Calibri"/>
                <w:lang w:eastAsia="en-US"/>
              </w:rPr>
              <w:t>2.</w:t>
            </w:r>
          </w:p>
        </w:tc>
        <w:tc>
          <w:tcPr>
            <w:tcW w:w="1219" w:type="pct"/>
            <w:gridSpan w:val="3"/>
          </w:tcPr>
          <w:p w:rsidR="00034B3B" w:rsidRPr="005D6706" w:rsidRDefault="00034B3B" w:rsidP="007D5D10">
            <w:pPr>
              <w:pStyle w:val="naiskr"/>
              <w:tabs>
                <w:tab w:val="left" w:pos="2628"/>
              </w:tabs>
              <w:spacing w:before="0" w:after="0"/>
              <w:jc w:val="both"/>
              <w:rPr>
                <w:rFonts w:eastAsia="Calibri"/>
                <w:lang w:eastAsia="en-US"/>
              </w:rPr>
            </w:pPr>
            <w:r w:rsidRPr="005D6706">
              <w:rPr>
                <w:rFonts w:eastAsia="Calibri"/>
                <w:lang w:eastAsia="en-US"/>
              </w:rPr>
              <w:t>Citas starptautiskās saistības</w:t>
            </w:r>
          </w:p>
        </w:tc>
        <w:tc>
          <w:tcPr>
            <w:tcW w:w="3248" w:type="pct"/>
            <w:gridSpan w:val="2"/>
          </w:tcPr>
          <w:p w:rsidR="00034B3B" w:rsidRPr="005D6706" w:rsidRDefault="00034B3B" w:rsidP="007D5D10">
            <w:pPr>
              <w:pStyle w:val="naiskr"/>
              <w:tabs>
                <w:tab w:val="left" w:pos="2628"/>
              </w:tabs>
              <w:spacing w:before="0" w:after="0"/>
              <w:jc w:val="both"/>
              <w:rPr>
                <w:rFonts w:eastAsia="Calibri"/>
                <w:lang w:eastAsia="en-US"/>
              </w:rPr>
            </w:pPr>
            <w:r w:rsidRPr="005D6706">
              <w:rPr>
                <w:rFonts w:eastAsia="Calibri"/>
                <w:lang w:eastAsia="en-US"/>
              </w:rPr>
              <w:t>Projekts šo jomu neskar.</w:t>
            </w:r>
          </w:p>
        </w:tc>
      </w:tr>
      <w:tr w:rsidR="00034B3B" w:rsidRPr="005D6706" w:rsidTr="007D5D10">
        <w:trPr>
          <w:jc w:val="center"/>
        </w:trPr>
        <w:tc>
          <w:tcPr>
            <w:tcW w:w="533" w:type="pct"/>
          </w:tcPr>
          <w:p w:rsidR="00034B3B" w:rsidRPr="005D6706" w:rsidRDefault="00034B3B" w:rsidP="007D5D10">
            <w:pPr>
              <w:pStyle w:val="naiskr"/>
              <w:tabs>
                <w:tab w:val="left" w:pos="2628"/>
              </w:tabs>
              <w:spacing w:before="0" w:after="0"/>
              <w:jc w:val="both"/>
              <w:rPr>
                <w:rFonts w:eastAsia="Calibri"/>
                <w:lang w:eastAsia="en-US"/>
              </w:rPr>
            </w:pPr>
            <w:r w:rsidRPr="005D6706">
              <w:rPr>
                <w:rFonts w:eastAsia="Calibri"/>
                <w:lang w:eastAsia="en-US"/>
              </w:rPr>
              <w:t>3.</w:t>
            </w:r>
          </w:p>
        </w:tc>
        <w:tc>
          <w:tcPr>
            <w:tcW w:w="1219" w:type="pct"/>
            <w:gridSpan w:val="3"/>
          </w:tcPr>
          <w:p w:rsidR="00034B3B" w:rsidRPr="005D6706" w:rsidRDefault="00034B3B" w:rsidP="007D5D10">
            <w:pPr>
              <w:pStyle w:val="naiskr"/>
              <w:tabs>
                <w:tab w:val="left" w:pos="2628"/>
              </w:tabs>
              <w:spacing w:before="0" w:after="0"/>
              <w:jc w:val="both"/>
              <w:rPr>
                <w:rFonts w:eastAsia="Calibri"/>
                <w:lang w:eastAsia="en-US"/>
              </w:rPr>
            </w:pPr>
            <w:r w:rsidRPr="005D6706">
              <w:rPr>
                <w:rFonts w:eastAsia="Calibri"/>
                <w:lang w:eastAsia="en-US"/>
              </w:rPr>
              <w:t>Cita informācija</w:t>
            </w:r>
          </w:p>
        </w:tc>
        <w:tc>
          <w:tcPr>
            <w:tcW w:w="3248" w:type="pct"/>
            <w:gridSpan w:val="2"/>
          </w:tcPr>
          <w:p w:rsidR="00034B3B" w:rsidRPr="005D6706" w:rsidRDefault="00034B3B" w:rsidP="007D5D10">
            <w:pPr>
              <w:spacing w:after="0" w:line="240" w:lineRule="auto"/>
              <w:jc w:val="both"/>
              <w:rPr>
                <w:rFonts w:ascii="Times New Roman" w:hAnsi="Times New Roman"/>
                <w:sz w:val="24"/>
                <w:szCs w:val="24"/>
              </w:rPr>
            </w:pPr>
            <w:r w:rsidRPr="005D6706">
              <w:rPr>
                <w:rFonts w:ascii="Times New Roman" w:hAnsi="Times New Roman"/>
                <w:sz w:val="24"/>
                <w:szCs w:val="24"/>
              </w:rPr>
              <w:t>Nav.</w:t>
            </w:r>
          </w:p>
        </w:tc>
      </w:tr>
      <w:tr w:rsidR="00034B3B" w:rsidRPr="005D6706" w:rsidTr="007D5D10">
        <w:tblPrEx>
          <w:tblCellMar>
            <w:top w:w="28" w:type="dxa"/>
            <w:left w:w="28" w:type="dxa"/>
            <w:bottom w:w="28" w:type="dxa"/>
            <w:right w:w="28" w:type="dxa"/>
          </w:tblCellMar>
          <w:tblLook w:val="04A0" w:firstRow="1" w:lastRow="0" w:firstColumn="1" w:lastColumn="0" w:noHBand="0" w:noVBand="1"/>
        </w:tblPrEx>
        <w:trPr>
          <w:trHeight w:val="52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34B3B" w:rsidRPr="005D6706" w:rsidRDefault="00034B3B" w:rsidP="007D5D10">
            <w:pPr>
              <w:pStyle w:val="naisnod"/>
              <w:spacing w:before="0" w:after="0"/>
              <w:rPr>
                <w:rFonts w:eastAsia="Calibri"/>
                <w:b w:val="0"/>
                <w:bCs w:val="0"/>
                <w:lang w:eastAsia="en-US"/>
              </w:rPr>
            </w:pPr>
            <w:r w:rsidRPr="005D6706">
              <w:rPr>
                <w:rFonts w:eastAsia="Calibri"/>
                <w:b w:val="0"/>
                <w:bCs w:val="0"/>
                <w:lang w:eastAsia="en-US"/>
              </w:rPr>
              <w:t xml:space="preserve">1.tabula </w:t>
            </w:r>
          </w:p>
          <w:p w:rsidR="00034B3B" w:rsidRPr="005D6706" w:rsidRDefault="00034B3B" w:rsidP="007D5D10">
            <w:pPr>
              <w:pStyle w:val="naisnod"/>
              <w:spacing w:before="0" w:after="0"/>
              <w:rPr>
                <w:rFonts w:eastAsia="Calibri"/>
                <w:b w:val="0"/>
                <w:bCs w:val="0"/>
                <w:lang w:eastAsia="en-US"/>
              </w:rPr>
            </w:pPr>
            <w:r w:rsidRPr="005D6706">
              <w:rPr>
                <w:rFonts w:eastAsia="Calibri"/>
                <w:b w:val="0"/>
                <w:bCs w:val="0"/>
                <w:lang w:eastAsia="en-US"/>
              </w:rPr>
              <w:t>Tiesību akta projekta atbilstība ES tiesību aktiem</w:t>
            </w:r>
          </w:p>
        </w:tc>
      </w:tr>
      <w:tr w:rsidR="00034B3B" w:rsidRPr="005D6706" w:rsidTr="007D5D10">
        <w:tblPrEx>
          <w:tblCellMar>
            <w:top w:w="28" w:type="dxa"/>
            <w:left w:w="28" w:type="dxa"/>
            <w:bottom w:w="28" w:type="dxa"/>
            <w:right w:w="28" w:type="dxa"/>
          </w:tblCellMar>
          <w:tblLook w:val="04A0" w:firstRow="1" w:lastRow="0" w:firstColumn="1" w:lastColumn="0" w:noHBand="0" w:noVBand="1"/>
        </w:tblPrEx>
        <w:trPr>
          <w:trHeight w:val="1252"/>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5D6706" w:rsidRDefault="00034B3B" w:rsidP="007D5D10">
            <w:pPr>
              <w:pStyle w:val="naiskr"/>
              <w:spacing w:before="0" w:after="0"/>
              <w:ind w:hanging="10"/>
              <w:jc w:val="center"/>
              <w:rPr>
                <w:rFonts w:eastAsia="Calibri"/>
                <w:lang w:eastAsia="en-US"/>
              </w:rPr>
            </w:pPr>
            <w:r w:rsidRPr="005D6706">
              <w:rPr>
                <w:rFonts w:eastAsia="Calibri"/>
                <w:lang w:eastAsia="en-US"/>
              </w:rPr>
              <w:t>Attiecīgā ES tiesību akta datums, numurs un nosaukums</w:t>
            </w:r>
          </w:p>
        </w:tc>
        <w:tc>
          <w:tcPr>
            <w:tcW w:w="4140" w:type="pct"/>
            <w:gridSpan w:val="4"/>
            <w:tcBorders>
              <w:top w:val="single" w:sz="4" w:space="0" w:color="auto"/>
              <w:left w:val="single" w:sz="4" w:space="0" w:color="auto"/>
              <w:bottom w:val="single" w:sz="4" w:space="0" w:color="auto"/>
              <w:right w:val="single" w:sz="4" w:space="0" w:color="auto"/>
            </w:tcBorders>
            <w:vAlign w:val="center"/>
            <w:hideMark/>
          </w:tcPr>
          <w:p w:rsidR="00034B3B" w:rsidRPr="005D6706" w:rsidRDefault="00034B3B" w:rsidP="00F0080B">
            <w:pPr>
              <w:pStyle w:val="naiskr"/>
              <w:spacing w:before="0" w:after="0"/>
              <w:jc w:val="both"/>
              <w:rPr>
                <w:rFonts w:eastAsia="Calibri"/>
                <w:lang w:eastAsia="en-US"/>
              </w:rPr>
            </w:pPr>
            <w:r w:rsidRPr="005D6706">
              <w:rPr>
                <w:rFonts w:eastAsia="Calibri"/>
                <w:lang w:eastAsia="en-US"/>
              </w:rPr>
              <w:t>Projekts šo jomu neskar.</w:t>
            </w:r>
          </w:p>
        </w:tc>
      </w:tr>
      <w:tr w:rsidR="00034B3B" w:rsidRPr="005D6706" w:rsidTr="007D5D10">
        <w:tblPrEx>
          <w:tblCellMar>
            <w:top w:w="28" w:type="dxa"/>
            <w:left w:w="28" w:type="dxa"/>
            <w:bottom w:w="28" w:type="dxa"/>
            <w:right w:w="28" w:type="dxa"/>
          </w:tblCellMar>
          <w:tblLook w:val="04A0" w:firstRow="1" w:lastRow="0" w:firstColumn="1" w:lastColumn="0" w:noHBand="0" w:noVBand="1"/>
        </w:tblPrEx>
        <w:trPr>
          <w:trHeight w:val="16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34B3B" w:rsidRPr="005D6706" w:rsidRDefault="00034B3B" w:rsidP="007D5D10">
            <w:pPr>
              <w:pStyle w:val="naiskr"/>
              <w:spacing w:before="0" w:after="0"/>
              <w:rPr>
                <w:rFonts w:eastAsia="Calibri"/>
                <w:lang w:eastAsia="en-US"/>
              </w:rPr>
            </w:pPr>
          </w:p>
        </w:tc>
      </w:tr>
      <w:tr w:rsidR="00034B3B" w:rsidRPr="005D6706" w:rsidTr="007D5D10">
        <w:tblPrEx>
          <w:tblCellMar>
            <w:top w:w="28" w:type="dxa"/>
            <w:left w:w="28" w:type="dxa"/>
            <w:bottom w:w="28" w:type="dxa"/>
            <w:right w:w="28" w:type="dxa"/>
          </w:tblCellMar>
          <w:tblLook w:val="04A0" w:firstRow="1" w:lastRow="0" w:firstColumn="1" w:lastColumn="0" w:noHBand="0" w:noVBand="1"/>
        </w:tblPrEx>
        <w:trPr>
          <w:trHeight w:val="165"/>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5D6706" w:rsidRDefault="00034B3B" w:rsidP="007D5D10">
            <w:pPr>
              <w:pStyle w:val="naiskr"/>
              <w:spacing w:before="0" w:after="0"/>
              <w:jc w:val="center"/>
              <w:rPr>
                <w:rFonts w:eastAsia="Calibri"/>
                <w:lang w:eastAsia="en-US"/>
              </w:rPr>
            </w:pPr>
            <w:r w:rsidRPr="005D6706">
              <w:rPr>
                <w:rFonts w:eastAsia="Calibri"/>
                <w:lang w:eastAsia="en-US"/>
              </w:rPr>
              <w:t>A</w:t>
            </w:r>
          </w:p>
        </w:tc>
        <w:tc>
          <w:tcPr>
            <w:tcW w:w="749" w:type="pct"/>
            <w:tcBorders>
              <w:top w:val="single" w:sz="4" w:space="0" w:color="auto"/>
              <w:left w:val="single" w:sz="4" w:space="0" w:color="auto"/>
              <w:bottom w:val="single" w:sz="4" w:space="0" w:color="auto"/>
              <w:right w:val="single" w:sz="4" w:space="0" w:color="auto"/>
            </w:tcBorders>
            <w:vAlign w:val="center"/>
            <w:hideMark/>
          </w:tcPr>
          <w:p w:rsidR="00034B3B" w:rsidRPr="005D6706" w:rsidRDefault="00034B3B" w:rsidP="007D5D10">
            <w:pPr>
              <w:pStyle w:val="naiskr"/>
              <w:spacing w:before="0" w:after="0"/>
              <w:jc w:val="center"/>
              <w:rPr>
                <w:rFonts w:eastAsia="Calibri"/>
                <w:lang w:eastAsia="en-US"/>
              </w:rPr>
            </w:pPr>
            <w:r w:rsidRPr="005D6706">
              <w:rPr>
                <w:rFonts w:eastAsia="Calibri"/>
                <w:lang w:eastAsia="en-US"/>
              </w:rPr>
              <w:t>B</w:t>
            </w:r>
          </w:p>
        </w:tc>
        <w:tc>
          <w:tcPr>
            <w:tcW w:w="2181" w:type="pct"/>
            <w:gridSpan w:val="2"/>
            <w:tcBorders>
              <w:top w:val="single" w:sz="4" w:space="0" w:color="auto"/>
              <w:left w:val="single" w:sz="4" w:space="0" w:color="auto"/>
              <w:bottom w:val="single" w:sz="4" w:space="0" w:color="auto"/>
              <w:right w:val="single" w:sz="4" w:space="0" w:color="auto"/>
            </w:tcBorders>
            <w:vAlign w:val="center"/>
            <w:hideMark/>
          </w:tcPr>
          <w:p w:rsidR="00034B3B" w:rsidRPr="005D6706" w:rsidRDefault="00034B3B" w:rsidP="007D5D10">
            <w:pPr>
              <w:pStyle w:val="naiskr"/>
              <w:spacing w:before="0" w:after="0"/>
              <w:jc w:val="center"/>
              <w:rPr>
                <w:rFonts w:eastAsia="Calibri"/>
                <w:lang w:eastAsia="en-US"/>
              </w:rPr>
            </w:pPr>
            <w:r w:rsidRPr="005D6706">
              <w:rPr>
                <w:rFonts w:eastAsia="Calibri"/>
                <w:lang w:eastAsia="en-US"/>
              </w:rPr>
              <w:t>C</w:t>
            </w:r>
          </w:p>
        </w:tc>
        <w:tc>
          <w:tcPr>
            <w:tcW w:w="1211" w:type="pct"/>
            <w:tcBorders>
              <w:top w:val="single" w:sz="4" w:space="0" w:color="auto"/>
              <w:left w:val="single" w:sz="4" w:space="0" w:color="auto"/>
              <w:bottom w:val="single" w:sz="4" w:space="0" w:color="auto"/>
              <w:right w:val="single" w:sz="4" w:space="0" w:color="auto"/>
            </w:tcBorders>
            <w:vAlign w:val="center"/>
            <w:hideMark/>
          </w:tcPr>
          <w:p w:rsidR="00034B3B" w:rsidRPr="005D6706" w:rsidRDefault="00034B3B" w:rsidP="007D5D10">
            <w:pPr>
              <w:pStyle w:val="naiskr"/>
              <w:spacing w:before="0" w:after="0"/>
              <w:jc w:val="center"/>
              <w:rPr>
                <w:rFonts w:eastAsia="Calibri"/>
                <w:lang w:eastAsia="en-US"/>
              </w:rPr>
            </w:pPr>
            <w:r w:rsidRPr="005D6706">
              <w:rPr>
                <w:rFonts w:eastAsia="Calibri"/>
                <w:lang w:eastAsia="en-US"/>
              </w:rPr>
              <w:t>D</w:t>
            </w:r>
          </w:p>
        </w:tc>
      </w:tr>
      <w:tr w:rsidR="00034B3B" w:rsidRPr="005D6706" w:rsidTr="007D5D10">
        <w:tblPrEx>
          <w:tblCellMar>
            <w:top w:w="28" w:type="dxa"/>
            <w:left w:w="28" w:type="dxa"/>
            <w:bottom w:w="28" w:type="dxa"/>
            <w:right w:w="28" w:type="dxa"/>
          </w:tblCellMar>
          <w:tblLook w:val="04A0" w:firstRow="1" w:lastRow="0" w:firstColumn="1" w:lastColumn="0" w:noHBand="0" w:noVBand="1"/>
        </w:tblPrEx>
        <w:trPr>
          <w:trHeight w:val="358"/>
          <w:jc w:val="center"/>
        </w:trPr>
        <w:tc>
          <w:tcPr>
            <w:tcW w:w="860" w:type="pct"/>
            <w:gridSpan w:val="2"/>
            <w:tcBorders>
              <w:top w:val="single" w:sz="4" w:space="0" w:color="auto"/>
              <w:left w:val="single" w:sz="4" w:space="0" w:color="auto"/>
              <w:bottom w:val="single" w:sz="4" w:space="0" w:color="auto"/>
              <w:right w:val="single" w:sz="4" w:space="0" w:color="auto"/>
            </w:tcBorders>
            <w:hideMark/>
          </w:tcPr>
          <w:p w:rsidR="00034B3B" w:rsidRPr="005D6706" w:rsidRDefault="00034B3B" w:rsidP="007D5D10">
            <w:pPr>
              <w:pStyle w:val="naiskr"/>
              <w:spacing w:before="0" w:after="0"/>
              <w:rPr>
                <w:rFonts w:eastAsia="Calibri"/>
                <w:lang w:eastAsia="en-US"/>
              </w:rPr>
            </w:pPr>
            <w:r w:rsidRPr="005D6706">
              <w:rPr>
                <w:rFonts w:eastAsia="Calibri"/>
                <w:lang w:eastAsia="en-US"/>
              </w:rPr>
              <w:lastRenderedPageBreak/>
              <w:t xml:space="preserve">Attiecīgā ES tiesību akta panta numurs (uzskaitot katru tiesību akta </w:t>
            </w:r>
            <w:r w:rsidRPr="005D6706">
              <w:rPr>
                <w:rFonts w:eastAsia="Calibri"/>
                <w:lang w:eastAsia="en-US"/>
              </w:rPr>
              <w:br/>
              <w:t>vienību – pantu, daļu, punktu, apakšpunktu)</w:t>
            </w:r>
          </w:p>
        </w:tc>
        <w:tc>
          <w:tcPr>
            <w:tcW w:w="749" w:type="pct"/>
            <w:tcBorders>
              <w:top w:val="single" w:sz="4" w:space="0" w:color="auto"/>
              <w:left w:val="single" w:sz="4" w:space="0" w:color="auto"/>
              <w:bottom w:val="single" w:sz="4" w:space="0" w:color="auto"/>
              <w:right w:val="single" w:sz="4" w:space="0" w:color="auto"/>
            </w:tcBorders>
            <w:hideMark/>
          </w:tcPr>
          <w:p w:rsidR="00034B3B" w:rsidRPr="005D6706" w:rsidRDefault="00034B3B" w:rsidP="007D5D10">
            <w:pPr>
              <w:pStyle w:val="naiskr"/>
              <w:spacing w:before="0" w:after="0"/>
              <w:rPr>
                <w:rFonts w:eastAsia="Calibri"/>
                <w:lang w:eastAsia="en-US"/>
              </w:rPr>
            </w:pPr>
            <w:r w:rsidRPr="005D6706">
              <w:rPr>
                <w:rFonts w:eastAsia="Calibri"/>
                <w:lang w:eastAsia="en-US"/>
              </w:rPr>
              <w:t>Projekta vienība, kas pārņem vai ievieš katru šīs tabulas A ailē minēto ES tiesību akta vienību</w:t>
            </w:r>
          </w:p>
        </w:tc>
        <w:tc>
          <w:tcPr>
            <w:tcW w:w="2181" w:type="pct"/>
            <w:gridSpan w:val="2"/>
            <w:tcBorders>
              <w:top w:val="single" w:sz="4" w:space="0" w:color="auto"/>
              <w:left w:val="single" w:sz="4" w:space="0" w:color="auto"/>
              <w:bottom w:val="single" w:sz="4" w:space="0" w:color="auto"/>
              <w:right w:val="single" w:sz="4" w:space="0" w:color="auto"/>
            </w:tcBorders>
          </w:tcPr>
          <w:p w:rsidR="00034B3B" w:rsidRPr="005D6706" w:rsidRDefault="00034B3B" w:rsidP="007D5D10">
            <w:pPr>
              <w:pStyle w:val="naiskr"/>
              <w:spacing w:before="0" w:after="0"/>
              <w:rPr>
                <w:rFonts w:eastAsia="Calibri"/>
                <w:lang w:eastAsia="en-US"/>
              </w:rPr>
            </w:pPr>
            <w:r w:rsidRPr="005D6706">
              <w:rPr>
                <w:rFonts w:eastAsia="Calibri"/>
                <w:lang w:eastAsia="en-US"/>
              </w:rPr>
              <w:t>Informācija par to, vai šīs tabulas A ailē minētās ES tiesību akta vienības tiek pārņemtas vai ieviestas pilnībā vai daļēji.</w:t>
            </w:r>
          </w:p>
          <w:p w:rsidR="00034B3B" w:rsidRPr="005D6706" w:rsidRDefault="00034B3B" w:rsidP="007D5D10">
            <w:pPr>
              <w:pStyle w:val="naiskr"/>
              <w:spacing w:before="0" w:after="0"/>
              <w:rPr>
                <w:rFonts w:eastAsia="Calibri"/>
                <w:lang w:eastAsia="en-US"/>
              </w:rPr>
            </w:pPr>
          </w:p>
          <w:p w:rsidR="00034B3B" w:rsidRPr="005D6706" w:rsidRDefault="00034B3B" w:rsidP="007D5D10">
            <w:pPr>
              <w:pStyle w:val="naiskr"/>
              <w:spacing w:before="0" w:after="0"/>
              <w:rPr>
                <w:rFonts w:eastAsia="Calibri"/>
                <w:lang w:eastAsia="en-US"/>
              </w:rPr>
            </w:pPr>
            <w:r w:rsidRPr="005D6706">
              <w:rPr>
                <w:rFonts w:eastAsia="Calibri"/>
                <w:lang w:eastAsia="en-US"/>
              </w:rPr>
              <w:t>Ja attiecīgā ES tiesību akta vienība tiek pārņemta vai ieviesta daļēji, – sniedz attiecīgu skaidrojumu, kā arī precīzi norāda, kad un kādā veidā ES tiesību akta vienība tiks pārņemta vai ieviesta pilnībā.</w:t>
            </w:r>
          </w:p>
          <w:p w:rsidR="00034B3B" w:rsidRPr="005D6706" w:rsidRDefault="00034B3B" w:rsidP="007D5D10">
            <w:pPr>
              <w:pStyle w:val="naiskr"/>
              <w:spacing w:before="0" w:after="0"/>
              <w:rPr>
                <w:rFonts w:eastAsia="Calibri"/>
                <w:lang w:eastAsia="en-US"/>
              </w:rPr>
            </w:pPr>
          </w:p>
          <w:p w:rsidR="00034B3B" w:rsidRPr="005D6706" w:rsidRDefault="00034B3B" w:rsidP="007D5D10">
            <w:pPr>
              <w:pStyle w:val="naiskr"/>
              <w:spacing w:before="0" w:after="0"/>
              <w:rPr>
                <w:rFonts w:eastAsia="Calibri"/>
                <w:lang w:eastAsia="en-US"/>
              </w:rPr>
            </w:pPr>
            <w:r w:rsidRPr="005D6706">
              <w:rPr>
                <w:rFonts w:eastAsia="Calibri"/>
                <w:lang w:eastAsia="en-US"/>
              </w:rPr>
              <w:t>Norāda institūciju, kas ir atbildīga par šo saistību izpildi pilnībā</w:t>
            </w:r>
          </w:p>
        </w:tc>
        <w:tc>
          <w:tcPr>
            <w:tcW w:w="1211" w:type="pct"/>
            <w:tcBorders>
              <w:top w:val="single" w:sz="4" w:space="0" w:color="auto"/>
              <w:left w:val="single" w:sz="4" w:space="0" w:color="auto"/>
              <w:bottom w:val="single" w:sz="4" w:space="0" w:color="auto"/>
              <w:right w:val="single" w:sz="4" w:space="0" w:color="auto"/>
            </w:tcBorders>
          </w:tcPr>
          <w:p w:rsidR="00034B3B" w:rsidRPr="005D6706" w:rsidRDefault="00034B3B" w:rsidP="007D5D10">
            <w:pPr>
              <w:pStyle w:val="naiskr"/>
              <w:spacing w:before="0" w:after="0"/>
              <w:rPr>
                <w:rFonts w:eastAsia="Calibri"/>
                <w:lang w:eastAsia="en-US"/>
              </w:rPr>
            </w:pPr>
            <w:r w:rsidRPr="005D6706">
              <w:rPr>
                <w:rFonts w:eastAsia="Calibri"/>
                <w:lang w:eastAsia="en-US"/>
              </w:rPr>
              <w:t>Informācija par to, vai šīs tabulas B ailē minētās projekta vienības paredz stingrākas prasības nekā šīs tabulas A ailē minētās ES tiesību akta vienības.</w:t>
            </w:r>
          </w:p>
          <w:p w:rsidR="00034B3B" w:rsidRPr="005D6706" w:rsidRDefault="00034B3B" w:rsidP="007D5D10">
            <w:pPr>
              <w:pStyle w:val="naiskr"/>
              <w:spacing w:before="0" w:after="0"/>
              <w:rPr>
                <w:rFonts w:eastAsia="Calibri"/>
                <w:lang w:eastAsia="en-US"/>
              </w:rPr>
            </w:pPr>
          </w:p>
          <w:p w:rsidR="00034B3B" w:rsidRPr="005D6706" w:rsidRDefault="00034B3B" w:rsidP="007D5D10">
            <w:pPr>
              <w:pStyle w:val="naiskr"/>
              <w:spacing w:before="0" w:after="0"/>
              <w:rPr>
                <w:rFonts w:eastAsia="Calibri"/>
                <w:lang w:eastAsia="en-US"/>
              </w:rPr>
            </w:pPr>
            <w:r w:rsidRPr="005D6706">
              <w:rPr>
                <w:rFonts w:eastAsia="Calibri"/>
                <w:lang w:eastAsia="en-US"/>
              </w:rPr>
              <w:t>Ja projekts satur stingrākas prasības nekā attiecīgais ES tiesību akts, – norāda pamatojumu un samērīgumu.</w:t>
            </w:r>
          </w:p>
          <w:p w:rsidR="00034B3B" w:rsidRPr="005D6706" w:rsidRDefault="00034B3B" w:rsidP="007D5D10">
            <w:pPr>
              <w:pStyle w:val="naiskr"/>
              <w:spacing w:before="0" w:after="0"/>
              <w:rPr>
                <w:rFonts w:eastAsia="Calibri"/>
                <w:lang w:eastAsia="en-US"/>
              </w:rPr>
            </w:pPr>
          </w:p>
          <w:p w:rsidR="00034B3B" w:rsidRPr="005D6706" w:rsidRDefault="00034B3B" w:rsidP="007D5D10">
            <w:pPr>
              <w:pStyle w:val="naiskr"/>
              <w:spacing w:before="0" w:after="0"/>
              <w:rPr>
                <w:rFonts w:eastAsia="Calibri"/>
                <w:lang w:eastAsia="en-US"/>
              </w:rPr>
            </w:pPr>
            <w:r w:rsidRPr="005D6706">
              <w:rPr>
                <w:rFonts w:eastAsia="Calibri"/>
                <w:lang w:eastAsia="en-US"/>
              </w:rPr>
              <w:t>Norāda iespējamās alternatīvas (</w:t>
            </w:r>
            <w:proofErr w:type="spellStart"/>
            <w:r w:rsidRPr="005D6706">
              <w:rPr>
                <w:rFonts w:eastAsia="Calibri"/>
                <w:lang w:eastAsia="en-US"/>
              </w:rPr>
              <w:t>t.sk</w:t>
            </w:r>
            <w:proofErr w:type="spellEnd"/>
            <w:r w:rsidRPr="005D6706">
              <w:rPr>
                <w:rFonts w:eastAsia="Calibri"/>
                <w:lang w:eastAsia="en-US"/>
              </w:rPr>
              <w:t>. alternatīvas, kas neparedz tiesiskā regulējuma izstrādi) – kādos gadījumos būtu iespējams izvairīties no stingrāku prasību noteikšanas, nekā paredzēts attiecīgajos ES tiesību aktos</w:t>
            </w:r>
          </w:p>
        </w:tc>
      </w:tr>
      <w:tr w:rsidR="00034B3B" w:rsidRPr="005D6706" w:rsidTr="007D5D10">
        <w:tblPrEx>
          <w:tblCellMar>
            <w:top w:w="28" w:type="dxa"/>
            <w:left w:w="28" w:type="dxa"/>
            <w:bottom w:w="28" w:type="dxa"/>
            <w:right w:w="28" w:type="dxa"/>
          </w:tblCellMar>
          <w:tblLook w:val="04A0" w:firstRow="1" w:lastRow="0" w:firstColumn="1" w:lastColumn="0" w:noHBand="0" w:noVBand="1"/>
        </w:tblPrEx>
        <w:trPr>
          <w:trHeight w:val="2097"/>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5D6706" w:rsidRDefault="00034B3B" w:rsidP="007D5D10">
            <w:pPr>
              <w:pStyle w:val="naiskr"/>
              <w:spacing w:before="0" w:after="0"/>
            </w:pPr>
            <w:r w:rsidRPr="005D6706">
              <w:t>Kā ir izmantota ES tiesību aktā paredzētā rīcības brīvība dalībvalstij pārņemt vai ieviest noteiktas ES tiesību akta normas.</w:t>
            </w:r>
          </w:p>
          <w:p w:rsidR="00034B3B" w:rsidRPr="005D6706" w:rsidRDefault="00034B3B" w:rsidP="007D5D10">
            <w:pPr>
              <w:spacing w:after="0" w:line="240" w:lineRule="auto"/>
              <w:rPr>
                <w:rFonts w:ascii="Times New Roman" w:hAnsi="Times New Roman"/>
                <w:sz w:val="24"/>
                <w:szCs w:val="24"/>
              </w:rPr>
            </w:pPr>
            <w:r w:rsidRPr="005D6706">
              <w:rPr>
                <w:rFonts w:ascii="Times New Roman" w:hAnsi="Times New Roman"/>
                <w:sz w:val="24"/>
                <w:szCs w:val="24"/>
              </w:rPr>
              <w:t>Kādēļ?</w:t>
            </w:r>
          </w:p>
        </w:tc>
        <w:tc>
          <w:tcPr>
            <w:tcW w:w="4140" w:type="pct"/>
            <w:gridSpan w:val="4"/>
            <w:tcBorders>
              <w:top w:val="single" w:sz="4" w:space="0" w:color="auto"/>
              <w:left w:val="single" w:sz="4" w:space="0" w:color="auto"/>
              <w:bottom w:val="single" w:sz="4" w:space="0" w:color="auto"/>
              <w:right w:val="single" w:sz="4" w:space="0" w:color="auto"/>
            </w:tcBorders>
            <w:hideMark/>
          </w:tcPr>
          <w:p w:rsidR="00034B3B" w:rsidRPr="005D6706" w:rsidRDefault="00034B3B" w:rsidP="007D5D10">
            <w:pPr>
              <w:pStyle w:val="naiskr"/>
              <w:spacing w:before="0" w:after="0"/>
            </w:pPr>
            <w:r w:rsidRPr="005D6706">
              <w:t>Projekts šo jomu neskar.</w:t>
            </w:r>
          </w:p>
        </w:tc>
      </w:tr>
      <w:tr w:rsidR="00034B3B" w:rsidRPr="005D6706" w:rsidTr="007D5D10">
        <w:tblPrEx>
          <w:tblCellMar>
            <w:top w:w="28" w:type="dxa"/>
            <w:left w:w="28" w:type="dxa"/>
            <w:bottom w:w="28" w:type="dxa"/>
            <w:right w:w="28" w:type="dxa"/>
          </w:tblCellMar>
          <w:tblLook w:val="04A0" w:firstRow="1" w:lastRow="0" w:firstColumn="1" w:lastColumn="0" w:noHBand="0" w:noVBand="1"/>
        </w:tblPrEx>
        <w:trPr>
          <w:trHeight w:val="1209"/>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5D6706" w:rsidRDefault="00034B3B" w:rsidP="007D5D10">
            <w:pPr>
              <w:pStyle w:val="naiskr"/>
              <w:spacing w:before="0" w:after="0"/>
            </w:pPr>
            <w:r w:rsidRPr="005D6706">
              <w:t xml:space="preserve">Saistības sniegt paziņojumu ES institūcijām un ES dalībvalstīm atbilstoši normatīvajiem aktiem, kas regulē informācijas sniegšanu par tehnisko </w:t>
            </w:r>
            <w:r w:rsidRPr="005D6706">
              <w:lastRenderedPageBreak/>
              <w:t>noteikumu, valsts atbalsta piešķiršanas un finanšu noteikumu (attiecībā uz monetāro politiku) projektiem</w:t>
            </w:r>
          </w:p>
        </w:tc>
        <w:tc>
          <w:tcPr>
            <w:tcW w:w="4140" w:type="pct"/>
            <w:gridSpan w:val="4"/>
            <w:tcBorders>
              <w:top w:val="single" w:sz="4" w:space="0" w:color="auto"/>
              <w:left w:val="single" w:sz="4" w:space="0" w:color="auto"/>
              <w:bottom w:val="single" w:sz="4" w:space="0" w:color="auto"/>
              <w:right w:val="single" w:sz="4" w:space="0" w:color="auto"/>
            </w:tcBorders>
            <w:hideMark/>
          </w:tcPr>
          <w:p w:rsidR="00034B3B" w:rsidRPr="005D6706" w:rsidRDefault="00034B3B" w:rsidP="007D5D10">
            <w:pPr>
              <w:pStyle w:val="naiskr"/>
              <w:spacing w:before="0" w:after="0"/>
            </w:pPr>
            <w:r w:rsidRPr="005D6706">
              <w:lastRenderedPageBreak/>
              <w:t>Projekts šo jomu neskar.</w:t>
            </w:r>
          </w:p>
        </w:tc>
      </w:tr>
      <w:tr w:rsidR="00034B3B" w:rsidRPr="005D6706" w:rsidTr="007D5D10">
        <w:tblPrEx>
          <w:tblCellMar>
            <w:top w:w="28" w:type="dxa"/>
            <w:left w:w="28" w:type="dxa"/>
            <w:bottom w:w="28" w:type="dxa"/>
            <w:right w:w="28" w:type="dxa"/>
          </w:tblCellMar>
          <w:tblLook w:val="04A0" w:firstRow="1" w:lastRow="0" w:firstColumn="1" w:lastColumn="0" w:noHBand="0" w:noVBand="1"/>
        </w:tblPrEx>
        <w:trPr>
          <w:trHeight w:val="443"/>
          <w:jc w:val="center"/>
        </w:trPr>
        <w:tc>
          <w:tcPr>
            <w:tcW w:w="860" w:type="pct"/>
            <w:gridSpan w:val="2"/>
            <w:tcBorders>
              <w:top w:val="single" w:sz="4" w:space="0" w:color="auto"/>
              <w:left w:val="single" w:sz="4" w:space="0" w:color="auto"/>
              <w:bottom w:val="single" w:sz="4" w:space="0" w:color="auto"/>
              <w:right w:val="single" w:sz="4" w:space="0" w:color="auto"/>
            </w:tcBorders>
            <w:hideMark/>
          </w:tcPr>
          <w:p w:rsidR="00034B3B" w:rsidRPr="005D6706" w:rsidRDefault="00034B3B" w:rsidP="007D5D10">
            <w:pPr>
              <w:pStyle w:val="naiskr"/>
              <w:spacing w:before="0" w:after="0"/>
            </w:pPr>
            <w:r w:rsidRPr="005D6706">
              <w:lastRenderedPageBreak/>
              <w:t>Cita informācija</w:t>
            </w:r>
          </w:p>
        </w:tc>
        <w:tc>
          <w:tcPr>
            <w:tcW w:w="4140" w:type="pct"/>
            <w:gridSpan w:val="4"/>
            <w:tcBorders>
              <w:top w:val="single" w:sz="4" w:space="0" w:color="auto"/>
              <w:left w:val="single" w:sz="4" w:space="0" w:color="auto"/>
              <w:bottom w:val="single" w:sz="4" w:space="0" w:color="auto"/>
              <w:right w:val="single" w:sz="4" w:space="0" w:color="auto"/>
            </w:tcBorders>
            <w:hideMark/>
          </w:tcPr>
          <w:p w:rsidR="00034B3B" w:rsidRPr="005D6706" w:rsidRDefault="00034B3B" w:rsidP="007D5D10">
            <w:pPr>
              <w:pStyle w:val="naiskr"/>
              <w:spacing w:before="0" w:after="0"/>
              <w:jc w:val="both"/>
            </w:pPr>
            <w:r w:rsidRPr="005D6706">
              <w:rPr>
                <w:bCs/>
              </w:rPr>
              <w:t>Nav.</w:t>
            </w:r>
          </w:p>
        </w:tc>
      </w:tr>
    </w:tbl>
    <w:p w:rsidR="00034B3B" w:rsidRPr="005D6706" w:rsidRDefault="00034B3B" w:rsidP="00034B3B">
      <w:pPr>
        <w:pStyle w:val="naisf"/>
        <w:spacing w:before="0" w:after="0"/>
        <w:ind w:firstLine="0"/>
        <w:rPr>
          <w:rFonts w:cs="Times New Roman"/>
        </w:rPr>
      </w:pPr>
    </w:p>
    <w:p w:rsidR="005949AD" w:rsidRPr="005D6706" w:rsidRDefault="005949AD" w:rsidP="00034B3B">
      <w:pPr>
        <w:pStyle w:val="naisf"/>
        <w:spacing w:before="0" w:after="0"/>
        <w:ind w:firstLine="0"/>
        <w:rPr>
          <w:rFonts w:cs="Times New Roman"/>
        </w:rPr>
      </w:pPr>
    </w:p>
    <w:tbl>
      <w:tblPr>
        <w:tblW w:w="9742"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30"/>
        <w:gridCol w:w="2785"/>
        <w:gridCol w:w="4527"/>
      </w:tblGrid>
      <w:tr w:rsidR="00034B3B" w:rsidRPr="005D6706" w:rsidTr="007D5D10">
        <w:trPr>
          <w:trHeight w:val="792"/>
          <w:jc w:val="center"/>
        </w:trPr>
        <w:tc>
          <w:tcPr>
            <w:tcW w:w="9853" w:type="dxa"/>
            <w:gridSpan w:val="3"/>
            <w:vAlign w:val="center"/>
          </w:tcPr>
          <w:p w:rsidR="00034B3B" w:rsidRPr="005D6706" w:rsidRDefault="00034B3B" w:rsidP="007D5D10">
            <w:pPr>
              <w:pStyle w:val="naisnod"/>
              <w:spacing w:before="0" w:after="0"/>
            </w:pPr>
            <w:r w:rsidRPr="005D6706">
              <w:t xml:space="preserve">2.tabula </w:t>
            </w:r>
          </w:p>
          <w:p w:rsidR="00034B3B" w:rsidRPr="005D6706" w:rsidRDefault="00034B3B" w:rsidP="007D5D10">
            <w:pPr>
              <w:pStyle w:val="naisnod"/>
              <w:spacing w:before="0" w:after="0"/>
            </w:pPr>
            <w:r w:rsidRPr="005D6706">
              <w:t>Ar tiesību akta projektu uzņemtās saistības, kas izriet no starptautiskajiem tiesību aktiem vai starptautiskas institūcijas vai organizācijas dokumentiem</w:t>
            </w:r>
          </w:p>
          <w:p w:rsidR="00034B3B" w:rsidRPr="005D6706" w:rsidRDefault="00034B3B" w:rsidP="007D5D10">
            <w:pPr>
              <w:pStyle w:val="naisnod"/>
              <w:spacing w:before="0" w:after="0"/>
            </w:pPr>
            <w:r w:rsidRPr="005D6706">
              <w:t>Pasākumi šo saistību izpildei</w:t>
            </w:r>
          </w:p>
        </w:tc>
      </w:tr>
      <w:tr w:rsidR="00034B3B" w:rsidRPr="005D6706" w:rsidTr="007D5D10">
        <w:trPr>
          <w:trHeight w:val="1596"/>
          <w:jc w:val="center"/>
        </w:trPr>
        <w:tc>
          <w:tcPr>
            <w:tcW w:w="2447" w:type="dxa"/>
            <w:vAlign w:val="center"/>
          </w:tcPr>
          <w:p w:rsidR="00034B3B" w:rsidRPr="005D6706" w:rsidRDefault="00034B3B" w:rsidP="007D5D10">
            <w:pPr>
              <w:pStyle w:val="naiskr"/>
              <w:spacing w:before="0" w:after="0"/>
              <w:ind w:hanging="10"/>
            </w:pPr>
            <w:r w:rsidRPr="005D6706">
              <w:t>Attiecīgā starptautiskā tiesību akta vai starptautiskas institūcijas vai organizācijas dokumenta (turpmāk – starptautiskais dokuments) datums, numurs un nosaukums</w:t>
            </w:r>
          </w:p>
        </w:tc>
        <w:tc>
          <w:tcPr>
            <w:tcW w:w="7406" w:type="dxa"/>
            <w:gridSpan w:val="2"/>
          </w:tcPr>
          <w:p w:rsidR="00034B3B" w:rsidRPr="005D6706" w:rsidRDefault="00034B3B" w:rsidP="007D5D10">
            <w:pPr>
              <w:pStyle w:val="naiskr"/>
              <w:spacing w:before="0" w:after="0"/>
            </w:pPr>
            <w:r w:rsidRPr="005D6706">
              <w:t>Projekts šo jomu neskar.</w:t>
            </w:r>
          </w:p>
        </w:tc>
      </w:tr>
      <w:tr w:rsidR="00034B3B" w:rsidRPr="005D6706" w:rsidTr="007D5D10">
        <w:trPr>
          <w:trHeight w:val="163"/>
          <w:jc w:val="center"/>
        </w:trPr>
        <w:tc>
          <w:tcPr>
            <w:tcW w:w="9853" w:type="dxa"/>
            <w:gridSpan w:val="3"/>
            <w:vAlign w:val="center"/>
          </w:tcPr>
          <w:p w:rsidR="00034B3B" w:rsidRPr="005D6706" w:rsidRDefault="00034B3B" w:rsidP="007D5D10">
            <w:pPr>
              <w:pStyle w:val="naiskr"/>
              <w:spacing w:before="0" w:after="0"/>
              <w:rPr>
                <w:i/>
              </w:rPr>
            </w:pPr>
          </w:p>
        </w:tc>
      </w:tr>
      <w:tr w:rsidR="00034B3B" w:rsidRPr="005D6706" w:rsidTr="007D5D10">
        <w:trPr>
          <w:trHeight w:val="341"/>
          <w:jc w:val="center"/>
        </w:trPr>
        <w:tc>
          <w:tcPr>
            <w:tcW w:w="2447" w:type="dxa"/>
            <w:vAlign w:val="center"/>
          </w:tcPr>
          <w:p w:rsidR="00034B3B" w:rsidRPr="005D6706" w:rsidRDefault="00034B3B" w:rsidP="007D5D10">
            <w:pPr>
              <w:pStyle w:val="naiskr"/>
              <w:spacing w:before="0" w:after="0"/>
              <w:jc w:val="center"/>
            </w:pPr>
            <w:r w:rsidRPr="005D6706">
              <w:t>A</w:t>
            </w:r>
          </w:p>
        </w:tc>
        <w:tc>
          <w:tcPr>
            <w:tcW w:w="2814" w:type="dxa"/>
            <w:vAlign w:val="center"/>
          </w:tcPr>
          <w:p w:rsidR="00034B3B" w:rsidRPr="005D6706" w:rsidRDefault="00034B3B" w:rsidP="007D5D10">
            <w:pPr>
              <w:pStyle w:val="naiskr"/>
              <w:spacing w:before="0" w:after="0"/>
              <w:jc w:val="center"/>
            </w:pPr>
            <w:r w:rsidRPr="005D6706">
              <w:t>B</w:t>
            </w:r>
          </w:p>
        </w:tc>
        <w:tc>
          <w:tcPr>
            <w:tcW w:w="4592" w:type="dxa"/>
            <w:vAlign w:val="center"/>
          </w:tcPr>
          <w:p w:rsidR="00034B3B" w:rsidRPr="005D6706" w:rsidRDefault="00034B3B" w:rsidP="007D5D10">
            <w:pPr>
              <w:pStyle w:val="naiskr"/>
              <w:spacing w:before="0" w:after="0"/>
              <w:jc w:val="center"/>
            </w:pPr>
            <w:r w:rsidRPr="005D6706">
              <w:t>C</w:t>
            </w:r>
          </w:p>
        </w:tc>
      </w:tr>
      <w:tr w:rsidR="00034B3B" w:rsidRPr="005D6706" w:rsidTr="007D5D10">
        <w:trPr>
          <w:trHeight w:val="341"/>
          <w:jc w:val="center"/>
        </w:trPr>
        <w:tc>
          <w:tcPr>
            <w:tcW w:w="2447" w:type="dxa"/>
          </w:tcPr>
          <w:p w:rsidR="00034B3B" w:rsidRPr="005D6706" w:rsidRDefault="00034B3B" w:rsidP="007D5D10">
            <w:pPr>
              <w:pStyle w:val="naiskr"/>
              <w:spacing w:before="0" w:after="0"/>
            </w:pPr>
            <w:r w:rsidRPr="005D6706">
              <w:t>Starptautiskās saistības (pēc būtības), kas izriet no norādītā starptautiskā dokumenta.</w:t>
            </w:r>
          </w:p>
          <w:p w:rsidR="00034B3B" w:rsidRPr="005D6706" w:rsidRDefault="00034B3B" w:rsidP="007D5D10">
            <w:pPr>
              <w:pStyle w:val="naiskr"/>
              <w:spacing w:before="0" w:after="0"/>
            </w:pPr>
          </w:p>
          <w:p w:rsidR="00034B3B" w:rsidRPr="005D6706" w:rsidRDefault="00034B3B" w:rsidP="007D5D10">
            <w:pPr>
              <w:pStyle w:val="naiskr"/>
              <w:spacing w:before="0" w:after="0"/>
            </w:pPr>
            <w:r w:rsidRPr="005D6706">
              <w:t>Konkrēti veicamie pasākumi vai uzdevumi, kas nepieciešami šo starptautisko saistību izpildei</w:t>
            </w:r>
          </w:p>
        </w:tc>
        <w:tc>
          <w:tcPr>
            <w:tcW w:w="2814" w:type="dxa"/>
          </w:tcPr>
          <w:p w:rsidR="00034B3B" w:rsidRPr="005D6706" w:rsidRDefault="00034B3B" w:rsidP="007D5D10">
            <w:pPr>
              <w:pStyle w:val="naiskr"/>
              <w:spacing w:before="0" w:after="0"/>
            </w:pPr>
            <w:r w:rsidRPr="005D6706">
              <w:t>Ja pasākumi vai uzdevumi, ar ko tiks izpildītas starptautiskās saistības, tiek noteikti projektā, norāda attiecīgo projekta vienību.</w:t>
            </w:r>
          </w:p>
          <w:p w:rsidR="00034B3B" w:rsidRPr="005D6706" w:rsidRDefault="00034B3B" w:rsidP="007D5D10">
            <w:pPr>
              <w:pStyle w:val="naiskr"/>
              <w:spacing w:before="0" w:after="0"/>
            </w:pPr>
          </w:p>
          <w:p w:rsidR="00034B3B" w:rsidRPr="005D6706" w:rsidRDefault="00034B3B" w:rsidP="007D5D10">
            <w:pPr>
              <w:pStyle w:val="naiskr"/>
              <w:spacing w:before="0" w:after="0"/>
            </w:pPr>
            <w:r w:rsidRPr="005D6706">
              <w:t>Vai arī norāda dokumentu, kurā sniegts izvērsts skaidrojums, kādā veidā tiks nodrošināta starptautisko saistību izpilde</w:t>
            </w:r>
          </w:p>
        </w:tc>
        <w:tc>
          <w:tcPr>
            <w:tcW w:w="4592" w:type="dxa"/>
          </w:tcPr>
          <w:p w:rsidR="00034B3B" w:rsidRPr="005D6706" w:rsidRDefault="00034B3B" w:rsidP="007D5D10">
            <w:pPr>
              <w:pStyle w:val="naiskr"/>
              <w:spacing w:before="0" w:after="0"/>
            </w:pPr>
            <w:r w:rsidRPr="005D6706">
              <w:t>Informācija par to, vai starptautiskās saistības, kas minētas šīs tabulas A ailē, tiek izpildītas pilnībā vai daļēji.</w:t>
            </w:r>
          </w:p>
          <w:p w:rsidR="00034B3B" w:rsidRPr="005D6706" w:rsidRDefault="00034B3B" w:rsidP="007D5D10">
            <w:pPr>
              <w:pStyle w:val="naiskr"/>
              <w:spacing w:before="0" w:after="0"/>
            </w:pPr>
          </w:p>
          <w:p w:rsidR="00034B3B" w:rsidRPr="005D6706" w:rsidRDefault="00034B3B" w:rsidP="007D5D10">
            <w:pPr>
              <w:pStyle w:val="naiskr"/>
              <w:spacing w:before="0" w:after="0"/>
            </w:pPr>
            <w:r w:rsidRPr="005D6706">
              <w:t>Ja attiecīgās starptautiskās saistības tiek izpildītas daļēji, sniedz attiecīgu skaidrojumu, kā arī precīzi norāda, kad un kādā veidā starptautiskās saistības tiks izpildītas pilnībā.</w:t>
            </w:r>
          </w:p>
          <w:p w:rsidR="00034B3B" w:rsidRPr="005D6706" w:rsidRDefault="00034B3B" w:rsidP="007D5D10">
            <w:pPr>
              <w:pStyle w:val="naiskr"/>
              <w:spacing w:before="0" w:after="0"/>
            </w:pPr>
          </w:p>
          <w:p w:rsidR="00034B3B" w:rsidRPr="005D6706" w:rsidRDefault="00034B3B" w:rsidP="007D5D10">
            <w:pPr>
              <w:pStyle w:val="naiskr"/>
              <w:spacing w:before="0" w:after="0"/>
            </w:pPr>
            <w:r w:rsidRPr="005D6706">
              <w:t>Norāda institūciju, kas ir atbildīga par šo saistību izpildi pilnībā</w:t>
            </w:r>
          </w:p>
          <w:p w:rsidR="00034B3B" w:rsidRPr="005D6706" w:rsidRDefault="00034B3B" w:rsidP="007D5D10">
            <w:pPr>
              <w:pStyle w:val="naiskr"/>
              <w:spacing w:before="0" w:after="0"/>
            </w:pPr>
          </w:p>
        </w:tc>
      </w:tr>
      <w:tr w:rsidR="00034B3B" w:rsidRPr="005D6706" w:rsidTr="007D5D10">
        <w:trPr>
          <w:trHeight w:val="633"/>
          <w:jc w:val="center"/>
        </w:trPr>
        <w:tc>
          <w:tcPr>
            <w:tcW w:w="2447" w:type="dxa"/>
          </w:tcPr>
          <w:p w:rsidR="00034B3B" w:rsidRPr="005D6706" w:rsidRDefault="00034B3B" w:rsidP="007D5D10">
            <w:pPr>
              <w:pStyle w:val="naiskr"/>
              <w:spacing w:before="0" w:after="0"/>
            </w:pPr>
            <w:r w:rsidRPr="005D6706">
              <w:t>Projekts šo jomu neskar.</w:t>
            </w:r>
          </w:p>
        </w:tc>
        <w:tc>
          <w:tcPr>
            <w:tcW w:w="2814" w:type="dxa"/>
          </w:tcPr>
          <w:p w:rsidR="00034B3B" w:rsidRPr="005D6706" w:rsidRDefault="00034B3B" w:rsidP="007D5D10">
            <w:pPr>
              <w:pStyle w:val="naiskr"/>
              <w:spacing w:before="0" w:after="0"/>
            </w:pPr>
            <w:r w:rsidRPr="005D6706">
              <w:t>Projekts šo jomu neskar.</w:t>
            </w:r>
          </w:p>
          <w:p w:rsidR="00034B3B" w:rsidRPr="005D6706" w:rsidRDefault="00034B3B" w:rsidP="007D5D10">
            <w:pPr>
              <w:pStyle w:val="naiskr"/>
              <w:spacing w:before="0" w:after="0"/>
            </w:pPr>
          </w:p>
        </w:tc>
        <w:tc>
          <w:tcPr>
            <w:tcW w:w="4592" w:type="dxa"/>
          </w:tcPr>
          <w:p w:rsidR="00034B3B" w:rsidRPr="005D6706" w:rsidRDefault="00034B3B" w:rsidP="007D5D10">
            <w:pPr>
              <w:pStyle w:val="naiskr"/>
              <w:spacing w:before="0" w:after="0"/>
              <w:ind w:firstLine="163"/>
            </w:pPr>
            <w:r w:rsidRPr="005D6706">
              <w:t>Projekts šo jomu neskar.</w:t>
            </w:r>
          </w:p>
        </w:tc>
      </w:tr>
      <w:tr w:rsidR="00034B3B" w:rsidRPr="005D6706" w:rsidTr="007D5D10">
        <w:trPr>
          <w:trHeight w:val="161"/>
          <w:jc w:val="center"/>
        </w:trPr>
        <w:tc>
          <w:tcPr>
            <w:tcW w:w="2447" w:type="dxa"/>
            <w:vAlign w:val="center"/>
          </w:tcPr>
          <w:p w:rsidR="00034B3B" w:rsidRPr="005D6706" w:rsidRDefault="00034B3B" w:rsidP="007D5D10">
            <w:pPr>
              <w:pStyle w:val="naiskr"/>
              <w:spacing w:before="0" w:after="0"/>
              <w:jc w:val="center"/>
            </w:pPr>
          </w:p>
        </w:tc>
        <w:tc>
          <w:tcPr>
            <w:tcW w:w="2814" w:type="dxa"/>
            <w:vAlign w:val="center"/>
          </w:tcPr>
          <w:p w:rsidR="00034B3B" w:rsidRPr="005D6706" w:rsidRDefault="00034B3B" w:rsidP="007D5D10">
            <w:pPr>
              <w:pStyle w:val="naiskr"/>
              <w:spacing w:before="0" w:after="0"/>
              <w:jc w:val="center"/>
            </w:pPr>
          </w:p>
        </w:tc>
        <w:tc>
          <w:tcPr>
            <w:tcW w:w="4592" w:type="dxa"/>
            <w:vAlign w:val="center"/>
          </w:tcPr>
          <w:p w:rsidR="00034B3B" w:rsidRPr="005D6706" w:rsidRDefault="00034B3B" w:rsidP="007D5D10">
            <w:pPr>
              <w:pStyle w:val="naiskr"/>
              <w:spacing w:before="0" w:after="0"/>
              <w:jc w:val="center"/>
            </w:pPr>
          </w:p>
        </w:tc>
      </w:tr>
      <w:tr w:rsidR="00034B3B" w:rsidRPr="005D6706" w:rsidTr="007D5D10">
        <w:trPr>
          <w:trHeight w:val="161"/>
          <w:jc w:val="center"/>
        </w:trPr>
        <w:tc>
          <w:tcPr>
            <w:tcW w:w="2447" w:type="dxa"/>
            <w:vAlign w:val="center"/>
          </w:tcPr>
          <w:p w:rsidR="00034B3B" w:rsidRPr="005D6706" w:rsidRDefault="00034B3B" w:rsidP="007D5D10">
            <w:pPr>
              <w:pStyle w:val="naisf"/>
              <w:tabs>
                <w:tab w:val="left" w:pos="900"/>
              </w:tabs>
              <w:spacing w:before="0" w:after="0"/>
              <w:ind w:firstLine="0"/>
              <w:jc w:val="left"/>
              <w:rPr>
                <w:rFonts w:cs="Times New Roman"/>
                <w:lang w:val="lv-LV" w:bidi="ar-SA"/>
              </w:rPr>
            </w:pPr>
            <w:r w:rsidRPr="005D6706">
              <w:rPr>
                <w:rFonts w:cs="Times New Roman"/>
                <w:lang w:val="lv-LV" w:bidi="ar-SA"/>
              </w:rPr>
              <w:t xml:space="preserve">Vai starptautiskajā dokumentā paredzētās saistības nav pretrunā ar jau esošajām Latvijas Republikas starptautiskajām </w:t>
            </w:r>
            <w:r w:rsidRPr="005D6706">
              <w:rPr>
                <w:rFonts w:cs="Times New Roman"/>
                <w:lang w:val="lv-LV" w:bidi="ar-SA"/>
              </w:rPr>
              <w:lastRenderedPageBreak/>
              <w:t>saistībām</w:t>
            </w:r>
          </w:p>
        </w:tc>
        <w:tc>
          <w:tcPr>
            <w:tcW w:w="7406" w:type="dxa"/>
            <w:gridSpan w:val="2"/>
          </w:tcPr>
          <w:p w:rsidR="00034B3B" w:rsidRPr="005D6706" w:rsidRDefault="00034B3B" w:rsidP="007D5D10">
            <w:pPr>
              <w:pStyle w:val="naiskr"/>
              <w:spacing w:before="0" w:after="0"/>
            </w:pPr>
            <w:r w:rsidRPr="005D6706">
              <w:lastRenderedPageBreak/>
              <w:t>Projekts šo jomu neskar.</w:t>
            </w:r>
          </w:p>
        </w:tc>
      </w:tr>
      <w:tr w:rsidR="00034B3B" w:rsidRPr="005D6706" w:rsidTr="007D5D10">
        <w:trPr>
          <w:trHeight w:val="371"/>
          <w:jc w:val="center"/>
        </w:trPr>
        <w:tc>
          <w:tcPr>
            <w:tcW w:w="2447" w:type="dxa"/>
          </w:tcPr>
          <w:p w:rsidR="00034B3B" w:rsidRPr="005D6706" w:rsidRDefault="00034B3B" w:rsidP="007D5D10">
            <w:pPr>
              <w:pStyle w:val="naiskr"/>
              <w:spacing w:before="0" w:after="0"/>
            </w:pPr>
            <w:r w:rsidRPr="005D6706">
              <w:lastRenderedPageBreak/>
              <w:t>Cita informācija</w:t>
            </w:r>
          </w:p>
        </w:tc>
        <w:tc>
          <w:tcPr>
            <w:tcW w:w="7406" w:type="dxa"/>
            <w:gridSpan w:val="2"/>
          </w:tcPr>
          <w:p w:rsidR="00034B3B" w:rsidRPr="005D6706" w:rsidRDefault="00034B3B" w:rsidP="007D5D10">
            <w:pPr>
              <w:pStyle w:val="naiskr"/>
              <w:spacing w:before="0" w:after="0"/>
            </w:pPr>
            <w:r w:rsidRPr="005D6706">
              <w:t>Nav.</w:t>
            </w:r>
          </w:p>
        </w:tc>
      </w:tr>
    </w:tbl>
    <w:p w:rsidR="00034B3B" w:rsidRPr="005D6706" w:rsidRDefault="00034B3B" w:rsidP="00034B3B">
      <w:pPr>
        <w:spacing w:after="0" w:line="240" w:lineRule="auto"/>
        <w:rPr>
          <w:rFonts w:ascii="Times New Roman" w:eastAsia="Times New Roman" w:hAnsi="Times New Roman"/>
          <w:sz w:val="24"/>
          <w:szCs w:val="24"/>
          <w:lang w:eastAsia="lv-LV"/>
        </w:rPr>
      </w:pPr>
    </w:p>
    <w:tbl>
      <w:tblPr>
        <w:tblpPr w:leftFromText="180" w:rightFromText="180" w:vertAnchor="text" w:horzAnchor="margin" w:tblpX="-256" w:tblpY="8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2885"/>
        <w:gridCol w:w="5982"/>
      </w:tblGrid>
      <w:tr w:rsidR="00034B3B" w:rsidRPr="005D6706" w:rsidTr="007D5D10">
        <w:tc>
          <w:tcPr>
            <w:tcW w:w="9673" w:type="dxa"/>
            <w:gridSpan w:val="3"/>
            <w:vAlign w:val="center"/>
          </w:tcPr>
          <w:p w:rsidR="00034B3B" w:rsidRPr="005D6706" w:rsidRDefault="00034B3B" w:rsidP="007D5D10">
            <w:pPr>
              <w:pStyle w:val="naisnod"/>
              <w:spacing w:before="0" w:after="0"/>
            </w:pPr>
            <w:r w:rsidRPr="005D6706">
              <w:t>VII. Tiesību akta projekta izpildes nodrošināšana un tās ietekme uz institūcijām</w:t>
            </w:r>
          </w:p>
        </w:tc>
      </w:tr>
      <w:tr w:rsidR="00034B3B" w:rsidRPr="005D6706" w:rsidTr="007D5D10">
        <w:trPr>
          <w:trHeight w:val="630"/>
        </w:trPr>
        <w:tc>
          <w:tcPr>
            <w:tcW w:w="806" w:type="dxa"/>
          </w:tcPr>
          <w:p w:rsidR="00034B3B" w:rsidRPr="005D6706" w:rsidRDefault="00034B3B" w:rsidP="007D5D10">
            <w:pPr>
              <w:pStyle w:val="naiskr"/>
              <w:spacing w:before="0" w:after="0"/>
            </w:pPr>
            <w:r w:rsidRPr="005D6706">
              <w:t>1.</w:t>
            </w:r>
          </w:p>
        </w:tc>
        <w:tc>
          <w:tcPr>
            <w:tcW w:w="2885"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Projekta izpildē iesaistītās institūcijas</w:t>
            </w:r>
          </w:p>
        </w:tc>
        <w:tc>
          <w:tcPr>
            <w:tcW w:w="5982" w:type="dxa"/>
          </w:tcPr>
          <w:p w:rsidR="00034B3B" w:rsidRDefault="00034B3B" w:rsidP="007D5D10">
            <w:pPr>
              <w:pStyle w:val="NormalWeb"/>
              <w:spacing w:before="0" w:beforeAutospacing="0" w:after="0" w:afterAutospacing="0"/>
              <w:jc w:val="both"/>
              <w:rPr>
                <w:rFonts w:cs="Times New Roman"/>
                <w:iCs/>
                <w:lang w:val="lv-LV" w:bidi="ar-SA"/>
              </w:rPr>
            </w:pPr>
            <w:r w:rsidRPr="005D6706">
              <w:rPr>
                <w:rFonts w:cs="Times New Roman"/>
                <w:iCs/>
                <w:lang w:val="lv-LV" w:bidi="ar-SA"/>
              </w:rPr>
              <w:t>Satiksmes ministrija.</w:t>
            </w:r>
          </w:p>
          <w:p w:rsidR="00C5218C" w:rsidRPr="005D6706" w:rsidRDefault="00C5218C" w:rsidP="00C5218C">
            <w:pPr>
              <w:pStyle w:val="NormalWeb"/>
              <w:spacing w:before="0" w:beforeAutospacing="0" w:after="0" w:afterAutospacing="0"/>
              <w:jc w:val="both"/>
              <w:rPr>
                <w:rFonts w:cs="Times New Roman"/>
                <w:lang w:val="lv-LV" w:bidi="ar-SA"/>
              </w:rPr>
            </w:pPr>
            <w:r>
              <w:rPr>
                <w:rFonts w:cs="Times New Roman"/>
                <w:iCs/>
                <w:lang w:val="lv-LV" w:bidi="ar-SA"/>
              </w:rPr>
              <w:t xml:space="preserve">Pirms projekta izsludināšanas notikusi tikšanās ar </w:t>
            </w:r>
            <w:r w:rsidRPr="00C5218C">
              <w:rPr>
                <w:rFonts w:cs="Times New Roman"/>
                <w:iCs/>
                <w:lang w:val="lv-LV" w:bidi="ar-SA"/>
              </w:rPr>
              <w:t>Latvijas Ceļinieku asociācij</w:t>
            </w:r>
            <w:r>
              <w:rPr>
                <w:rFonts w:cs="Times New Roman"/>
                <w:lang w:val="lv-LV" w:bidi="ar-SA"/>
              </w:rPr>
              <w:t>u un biedrību „Latvijas Ceļu būvētājs”</w:t>
            </w:r>
          </w:p>
        </w:tc>
      </w:tr>
      <w:tr w:rsidR="00034B3B" w:rsidRPr="005D6706" w:rsidTr="007D5D10">
        <w:trPr>
          <w:trHeight w:val="472"/>
        </w:trPr>
        <w:tc>
          <w:tcPr>
            <w:tcW w:w="806" w:type="dxa"/>
          </w:tcPr>
          <w:p w:rsidR="00034B3B" w:rsidRPr="005D6706" w:rsidRDefault="00034B3B" w:rsidP="007D5D10">
            <w:pPr>
              <w:pStyle w:val="naiskr"/>
              <w:spacing w:before="0" w:after="0"/>
            </w:pPr>
            <w:r w:rsidRPr="005D6706">
              <w:t>2.</w:t>
            </w:r>
          </w:p>
        </w:tc>
        <w:tc>
          <w:tcPr>
            <w:tcW w:w="2885"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Projekta izpildes ietekme uz pārvaldes funkcijām</w:t>
            </w:r>
          </w:p>
        </w:tc>
        <w:tc>
          <w:tcPr>
            <w:tcW w:w="5982" w:type="dxa"/>
          </w:tcPr>
          <w:p w:rsidR="00034B3B" w:rsidRPr="005D6706" w:rsidRDefault="00034B3B" w:rsidP="007D5D10">
            <w:pPr>
              <w:spacing w:after="0" w:line="240" w:lineRule="auto"/>
              <w:jc w:val="both"/>
              <w:rPr>
                <w:rFonts w:ascii="Times New Roman" w:eastAsia="Times New Roman" w:hAnsi="Times New Roman"/>
                <w:sz w:val="24"/>
                <w:szCs w:val="24"/>
                <w:lang w:eastAsia="lv-LV"/>
              </w:rPr>
            </w:pPr>
            <w:r w:rsidRPr="005D6706">
              <w:rPr>
                <w:rFonts w:ascii="Times New Roman" w:hAnsi="Times New Roman"/>
                <w:sz w:val="24"/>
                <w:szCs w:val="24"/>
              </w:rPr>
              <w:t>Normatīvā akta izpilde tiks nodrošināta esošo valsts institūciju funkciju ietvaros.</w:t>
            </w:r>
          </w:p>
        </w:tc>
      </w:tr>
      <w:tr w:rsidR="00034B3B" w:rsidRPr="005D6706" w:rsidTr="007D5D10">
        <w:trPr>
          <w:trHeight w:val="788"/>
        </w:trPr>
        <w:tc>
          <w:tcPr>
            <w:tcW w:w="806" w:type="dxa"/>
          </w:tcPr>
          <w:p w:rsidR="00034B3B" w:rsidRPr="005D6706" w:rsidRDefault="00034B3B" w:rsidP="007D5D10">
            <w:pPr>
              <w:pStyle w:val="naiskr"/>
              <w:spacing w:before="0" w:after="0"/>
            </w:pPr>
            <w:r w:rsidRPr="005D6706">
              <w:t>3.</w:t>
            </w:r>
          </w:p>
        </w:tc>
        <w:tc>
          <w:tcPr>
            <w:tcW w:w="2885"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Projekta izpildes ietekme uz pārvaldes institucionālo struktūru.</w:t>
            </w:r>
          </w:p>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Jaunu institūciju izveide</w:t>
            </w:r>
          </w:p>
        </w:tc>
        <w:tc>
          <w:tcPr>
            <w:tcW w:w="5982"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hAnsi="Times New Roman"/>
                <w:iCs/>
                <w:sz w:val="24"/>
                <w:szCs w:val="24"/>
              </w:rPr>
              <w:t>Projekts šo jomu neskar.</w:t>
            </w:r>
          </w:p>
        </w:tc>
      </w:tr>
      <w:tr w:rsidR="00034B3B" w:rsidRPr="005D6706" w:rsidTr="007D5D10">
        <w:trPr>
          <w:trHeight w:val="384"/>
        </w:trPr>
        <w:tc>
          <w:tcPr>
            <w:tcW w:w="806" w:type="dxa"/>
          </w:tcPr>
          <w:p w:rsidR="00034B3B" w:rsidRPr="005D6706" w:rsidRDefault="00034B3B" w:rsidP="007D5D10">
            <w:pPr>
              <w:pStyle w:val="naiskr"/>
              <w:spacing w:before="0" w:after="0"/>
            </w:pPr>
            <w:r w:rsidRPr="005D6706">
              <w:t>4.</w:t>
            </w:r>
          </w:p>
        </w:tc>
        <w:tc>
          <w:tcPr>
            <w:tcW w:w="2885"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Projekta izpildes ietekme uz pārvaldes institucionālo struktūru.</w:t>
            </w:r>
          </w:p>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Esošu institūciju likvidācija</w:t>
            </w:r>
          </w:p>
        </w:tc>
        <w:tc>
          <w:tcPr>
            <w:tcW w:w="5982"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hAnsi="Times New Roman"/>
                <w:iCs/>
                <w:sz w:val="24"/>
                <w:szCs w:val="24"/>
              </w:rPr>
              <w:t>Projekts šo jomu neskar.</w:t>
            </w:r>
          </w:p>
        </w:tc>
      </w:tr>
      <w:tr w:rsidR="00034B3B" w:rsidRPr="005D6706" w:rsidTr="007D5D10">
        <w:trPr>
          <w:trHeight w:val="820"/>
        </w:trPr>
        <w:tc>
          <w:tcPr>
            <w:tcW w:w="806" w:type="dxa"/>
          </w:tcPr>
          <w:p w:rsidR="00034B3B" w:rsidRPr="005D6706" w:rsidRDefault="00034B3B" w:rsidP="007D5D10">
            <w:pPr>
              <w:pStyle w:val="naiskr"/>
              <w:spacing w:before="0" w:after="0"/>
            </w:pPr>
            <w:r w:rsidRPr="005D6706">
              <w:t>5.</w:t>
            </w:r>
          </w:p>
        </w:tc>
        <w:tc>
          <w:tcPr>
            <w:tcW w:w="2885"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Projekta izpildes ietekme uz pārvaldes institucionālo struktūru.</w:t>
            </w:r>
          </w:p>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Esošu institūciju reorganizācija</w:t>
            </w:r>
          </w:p>
        </w:tc>
        <w:tc>
          <w:tcPr>
            <w:tcW w:w="5982"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hAnsi="Times New Roman"/>
                <w:iCs/>
                <w:sz w:val="24"/>
                <w:szCs w:val="24"/>
              </w:rPr>
              <w:t>Projekts šo jomu neskar.</w:t>
            </w:r>
          </w:p>
        </w:tc>
      </w:tr>
      <w:tr w:rsidR="00034B3B" w:rsidRPr="005D6706" w:rsidTr="007D5D10">
        <w:trPr>
          <w:trHeight w:val="258"/>
        </w:trPr>
        <w:tc>
          <w:tcPr>
            <w:tcW w:w="806" w:type="dxa"/>
          </w:tcPr>
          <w:p w:rsidR="00034B3B" w:rsidRPr="005D6706" w:rsidRDefault="00034B3B" w:rsidP="007D5D10">
            <w:pPr>
              <w:pStyle w:val="naiskr"/>
              <w:spacing w:before="0" w:after="0"/>
            </w:pPr>
            <w:r w:rsidRPr="005D6706">
              <w:t>6.</w:t>
            </w:r>
          </w:p>
        </w:tc>
        <w:tc>
          <w:tcPr>
            <w:tcW w:w="2885" w:type="dxa"/>
          </w:tcPr>
          <w:p w:rsidR="00034B3B" w:rsidRPr="005D6706" w:rsidRDefault="00034B3B" w:rsidP="007D5D10">
            <w:pPr>
              <w:spacing w:after="0" w:line="240" w:lineRule="auto"/>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Cita informācija</w:t>
            </w:r>
          </w:p>
        </w:tc>
        <w:tc>
          <w:tcPr>
            <w:tcW w:w="5982" w:type="dxa"/>
          </w:tcPr>
          <w:p w:rsidR="00034B3B" w:rsidRPr="005D6706" w:rsidRDefault="00034B3B" w:rsidP="00526A67">
            <w:pPr>
              <w:shd w:val="clear" w:color="auto" w:fill="FFFFFF"/>
              <w:autoSpaceDE w:val="0"/>
              <w:spacing w:after="0" w:line="240" w:lineRule="auto"/>
              <w:jc w:val="both"/>
              <w:rPr>
                <w:rFonts w:ascii="Times New Roman" w:eastAsia="Times New Roman" w:hAnsi="Times New Roman"/>
                <w:sz w:val="24"/>
                <w:szCs w:val="24"/>
                <w:lang w:eastAsia="lv-LV"/>
              </w:rPr>
            </w:pPr>
            <w:r w:rsidRPr="005D6706">
              <w:rPr>
                <w:rFonts w:ascii="Times New Roman" w:eastAsia="Times New Roman" w:hAnsi="Times New Roman"/>
                <w:sz w:val="24"/>
                <w:szCs w:val="24"/>
                <w:lang w:eastAsia="lv-LV"/>
              </w:rPr>
              <w:t xml:space="preserve">Ar </w:t>
            </w:r>
            <w:r w:rsidR="00526A67">
              <w:rPr>
                <w:rFonts w:ascii="Times New Roman" w:eastAsia="Times New Roman" w:hAnsi="Times New Roman"/>
                <w:sz w:val="24"/>
                <w:szCs w:val="24"/>
                <w:lang w:eastAsia="lv-LV"/>
              </w:rPr>
              <w:t>pr</w:t>
            </w:r>
            <w:r w:rsidRPr="005D6706">
              <w:rPr>
                <w:rFonts w:ascii="Times New Roman" w:eastAsia="Times New Roman" w:hAnsi="Times New Roman"/>
                <w:sz w:val="24"/>
                <w:szCs w:val="24"/>
                <w:lang w:eastAsia="lv-LV"/>
              </w:rPr>
              <w:t xml:space="preserve">ojekta pieņemšanu tiek ieviesti LR </w:t>
            </w:r>
            <w:r w:rsidR="00526A67">
              <w:rPr>
                <w:rFonts w:ascii="Times New Roman" w:eastAsia="Times New Roman" w:hAnsi="Times New Roman"/>
                <w:sz w:val="24"/>
                <w:szCs w:val="24"/>
                <w:lang w:eastAsia="lv-LV"/>
              </w:rPr>
              <w:t>V</w:t>
            </w:r>
            <w:r w:rsidRPr="005D6706">
              <w:rPr>
                <w:rFonts w:ascii="Times New Roman" w:eastAsia="Times New Roman" w:hAnsi="Times New Roman"/>
                <w:sz w:val="24"/>
                <w:szCs w:val="24"/>
                <w:lang w:eastAsia="lv-LV"/>
              </w:rPr>
              <w:t xml:space="preserve">alsts kontroles Revīzijas ziņojumā </w:t>
            </w:r>
            <w:r w:rsidRPr="005D6706">
              <w:rPr>
                <w:rFonts w:ascii="Times New Roman" w:eastAsia="Times New Roman" w:hAnsi="Times New Roman"/>
                <w:sz w:val="24"/>
                <w:szCs w:val="24"/>
              </w:rPr>
              <w:t>Nr.5.1-2-9/2011 „</w:t>
            </w:r>
            <w:r w:rsidRPr="005D6706">
              <w:rPr>
                <w:rFonts w:ascii="Times New Roman" w:eastAsia="Times New Roman" w:hAnsi="Times New Roman"/>
                <w:bCs/>
                <w:sz w:val="24"/>
                <w:szCs w:val="24"/>
              </w:rPr>
              <w:t>Valsts kapitālsabiedrību darbības valsts autoceļu ikdienas uzturēšanas jomā likumības un izmaksu efektivitātes izvērtējums” izteiktie secinājumi par autoceļu nozares sakārtošanas nepieciešamību.</w:t>
            </w:r>
          </w:p>
        </w:tc>
      </w:tr>
    </w:tbl>
    <w:p w:rsidR="00D81E77" w:rsidRPr="005D6706" w:rsidRDefault="00D81E77" w:rsidP="00D81E77">
      <w:pPr>
        <w:pStyle w:val="NormalWeb"/>
        <w:spacing w:before="0" w:beforeAutospacing="0" w:after="0" w:afterAutospacing="0"/>
        <w:ind w:left="539"/>
        <w:rPr>
          <w:rFonts w:cs="Times New Roman"/>
          <w:i/>
          <w:iCs/>
          <w:lang w:val="lv-LV"/>
        </w:rPr>
      </w:pPr>
    </w:p>
    <w:p w:rsidR="00D81E77" w:rsidRPr="005D6706" w:rsidRDefault="00D81E77" w:rsidP="00D81E77">
      <w:pPr>
        <w:pStyle w:val="NormalWeb"/>
        <w:spacing w:before="0" w:beforeAutospacing="0" w:after="0" w:afterAutospacing="0"/>
        <w:ind w:left="539"/>
        <w:rPr>
          <w:rFonts w:cs="Times New Roman"/>
          <w:lang w:val="lv-LV"/>
        </w:rPr>
      </w:pPr>
      <w:r w:rsidRPr="005D6706">
        <w:rPr>
          <w:rFonts w:cs="Times New Roman"/>
          <w:iCs/>
          <w:lang w:val="lv-LV"/>
        </w:rPr>
        <w:t>Anotācijas VI sadaļa – projekts šo jomu neskar</w:t>
      </w:r>
    </w:p>
    <w:p w:rsidR="00034B3B" w:rsidRPr="005D6706" w:rsidRDefault="00034B3B" w:rsidP="00034B3B">
      <w:pPr>
        <w:pStyle w:val="NormalWeb"/>
        <w:spacing w:before="0" w:beforeAutospacing="0" w:after="0" w:afterAutospacing="0"/>
        <w:ind w:left="539"/>
        <w:rPr>
          <w:rFonts w:cs="Times New Roman"/>
          <w:lang w:val="lv-LV"/>
        </w:rPr>
      </w:pPr>
    </w:p>
    <w:p w:rsidR="00980B00" w:rsidRPr="005D6706" w:rsidRDefault="00980B00" w:rsidP="00034B3B">
      <w:pPr>
        <w:pStyle w:val="NormalWeb"/>
        <w:spacing w:before="0" w:beforeAutospacing="0" w:after="0" w:afterAutospacing="0"/>
        <w:ind w:left="539"/>
        <w:rPr>
          <w:rFonts w:cs="Times New Roman"/>
          <w:lang w:val="lv-LV"/>
        </w:rPr>
      </w:pPr>
    </w:p>
    <w:p w:rsidR="00034B3B" w:rsidRPr="005D6706" w:rsidRDefault="00034B3B" w:rsidP="00034B3B">
      <w:pPr>
        <w:pStyle w:val="NormalWeb"/>
        <w:spacing w:before="0" w:beforeAutospacing="0" w:after="0" w:afterAutospacing="0"/>
        <w:ind w:left="539"/>
        <w:rPr>
          <w:rFonts w:cs="Times New Roman"/>
        </w:rPr>
      </w:pPr>
    </w:p>
    <w:p w:rsidR="00034B3B" w:rsidRPr="005D6706" w:rsidRDefault="00034B3B" w:rsidP="00034B3B">
      <w:pPr>
        <w:pStyle w:val="NormalWeb"/>
        <w:spacing w:before="0" w:beforeAutospacing="0" w:after="0" w:afterAutospacing="0"/>
        <w:ind w:left="539"/>
        <w:rPr>
          <w:rFonts w:cs="Times New Roman"/>
        </w:rPr>
      </w:pPr>
      <w:r w:rsidRPr="005D6706">
        <w:rPr>
          <w:rFonts w:cs="Times New Roman"/>
        </w:rPr>
        <w:t>Satiksmes ministrs</w:t>
      </w:r>
      <w:r w:rsidRPr="005D6706">
        <w:rPr>
          <w:rFonts w:cs="Times New Roman"/>
        </w:rPr>
        <w:tab/>
      </w:r>
      <w:r w:rsidRPr="005D6706">
        <w:rPr>
          <w:rFonts w:cs="Times New Roman"/>
        </w:rPr>
        <w:tab/>
      </w:r>
      <w:r w:rsidRPr="005D6706">
        <w:rPr>
          <w:rFonts w:cs="Times New Roman"/>
        </w:rPr>
        <w:tab/>
      </w:r>
      <w:r w:rsidRPr="005D6706">
        <w:rPr>
          <w:rFonts w:cs="Times New Roman"/>
        </w:rPr>
        <w:tab/>
      </w:r>
      <w:r w:rsidRPr="005D6706">
        <w:rPr>
          <w:rFonts w:cs="Times New Roman"/>
        </w:rPr>
        <w:tab/>
        <w:t>A.Matīss</w:t>
      </w:r>
    </w:p>
    <w:p w:rsidR="00034B3B" w:rsidRPr="005D6706" w:rsidRDefault="00034B3B" w:rsidP="00034B3B">
      <w:pPr>
        <w:pStyle w:val="EnvelopeReturn"/>
        <w:tabs>
          <w:tab w:val="left" w:pos="6480"/>
          <w:tab w:val="right" w:pos="7560"/>
        </w:tabs>
        <w:spacing w:before="0"/>
        <w:ind w:left="539"/>
        <w:rPr>
          <w:sz w:val="24"/>
          <w:szCs w:val="24"/>
          <w:lang w:val="lv-LV"/>
        </w:rPr>
      </w:pPr>
    </w:p>
    <w:p w:rsidR="00034B3B" w:rsidRPr="005D6706" w:rsidRDefault="00034B3B" w:rsidP="00034B3B">
      <w:pPr>
        <w:pStyle w:val="EnvelopeReturn"/>
        <w:tabs>
          <w:tab w:val="left" w:pos="6480"/>
          <w:tab w:val="right" w:pos="7560"/>
        </w:tabs>
        <w:spacing w:before="0"/>
        <w:ind w:left="539"/>
        <w:rPr>
          <w:sz w:val="24"/>
          <w:szCs w:val="24"/>
          <w:lang w:val="lv-LV"/>
        </w:rPr>
      </w:pPr>
      <w:r w:rsidRPr="005D6706">
        <w:rPr>
          <w:sz w:val="24"/>
          <w:szCs w:val="24"/>
          <w:lang w:val="lv-LV"/>
        </w:rPr>
        <w:t xml:space="preserve">Vīza: </w:t>
      </w:r>
    </w:p>
    <w:p w:rsidR="00034B3B" w:rsidRPr="005D6706" w:rsidRDefault="00034B3B" w:rsidP="00034B3B">
      <w:pPr>
        <w:pStyle w:val="BodyTextIndent2"/>
        <w:spacing w:after="60" w:line="240" w:lineRule="auto"/>
        <w:ind w:left="0" w:firstLine="539"/>
        <w:rPr>
          <w:rFonts w:ascii="Times New Roman" w:hAnsi="Times New Roman" w:cs="Times New Roman"/>
          <w:sz w:val="24"/>
          <w:szCs w:val="24"/>
        </w:rPr>
      </w:pPr>
      <w:r w:rsidRPr="005D6706">
        <w:rPr>
          <w:rFonts w:ascii="Times New Roman" w:hAnsi="Times New Roman" w:cs="Times New Roman"/>
          <w:sz w:val="24"/>
          <w:szCs w:val="24"/>
        </w:rPr>
        <w:t xml:space="preserve">valsts sekretārs </w:t>
      </w:r>
      <w:r w:rsidRPr="005D6706">
        <w:rPr>
          <w:rFonts w:ascii="Times New Roman" w:hAnsi="Times New Roman" w:cs="Times New Roman"/>
          <w:sz w:val="24"/>
          <w:szCs w:val="24"/>
        </w:rPr>
        <w:tab/>
      </w:r>
      <w:r w:rsidRPr="005D6706">
        <w:rPr>
          <w:rFonts w:ascii="Times New Roman" w:hAnsi="Times New Roman" w:cs="Times New Roman"/>
          <w:sz w:val="24"/>
          <w:szCs w:val="24"/>
        </w:rPr>
        <w:tab/>
      </w:r>
      <w:r w:rsidRPr="005D6706">
        <w:rPr>
          <w:rFonts w:ascii="Times New Roman" w:hAnsi="Times New Roman" w:cs="Times New Roman"/>
          <w:sz w:val="24"/>
          <w:szCs w:val="24"/>
        </w:rPr>
        <w:tab/>
      </w:r>
      <w:r w:rsidRPr="005D6706">
        <w:rPr>
          <w:rFonts w:ascii="Times New Roman" w:hAnsi="Times New Roman" w:cs="Times New Roman"/>
          <w:sz w:val="24"/>
          <w:szCs w:val="24"/>
        </w:rPr>
        <w:tab/>
      </w:r>
      <w:r w:rsidRPr="005D6706">
        <w:rPr>
          <w:rFonts w:ascii="Times New Roman" w:hAnsi="Times New Roman" w:cs="Times New Roman"/>
          <w:sz w:val="24"/>
          <w:szCs w:val="24"/>
        </w:rPr>
        <w:tab/>
      </w:r>
      <w:r w:rsidRPr="005D6706">
        <w:rPr>
          <w:rFonts w:ascii="Times New Roman" w:hAnsi="Times New Roman" w:cs="Times New Roman"/>
          <w:sz w:val="24"/>
          <w:szCs w:val="24"/>
        </w:rPr>
        <w:tab/>
        <w:t>K.Ozoliņš</w:t>
      </w:r>
    </w:p>
    <w:p w:rsidR="00034B3B" w:rsidRPr="005D6706" w:rsidRDefault="00034B3B" w:rsidP="00034B3B">
      <w:pPr>
        <w:spacing w:after="0" w:line="240" w:lineRule="auto"/>
        <w:rPr>
          <w:rFonts w:ascii="Times New Roman" w:hAnsi="Times New Roman"/>
          <w:sz w:val="24"/>
          <w:szCs w:val="24"/>
        </w:rPr>
      </w:pPr>
    </w:p>
    <w:p w:rsidR="00034B3B" w:rsidRPr="005D6706" w:rsidRDefault="00034B3B" w:rsidP="00034B3B">
      <w:pPr>
        <w:spacing w:after="0" w:line="240" w:lineRule="auto"/>
        <w:rPr>
          <w:rFonts w:ascii="Times New Roman" w:hAnsi="Times New Roman"/>
          <w:sz w:val="24"/>
          <w:szCs w:val="24"/>
        </w:rPr>
      </w:pPr>
    </w:p>
    <w:p w:rsidR="00520B62" w:rsidRPr="005D6706" w:rsidRDefault="00520B62" w:rsidP="00034B3B">
      <w:pPr>
        <w:spacing w:after="0" w:line="240" w:lineRule="auto"/>
        <w:rPr>
          <w:rFonts w:ascii="Times New Roman" w:hAnsi="Times New Roman"/>
          <w:sz w:val="24"/>
          <w:szCs w:val="24"/>
        </w:rPr>
      </w:pPr>
    </w:p>
    <w:p w:rsidR="00520B62" w:rsidRPr="005D6706" w:rsidRDefault="00520B62" w:rsidP="00034B3B">
      <w:pPr>
        <w:spacing w:after="0" w:line="240" w:lineRule="auto"/>
        <w:rPr>
          <w:rFonts w:ascii="Times New Roman" w:hAnsi="Times New Roman"/>
          <w:sz w:val="24"/>
          <w:szCs w:val="24"/>
        </w:rPr>
      </w:pPr>
    </w:p>
    <w:p w:rsidR="00034B3B" w:rsidRPr="00961CDD" w:rsidRDefault="00961CDD" w:rsidP="00034B3B">
      <w:pPr>
        <w:spacing w:after="0" w:line="240" w:lineRule="auto"/>
        <w:rPr>
          <w:rFonts w:ascii="Times New Roman" w:hAnsi="Times New Roman"/>
          <w:sz w:val="20"/>
          <w:szCs w:val="20"/>
        </w:rPr>
      </w:pPr>
      <w:r w:rsidRPr="00961CDD">
        <w:rPr>
          <w:rFonts w:ascii="Times New Roman" w:hAnsi="Times New Roman"/>
          <w:sz w:val="20"/>
          <w:szCs w:val="20"/>
        </w:rPr>
        <w:t>12.1</w:t>
      </w:r>
      <w:r w:rsidR="00784C90">
        <w:rPr>
          <w:rFonts w:ascii="Times New Roman" w:hAnsi="Times New Roman"/>
          <w:sz w:val="20"/>
          <w:szCs w:val="20"/>
        </w:rPr>
        <w:t>2</w:t>
      </w:r>
      <w:r w:rsidRPr="00961CDD">
        <w:rPr>
          <w:rFonts w:ascii="Times New Roman" w:hAnsi="Times New Roman"/>
          <w:sz w:val="20"/>
          <w:szCs w:val="20"/>
        </w:rPr>
        <w:t>.</w:t>
      </w:r>
      <w:r w:rsidR="00034B3B" w:rsidRPr="00961CDD">
        <w:rPr>
          <w:rFonts w:ascii="Times New Roman" w:hAnsi="Times New Roman"/>
          <w:sz w:val="20"/>
          <w:szCs w:val="20"/>
        </w:rPr>
        <w:t>2013. 1</w:t>
      </w:r>
      <w:r w:rsidR="00520B62" w:rsidRPr="00961CDD">
        <w:rPr>
          <w:rFonts w:ascii="Times New Roman" w:hAnsi="Times New Roman"/>
          <w:sz w:val="20"/>
          <w:szCs w:val="20"/>
        </w:rPr>
        <w:t>1</w:t>
      </w:r>
      <w:r w:rsidR="00034B3B" w:rsidRPr="00961CDD">
        <w:rPr>
          <w:rFonts w:ascii="Times New Roman" w:hAnsi="Times New Roman"/>
          <w:sz w:val="20"/>
          <w:szCs w:val="20"/>
        </w:rPr>
        <w:t>:30</w:t>
      </w:r>
    </w:p>
    <w:p w:rsidR="00034B3B" w:rsidRPr="00961CDD" w:rsidRDefault="00961CDD" w:rsidP="00034B3B">
      <w:pPr>
        <w:spacing w:after="0" w:line="240" w:lineRule="auto"/>
        <w:rPr>
          <w:rFonts w:ascii="Times New Roman" w:hAnsi="Times New Roman"/>
          <w:sz w:val="20"/>
          <w:szCs w:val="20"/>
        </w:rPr>
      </w:pPr>
      <w:r w:rsidRPr="00961CDD">
        <w:rPr>
          <w:rFonts w:ascii="Times New Roman" w:hAnsi="Times New Roman"/>
          <w:sz w:val="20"/>
          <w:szCs w:val="20"/>
        </w:rPr>
        <w:t>2</w:t>
      </w:r>
      <w:r w:rsidR="00526A67">
        <w:rPr>
          <w:rFonts w:ascii="Times New Roman" w:hAnsi="Times New Roman"/>
          <w:sz w:val="20"/>
          <w:szCs w:val="20"/>
        </w:rPr>
        <w:t>219</w:t>
      </w:r>
    </w:p>
    <w:p w:rsidR="00034B3B" w:rsidRPr="00961CDD" w:rsidRDefault="00961CDD" w:rsidP="00034B3B">
      <w:pPr>
        <w:spacing w:after="0" w:line="240" w:lineRule="auto"/>
        <w:rPr>
          <w:rFonts w:ascii="Times New Roman" w:hAnsi="Times New Roman"/>
          <w:sz w:val="20"/>
          <w:szCs w:val="20"/>
        </w:rPr>
      </w:pPr>
      <w:r w:rsidRPr="00961CDD">
        <w:rPr>
          <w:rFonts w:ascii="Times New Roman" w:hAnsi="Times New Roman"/>
          <w:sz w:val="20"/>
          <w:szCs w:val="20"/>
        </w:rPr>
        <w:t>I.Strautmane</w:t>
      </w:r>
    </w:p>
    <w:p w:rsidR="00034B3B" w:rsidRPr="00961CDD" w:rsidRDefault="00034B3B" w:rsidP="00034B3B">
      <w:pPr>
        <w:spacing w:after="0" w:line="240" w:lineRule="auto"/>
        <w:rPr>
          <w:rFonts w:ascii="Times New Roman" w:hAnsi="Times New Roman"/>
          <w:sz w:val="20"/>
          <w:szCs w:val="20"/>
        </w:rPr>
      </w:pPr>
      <w:r w:rsidRPr="00961CDD">
        <w:rPr>
          <w:rFonts w:ascii="Times New Roman" w:hAnsi="Times New Roman"/>
          <w:sz w:val="20"/>
          <w:szCs w:val="20"/>
        </w:rPr>
        <w:t>6702823</w:t>
      </w:r>
      <w:r w:rsidR="00961CDD" w:rsidRPr="00961CDD">
        <w:rPr>
          <w:rFonts w:ascii="Times New Roman" w:hAnsi="Times New Roman"/>
          <w:sz w:val="20"/>
          <w:szCs w:val="20"/>
        </w:rPr>
        <w:t>1</w:t>
      </w:r>
      <w:r w:rsidRPr="00961CDD">
        <w:rPr>
          <w:rFonts w:ascii="Times New Roman" w:hAnsi="Times New Roman"/>
          <w:sz w:val="20"/>
          <w:szCs w:val="20"/>
        </w:rPr>
        <w:t xml:space="preserve">; </w:t>
      </w:r>
      <w:r w:rsidR="00961CDD" w:rsidRPr="00961CDD">
        <w:rPr>
          <w:rFonts w:ascii="Times New Roman" w:hAnsi="Times New Roman"/>
          <w:sz w:val="20"/>
          <w:szCs w:val="20"/>
        </w:rPr>
        <w:t>Inguna.Strautmane</w:t>
      </w:r>
      <w:r w:rsidRPr="00961CDD">
        <w:rPr>
          <w:rFonts w:ascii="Times New Roman" w:hAnsi="Times New Roman"/>
          <w:sz w:val="20"/>
          <w:szCs w:val="20"/>
        </w:rPr>
        <w:t>@sam.gov.lv</w:t>
      </w:r>
    </w:p>
    <w:p w:rsidR="00463FF6" w:rsidRPr="00961CDD" w:rsidRDefault="00463FF6">
      <w:pPr>
        <w:rPr>
          <w:rFonts w:ascii="Times New Roman" w:hAnsi="Times New Roman"/>
          <w:sz w:val="20"/>
          <w:szCs w:val="20"/>
        </w:rPr>
      </w:pPr>
    </w:p>
    <w:p w:rsidR="00980B00" w:rsidRPr="005D6706" w:rsidRDefault="00980B00">
      <w:pPr>
        <w:rPr>
          <w:rFonts w:ascii="Times New Roman" w:hAnsi="Times New Roman"/>
          <w:sz w:val="24"/>
          <w:szCs w:val="24"/>
        </w:rPr>
      </w:pPr>
    </w:p>
    <w:p w:rsidR="00980B00" w:rsidRPr="005D6706" w:rsidRDefault="00980B00">
      <w:pPr>
        <w:rPr>
          <w:rFonts w:ascii="Times New Roman" w:hAnsi="Times New Roman"/>
          <w:sz w:val="24"/>
          <w:szCs w:val="24"/>
        </w:rPr>
      </w:pPr>
    </w:p>
    <w:sectPr w:rsidR="00980B00" w:rsidRPr="005D6706" w:rsidSect="00520B62">
      <w:headerReference w:type="default" r:id="rId10"/>
      <w:footerReference w:type="default" r:id="rId11"/>
      <w:footerReference w:type="firs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41" w:rsidRDefault="00272041">
      <w:pPr>
        <w:spacing w:after="0" w:line="240" w:lineRule="auto"/>
      </w:pPr>
      <w:r>
        <w:separator/>
      </w:r>
    </w:p>
  </w:endnote>
  <w:endnote w:type="continuationSeparator" w:id="0">
    <w:p w:rsidR="00272041" w:rsidRDefault="0027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D9" w:rsidRPr="00F570EE" w:rsidRDefault="00F570EE" w:rsidP="00F570EE">
    <w:pPr>
      <w:pStyle w:val="Footer"/>
      <w:spacing w:after="0" w:line="240" w:lineRule="auto"/>
      <w:jc w:val="both"/>
    </w:pPr>
    <w:r w:rsidRPr="00F570EE">
      <w:rPr>
        <w:rFonts w:ascii="Times New Roman" w:hAnsi="Times New Roman"/>
        <w:sz w:val="20"/>
      </w:rPr>
      <w:t>SAMAnot_121</w:t>
    </w:r>
    <w:r w:rsidR="00784C90">
      <w:rPr>
        <w:rFonts w:ascii="Times New Roman" w:hAnsi="Times New Roman"/>
        <w:sz w:val="20"/>
        <w:lang w:val="lv-LV"/>
      </w:rPr>
      <w:t>2</w:t>
    </w:r>
    <w:r w:rsidRPr="00F570EE">
      <w:rPr>
        <w:rFonts w:ascii="Times New Roman" w:hAnsi="Times New Roman"/>
        <w:sz w:val="20"/>
      </w:rPr>
      <w:t>13_metodika; Ministru kabineta noteikumu projekta „Valsts akciju sabiedrības „Latvijas autoceļu uzturētājs” sniegto publisko pakalpojumu saraksts un to cenu noteikšanas metodika”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D9" w:rsidRPr="00F570EE" w:rsidRDefault="004E62D9" w:rsidP="007D5D10">
    <w:pPr>
      <w:pStyle w:val="Footer"/>
      <w:spacing w:after="0" w:line="240" w:lineRule="auto"/>
      <w:rPr>
        <w:rFonts w:ascii="Times New Roman" w:hAnsi="Times New Roman"/>
        <w:sz w:val="20"/>
        <w:lang w:val="lv-LV"/>
      </w:rPr>
    </w:pPr>
    <w:r w:rsidRPr="001B4D21">
      <w:rPr>
        <w:rFonts w:ascii="Times New Roman" w:hAnsi="Times New Roman"/>
        <w:sz w:val="20"/>
      </w:rPr>
      <w:t>SAMAnot_</w:t>
    </w:r>
    <w:r w:rsidR="00F570EE">
      <w:rPr>
        <w:rFonts w:ascii="Times New Roman" w:hAnsi="Times New Roman"/>
        <w:sz w:val="20"/>
        <w:lang w:val="lv-LV"/>
      </w:rPr>
      <w:t>12</w:t>
    </w:r>
    <w:r w:rsidR="00784C90">
      <w:rPr>
        <w:rFonts w:ascii="Times New Roman" w:hAnsi="Times New Roman"/>
        <w:sz w:val="20"/>
        <w:lang w:val="lv-LV"/>
      </w:rPr>
      <w:t>12</w:t>
    </w:r>
    <w:r w:rsidR="00F570EE">
      <w:rPr>
        <w:rFonts w:ascii="Times New Roman" w:hAnsi="Times New Roman"/>
        <w:sz w:val="20"/>
        <w:lang w:val="lv-LV"/>
      </w:rPr>
      <w:t>13_metodika;</w:t>
    </w:r>
    <w:r w:rsidR="00F570EE" w:rsidRPr="00F570EE">
      <w:t xml:space="preserve"> </w:t>
    </w:r>
    <w:r w:rsidR="00F570EE" w:rsidRPr="00F570EE">
      <w:rPr>
        <w:rFonts w:ascii="Times New Roman" w:hAnsi="Times New Roman"/>
        <w:sz w:val="20"/>
        <w:lang w:val="lv-LV"/>
      </w:rPr>
      <w:t>Ministru kabineta noteikumu projekta „Valsts akciju sabiedrības „Latvijas autoceļu uzturētājs” sniegto publisko pakalpojumu saraksts un to cenu noteikšanas metodika”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41" w:rsidRDefault="00272041">
      <w:pPr>
        <w:spacing w:after="0" w:line="240" w:lineRule="auto"/>
      </w:pPr>
      <w:r>
        <w:separator/>
      </w:r>
    </w:p>
  </w:footnote>
  <w:footnote w:type="continuationSeparator" w:id="0">
    <w:p w:rsidR="00272041" w:rsidRDefault="00272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D9" w:rsidRDefault="004E62D9">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B922D6">
      <w:rPr>
        <w:rFonts w:ascii="Times New Roman" w:hAnsi="Times New Roman"/>
        <w:noProof/>
        <w:sz w:val="24"/>
        <w:szCs w:val="24"/>
      </w:rPr>
      <w:t>9</w:t>
    </w:r>
    <w:r w:rsidRPr="00C25AD5">
      <w:rPr>
        <w:rFonts w:ascii="Times New Roman" w:hAnsi="Times New Roman"/>
        <w:sz w:val="24"/>
        <w:szCs w:val="24"/>
      </w:rPr>
      <w:fldChar w:fldCharType="end"/>
    </w:r>
  </w:p>
  <w:p w:rsidR="004E62D9" w:rsidRDefault="004E6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D2D0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36B503B"/>
    <w:multiLevelType w:val="hybridMultilevel"/>
    <w:tmpl w:val="25C209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3B"/>
    <w:rsid w:val="00003ACC"/>
    <w:rsid w:val="00006D65"/>
    <w:rsid w:val="000220F4"/>
    <w:rsid w:val="000300EB"/>
    <w:rsid w:val="00034B3B"/>
    <w:rsid w:val="000406E5"/>
    <w:rsid w:val="00083E9C"/>
    <w:rsid w:val="000F79A8"/>
    <w:rsid w:val="001A2A7E"/>
    <w:rsid w:val="001D2483"/>
    <w:rsid w:val="001F0D0B"/>
    <w:rsid w:val="00213CA5"/>
    <w:rsid w:val="002171B8"/>
    <w:rsid w:val="00231C97"/>
    <w:rsid w:val="00236D3D"/>
    <w:rsid w:val="00241B17"/>
    <w:rsid w:val="00251A77"/>
    <w:rsid w:val="002575BC"/>
    <w:rsid w:val="00265C81"/>
    <w:rsid w:val="00272041"/>
    <w:rsid w:val="00273939"/>
    <w:rsid w:val="00276B20"/>
    <w:rsid w:val="00282EFE"/>
    <w:rsid w:val="00283037"/>
    <w:rsid w:val="002932AD"/>
    <w:rsid w:val="002A2A83"/>
    <w:rsid w:val="002A7F27"/>
    <w:rsid w:val="002F450B"/>
    <w:rsid w:val="002F548F"/>
    <w:rsid w:val="003024A4"/>
    <w:rsid w:val="003226A3"/>
    <w:rsid w:val="00323D9D"/>
    <w:rsid w:val="00360F64"/>
    <w:rsid w:val="00387FB9"/>
    <w:rsid w:val="003A1433"/>
    <w:rsid w:val="003A5A35"/>
    <w:rsid w:val="003F158D"/>
    <w:rsid w:val="003F2D8B"/>
    <w:rsid w:val="004302F2"/>
    <w:rsid w:val="004463A4"/>
    <w:rsid w:val="00455053"/>
    <w:rsid w:val="00462E36"/>
    <w:rsid w:val="00463FF6"/>
    <w:rsid w:val="00467159"/>
    <w:rsid w:val="004A2007"/>
    <w:rsid w:val="004A71AD"/>
    <w:rsid w:val="004D12B1"/>
    <w:rsid w:val="004D5D4B"/>
    <w:rsid w:val="004E1248"/>
    <w:rsid w:val="004E62D9"/>
    <w:rsid w:val="00520B62"/>
    <w:rsid w:val="00521FF3"/>
    <w:rsid w:val="0052665A"/>
    <w:rsid w:val="00526A67"/>
    <w:rsid w:val="00536262"/>
    <w:rsid w:val="00565583"/>
    <w:rsid w:val="00571A30"/>
    <w:rsid w:val="0057624E"/>
    <w:rsid w:val="00587012"/>
    <w:rsid w:val="005949AD"/>
    <w:rsid w:val="005C59F1"/>
    <w:rsid w:val="005C7216"/>
    <w:rsid w:val="005D6706"/>
    <w:rsid w:val="005E07C6"/>
    <w:rsid w:val="005E1DA0"/>
    <w:rsid w:val="005E6F1B"/>
    <w:rsid w:val="005F18C7"/>
    <w:rsid w:val="006151AC"/>
    <w:rsid w:val="0062755D"/>
    <w:rsid w:val="006364AC"/>
    <w:rsid w:val="006451FC"/>
    <w:rsid w:val="0064614C"/>
    <w:rsid w:val="00647B9C"/>
    <w:rsid w:val="00667D1F"/>
    <w:rsid w:val="006952BB"/>
    <w:rsid w:val="00695B78"/>
    <w:rsid w:val="006A35A4"/>
    <w:rsid w:val="006B74F3"/>
    <w:rsid w:val="006B7663"/>
    <w:rsid w:val="006D5AA4"/>
    <w:rsid w:val="00700493"/>
    <w:rsid w:val="007048E3"/>
    <w:rsid w:val="0070608A"/>
    <w:rsid w:val="00714ED7"/>
    <w:rsid w:val="007232F1"/>
    <w:rsid w:val="00730993"/>
    <w:rsid w:val="00746533"/>
    <w:rsid w:val="00760749"/>
    <w:rsid w:val="0077090E"/>
    <w:rsid w:val="00772ECC"/>
    <w:rsid w:val="00784C90"/>
    <w:rsid w:val="0079226D"/>
    <w:rsid w:val="007A598A"/>
    <w:rsid w:val="007B00C5"/>
    <w:rsid w:val="007C2C29"/>
    <w:rsid w:val="007C5737"/>
    <w:rsid w:val="007D15FB"/>
    <w:rsid w:val="007D5D10"/>
    <w:rsid w:val="007F471E"/>
    <w:rsid w:val="00800AE7"/>
    <w:rsid w:val="008059EF"/>
    <w:rsid w:val="00840F44"/>
    <w:rsid w:val="00841D87"/>
    <w:rsid w:val="00853EC4"/>
    <w:rsid w:val="00886EBA"/>
    <w:rsid w:val="008A0D5F"/>
    <w:rsid w:val="008A54EF"/>
    <w:rsid w:val="008D35E1"/>
    <w:rsid w:val="00920617"/>
    <w:rsid w:val="00935683"/>
    <w:rsid w:val="00944F4E"/>
    <w:rsid w:val="00961CDD"/>
    <w:rsid w:val="009747B4"/>
    <w:rsid w:val="00976FE0"/>
    <w:rsid w:val="00980B00"/>
    <w:rsid w:val="0099752D"/>
    <w:rsid w:val="009B78B2"/>
    <w:rsid w:val="009B7FC1"/>
    <w:rsid w:val="009C4883"/>
    <w:rsid w:val="009D30C0"/>
    <w:rsid w:val="009E3A11"/>
    <w:rsid w:val="009F0A9A"/>
    <w:rsid w:val="009F5BE3"/>
    <w:rsid w:val="009F5CC2"/>
    <w:rsid w:val="00A16969"/>
    <w:rsid w:val="00A331F6"/>
    <w:rsid w:val="00A34C33"/>
    <w:rsid w:val="00A67AA7"/>
    <w:rsid w:val="00A7115E"/>
    <w:rsid w:val="00AE5E36"/>
    <w:rsid w:val="00B32BD5"/>
    <w:rsid w:val="00B3317F"/>
    <w:rsid w:val="00B548D0"/>
    <w:rsid w:val="00B56B2F"/>
    <w:rsid w:val="00B77470"/>
    <w:rsid w:val="00B922D6"/>
    <w:rsid w:val="00B9534D"/>
    <w:rsid w:val="00BF2F69"/>
    <w:rsid w:val="00BF568A"/>
    <w:rsid w:val="00BF57FC"/>
    <w:rsid w:val="00C03956"/>
    <w:rsid w:val="00C44568"/>
    <w:rsid w:val="00C45DFC"/>
    <w:rsid w:val="00C5218C"/>
    <w:rsid w:val="00C5622F"/>
    <w:rsid w:val="00C671CB"/>
    <w:rsid w:val="00C67A14"/>
    <w:rsid w:val="00C91F2E"/>
    <w:rsid w:val="00CB0698"/>
    <w:rsid w:val="00CC316E"/>
    <w:rsid w:val="00CE02AF"/>
    <w:rsid w:val="00CF3A27"/>
    <w:rsid w:val="00D23698"/>
    <w:rsid w:val="00D568E5"/>
    <w:rsid w:val="00D666B3"/>
    <w:rsid w:val="00D6705B"/>
    <w:rsid w:val="00D81E77"/>
    <w:rsid w:val="00D82924"/>
    <w:rsid w:val="00D92FD5"/>
    <w:rsid w:val="00DB62D4"/>
    <w:rsid w:val="00DE7C88"/>
    <w:rsid w:val="00E11188"/>
    <w:rsid w:val="00E35035"/>
    <w:rsid w:val="00E627E8"/>
    <w:rsid w:val="00E81F6C"/>
    <w:rsid w:val="00EA1C45"/>
    <w:rsid w:val="00ED4A9A"/>
    <w:rsid w:val="00EF5611"/>
    <w:rsid w:val="00F0080B"/>
    <w:rsid w:val="00F1712F"/>
    <w:rsid w:val="00F17304"/>
    <w:rsid w:val="00F24A6E"/>
    <w:rsid w:val="00F32807"/>
    <w:rsid w:val="00F470A1"/>
    <w:rsid w:val="00F52FF2"/>
    <w:rsid w:val="00F570EE"/>
    <w:rsid w:val="00F57FD9"/>
    <w:rsid w:val="00F60BC3"/>
    <w:rsid w:val="00F62CFB"/>
    <w:rsid w:val="00F85D8C"/>
    <w:rsid w:val="00FB251A"/>
    <w:rsid w:val="00FB4BC3"/>
    <w:rsid w:val="00FC1C61"/>
    <w:rsid w:val="00FC4FE2"/>
    <w:rsid w:val="00FD2D0F"/>
    <w:rsid w:val="00FD6DB3"/>
    <w:rsid w:val="00FE5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3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34B3B"/>
    <w:pPr>
      <w:spacing w:before="100" w:beforeAutospacing="1" w:after="100" w:afterAutospacing="1" w:line="240" w:lineRule="auto"/>
    </w:pPr>
    <w:rPr>
      <w:rFonts w:ascii="Times New Roman" w:eastAsia="Times New Roman" w:hAnsi="Times New Roman" w:cs="Arial Unicode MS"/>
      <w:sz w:val="24"/>
      <w:szCs w:val="24"/>
      <w:lang w:val="x-none" w:eastAsia="lv-LV" w:bidi="lo-LA"/>
    </w:rPr>
  </w:style>
  <w:style w:type="paragraph" w:styleId="Header">
    <w:name w:val="header"/>
    <w:basedOn w:val="Normal"/>
    <w:link w:val="HeaderChar"/>
    <w:uiPriority w:val="99"/>
    <w:unhideWhenUsed/>
    <w:rsid w:val="00034B3B"/>
    <w:pPr>
      <w:tabs>
        <w:tab w:val="center" w:pos="4153"/>
        <w:tab w:val="right" w:pos="8306"/>
      </w:tabs>
    </w:pPr>
    <w:rPr>
      <w:rFonts w:cs="Arial Unicode MS"/>
      <w:szCs w:val="20"/>
      <w:lang w:val="x-none" w:eastAsia="x-none" w:bidi="lo-LA"/>
    </w:rPr>
  </w:style>
  <w:style w:type="character" w:customStyle="1" w:styleId="HeaderChar">
    <w:name w:val="Header Char"/>
    <w:link w:val="Header"/>
    <w:uiPriority w:val="99"/>
    <w:rsid w:val="00034B3B"/>
    <w:rPr>
      <w:rFonts w:ascii="Calibri" w:eastAsia="Calibri" w:hAnsi="Calibri" w:cs="Times New Roman"/>
      <w:sz w:val="22"/>
    </w:rPr>
  </w:style>
  <w:style w:type="paragraph" w:styleId="Footer">
    <w:name w:val="footer"/>
    <w:basedOn w:val="Normal"/>
    <w:link w:val="FooterChar"/>
    <w:uiPriority w:val="99"/>
    <w:unhideWhenUsed/>
    <w:rsid w:val="00034B3B"/>
    <w:pPr>
      <w:tabs>
        <w:tab w:val="center" w:pos="4153"/>
        <w:tab w:val="right" w:pos="8306"/>
      </w:tabs>
    </w:pPr>
    <w:rPr>
      <w:rFonts w:cs="Arial Unicode MS"/>
      <w:szCs w:val="20"/>
      <w:lang w:val="x-none" w:eastAsia="x-none" w:bidi="lo-LA"/>
    </w:rPr>
  </w:style>
  <w:style w:type="character" w:customStyle="1" w:styleId="FooterChar">
    <w:name w:val="Footer Char"/>
    <w:link w:val="Footer"/>
    <w:uiPriority w:val="99"/>
    <w:rsid w:val="00034B3B"/>
    <w:rPr>
      <w:rFonts w:ascii="Calibri" w:eastAsia="Calibri" w:hAnsi="Calibri" w:cs="Times New Roman"/>
      <w:sz w:val="22"/>
    </w:rPr>
  </w:style>
  <w:style w:type="character" w:styleId="Strong">
    <w:name w:val="Strong"/>
    <w:qFormat/>
    <w:rsid w:val="00034B3B"/>
    <w:rPr>
      <w:b/>
      <w:bCs/>
    </w:rPr>
  </w:style>
  <w:style w:type="paragraph" w:customStyle="1" w:styleId="naisf">
    <w:name w:val="naisf"/>
    <w:basedOn w:val="Normal"/>
    <w:link w:val="naisfChar"/>
    <w:rsid w:val="00034B3B"/>
    <w:pPr>
      <w:spacing w:before="75" w:after="75" w:line="240" w:lineRule="auto"/>
      <w:ind w:firstLine="375"/>
      <w:jc w:val="both"/>
    </w:pPr>
    <w:rPr>
      <w:rFonts w:ascii="Times New Roman" w:eastAsia="Times New Roman" w:hAnsi="Times New Roman" w:cs="Arial Unicode MS"/>
      <w:sz w:val="24"/>
      <w:szCs w:val="24"/>
      <w:lang w:val="x-none" w:eastAsia="lv-LV" w:bidi="lo-LA"/>
    </w:rPr>
  </w:style>
  <w:style w:type="paragraph" w:customStyle="1" w:styleId="naiskr">
    <w:name w:val="naiskr"/>
    <w:basedOn w:val="Normal"/>
    <w:rsid w:val="00034B3B"/>
    <w:pPr>
      <w:spacing w:before="75" w:after="75" w:line="240" w:lineRule="auto"/>
    </w:pPr>
    <w:rPr>
      <w:rFonts w:ascii="Times New Roman" w:eastAsia="Times New Roman" w:hAnsi="Times New Roman"/>
      <w:sz w:val="24"/>
      <w:szCs w:val="24"/>
      <w:lang w:eastAsia="lv-LV"/>
    </w:rPr>
  </w:style>
  <w:style w:type="character" w:customStyle="1" w:styleId="NormalWebChar">
    <w:name w:val="Normal (Web) Char"/>
    <w:link w:val="NormalWeb"/>
    <w:uiPriority w:val="99"/>
    <w:locked/>
    <w:rsid w:val="00034B3B"/>
    <w:rPr>
      <w:rFonts w:eastAsia="Times New Roman" w:cs="Times New Roman"/>
      <w:sz w:val="24"/>
      <w:szCs w:val="24"/>
      <w:lang w:eastAsia="lv-LV"/>
    </w:rPr>
  </w:style>
  <w:style w:type="paragraph" w:styleId="ListParagraph">
    <w:name w:val="List Paragraph"/>
    <w:basedOn w:val="Normal"/>
    <w:uiPriority w:val="34"/>
    <w:qFormat/>
    <w:rsid w:val="00034B3B"/>
    <w:pPr>
      <w:spacing w:after="0" w:line="240" w:lineRule="auto"/>
      <w:ind w:left="720"/>
    </w:pPr>
    <w:rPr>
      <w:lang w:eastAsia="lv-LV"/>
    </w:rPr>
  </w:style>
  <w:style w:type="paragraph" w:styleId="EnvelopeReturn">
    <w:name w:val="envelope return"/>
    <w:basedOn w:val="Normal"/>
    <w:unhideWhenUsed/>
    <w:rsid w:val="00034B3B"/>
    <w:pPr>
      <w:keepLines/>
      <w:widowControl w:val="0"/>
      <w:spacing w:before="600" w:after="0" w:line="240" w:lineRule="auto"/>
    </w:pPr>
    <w:rPr>
      <w:rFonts w:ascii="Times New Roman" w:eastAsia="Times New Roman" w:hAnsi="Times New Roman"/>
      <w:sz w:val="26"/>
      <w:szCs w:val="20"/>
      <w:lang w:val="en-AU"/>
    </w:rPr>
  </w:style>
  <w:style w:type="paragraph" w:customStyle="1" w:styleId="naisnod">
    <w:name w:val="naisnod"/>
    <w:basedOn w:val="Normal"/>
    <w:rsid w:val="00034B3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34B3B"/>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034B3B"/>
    <w:pPr>
      <w:spacing w:after="0" w:line="240" w:lineRule="auto"/>
    </w:pPr>
    <w:rPr>
      <w:rFonts w:ascii="Times New Roman" w:eastAsia="Times New Roman" w:hAnsi="Times New Roman" w:cs="Arial Unicode MS"/>
      <w:sz w:val="20"/>
      <w:szCs w:val="20"/>
      <w:lang w:val="x-none" w:eastAsia="lv-LV" w:bidi="lo-LA"/>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uiPriority w:val="99"/>
    <w:rsid w:val="00034B3B"/>
    <w:rPr>
      <w:rFonts w:eastAsia="Times New Roman" w:cs="Times New Roman"/>
      <w:sz w:val="20"/>
      <w:szCs w:val="20"/>
      <w:lang w:eastAsia="lv-LV"/>
    </w:rPr>
  </w:style>
  <w:style w:type="character" w:customStyle="1" w:styleId="naisfChar">
    <w:name w:val="naisf Char"/>
    <w:link w:val="naisf"/>
    <w:locked/>
    <w:rsid w:val="00034B3B"/>
    <w:rPr>
      <w:rFonts w:eastAsia="Times New Roman" w:cs="Times New Roman"/>
      <w:sz w:val="24"/>
      <w:szCs w:val="24"/>
      <w:lang w:eastAsia="lv-LV"/>
    </w:rPr>
  </w:style>
  <w:style w:type="paragraph" w:styleId="BodyTextIndent2">
    <w:name w:val="Body Text Indent 2"/>
    <w:basedOn w:val="Normal"/>
    <w:link w:val="BodyTextIndent2Char"/>
    <w:uiPriority w:val="99"/>
    <w:unhideWhenUsed/>
    <w:rsid w:val="00034B3B"/>
    <w:pPr>
      <w:spacing w:after="120" w:line="480" w:lineRule="auto"/>
      <w:ind w:left="283"/>
    </w:pPr>
    <w:rPr>
      <w:rFonts w:eastAsia="Times New Roman" w:cs="Arial Unicode MS"/>
      <w:szCs w:val="20"/>
      <w:lang w:val="x-none" w:eastAsia="lv-LV" w:bidi="lo-LA"/>
    </w:rPr>
  </w:style>
  <w:style w:type="character" w:customStyle="1" w:styleId="BodyTextIndent2Char">
    <w:name w:val="Body Text Indent 2 Char"/>
    <w:link w:val="BodyTextIndent2"/>
    <w:uiPriority w:val="99"/>
    <w:rsid w:val="00034B3B"/>
    <w:rPr>
      <w:rFonts w:ascii="Calibri" w:eastAsia="Times New Roman" w:hAnsi="Calibri" w:cs="Times New Roman"/>
      <w:sz w:val="22"/>
      <w:lang w:eastAsia="lv-LV"/>
    </w:rPr>
  </w:style>
  <w:style w:type="paragraph" w:customStyle="1" w:styleId="tv213limenis2">
    <w:name w:val="tv213 limenis2"/>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3">
    <w:name w:val="tv213 limenis3"/>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F2F69"/>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BF2F69"/>
    <w:rPr>
      <w:rFonts w:ascii="Tahoma" w:eastAsia="Calibri" w:hAnsi="Tahoma" w:cs="Tahoma"/>
      <w:sz w:val="16"/>
      <w:szCs w:val="16"/>
    </w:rPr>
  </w:style>
  <w:style w:type="paragraph" w:customStyle="1" w:styleId="naisc">
    <w:name w:val="naisc"/>
    <w:basedOn w:val="Normal"/>
    <w:rsid w:val="00C03956"/>
    <w:pPr>
      <w:spacing w:before="75" w:after="75" w:line="240" w:lineRule="auto"/>
      <w:jc w:val="center"/>
    </w:pPr>
    <w:rPr>
      <w:rFonts w:ascii="Times New Roman" w:eastAsia="Times New Roman" w:hAnsi="Times New Roman"/>
      <w:sz w:val="24"/>
      <w:szCs w:val="24"/>
      <w:lang w:eastAsia="lv-LV"/>
    </w:rPr>
  </w:style>
  <w:style w:type="character" w:styleId="FootnoteReference">
    <w:name w:val="footnote reference"/>
    <w:uiPriority w:val="99"/>
    <w:semiHidden/>
    <w:unhideWhenUsed/>
    <w:rsid w:val="005C59F1"/>
    <w:rPr>
      <w:vertAlign w:val="superscript"/>
    </w:rPr>
  </w:style>
  <w:style w:type="paragraph" w:styleId="BodyTextIndent">
    <w:name w:val="Body Text Indent"/>
    <w:basedOn w:val="Normal"/>
    <w:link w:val="BodyTextIndentChar"/>
    <w:semiHidden/>
    <w:unhideWhenUsed/>
    <w:rsid w:val="00980B00"/>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semiHidden/>
    <w:rsid w:val="00980B00"/>
    <w:rPr>
      <w:sz w:val="24"/>
      <w:szCs w:val="24"/>
    </w:rPr>
  </w:style>
  <w:style w:type="paragraph" w:styleId="BodyTextIndent3">
    <w:name w:val="Body Text Indent 3"/>
    <w:basedOn w:val="Normal"/>
    <w:link w:val="BodyTextIndent3Char"/>
    <w:semiHidden/>
    <w:unhideWhenUsed/>
    <w:rsid w:val="00980B00"/>
    <w:pPr>
      <w:spacing w:after="120" w:line="240" w:lineRule="auto"/>
      <w:ind w:left="283"/>
    </w:pPr>
    <w:rPr>
      <w:rFonts w:ascii="Times New Roman" w:hAnsi="Times New Roman"/>
      <w:sz w:val="16"/>
      <w:szCs w:val="16"/>
      <w:lang w:val="en-US" w:eastAsia="lv-LV"/>
    </w:rPr>
  </w:style>
  <w:style w:type="character" w:customStyle="1" w:styleId="BodyTextIndent3Char">
    <w:name w:val="Body Text Indent 3 Char"/>
    <w:basedOn w:val="DefaultParagraphFont"/>
    <w:link w:val="BodyTextIndent3"/>
    <w:semiHidden/>
    <w:rsid w:val="00980B00"/>
    <w:rPr>
      <w:sz w:val="16"/>
      <w:szCs w:val="16"/>
      <w:lang w:val="en-US"/>
    </w:rPr>
  </w:style>
  <w:style w:type="character" w:styleId="Hyperlink">
    <w:name w:val="Hyperlink"/>
    <w:basedOn w:val="DefaultParagraphFont"/>
    <w:uiPriority w:val="99"/>
    <w:unhideWhenUsed/>
    <w:rsid w:val="00C521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3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034B3B"/>
    <w:pPr>
      <w:spacing w:before="100" w:beforeAutospacing="1" w:after="100" w:afterAutospacing="1" w:line="240" w:lineRule="auto"/>
    </w:pPr>
    <w:rPr>
      <w:rFonts w:ascii="Times New Roman" w:eastAsia="Times New Roman" w:hAnsi="Times New Roman" w:cs="Arial Unicode MS"/>
      <w:sz w:val="24"/>
      <w:szCs w:val="24"/>
      <w:lang w:val="x-none" w:eastAsia="lv-LV" w:bidi="lo-LA"/>
    </w:rPr>
  </w:style>
  <w:style w:type="paragraph" w:styleId="Header">
    <w:name w:val="header"/>
    <w:basedOn w:val="Normal"/>
    <w:link w:val="HeaderChar"/>
    <w:uiPriority w:val="99"/>
    <w:unhideWhenUsed/>
    <w:rsid w:val="00034B3B"/>
    <w:pPr>
      <w:tabs>
        <w:tab w:val="center" w:pos="4153"/>
        <w:tab w:val="right" w:pos="8306"/>
      </w:tabs>
    </w:pPr>
    <w:rPr>
      <w:rFonts w:cs="Arial Unicode MS"/>
      <w:szCs w:val="20"/>
      <w:lang w:val="x-none" w:eastAsia="x-none" w:bidi="lo-LA"/>
    </w:rPr>
  </w:style>
  <w:style w:type="character" w:customStyle="1" w:styleId="HeaderChar">
    <w:name w:val="Header Char"/>
    <w:link w:val="Header"/>
    <w:uiPriority w:val="99"/>
    <w:rsid w:val="00034B3B"/>
    <w:rPr>
      <w:rFonts w:ascii="Calibri" w:eastAsia="Calibri" w:hAnsi="Calibri" w:cs="Times New Roman"/>
      <w:sz w:val="22"/>
    </w:rPr>
  </w:style>
  <w:style w:type="paragraph" w:styleId="Footer">
    <w:name w:val="footer"/>
    <w:basedOn w:val="Normal"/>
    <w:link w:val="FooterChar"/>
    <w:uiPriority w:val="99"/>
    <w:unhideWhenUsed/>
    <w:rsid w:val="00034B3B"/>
    <w:pPr>
      <w:tabs>
        <w:tab w:val="center" w:pos="4153"/>
        <w:tab w:val="right" w:pos="8306"/>
      </w:tabs>
    </w:pPr>
    <w:rPr>
      <w:rFonts w:cs="Arial Unicode MS"/>
      <w:szCs w:val="20"/>
      <w:lang w:val="x-none" w:eastAsia="x-none" w:bidi="lo-LA"/>
    </w:rPr>
  </w:style>
  <w:style w:type="character" w:customStyle="1" w:styleId="FooterChar">
    <w:name w:val="Footer Char"/>
    <w:link w:val="Footer"/>
    <w:uiPriority w:val="99"/>
    <w:rsid w:val="00034B3B"/>
    <w:rPr>
      <w:rFonts w:ascii="Calibri" w:eastAsia="Calibri" w:hAnsi="Calibri" w:cs="Times New Roman"/>
      <w:sz w:val="22"/>
    </w:rPr>
  </w:style>
  <w:style w:type="character" w:styleId="Strong">
    <w:name w:val="Strong"/>
    <w:qFormat/>
    <w:rsid w:val="00034B3B"/>
    <w:rPr>
      <w:b/>
      <w:bCs/>
    </w:rPr>
  </w:style>
  <w:style w:type="paragraph" w:customStyle="1" w:styleId="naisf">
    <w:name w:val="naisf"/>
    <w:basedOn w:val="Normal"/>
    <w:link w:val="naisfChar"/>
    <w:rsid w:val="00034B3B"/>
    <w:pPr>
      <w:spacing w:before="75" w:after="75" w:line="240" w:lineRule="auto"/>
      <w:ind w:firstLine="375"/>
      <w:jc w:val="both"/>
    </w:pPr>
    <w:rPr>
      <w:rFonts w:ascii="Times New Roman" w:eastAsia="Times New Roman" w:hAnsi="Times New Roman" w:cs="Arial Unicode MS"/>
      <w:sz w:val="24"/>
      <w:szCs w:val="24"/>
      <w:lang w:val="x-none" w:eastAsia="lv-LV" w:bidi="lo-LA"/>
    </w:rPr>
  </w:style>
  <w:style w:type="paragraph" w:customStyle="1" w:styleId="naiskr">
    <w:name w:val="naiskr"/>
    <w:basedOn w:val="Normal"/>
    <w:rsid w:val="00034B3B"/>
    <w:pPr>
      <w:spacing w:before="75" w:after="75" w:line="240" w:lineRule="auto"/>
    </w:pPr>
    <w:rPr>
      <w:rFonts w:ascii="Times New Roman" w:eastAsia="Times New Roman" w:hAnsi="Times New Roman"/>
      <w:sz w:val="24"/>
      <w:szCs w:val="24"/>
      <w:lang w:eastAsia="lv-LV"/>
    </w:rPr>
  </w:style>
  <w:style w:type="character" w:customStyle="1" w:styleId="NormalWebChar">
    <w:name w:val="Normal (Web) Char"/>
    <w:link w:val="NormalWeb"/>
    <w:uiPriority w:val="99"/>
    <w:locked/>
    <w:rsid w:val="00034B3B"/>
    <w:rPr>
      <w:rFonts w:eastAsia="Times New Roman" w:cs="Times New Roman"/>
      <w:sz w:val="24"/>
      <w:szCs w:val="24"/>
      <w:lang w:eastAsia="lv-LV"/>
    </w:rPr>
  </w:style>
  <w:style w:type="paragraph" w:styleId="ListParagraph">
    <w:name w:val="List Paragraph"/>
    <w:basedOn w:val="Normal"/>
    <w:uiPriority w:val="34"/>
    <w:qFormat/>
    <w:rsid w:val="00034B3B"/>
    <w:pPr>
      <w:spacing w:after="0" w:line="240" w:lineRule="auto"/>
      <w:ind w:left="720"/>
    </w:pPr>
    <w:rPr>
      <w:lang w:eastAsia="lv-LV"/>
    </w:rPr>
  </w:style>
  <w:style w:type="paragraph" w:styleId="EnvelopeReturn">
    <w:name w:val="envelope return"/>
    <w:basedOn w:val="Normal"/>
    <w:unhideWhenUsed/>
    <w:rsid w:val="00034B3B"/>
    <w:pPr>
      <w:keepLines/>
      <w:widowControl w:val="0"/>
      <w:spacing w:before="600" w:after="0" w:line="240" w:lineRule="auto"/>
    </w:pPr>
    <w:rPr>
      <w:rFonts w:ascii="Times New Roman" w:eastAsia="Times New Roman" w:hAnsi="Times New Roman"/>
      <w:sz w:val="26"/>
      <w:szCs w:val="20"/>
      <w:lang w:val="en-AU"/>
    </w:rPr>
  </w:style>
  <w:style w:type="paragraph" w:customStyle="1" w:styleId="naisnod">
    <w:name w:val="naisnod"/>
    <w:basedOn w:val="Normal"/>
    <w:rsid w:val="00034B3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34B3B"/>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034B3B"/>
    <w:pPr>
      <w:spacing w:after="0" w:line="240" w:lineRule="auto"/>
    </w:pPr>
    <w:rPr>
      <w:rFonts w:ascii="Times New Roman" w:eastAsia="Times New Roman" w:hAnsi="Times New Roman" w:cs="Arial Unicode MS"/>
      <w:sz w:val="20"/>
      <w:szCs w:val="20"/>
      <w:lang w:val="x-none" w:eastAsia="lv-LV" w:bidi="lo-LA"/>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uiPriority w:val="99"/>
    <w:rsid w:val="00034B3B"/>
    <w:rPr>
      <w:rFonts w:eastAsia="Times New Roman" w:cs="Times New Roman"/>
      <w:sz w:val="20"/>
      <w:szCs w:val="20"/>
      <w:lang w:eastAsia="lv-LV"/>
    </w:rPr>
  </w:style>
  <w:style w:type="character" w:customStyle="1" w:styleId="naisfChar">
    <w:name w:val="naisf Char"/>
    <w:link w:val="naisf"/>
    <w:locked/>
    <w:rsid w:val="00034B3B"/>
    <w:rPr>
      <w:rFonts w:eastAsia="Times New Roman" w:cs="Times New Roman"/>
      <w:sz w:val="24"/>
      <w:szCs w:val="24"/>
      <w:lang w:eastAsia="lv-LV"/>
    </w:rPr>
  </w:style>
  <w:style w:type="paragraph" w:styleId="BodyTextIndent2">
    <w:name w:val="Body Text Indent 2"/>
    <w:basedOn w:val="Normal"/>
    <w:link w:val="BodyTextIndent2Char"/>
    <w:uiPriority w:val="99"/>
    <w:unhideWhenUsed/>
    <w:rsid w:val="00034B3B"/>
    <w:pPr>
      <w:spacing w:after="120" w:line="480" w:lineRule="auto"/>
      <w:ind w:left="283"/>
    </w:pPr>
    <w:rPr>
      <w:rFonts w:eastAsia="Times New Roman" w:cs="Arial Unicode MS"/>
      <w:szCs w:val="20"/>
      <w:lang w:val="x-none" w:eastAsia="lv-LV" w:bidi="lo-LA"/>
    </w:rPr>
  </w:style>
  <w:style w:type="character" w:customStyle="1" w:styleId="BodyTextIndent2Char">
    <w:name w:val="Body Text Indent 2 Char"/>
    <w:link w:val="BodyTextIndent2"/>
    <w:uiPriority w:val="99"/>
    <w:rsid w:val="00034B3B"/>
    <w:rPr>
      <w:rFonts w:ascii="Calibri" w:eastAsia="Times New Roman" w:hAnsi="Calibri" w:cs="Times New Roman"/>
      <w:sz w:val="22"/>
      <w:lang w:eastAsia="lv-LV"/>
    </w:rPr>
  </w:style>
  <w:style w:type="paragraph" w:customStyle="1" w:styleId="tv213limenis2">
    <w:name w:val="tv213 limenis2"/>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3">
    <w:name w:val="tv213 limenis3"/>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F2F69"/>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BF2F69"/>
    <w:rPr>
      <w:rFonts w:ascii="Tahoma" w:eastAsia="Calibri" w:hAnsi="Tahoma" w:cs="Tahoma"/>
      <w:sz w:val="16"/>
      <w:szCs w:val="16"/>
    </w:rPr>
  </w:style>
  <w:style w:type="paragraph" w:customStyle="1" w:styleId="naisc">
    <w:name w:val="naisc"/>
    <w:basedOn w:val="Normal"/>
    <w:rsid w:val="00C03956"/>
    <w:pPr>
      <w:spacing w:before="75" w:after="75" w:line="240" w:lineRule="auto"/>
      <w:jc w:val="center"/>
    </w:pPr>
    <w:rPr>
      <w:rFonts w:ascii="Times New Roman" w:eastAsia="Times New Roman" w:hAnsi="Times New Roman"/>
      <w:sz w:val="24"/>
      <w:szCs w:val="24"/>
      <w:lang w:eastAsia="lv-LV"/>
    </w:rPr>
  </w:style>
  <w:style w:type="character" w:styleId="FootnoteReference">
    <w:name w:val="footnote reference"/>
    <w:uiPriority w:val="99"/>
    <w:semiHidden/>
    <w:unhideWhenUsed/>
    <w:rsid w:val="005C59F1"/>
    <w:rPr>
      <w:vertAlign w:val="superscript"/>
    </w:rPr>
  </w:style>
  <w:style w:type="paragraph" w:styleId="BodyTextIndent">
    <w:name w:val="Body Text Indent"/>
    <w:basedOn w:val="Normal"/>
    <w:link w:val="BodyTextIndentChar"/>
    <w:semiHidden/>
    <w:unhideWhenUsed/>
    <w:rsid w:val="00980B00"/>
    <w:pPr>
      <w:spacing w:after="120" w:line="240" w:lineRule="auto"/>
      <w:ind w:left="283"/>
    </w:pPr>
    <w:rPr>
      <w:rFonts w:ascii="Times New Roman" w:hAnsi="Times New Roman"/>
      <w:sz w:val="24"/>
      <w:szCs w:val="24"/>
      <w:lang w:eastAsia="lv-LV"/>
    </w:rPr>
  </w:style>
  <w:style w:type="character" w:customStyle="1" w:styleId="BodyTextIndentChar">
    <w:name w:val="Body Text Indent Char"/>
    <w:basedOn w:val="DefaultParagraphFont"/>
    <w:link w:val="BodyTextIndent"/>
    <w:semiHidden/>
    <w:rsid w:val="00980B00"/>
    <w:rPr>
      <w:sz w:val="24"/>
      <w:szCs w:val="24"/>
    </w:rPr>
  </w:style>
  <w:style w:type="paragraph" w:styleId="BodyTextIndent3">
    <w:name w:val="Body Text Indent 3"/>
    <w:basedOn w:val="Normal"/>
    <w:link w:val="BodyTextIndent3Char"/>
    <w:semiHidden/>
    <w:unhideWhenUsed/>
    <w:rsid w:val="00980B00"/>
    <w:pPr>
      <w:spacing w:after="120" w:line="240" w:lineRule="auto"/>
      <w:ind w:left="283"/>
    </w:pPr>
    <w:rPr>
      <w:rFonts w:ascii="Times New Roman" w:hAnsi="Times New Roman"/>
      <w:sz w:val="16"/>
      <w:szCs w:val="16"/>
      <w:lang w:val="en-US" w:eastAsia="lv-LV"/>
    </w:rPr>
  </w:style>
  <w:style w:type="character" w:customStyle="1" w:styleId="BodyTextIndent3Char">
    <w:name w:val="Body Text Indent 3 Char"/>
    <w:basedOn w:val="DefaultParagraphFont"/>
    <w:link w:val="BodyTextIndent3"/>
    <w:semiHidden/>
    <w:rsid w:val="00980B00"/>
    <w:rPr>
      <w:sz w:val="16"/>
      <w:szCs w:val="16"/>
      <w:lang w:val="en-US"/>
    </w:rPr>
  </w:style>
  <w:style w:type="character" w:styleId="Hyperlink">
    <w:name w:val="Hyperlink"/>
    <w:basedOn w:val="DefaultParagraphFont"/>
    <w:uiPriority w:val="99"/>
    <w:unhideWhenUsed/>
    <w:rsid w:val="00C521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27791">
      <w:bodyDiv w:val="1"/>
      <w:marLeft w:val="0"/>
      <w:marRight w:val="0"/>
      <w:marTop w:val="0"/>
      <w:marBottom w:val="0"/>
      <w:divBdr>
        <w:top w:val="none" w:sz="0" w:space="0" w:color="auto"/>
        <w:left w:val="none" w:sz="0" w:space="0" w:color="auto"/>
        <w:bottom w:val="none" w:sz="0" w:space="0" w:color="auto"/>
        <w:right w:val="none" w:sz="0" w:space="0" w:color="auto"/>
      </w:divBdr>
    </w:div>
    <w:div w:id="822160144">
      <w:bodyDiv w:val="1"/>
      <w:marLeft w:val="0"/>
      <w:marRight w:val="0"/>
      <w:marTop w:val="0"/>
      <w:marBottom w:val="0"/>
      <w:divBdr>
        <w:top w:val="none" w:sz="0" w:space="0" w:color="auto"/>
        <w:left w:val="none" w:sz="0" w:space="0" w:color="auto"/>
        <w:bottom w:val="none" w:sz="0" w:space="0" w:color="auto"/>
        <w:right w:val="none" w:sz="0" w:space="0" w:color="auto"/>
      </w:divBdr>
    </w:div>
    <w:div w:id="988706863">
      <w:bodyDiv w:val="1"/>
      <w:marLeft w:val="0"/>
      <w:marRight w:val="0"/>
      <w:marTop w:val="0"/>
      <w:marBottom w:val="0"/>
      <w:divBdr>
        <w:top w:val="none" w:sz="0" w:space="0" w:color="auto"/>
        <w:left w:val="none" w:sz="0" w:space="0" w:color="auto"/>
        <w:bottom w:val="none" w:sz="0" w:space="0" w:color="auto"/>
        <w:right w:val="none" w:sz="0" w:space="0" w:color="auto"/>
      </w:divBdr>
    </w:div>
    <w:div w:id="1892225154">
      <w:bodyDiv w:val="1"/>
      <w:marLeft w:val="0"/>
      <w:marRight w:val="0"/>
      <w:marTop w:val="0"/>
      <w:marBottom w:val="0"/>
      <w:divBdr>
        <w:top w:val="none" w:sz="0" w:space="0" w:color="auto"/>
        <w:left w:val="none" w:sz="0" w:space="0" w:color="auto"/>
        <w:bottom w:val="none" w:sz="0" w:space="0" w:color="auto"/>
        <w:right w:val="none" w:sz="0" w:space="0" w:color="auto"/>
      </w:divBdr>
    </w:div>
    <w:div w:id="21226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6536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26EF-80AE-4BA1-9685-7ED0194E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11315</Words>
  <Characters>6450</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projektam „Valsts akciju sabiedrības „Latvijas autoceļu uzturētājs” sniegto publisko pakalpojumu saraksts un to cenu noteikšanas metodika”</vt:lpstr>
      <vt:lpstr>Likumprojekta "Grozījumi likumā "Par autoceļiem""</vt:lpstr>
    </vt:vector>
  </TitlesOfParts>
  <Company>SM</Company>
  <LinksUpToDate>false</LinksUpToDate>
  <CharactersWithSpaces>17730</CharactersWithSpaces>
  <SharedDoc>false</SharedDoc>
  <HLinks>
    <vt:vector size="12" baseType="variant">
      <vt:variant>
        <vt:i4>4784200</vt:i4>
      </vt:variant>
      <vt:variant>
        <vt:i4>3</vt:i4>
      </vt:variant>
      <vt:variant>
        <vt:i4>0</vt:i4>
      </vt:variant>
      <vt:variant>
        <vt:i4>5</vt:i4>
      </vt:variant>
      <vt:variant>
        <vt:lpwstr>http://likumi.lv/doc.php?id=65363</vt:lpwstr>
      </vt:variant>
      <vt:variant>
        <vt:lpwstr/>
      </vt:variant>
      <vt:variant>
        <vt:i4>4784200</vt:i4>
      </vt:variant>
      <vt:variant>
        <vt:i4>0</vt:i4>
      </vt:variant>
      <vt:variant>
        <vt:i4>0</vt:i4>
      </vt:variant>
      <vt:variant>
        <vt:i4>5</vt:i4>
      </vt:variant>
      <vt:variant>
        <vt:lpwstr>http://likumi.lv/doc.php?id=65363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„Latvijas autoceļu uzturētājs” sniegto publisko pakalpojumu saraksts un to cenu noteikšanas metodika”</dc:title>
  <dc:subject>Anotācija</dc:subject>
  <dc:creator>Inguna Strautmane</dc:creator>
  <dc:description>I.Strautmane 67028231,_x000d_
inguna.strautmane@sam.gov.lv</dc:description>
  <cp:lastModifiedBy>Baiba Šterna</cp:lastModifiedBy>
  <cp:revision>6</cp:revision>
  <cp:lastPrinted>2013-12-12T13:46:00Z</cp:lastPrinted>
  <dcterms:created xsi:type="dcterms:W3CDTF">2013-12-10T10:29:00Z</dcterms:created>
  <dcterms:modified xsi:type="dcterms:W3CDTF">2013-12-13T09:07:00Z</dcterms:modified>
</cp:coreProperties>
</file>