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7" w:rsidRPr="00A53F1F" w:rsidRDefault="00453C37" w:rsidP="002A27D2">
      <w:pPr>
        <w:ind w:firstLine="0"/>
        <w:jc w:val="center"/>
        <w:rPr>
          <w:b/>
          <w:sz w:val="28"/>
          <w:szCs w:val="28"/>
          <w:lang w:eastAsia="lv-LV"/>
        </w:rPr>
      </w:pPr>
      <w:r w:rsidRPr="00A53F1F">
        <w:rPr>
          <w:b/>
          <w:sz w:val="28"/>
          <w:szCs w:val="28"/>
          <w:lang w:eastAsia="lv-LV"/>
        </w:rPr>
        <w:t xml:space="preserve">Ministru kabineta rīkojuma projekta </w:t>
      </w:r>
      <w:r>
        <w:rPr>
          <w:b/>
          <w:sz w:val="28"/>
          <w:szCs w:val="28"/>
          <w:lang w:eastAsia="lv-LV"/>
        </w:rPr>
        <w:t>„</w:t>
      </w:r>
      <w:r>
        <w:rPr>
          <w:b/>
          <w:color w:val="000000"/>
          <w:sz w:val="28"/>
          <w:szCs w:val="28"/>
        </w:rPr>
        <w:t>P</w:t>
      </w:r>
      <w:r w:rsidRPr="00A53F1F">
        <w:rPr>
          <w:b/>
          <w:color w:val="000000"/>
          <w:sz w:val="28"/>
          <w:szCs w:val="28"/>
        </w:rPr>
        <w:t xml:space="preserve">ar </w:t>
      </w:r>
      <w:r>
        <w:rPr>
          <w:b/>
          <w:color w:val="000000"/>
          <w:sz w:val="28"/>
          <w:szCs w:val="28"/>
        </w:rPr>
        <w:t xml:space="preserve">finanšu līdzekļu piešķiršanu no valsts budžeta programmas „Līdzekļi neparedzētiem gadījumiem”” sākotnējās ietekmes novērtējuma ziņojums </w:t>
      </w:r>
      <w:r w:rsidRPr="00A53F1F">
        <w:rPr>
          <w:b/>
          <w:sz w:val="28"/>
          <w:szCs w:val="28"/>
          <w:lang w:eastAsia="lv-LV"/>
        </w:rPr>
        <w:t>(anotācija)</w:t>
      </w:r>
    </w:p>
    <w:p w:rsidR="00453C37" w:rsidRPr="002A27D2" w:rsidRDefault="00453C37" w:rsidP="002A27D2">
      <w:pPr>
        <w:ind w:firstLine="0"/>
        <w:rPr>
          <w:sz w:val="28"/>
          <w:szCs w:val="28"/>
          <w:lang w:eastAsia="lv-LV"/>
        </w:rPr>
      </w:pP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2268"/>
        <w:gridCol w:w="6387"/>
      </w:tblGrid>
      <w:tr w:rsidR="00453C37" w:rsidRPr="00A15EA8" w:rsidTr="00D8483B">
        <w:trPr>
          <w:tblCellSpacing w:w="0" w:type="dxa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453C37" w:rsidRPr="00A15EA8" w:rsidTr="00D8483B">
        <w:trPr>
          <w:trHeight w:val="63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Pamatojums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947B7">
            <w:pPr>
              <w:ind w:firstLine="273"/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szCs w:val="24"/>
              </w:rPr>
              <w:t xml:space="preserve">Krīzes vadības padomes 2013.gada 20.maija sēdes protokols Nr. 25 3.§ 2.punkts. </w:t>
            </w:r>
          </w:p>
        </w:tc>
      </w:tr>
      <w:tr w:rsidR="00453C37" w:rsidRPr="00A15EA8" w:rsidTr="00D8483B">
        <w:trPr>
          <w:trHeight w:val="472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Default="00453C37" w:rsidP="009D6ECD">
            <w:pPr>
              <w:ind w:firstLine="273"/>
              <w:jc w:val="both"/>
              <w:rPr>
                <w:szCs w:val="28"/>
              </w:rPr>
            </w:pPr>
            <w:r w:rsidRPr="00A53F1F">
              <w:rPr>
                <w:szCs w:val="28"/>
              </w:rPr>
              <w:t xml:space="preserve">2013.gada aprīļa mēnesī intensīva sniega kušanas un upju pārplūšanas rezultātā valsts autoceļu </w:t>
            </w:r>
            <w:r>
              <w:rPr>
                <w:szCs w:val="28"/>
              </w:rPr>
              <w:t>tīklā</w:t>
            </w:r>
            <w:r w:rsidRPr="00A53F1F">
              <w:rPr>
                <w:szCs w:val="28"/>
              </w:rPr>
              <w:t>, kas atrodas valsts akciju sabiedrības „Latvijas Valsts ceļi” pār</w:t>
            </w:r>
            <w:r>
              <w:rPr>
                <w:szCs w:val="28"/>
              </w:rPr>
              <w:t>ziņā</w:t>
            </w:r>
            <w:r w:rsidRPr="00A53F1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tika </w:t>
            </w:r>
            <w:r w:rsidRPr="00A53F1F">
              <w:rPr>
                <w:szCs w:val="28"/>
              </w:rPr>
              <w:t xml:space="preserve">izskalota </w:t>
            </w:r>
            <w:r>
              <w:rPr>
                <w:szCs w:val="28"/>
              </w:rPr>
              <w:t>un</w:t>
            </w:r>
            <w:r w:rsidRPr="00A53F1F">
              <w:rPr>
                <w:szCs w:val="28"/>
              </w:rPr>
              <w:t xml:space="preserve"> pārrauta ceļa klātne, izskalotas caurtekas, bojāti ceļu satiksmes organizācijas tehniskie līdzekļi. Rezultātā transportlīdzekļu satiksme pa valsts autoceļiem </w:t>
            </w:r>
            <w:r>
              <w:rPr>
                <w:szCs w:val="28"/>
              </w:rPr>
              <w:t>bija</w:t>
            </w:r>
            <w:r w:rsidRPr="00A53F1F">
              <w:rPr>
                <w:szCs w:val="28"/>
              </w:rPr>
              <w:t xml:space="preserve"> ierobežota vai slēgta. </w:t>
            </w:r>
          </w:p>
          <w:p w:rsidR="00453C37" w:rsidRPr="00A53F1F" w:rsidRDefault="00453C37" w:rsidP="009D6ECD">
            <w:pPr>
              <w:ind w:firstLine="273"/>
              <w:jc w:val="both"/>
              <w:rPr>
                <w:szCs w:val="28"/>
              </w:rPr>
            </w:pPr>
            <w:r w:rsidRPr="00A53F1F">
              <w:rPr>
                <w:szCs w:val="28"/>
              </w:rPr>
              <w:t xml:space="preserve">2013. gada  naktī </w:t>
            </w:r>
            <w:r>
              <w:rPr>
                <w:szCs w:val="28"/>
              </w:rPr>
              <w:t xml:space="preserve">no 19.aprīļa </w:t>
            </w:r>
            <w:r w:rsidRPr="00A53F1F">
              <w:rPr>
                <w:szCs w:val="28"/>
              </w:rPr>
              <w:t>uz 20.aprīli, pārplūstot Kujas upei, ievērojami tika bojāts sliežu ceļš posmā Madona - Gulbene 63.kilometrā. Plūdu ietekmē trijās vietās tika izskalots zem sliežu klātnes esošais uzbērums, rezultātā dzelzceļa infrastruktūrai sliežu ceļu klātne</w:t>
            </w:r>
            <w:r>
              <w:rPr>
                <w:szCs w:val="28"/>
              </w:rPr>
              <w:t xml:space="preserve"> tika</w:t>
            </w:r>
            <w:r w:rsidRPr="00A53F1F">
              <w:rPr>
                <w:szCs w:val="28"/>
              </w:rPr>
              <w:t xml:space="preserve"> bojāta apmēram 75 metru garumā.</w:t>
            </w:r>
          </w:p>
          <w:p w:rsidR="00453C37" w:rsidRPr="0003336B" w:rsidRDefault="00453C37" w:rsidP="00B11EB3">
            <w:pPr>
              <w:ind w:firstLine="273"/>
              <w:jc w:val="both"/>
              <w:rPr>
                <w:szCs w:val="28"/>
              </w:rPr>
            </w:pPr>
            <w:r>
              <w:rPr>
                <w:szCs w:val="28"/>
              </w:rPr>
              <w:t>Ņemot vērā radušos situāciju 2013.gada 20.maijā tika sasaukta Krīzes vadības padomes sēde, lai lemtu par nepieciešamo līdzekļu piešķiršanu izraisīto seku novēršanas kompensēšanai.</w:t>
            </w:r>
          </w:p>
        </w:tc>
      </w:tr>
      <w:tr w:rsidR="00453C37" w:rsidRPr="00A15EA8" w:rsidTr="0003336B">
        <w:trPr>
          <w:trHeight w:val="875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03336B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03336B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Projekts šo jomu neskar.</w:t>
            </w:r>
          </w:p>
        </w:tc>
      </w:tr>
      <w:tr w:rsidR="00453C37" w:rsidRPr="00A15EA8" w:rsidTr="00D8483B">
        <w:trPr>
          <w:trHeight w:val="384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Default="00453C37" w:rsidP="00703938">
            <w:pPr>
              <w:ind w:right="26" w:firstLine="273"/>
              <w:jc w:val="both"/>
              <w:rPr>
                <w:szCs w:val="28"/>
              </w:rPr>
            </w:pPr>
            <w:r w:rsidRPr="00703938">
              <w:rPr>
                <w:szCs w:val="28"/>
              </w:rPr>
              <w:t>Piešķirt Satiksmes ministrijai 1 040 394 latu</w:t>
            </w:r>
            <w:r>
              <w:rPr>
                <w:szCs w:val="28"/>
              </w:rPr>
              <w:t xml:space="preserve"> no valsts budžeta programmas „Līdzekļi neparedzētiem gadījumiem”</w:t>
            </w:r>
            <w:r w:rsidRPr="00703938">
              <w:rPr>
                <w:szCs w:val="28"/>
              </w:rPr>
              <w:t xml:space="preserve">, lai </w:t>
            </w:r>
            <w:r>
              <w:rPr>
                <w:szCs w:val="28"/>
              </w:rPr>
              <w:t>kompensētu</w:t>
            </w:r>
            <w:r w:rsidRPr="00703938">
              <w:rPr>
                <w:szCs w:val="28"/>
              </w:rPr>
              <w:t xml:space="preserve"> izdevumus, kas saistīti ar </w:t>
            </w:r>
            <w:r w:rsidRPr="00703938">
              <w:rPr>
                <w:color w:val="000000"/>
                <w:szCs w:val="28"/>
              </w:rPr>
              <w:t>2013.gada pavasara plūdu un palu izraisīto seku valsts satiksmes infrastruktūrai</w:t>
            </w:r>
            <w:r w:rsidRPr="00703938">
              <w:rPr>
                <w:szCs w:val="28"/>
              </w:rPr>
              <w:t xml:space="preserve"> novēršanu</w:t>
            </w:r>
            <w:r>
              <w:rPr>
                <w:szCs w:val="28"/>
              </w:rPr>
              <w:t xml:space="preserve">, tai skaitā: </w:t>
            </w:r>
          </w:p>
          <w:p w:rsidR="00453C37" w:rsidRPr="00E17766" w:rsidRDefault="00453C37" w:rsidP="00E17766">
            <w:pPr>
              <w:pStyle w:val="NormalWeb"/>
              <w:numPr>
                <w:ilvl w:val="0"/>
                <w:numId w:val="1"/>
              </w:numPr>
              <w:spacing w:before="0" w:after="0"/>
              <w:ind w:left="0" w:firstLine="273"/>
              <w:jc w:val="both"/>
              <w:rPr>
                <w:color w:val="FF0000"/>
                <w:szCs w:val="28"/>
              </w:rPr>
            </w:pPr>
            <w:r w:rsidRPr="00E17766">
              <w:rPr>
                <w:bCs/>
              </w:rPr>
              <w:t>1 005 485</w:t>
            </w:r>
            <w:r w:rsidRPr="00E17766">
              <w:rPr>
                <w:szCs w:val="28"/>
              </w:rPr>
              <w:t xml:space="preserve">  latu apmērā veikto valsts autoceļu ārkārtas uzturēšanas darbu </w:t>
            </w:r>
            <w:r w:rsidRPr="00E17766">
              <w:rPr>
                <w:color w:val="000000"/>
                <w:szCs w:val="28"/>
              </w:rPr>
              <w:t>apmaksai;</w:t>
            </w:r>
          </w:p>
          <w:p w:rsidR="00453C37" w:rsidRPr="00E17766" w:rsidRDefault="00453C37" w:rsidP="00E17766">
            <w:pPr>
              <w:pStyle w:val="NormalWeb"/>
              <w:numPr>
                <w:ilvl w:val="0"/>
                <w:numId w:val="1"/>
              </w:numPr>
              <w:spacing w:before="0" w:after="0"/>
              <w:ind w:left="0" w:firstLine="273"/>
              <w:jc w:val="both"/>
              <w:rPr>
                <w:color w:val="000000"/>
                <w:lang w:eastAsia="lv-LV"/>
              </w:rPr>
            </w:pPr>
            <w:r w:rsidRPr="00E17766">
              <w:rPr>
                <w:bCs/>
                <w:color w:val="000000"/>
              </w:rPr>
              <w:t xml:space="preserve">34 909 </w:t>
            </w:r>
            <w:smartTag w:uri="schemas-tilde-lv/tildestengine" w:element="currency2">
              <w:smartTagPr>
                <w:attr w:name="currency_text" w:val="latu"/>
                <w:attr w:name="currency_value" w:val="1"/>
                <w:attr w:name="currency_key" w:val="LVL"/>
                <w:attr w:name="currency_id" w:val="48"/>
              </w:smartTagPr>
              <w:r w:rsidRPr="00E17766">
                <w:rPr>
                  <w:color w:val="000000"/>
                </w:rPr>
                <w:t>latu</w:t>
              </w:r>
            </w:smartTag>
            <w:r w:rsidRPr="00E17766">
              <w:rPr>
                <w:color w:val="000000"/>
              </w:rPr>
              <w:t xml:space="preserve"> apmērā veikto dzelzceļa ārkārtas uzturēšanas darbu apmaksai</w:t>
            </w:r>
            <w:r w:rsidRPr="00E17766">
              <w:t>.</w:t>
            </w:r>
          </w:p>
        </w:tc>
      </w:tr>
      <w:tr w:rsidR="00453C37" w:rsidRPr="00A15EA8" w:rsidTr="00D8483B">
        <w:trPr>
          <w:trHeight w:val="476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DB401E">
            <w:pPr>
              <w:ind w:firstLine="0"/>
              <w:jc w:val="both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Satiksmes ministrija, valsts akciju sabiedrība „Latvijas Valsts ceļi”</w:t>
            </w:r>
            <w:r>
              <w:rPr>
                <w:color w:val="000000"/>
                <w:szCs w:val="24"/>
                <w:lang w:eastAsia="lv-LV"/>
              </w:rPr>
              <w:t xml:space="preserve">, </w:t>
            </w:r>
            <w:r>
              <w:t>valsts akciju sabiedrība „Latvijas dzelzceļš”.</w:t>
            </w:r>
          </w:p>
        </w:tc>
      </w:tr>
      <w:tr w:rsidR="00453C37" w:rsidRPr="00A15EA8" w:rsidTr="006F7BDE">
        <w:trPr>
          <w:trHeight w:val="1012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jc w:val="center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2A27D2">
            <w:pPr>
              <w:ind w:firstLine="0"/>
              <w:rPr>
                <w:color w:val="000000"/>
                <w:szCs w:val="24"/>
                <w:lang w:eastAsia="lv-LV"/>
              </w:rPr>
            </w:pPr>
            <w:r w:rsidRPr="00D470B8">
              <w:rPr>
                <w:color w:val="000000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D470B8" w:rsidRDefault="00453C37" w:rsidP="00896B4A">
            <w:pPr>
              <w:ind w:firstLine="0"/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Projekts vērsts uz sabiedrības vajadzību lietot adekvātu publisko infrastruktūru apmierināšanu un uzskatāms par pārvaldes iekšēju pasākumu kvalitatīva un nepārtraukta publiskā pakalpojuma nodrošināšanai</w:t>
            </w:r>
            <w:r>
              <w:t>.</w:t>
            </w:r>
          </w:p>
        </w:tc>
      </w:tr>
      <w:tr w:rsidR="00453C37" w:rsidRPr="00A15EA8" w:rsidTr="00D8483B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Nav.</w:t>
            </w:r>
          </w:p>
        </w:tc>
      </w:tr>
    </w:tbl>
    <w:p w:rsidR="00453C37" w:rsidRPr="002A27D2" w:rsidRDefault="00453C37" w:rsidP="002A27D2">
      <w:pPr>
        <w:ind w:firstLine="0"/>
        <w:rPr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24"/>
        <w:gridCol w:w="1536"/>
        <w:gridCol w:w="1421"/>
        <w:gridCol w:w="1191"/>
        <w:gridCol w:w="1130"/>
        <w:gridCol w:w="1129"/>
      </w:tblGrid>
      <w:tr w:rsidR="00453C37" w:rsidTr="00F9097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453C37" w:rsidRDefault="00453C37" w:rsidP="00F9097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53C37" w:rsidTr="000532BD">
        <w:tc>
          <w:tcPr>
            <w:tcW w:w="149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161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253"/>
              <w:rPr>
                <w:b/>
                <w:bCs/>
                <w:sz w:val="22"/>
              </w:rPr>
            </w:pPr>
            <w:r w:rsidRPr="000532BD">
              <w:rPr>
                <w:b/>
                <w:bCs/>
                <w:sz w:val="22"/>
              </w:rPr>
              <w:t>2013.gads</w:t>
            </w:r>
          </w:p>
        </w:tc>
        <w:tc>
          <w:tcPr>
            <w:tcW w:w="18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253"/>
              <w:rPr>
                <w:sz w:val="22"/>
              </w:rPr>
            </w:pPr>
            <w:r w:rsidRPr="000532BD">
              <w:rPr>
                <w:sz w:val="22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0532BD">
                <w:rPr>
                  <w:sz w:val="22"/>
                </w:rPr>
                <w:t>. latu</w:t>
              </w:r>
            </w:smartTag>
            <w:r w:rsidRPr="000532BD">
              <w:rPr>
                <w:sz w:val="22"/>
              </w:rPr>
              <w:t>)</w:t>
            </w:r>
          </w:p>
        </w:tc>
      </w:tr>
      <w:tr w:rsidR="00453C37" w:rsidTr="000532BD">
        <w:tc>
          <w:tcPr>
            <w:tcW w:w="149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rPr>
                <w:b/>
                <w:bCs/>
              </w:rPr>
            </w:pPr>
          </w:p>
        </w:tc>
        <w:tc>
          <w:tcPr>
            <w:tcW w:w="161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ind w:firstLine="253"/>
              <w:rPr>
                <w:b/>
                <w:bCs/>
                <w:sz w:val="22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253"/>
              <w:rPr>
                <w:b/>
                <w:bCs/>
                <w:sz w:val="22"/>
              </w:rPr>
            </w:pPr>
            <w:r w:rsidRPr="000532BD">
              <w:rPr>
                <w:b/>
                <w:bCs/>
                <w:sz w:val="22"/>
              </w:rPr>
              <w:t>2014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253"/>
              <w:rPr>
                <w:b/>
                <w:bCs/>
                <w:sz w:val="22"/>
              </w:rPr>
            </w:pPr>
            <w:r w:rsidRPr="000532BD">
              <w:rPr>
                <w:b/>
                <w:bCs/>
                <w:sz w:val="22"/>
              </w:rPr>
              <w:t>2015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253"/>
              <w:rPr>
                <w:b/>
                <w:bCs/>
                <w:sz w:val="22"/>
              </w:rPr>
            </w:pPr>
            <w:r w:rsidRPr="000532BD">
              <w:rPr>
                <w:b/>
                <w:bCs/>
                <w:sz w:val="22"/>
              </w:rPr>
              <w:t>2016</w:t>
            </w:r>
          </w:p>
        </w:tc>
      </w:tr>
      <w:tr w:rsidR="00453C37" w:rsidTr="000532BD">
        <w:tc>
          <w:tcPr>
            <w:tcW w:w="149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111"/>
              <w:rPr>
                <w:sz w:val="22"/>
              </w:rPr>
            </w:pPr>
            <w:r w:rsidRPr="000532BD">
              <w:rPr>
                <w:sz w:val="22"/>
              </w:rPr>
              <w:t>Saskaņā ar valsts budžetu kārtējam gadam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111"/>
              <w:rPr>
                <w:sz w:val="22"/>
              </w:rPr>
            </w:pPr>
            <w:r w:rsidRPr="000532BD">
              <w:rPr>
                <w:sz w:val="22"/>
              </w:rPr>
              <w:t>Izmaiņas kārtējā gadā, salīdzinot ar budžetu kārtējam gadam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111"/>
              <w:rPr>
                <w:sz w:val="22"/>
              </w:rPr>
            </w:pPr>
            <w:r w:rsidRPr="000532BD">
              <w:rPr>
                <w:sz w:val="22"/>
              </w:rPr>
              <w:t>Izmaiņas, salīdzinot ar kārtējo (n) gadu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111"/>
              <w:rPr>
                <w:sz w:val="22"/>
              </w:rPr>
            </w:pPr>
            <w:r w:rsidRPr="000532BD">
              <w:rPr>
                <w:sz w:val="22"/>
              </w:rPr>
              <w:t>Izmaiņas, salīdzinot ar kārtējo (n) gadu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Pr="000532BD" w:rsidRDefault="00453C37" w:rsidP="000532BD">
            <w:pPr>
              <w:spacing w:before="100" w:beforeAutospacing="1" w:after="100" w:afterAutospacing="1"/>
              <w:ind w:firstLine="111"/>
              <w:rPr>
                <w:sz w:val="22"/>
              </w:rPr>
            </w:pPr>
            <w:r w:rsidRPr="000532BD">
              <w:rPr>
                <w:sz w:val="22"/>
              </w:rPr>
              <w:t>Izmaiņas, salīdzinot ar kārtējo (n) gadu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1. Budžeta ieņēmumi: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1.1. valsts pamatbudžets, tai skaitā ieņēmumi no maksas pakalpojumiem un citi pašu ieņēmumi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1.2. valsts speciālais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1.3. pašvaldību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2. Budžeta izdevumi: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line="360" w:lineRule="auto"/>
              <w:ind w:firstLine="0"/>
            </w:pPr>
            <w: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837DB7" w:rsidRDefault="00453C37" w:rsidP="00AE01E7">
            <w:pPr>
              <w:spacing w:line="360" w:lineRule="auto"/>
              <w:ind w:firstLine="0"/>
            </w:pPr>
            <w:r>
              <w:t>1 040.44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2.1. valsts pamatbudžets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line="360" w:lineRule="auto"/>
              <w:ind w:firstLine="0"/>
            </w:pPr>
            <w: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837DB7" w:rsidRDefault="00453C37" w:rsidP="00B11EB3">
            <w:pPr>
              <w:spacing w:line="360" w:lineRule="auto"/>
              <w:ind w:firstLine="0"/>
            </w:pPr>
            <w:r>
              <w:t>1 040.44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2.2. valsts speciālais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2.3. pašvaldību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3. Finansiālā ietekme: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line="360" w:lineRule="auto"/>
              <w:ind w:firstLine="0"/>
            </w:pPr>
            <w: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837DB7" w:rsidRDefault="00453C37" w:rsidP="00AE01E7">
            <w:pPr>
              <w:spacing w:line="360" w:lineRule="auto"/>
              <w:ind w:firstLine="0"/>
            </w:pPr>
            <w:r>
              <w:t>- 1 040.44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3.1. valsts pamatbudžets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line="360" w:lineRule="auto"/>
              <w:ind w:firstLine="0"/>
            </w:pPr>
            <w: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837DB7" w:rsidRDefault="00453C37" w:rsidP="00B11EB3">
            <w:pPr>
              <w:spacing w:line="360" w:lineRule="auto"/>
              <w:ind w:firstLine="0"/>
            </w:pPr>
            <w:r>
              <w:t>-1 040.44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3.2. speciālais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3.3. pašvaldību budžets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Pr="0072453D" w:rsidRDefault="00453C37" w:rsidP="0003336B">
            <w:pPr>
              <w:spacing w:before="100" w:beforeAutospacing="1" w:after="100" w:afterAutospacing="1"/>
              <w:ind w:firstLine="0"/>
              <w:rPr>
                <w:highlight w:val="yellow"/>
              </w:rPr>
            </w:pPr>
            <w:r w:rsidRPr="00B34753">
              <w:t>4. Finanšu līdzekļi papildu izde</w:t>
            </w:r>
            <w:r w:rsidRPr="00B34753">
              <w:softHyphen/>
              <w:t>vumu finansēšanai (kompensējošu izdevumu samazinājumu norāda ar "+" zīmi)</w:t>
            </w:r>
          </w:p>
        </w:tc>
        <w:tc>
          <w:tcPr>
            <w:tcW w:w="8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before="100" w:beforeAutospacing="1" w:after="100" w:afterAutospacing="1"/>
              <w:ind w:firstLine="0"/>
              <w:jc w:val="center"/>
            </w:pPr>
            <w:r>
              <w:t>X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Pr="001D65E2" w:rsidRDefault="00453C37" w:rsidP="00AE01E7">
            <w:pPr>
              <w:spacing w:line="360" w:lineRule="auto"/>
              <w:ind w:firstLine="0"/>
            </w:pPr>
            <w:r w:rsidRPr="00837DB7">
              <w:t xml:space="preserve">+ </w:t>
            </w:r>
            <w:r>
              <w:t>1 040.44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5. Precizēta finansiālā ietekme:</w:t>
            </w:r>
          </w:p>
        </w:tc>
        <w:tc>
          <w:tcPr>
            <w:tcW w:w="8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spacing w:before="100" w:beforeAutospacing="1" w:after="100" w:afterAutospacing="1"/>
            </w:pPr>
            <w:r>
              <w:t>X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5.1. valsts pamatbudžets</w:t>
            </w: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5.2. speciālais budžets</w:t>
            </w: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5.3. pašvaldību budžets</w:t>
            </w: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03336B">
            <w:pPr>
              <w:ind w:firstLine="0"/>
            </w:pPr>
            <w:r w:rsidRPr="00080FCF">
              <w:t>Projekts šo jomu neskar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>
            <w:pPr>
              <w:jc w:val="center"/>
            </w:pPr>
            <w:r>
              <w:t>0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08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4F4D3F">
            <w:pPr>
              <w:ind w:hanging="30"/>
            </w:pPr>
            <w:r>
              <w:t>Detalizēts izdevumu aprēķins pievienots sākotnējās ietekmes novērtējuma ziņojuma (anotācijas) pielikumos.</w:t>
            </w:r>
          </w:p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6.1. detalizēts ieņēmumu aprēķins</w:t>
            </w:r>
          </w:p>
        </w:tc>
        <w:tc>
          <w:tcPr>
            <w:tcW w:w="350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/>
        </w:tc>
      </w:tr>
      <w:tr w:rsidR="00453C37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6.2. detalizēts izdevumu aprēķins</w:t>
            </w:r>
          </w:p>
        </w:tc>
        <w:tc>
          <w:tcPr>
            <w:tcW w:w="3508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53C37" w:rsidRDefault="00453C37" w:rsidP="00F90972"/>
        </w:tc>
      </w:tr>
      <w:tr w:rsidR="00453C37" w:rsidRPr="00FE7B66" w:rsidTr="000532BD">
        <w:tc>
          <w:tcPr>
            <w:tcW w:w="149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C37" w:rsidRDefault="00453C37" w:rsidP="0003336B">
            <w:pPr>
              <w:spacing w:before="100" w:beforeAutospacing="1" w:after="100" w:afterAutospacing="1"/>
              <w:ind w:firstLine="0"/>
            </w:pPr>
            <w:r>
              <w:t>7. Cita informācija</w:t>
            </w:r>
          </w:p>
        </w:tc>
        <w:tc>
          <w:tcPr>
            <w:tcW w:w="350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3C37" w:rsidRPr="00FE7B66" w:rsidRDefault="00453C37" w:rsidP="00A41F7E">
            <w:pPr>
              <w:ind w:firstLine="0"/>
              <w:jc w:val="both"/>
            </w:pPr>
            <w:r w:rsidRPr="005C2D6B">
              <w:t xml:space="preserve">Finansējums tiks pārdalīts </w:t>
            </w:r>
            <w:r w:rsidRPr="005C2D6B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 xml:space="preserve">valsts </w:t>
            </w:r>
            <w:r w:rsidRPr="005C2D6B">
              <w:rPr>
                <w:color w:val="000000"/>
              </w:rPr>
              <w:t>budžeta programmas</w:t>
            </w:r>
            <w:r>
              <w:rPr>
                <w:color w:val="000000"/>
              </w:rPr>
              <w:t xml:space="preserve"> 02.00.00</w:t>
            </w:r>
            <w:r w:rsidRPr="005C2D6B">
              <w:rPr>
                <w:color w:val="000000"/>
              </w:rPr>
              <w:t xml:space="preserve"> „Līdzekļi neparedzētiem gadījumiem”</w:t>
            </w:r>
            <w:r>
              <w:rPr>
                <w:color w:val="000000"/>
              </w:rPr>
              <w:t xml:space="preserve"> </w:t>
            </w:r>
            <w:r w:rsidRPr="00703938">
              <w:rPr>
                <w:szCs w:val="28"/>
              </w:rPr>
              <w:t>1 040 394 latu</w:t>
            </w:r>
            <w:r>
              <w:rPr>
                <w:szCs w:val="28"/>
              </w:rPr>
              <w:t xml:space="preserve"> apmērā </w:t>
            </w:r>
            <w:r w:rsidRPr="005C2D6B">
              <w:rPr>
                <w:color w:val="000000"/>
              </w:rPr>
              <w:t xml:space="preserve">Satiksmes ministrijas budžeta  programmai </w:t>
            </w:r>
            <w:r>
              <w:rPr>
                <w:color w:val="000000"/>
              </w:rPr>
              <w:t>99.00</w:t>
            </w:r>
            <w:r w:rsidRPr="005C2D6B">
              <w:rPr>
                <w:color w:val="000000"/>
              </w:rPr>
              <w:t>.00 „</w:t>
            </w:r>
            <w:r>
              <w:rPr>
                <w:color w:val="000000"/>
              </w:rPr>
              <w:t>Līdzekļu neparedzētiem gadījumiem izlietojums</w:t>
            </w:r>
            <w:r w:rsidRPr="005C2D6B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. </w:t>
            </w:r>
          </w:p>
        </w:tc>
      </w:tr>
    </w:tbl>
    <w:p w:rsidR="00453C37" w:rsidRDefault="00453C37" w:rsidP="002A27D2">
      <w:pPr>
        <w:ind w:firstLine="0"/>
        <w:rPr>
          <w:szCs w:val="24"/>
          <w:lang w:eastAsia="lv-LV"/>
        </w:rPr>
      </w:pPr>
    </w:p>
    <w:p w:rsidR="00453C37" w:rsidRPr="002A27D2" w:rsidRDefault="00453C37" w:rsidP="002A27D2">
      <w:pPr>
        <w:ind w:firstLine="0"/>
        <w:rPr>
          <w:szCs w:val="24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298"/>
        <w:gridCol w:w="5301"/>
      </w:tblGrid>
      <w:tr w:rsidR="00453C37" w:rsidRPr="00A15EA8" w:rsidTr="00D8483B">
        <w:trPr>
          <w:tblCellSpacing w:w="0" w:type="dxa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53C37" w:rsidRPr="00A15EA8" w:rsidTr="00D8483B">
        <w:trPr>
          <w:trHeight w:val="427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03336B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color w:val="000000"/>
                <w:szCs w:val="24"/>
                <w:lang w:eastAsia="lv-LV"/>
              </w:rPr>
              <w:t>Satiksmes ministrija,</w:t>
            </w:r>
            <w:r w:rsidRPr="002A27D2">
              <w:rPr>
                <w:szCs w:val="24"/>
                <w:lang w:eastAsia="lv-LV"/>
              </w:rPr>
              <w:t xml:space="preserve"> valsts akciju sabiedrība „</w:t>
            </w:r>
            <w:r w:rsidRPr="002A27D2">
              <w:rPr>
                <w:bCs/>
                <w:szCs w:val="24"/>
                <w:lang w:eastAsia="lv-LV"/>
              </w:rPr>
              <w:t>Latvijas Valsts ceļi</w:t>
            </w:r>
            <w:r w:rsidRPr="002A27D2">
              <w:rPr>
                <w:szCs w:val="24"/>
                <w:lang w:eastAsia="lv-LV"/>
              </w:rPr>
              <w:t>”</w:t>
            </w:r>
            <w:r>
              <w:rPr>
                <w:szCs w:val="24"/>
                <w:lang w:eastAsia="lv-LV"/>
              </w:rPr>
              <w:t xml:space="preserve">, </w:t>
            </w:r>
            <w:r>
              <w:t>valsts akciju sabiedrība „Latvijas dzelzceļš”.</w:t>
            </w:r>
          </w:p>
        </w:tc>
      </w:tr>
      <w:tr w:rsidR="00453C37" w:rsidRPr="00A15EA8" w:rsidTr="00D8483B">
        <w:trPr>
          <w:trHeight w:val="463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Projekts šo jomu neskar.</w:t>
            </w:r>
          </w:p>
        </w:tc>
      </w:tr>
      <w:tr w:rsidR="00453C37" w:rsidRPr="00A15EA8" w:rsidTr="00D8483B">
        <w:trPr>
          <w:trHeight w:val="725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Projekta izpildes ietekme uz pārvaldes institucionālo struktūru.</w:t>
            </w:r>
          </w:p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Jaunu institūciju izveide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both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Projekts šo jomu neskar.</w:t>
            </w:r>
          </w:p>
        </w:tc>
      </w:tr>
      <w:tr w:rsidR="00453C37" w:rsidRPr="00A15EA8" w:rsidTr="00D8483B">
        <w:trPr>
          <w:trHeight w:val="780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Projekta izpildes ietekme uz pārvaldes institucionālo struktūru.</w:t>
            </w:r>
          </w:p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Esošu institūciju likvidācija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both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Projekts šo jomu neskar.</w:t>
            </w:r>
          </w:p>
        </w:tc>
      </w:tr>
      <w:tr w:rsidR="00453C37" w:rsidRPr="00A15EA8" w:rsidTr="00D8483B">
        <w:trPr>
          <w:trHeight w:val="703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Projekta izpildes ietekme uz pārvaldes institucionālo struktūru.</w:t>
            </w:r>
          </w:p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Esošu institūciju reorganizācija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color w:val="000000"/>
                <w:szCs w:val="24"/>
                <w:lang w:eastAsia="lv-LV"/>
              </w:rPr>
              <w:t>Projekts šo jomu neskar.</w:t>
            </w:r>
          </w:p>
        </w:tc>
      </w:tr>
      <w:tr w:rsidR="00453C37" w:rsidRPr="00A15EA8" w:rsidTr="00D8483B">
        <w:trPr>
          <w:trHeight w:val="476"/>
          <w:tblCellSpacing w:w="0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jc w:val="center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7" w:rsidRPr="002A27D2" w:rsidRDefault="00453C37" w:rsidP="002A27D2">
            <w:pPr>
              <w:ind w:firstLine="0"/>
              <w:rPr>
                <w:szCs w:val="24"/>
                <w:lang w:eastAsia="lv-LV"/>
              </w:rPr>
            </w:pPr>
            <w:r w:rsidRPr="002A27D2">
              <w:rPr>
                <w:szCs w:val="24"/>
                <w:lang w:eastAsia="lv-LV"/>
              </w:rPr>
              <w:t>Nav.</w:t>
            </w:r>
          </w:p>
        </w:tc>
      </w:tr>
    </w:tbl>
    <w:p w:rsidR="00453C37" w:rsidRPr="002A27D2" w:rsidRDefault="00453C37" w:rsidP="002A27D2">
      <w:pPr>
        <w:ind w:firstLine="0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684"/>
        <w:jc w:val="both"/>
        <w:outlineLvl w:val="0"/>
        <w:rPr>
          <w:color w:val="000000"/>
          <w:sz w:val="28"/>
          <w:szCs w:val="28"/>
        </w:rPr>
      </w:pPr>
      <w:r w:rsidRPr="002A27D2">
        <w:rPr>
          <w:sz w:val="28"/>
          <w:szCs w:val="28"/>
          <w:lang w:eastAsia="lv-LV"/>
        </w:rPr>
        <w:t>A</w:t>
      </w:r>
      <w:r w:rsidRPr="002A27D2">
        <w:rPr>
          <w:color w:val="000000"/>
          <w:sz w:val="28"/>
          <w:szCs w:val="28"/>
        </w:rPr>
        <w:t>notācijas II, IV, V un VI sadaļa – projekts šīs jomas neskar.</w:t>
      </w:r>
    </w:p>
    <w:p w:rsidR="00453C37" w:rsidRPr="002A27D2" w:rsidRDefault="00453C37" w:rsidP="002A27D2">
      <w:pPr>
        <w:ind w:firstLine="684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684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684"/>
        <w:rPr>
          <w:sz w:val="28"/>
          <w:szCs w:val="28"/>
          <w:lang w:eastAsia="lv-LV"/>
        </w:rPr>
      </w:pPr>
      <w:r w:rsidRPr="002A27D2">
        <w:rPr>
          <w:sz w:val="28"/>
          <w:szCs w:val="28"/>
          <w:lang w:eastAsia="lv-LV"/>
        </w:rPr>
        <w:t>Satiksmes ministrs</w:t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</w:r>
      <w:r w:rsidRPr="002A27D2">
        <w:rPr>
          <w:sz w:val="28"/>
          <w:szCs w:val="28"/>
          <w:lang w:eastAsia="lv-LV"/>
        </w:rPr>
        <w:tab/>
        <w:t xml:space="preserve">A. </w:t>
      </w:r>
      <w:r>
        <w:rPr>
          <w:sz w:val="28"/>
          <w:szCs w:val="28"/>
          <w:lang w:eastAsia="lv-LV"/>
        </w:rPr>
        <w:t>Matīss</w:t>
      </w:r>
    </w:p>
    <w:p w:rsidR="00453C37" w:rsidRDefault="00453C37" w:rsidP="002A27D2">
      <w:pPr>
        <w:ind w:firstLine="684"/>
        <w:jc w:val="both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684"/>
        <w:jc w:val="both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684"/>
        <w:jc w:val="both"/>
        <w:rPr>
          <w:sz w:val="28"/>
          <w:szCs w:val="28"/>
          <w:lang w:eastAsia="lv-LV"/>
        </w:rPr>
      </w:pPr>
      <w:r w:rsidRPr="002A27D2">
        <w:rPr>
          <w:sz w:val="28"/>
          <w:szCs w:val="28"/>
          <w:lang w:eastAsia="lv-LV"/>
        </w:rPr>
        <w:t>Vizē:</w:t>
      </w:r>
      <w:r>
        <w:rPr>
          <w:sz w:val="28"/>
          <w:szCs w:val="28"/>
          <w:lang w:eastAsia="lv-LV"/>
        </w:rPr>
        <w:t xml:space="preserve"> Valsts sekretārs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K. Ozoliņš</w:t>
      </w:r>
    </w:p>
    <w:p w:rsidR="00453C37" w:rsidRDefault="00453C37" w:rsidP="002A27D2">
      <w:pPr>
        <w:ind w:firstLine="0"/>
        <w:jc w:val="both"/>
        <w:rPr>
          <w:sz w:val="28"/>
          <w:szCs w:val="28"/>
          <w:lang w:eastAsia="lv-LV"/>
        </w:rPr>
      </w:pPr>
    </w:p>
    <w:p w:rsidR="00453C37" w:rsidRDefault="00453C37" w:rsidP="002A27D2">
      <w:pPr>
        <w:ind w:firstLine="0"/>
        <w:jc w:val="both"/>
        <w:rPr>
          <w:sz w:val="28"/>
          <w:szCs w:val="28"/>
          <w:lang w:eastAsia="lv-LV"/>
        </w:rPr>
      </w:pPr>
    </w:p>
    <w:p w:rsidR="00453C37" w:rsidRDefault="00453C37" w:rsidP="002A27D2">
      <w:pPr>
        <w:ind w:firstLine="0"/>
        <w:jc w:val="both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0"/>
        <w:jc w:val="both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0"/>
        <w:jc w:val="both"/>
        <w:rPr>
          <w:sz w:val="28"/>
          <w:szCs w:val="28"/>
          <w:lang w:eastAsia="lv-LV"/>
        </w:rPr>
      </w:pPr>
    </w:p>
    <w:p w:rsidR="00453C37" w:rsidRPr="002A27D2" w:rsidRDefault="00453C37" w:rsidP="002A27D2">
      <w:pPr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2013.06.25. 11:25</w:t>
      </w:r>
    </w:p>
    <w:p w:rsidR="00453C37" w:rsidRPr="002A27D2" w:rsidRDefault="00453C37" w:rsidP="002A27D2">
      <w:pPr>
        <w:ind w:firstLine="0"/>
        <w:jc w:val="both"/>
        <w:rPr>
          <w:sz w:val="20"/>
          <w:szCs w:val="20"/>
          <w:lang w:eastAsia="lv-LV"/>
        </w:rPr>
      </w:pPr>
      <w:fldSimple w:instr=" NUMWORDS   \* MERGEFORMAT ">
        <w:r w:rsidRPr="00324FB2">
          <w:rPr>
            <w:noProof/>
            <w:sz w:val="20"/>
            <w:szCs w:val="20"/>
            <w:lang w:eastAsia="lv-LV"/>
          </w:rPr>
          <w:t>745</w:t>
        </w:r>
      </w:fldSimple>
    </w:p>
    <w:p w:rsidR="00453C37" w:rsidRPr="002A27D2" w:rsidRDefault="00453C37" w:rsidP="002A27D2">
      <w:pPr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A.Lubāns</w:t>
      </w:r>
    </w:p>
    <w:p w:rsidR="00453C37" w:rsidRPr="002A27D2" w:rsidRDefault="00453C37" w:rsidP="002A27D2">
      <w:pPr>
        <w:ind w:firstLine="0"/>
        <w:jc w:val="both"/>
        <w:rPr>
          <w:szCs w:val="24"/>
          <w:lang w:eastAsia="lv-LV"/>
        </w:rPr>
      </w:pPr>
      <w:r w:rsidRPr="002A27D2">
        <w:rPr>
          <w:sz w:val="20"/>
          <w:szCs w:val="20"/>
          <w:lang w:eastAsia="lv-LV"/>
        </w:rPr>
        <w:t>670</w:t>
      </w:r>
      <w:r>
        <w:rPr>
          <w:sz w:val="20"/>
          <w:szCs w:val="20"/>
          <w:lang w:eastAsia="lv-LV"/>
        </w:rPr>
        <w:t>28214</w:t>
      </w:r>
      <w:r w:rsidRPr="002A27D2">
        <w:rPr>
          <w:sz w:val="20"/>
          <w:szCs w:val="20"/>
          <w:lang w:eastAsia="lv-LV"/>
        </w:rPr>
        <w:t xml:space="preserve">, </w:t>
      </w:r>
      <w:r>
        <w:rPr>
          <w:sz w:val="20"/>
          <w:szCs w:val="20"/>
          <w:lang w:eastAsia="lv-LV"/>
        </w:rPr>
        <w:t>andris.lubans@sam.gov.lv</w:t>
      </w:r>
    </w:p>
    <w:sectPr w:rsidR="00453C37" w:rsidRPr="002A27D2" w:rsidSect="00800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37" w:rsidRDefault="00453C37" w:rsidP="0013450D">
      <w:r>
        <w:separator/>
      </w:r>
    </w:p>
  </w:endnote>
  <w:endnote w:type="continuationSeparator" w:id="0">
    <w:p w:rsidR="00453C37" w:rsidRDefault="00453C37" w:rsidP="0013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Default="00453C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Pr="00E83BF5" w:rsidRDefault="00453C37" w:rsidP="00AE671F">
    <w:pPr>
      <w:pStyle w:val="Footer"/>
      <w:ind w:firstLine="0"/>
      <w:rPr>
        <w:sz w:val="20"/>
        <w:szCs w:val="20"/>
      </w:rPr>
    </w:pPr>
    <w:r w:rsidRPr="006D68E9">
      <w:rPr>
        <w:sz w:val="20"/>
        <w:szCs w:val="20"/>
      </w:rPr>
      <w:t>S</w:t>
    </w:r>
    <w:smartTag w:uri="urn:schemas-microsoft-com:office:smarttags" w:element="PersonName">
      <w:r w:rsidRPr="006D68E9">
        <w:rPr>
          <w:sz w:val="20"/>
          <w:szCs w:val="20"/>
        </w:rPr>
        <w:t>AM</w:t>
      </w:r>
    </w:smartTag>
    <w:r w:rsidRPr="006D68E9">
      <w:rPr>
        <w:sz w:val="20"/>
        <w:szCs w:val="20"/>
      </w:rPr>
      <w:t>Anot_</w:t>
    </w:r>
    <w:r>
      <w:rPr>
        <w:sz w:val="20"/>
        <w:szCs w:val="20"/>
      </w:rPr>
      <w:t>250613</w:t>
    </w:r>
    <w:r w:rsidRPr="006D68E9">
      <w:rPr>
        <w:sz w:val="20"/>
        <w:szCs w:val="20"/>
      </w:rPr>
      <w:t>_</w:t>
    </w:r>
    <w:r>
      <w:rPr>
        <w:sz w:val="20"/>
        <w:szCs w:val="20"/>
      </w:rPr>
      <w:t>pludi</w:t>
    </w:r>
    <w:r w:rsidRPr="006D68E9">
      <w:rPr>
        <w:sz w:val="20"/>
        <w:szCs w:val="20"/>
      </w:rPr>
      <w:t xml:space="preserve">; Ministru kabineta </w:t>
    </w:r>
    <w:r>
      <w:rPr>
        <w:sz w:val="20"/>
        <w:szCs w:val="20"/>
      </w:rPr>
      <w:t>rīkojuma</w:t>
    </w:r>
    <w:r w:rsidRPr="006D68E9">
      <w:rPr>
        <w:sz w:val="20"/>
        <w:szCs w:val="20"/>
      </w:rPr>
      <w:t xml:space="preserve"> projekta</w:t>
    </w:r>
    <w:r>
      <w:rPr>
        <w:sz w:val="20"/>
        <w:szCs w:val="20"/>
      </w:rPr>
      <w:t xml:space="preserve"> par finanšu līdzekļu piešķiršanu no valsts budžeta programmas „Līdzekļi neparedzētiem gadījumiem”</w:t>
    </w:r>
    <w:r w:rsidRPr="006D68E9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D68E9">
        <w:rPr>
          <w:sz w:val="20"/>
          <w:szCs w:val="20"/>
        </w:rPr>
        <w:t>ziņojums</w:t>
      </w:r>
    </w:smartTag>
    <w:r w:rsidRPr="006D68E9">
      <w:rPr>
        <w:sz w:val="20"/>
        <w:szCs w:val="20"/>
      </w:rPr>
      <w:t xml:space="preserve"> (anotācija)</w:t>
    </w:r>
  </w:p>
  <w:p w:rsidR="00453C37" w:rsidRPr="00B34BFB" w:rsidRDefault="00453C37" w:rsidP="00B34B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Pr="00E83BF5" w:rsidRDefault="00453C37" w:rsidP="00B34BFB">
    <w:pPr>
      <w:pStyle w:val="Footer"/>
      <w:ind w:firstLine="0"/>
      <w:rPr>
        <w:sz w:val="20"/>
        <w:szCs w:val="20"/>
      </w:rPr>
    </w:pPr>
    <w:r w:rsidRPr="006D68E9">
      <w:rPr>
        <w:sz w:val="20"/>
        <w:szCs w:val="20"/>
      </w:rPr>
      <w:t>S</w:t>
    </w:r>
    <w:smartTag w:uri="urn:schemas-microsoft-com:office:smarttags" w:element="PersonName">
      <w:r w:rsidRPr="006D68E9">
        <w:rPr>
          <w:sz w:val="20"/>
          <w:szCs w:val="20"/>
        </w:rPr>
        <w:t>AM</w:t>
      </w:r>
    </w:smartTag>
    <w:r w:rsidRPr="006D68E9">
      <w:rPr>
        <w:sz w:val="20"/>
        <w:szCs w:val="20"/>
      </w:rPr>
      <w:t>Anot_</w:t>
    </w:r>
    <w:r>
      <w:rPr>
        <w:sz w:val="20"/>
        <w:szCs w:val="20"/>
      </w:rPr>
      <w:t>250613</w:t>
    </w:r>
    <w:r w:rsidRPr="006D68E9">
      <w:rPr>
        <w:sz w:val="20"/>
        <w:szCs w:val="20"/>
      </w:rPr>
      <w:t>_</w:t>
    </w:r>
    <w:r>
      <w:rPr>
        <w:sz w:val="20"/>
        <w:szCs w:val="20"/>
      </w:rPr>
      <w:t>pludi</w:t>
    </w:r>
    <w:r w:rsidRPr="006D68E9">
      <w:rPr>
        <w:sz w:val="20"/>
        <w:szCs w:val="20"/>
      </w:rPr>
      <w:t xml:space="preserve">; </w:t>
    </w:r>
    <w:bookmarkStart w:id="0" w:name="_GoBack"/>
    <w:r w:rsidRPr="006D68E9">
      <w:rPr>
        <w:sz w:val="20"/>
        <w:szCs w:val="20"/>
      </w:rPr>
      <w:t xml:space="preserve">Ministru kabineta </w:t>
    </w:r>
    <w:r>
      <w:rPr>
        <w:sz w:val="20"/>
        <w:szCs w:val="20"/>
      </w:rPr>
      <w:t>rīkojuma</w:t>
    </w:r>
    <w:r w:rsidRPr="006D68E9">
      <w:rPr>
        <w:sz w:val="20"/>
        <w:szCs w:val="20"/>
      </w:rPr>
      <w:t xml:space="preserve"> projekta</w:t>
    </w:r>
    <w:r>
      <w:rPr>
        <w:sz w:val="20"/>
        <w:szCs w:val="20"/>
      </w:rPr>
      <w:t xml:space="preserve"> par finanšu līdzekļu piešķiršanu no valsts budžeta programmas „Līdzekļi neparedzētiem gadījumiem”</w:t>
    </w:r>
    <w:bookmarkEnd w:id="0"/>
    <w:r w:rsidRPr="006D68E9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D68E9">
        <w:rPr>
          <w:sz w:val="20"/>
          <w:szCs w:val="20"/>
        </w:rPr>
        <w:t>ziņojums</w:t>
      </w:r>
    </w:smartTag>
    <w:r w:rsidRPr="006D68E9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37" w:rsidRDefault="00453C37" w:rsidP="0013450D">
      <w:r>
        <w:separator/>
      </w:r>
    </w:p>
  </w:footnote>
  <w:footnote w:type="continuationSeparator" w:id="0">
    <w:p w:rsidR="00453C37" w:rsidRDefault="00453C37" w:rsidP="0013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Default="00453C37" w:rsidP="00227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C37" w:rsidRDefault="00453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Pr="00C802BA" w:rsidRDefault="00453C37" w:rsidP="002274F8">
    <w:pPr>
      <w:pStyle w:val="Header"/>
      <w:framePr w:wrap="around" w:vAnchor="text" w:hAnchor="margin" w:xAlign="center" w:y="1"/>
      <w:rPr>
        <w:rStyle w:val="PageNumber"/>
      </w:rPr>
    </w:pPr>
    <w:r w:rsidRPr="00C802BA">
      <w:rPr>
        <w:rStyle w:val="PageNumber"/>
      </w:rPr>
      <w:fldChar w:fldCharType="begin"/>
    </w:r>
    <w:r w:rsidRPr="00C802BA">
      <w:rPr>
        <w:rStyle w:val="PageNumber"/>
      </w:rPr>
      <w:instrText xml:space="preserve">PAGE  </w:instrText>
    </w:r>
    <w:r w:rsidRPr="00C802BA">
      <w:rPr>
        <w:rStyle w:val="PageNumber"/>
      </w:rPr>
      <w:fldChar w:fldCharType="separate"/>
    </w:r>
    <w:r>
      <w:rPr>
        <w:rStyle w:val="PageNumber"/>
        <w:noProof/>
      </w:rPr>
      <w:t>3</w:t>
    </w:r>
    <w:r w:rsidRPr="00C802BA">
      <w:rPr>
        <w:rStyle w:val="PageNumber"/>
      </w:rPr>
      <w:fldChar w:fldCharType="end"/>
    </w:r>
  </w:p>
  <w:p w:rsidR="00453C37" w:rsidRDefault="00453C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37" w:rsidRDefault="00453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3FA"/>
    <w:multiLevelType w:val="hybridMultilevel"/>
    <w:tmpl w:val="71E610B6"/>
    <w:lvl w:ilvl="0" w:tplc="9878A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8C7"/>
    <w:multiLevelType w:val="hybridMultilevel"/>
    <w:tmpl w:val="67E8C56A"/>
    <w:lvl w:ilvl="0" w:tplc="71508ECA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7D2"/>
    <w:rsid w:val="00024979"/>
    <w:rsid w:val="0003336B"/>
    <w:rsid w:val="000532BD"/>
    <w:rsid w:val="00080FCF"/>
    <w:rsid w:val="0013450D"/>
    <w:rsid w:val="00152ADC"/>
    <w:rsid w:val="001A50CB"/>
    <w:rsid w:val="001D65E2"/>
    <w:rsid w:val="00207653"/>
    <w:rsid w:val="002274F8"/>
    <w:rsid w:val="00246837"/>
    <w:rsid w:val="002947B7"/>
    <w:rsid w:val="002A02AE"/>
    <w:rsid w:val="002A27D2"/>
    <w:rsid w:val="00315C54"/>
    <w:rsid w:val="00324FB2"/>
    <w:rsid w:val="00342D5B"/>
    <w:rsid w:val="00396876"/>
    <w:rsid w:val="004059F7"/>
    <w:rsid w:val="00453C37"/>
    <w:rsid w:val="004921B6"/>
    <w:rsid w:val="004F4D3F"/>
    <w:rsid w:val="005C2D6B"/>
    <w:rsid w:val="005E3237"/>
    <w:rsid w:val="00664CC3"/>
    <w:rsid w:val="006720C5"/>
    <w:rsid w:val="006C07AA"/>
    <w:rsid w:val="006D68E9"/>
    <w:rsid w:val="006F7BDE"/>
    <w:rsid w:val="00700373"/>
    <w:rsid w:val="00703632"/>
    <w:rsid w:val="00703938"/>
    <w:rsid w:val="0072453D"/>
    <w:rsid w:val="00731290"/>
    <w:rsid w:val="00765F4E"/>
    <w:rsid w:val="007F444D"/>
    <w:rsid w:val="008007AD"/>
    <w:rsid w:val="00837DB7"/>
    <w:rsid w:val="00896B4A"/>
    <w:rsid w:val="009C5401"/>
    <w:rsid w:val="009D6ECD"/>
    <w:rsid w:val="00A15EA8"/>
    <w:rsid w:val="00A20017"/>
    <w:rsid w:val="00A401B5"/>
    <w:rsid w:val="00A41F7E"/>
    <w:rsid w:val="00A42598"/>
    <w:rsid w:val="00A53F1F"/>
    <w:rsid w:val="00A729A9"/>
    <w:rsid w:val="00AA7841"/>
    <w:rsid w:val="00AE01E7"/>
    <w:rsid w:val="00AE671F"/>
    <w:rsid w:val="00B11EB3"/>
    <w:rsid w:val="00B34753"/>
    <w:rsid w:val="00B34BFB"/>
    <w:rsid w:val="00BA3AD3"/>
    <w:rsid w:val="00C07882"/>
    <w:rsid w:val="00C802BA"/>
    <w:rsid w:val="00CC35CB"/>
    <w:rsid w:val="00CF6091"/>
    <w:rsid w:val="00D307F9"/>
    <w:rsid w:val="00D470B8"/>
    <w:rsid w:val="00D5739E"/>
    <w:rsid w:val="00D8483B"/>
    <w:rsid w:val="00DB401E"/>
    <w:rsid w:val="00E16AE9"/>
    <w:rsid w:val="00E17766"/>
    <w:rsid w:val="00E77FF7"/>
    <w:rsid w:val="00E83BF5"/>
    <w:rsid w:val="00E83D6D"/>
    <w:rsid w:val="00F47D26"/>
    <w:rsid w:val="00F90972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0D"/>
    <w:pPr>
      <w:ind w:firstLine="720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7D2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7D2"/>
  </w:style>
  <w:style w:type="character" w:styleId="PageNumber">
    <w:name w:val="page number"/>
    <w:basedOn w:val="DefaultParagraphFont"/>
    <w:uiPriority w:val="99"/>
    <w:rsid w:val="002A27D2"/>
    <w:rPr>
      <w:rFonts w:cs="Times New Roman"/>
    </w:rPr>
  </w:style>
  <w:style w:type="character" w:styleId="Hyperlink">
    <w:name w:val="Hyperlink"/>
    <w:basedOn w:val="DefaultParagraphFont"/>
    <w:uiPriority w:val="99"/>
    <w:rsid w:val="007F444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83B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BF5"/>
    <w:rPr>
      <w:sz w:val="22"/>
      <w:lang w:eastAsia="en-US"/>
    </w:rPr>
  </w:style>
  <w:style w:type="paragraph" w:styleId="NormalWeb">
    <w:name w:val="Normal (Web)"/>
    <w:basedOn w:val="Normal"/>
    <w:uiPriority w:val="99"/>
    <w:rsid w:val="00E17766"/>
    <w:pPr>
      <w:widowControl w:val="0"/>
      <w:suppressAutoHyphens/>
      <w:spacing w:before="280" w:after="119"/>
      <w:ind w:firstLine="0"/>
    </w:pPr>
    <w:rPr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47B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B7"/>
    <w:rPr>
      <w:rFonts w:ascii="Tahoma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947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9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7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7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761</Words>
  <Characters>4639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 no valsts budžeta programmas „Līdzekļi neparedzētiem gadījumiem”"</dc:title>
  <dc:subject>Anotācija</dc:subject>
  <dc:creator>Andris.Lubans@sam.gov.lv</dc:creator>
  <cp:keywords/>
  <dc:description>andris.lubans@sam.gov.lv, 67028214</dc:description>
  <cp:lastModifiedBy>Baiba Šterna</cp:lastModifiedBy>
  <cp:revision>4</cp:revision>
  <cp:lastPrinted>2013-06-07T11:27:00Z</cp:lastPrinted>
  <dcterms:created xsi:type="dcterms:W3CDTF">2013-06-25T08:26:00Z</dcterms:created>
  <dcterms:modified xsi:type="dcterms:W3CDTF">2013-06-28T05:28:00Z</dcterms:modified>
</cp:coreProperties>
</file>