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E46" w:rsidRDefault="00D92E46" w:rsidP="00673259">
      <w:pPr>
        <w:jc w:val="center"/>
        <w:rPr>
          <w:rFonts w:ascii="Times New Roman" w:hAnsi="Times New Roman"/>
          <w:b/>
          <w:sz w:val="28"/>
          <w:szCs w:val="28"/>
        </w:rPr>
      </w:pPr>
      <w:r w:rsidRPr="00446D0F">
        <w:rPr>
          <w:rFonts w:ascii="Times New Roman" w:hAnsi="Times New Roman"/>
          <w:b/>
          <w:sz w:val="28"/>
          <w:szCs w:val="28"/>
        </w:rPr>
        <w:t>Noteikumu</w:t>
      </w:r>
      <w:r>
        <w:rPr>
          <w:rFonts w:ascii="Times New Roman" w:hAnsi="Times New Roman"/>
          <w:b/>
          <w:sz w:val="28"/>
          <w:szCs w:val="28"/>
        </w:rPr>
        <w:t xml:space="preserve"> </w:t>
      </w:r>
      <w:r w:rsidRPr="00446D0F">
        <w:rPr>
          <w:rFonts w:ascii="Times New Roman" w:hAnsi="Times New Roman"/>
          <w:b/>
          <w:sz w:val="28"/>
          <w:szCs w:val="28"/>
        </w:rPr>
        <w:t>projekta „</w:t>
      </w:r>
      <w:r>
        <w:rPr>
          <w:rFonts w:ascii="Times New Roman" w:hAnsi="Times New Roman"/>
          <w:b/>
          <w:sz w:val="28"/>
          <w:szCs w:val="28"/>
        </w:rPr>
        <w:t>Grozījumi Ministru kabineta 2010.gada 21.decembra noteikumos Nr. 1164 „Ostas valsts kontroles kārtība” ”</w:t>
      </w:r>
      <w:r w:rsidRPr="00446D0F">
        <w:rPr>
          <w:rFonts w:ascii="Times New Roman" w:hAnsi="Times New Roman"/>
          <w:b/>
          <w:sz w:val="28"/>
          <w:szCs w:val="28"/>
        </w:rPr>
        <w:t xml:space="preserve"> sākotnējās ietekmes novērtējuma ziņojums (anotācija)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261"/>
        <w:gridCol w:w="5103"/>
      </w:tblGrid>
      <w:tr w:rsidR="00D92E46" w:rsidRPr="00FF275E" w:rsidTr="00FF275E">
        <w:tc>
          <w:tcPr>
            <w:tcW w:w="9039" w:type="dxa"/>
            <w:gridSpan w:val="3"/>
          </w:tcPr>
          <w:p w:rsidR="00D92E46" w:rsidRPr="00FF275E" w:rsidRDefault="00D92E46" w:rsidP="00FF275E">
            <w:pPr>
              <w:pStyle w:val="ListParagraph"/>
              <w:spacing w:after="0" w:line="240" w:lineRule="auto"/>
              <w:ind w:left="1080"/>
              <w:jc w:val="center"/>
              <w:rPr>
                <w:rFonts w:ascii="Times New Roman" w:hAnsi="Times New Roman"/>
                <w:b/>
                <w:sz w:val="24"/>
                <w:szCs w:val="24"/>
              </w:rPr>
            </w:pPr>
            <w:r w:rsidRPr="00FF275E">
              <w:rPr>
                <w:rFonts w:ascii="Times New Roman" w:hAnsi="Times New Roman"/>
                <w:b/>
                <w:sz w:val="24"/>
                <w:szCs w:val="24"/>
              </w:rPr>
              <w:t>I. Tiesību akta projekta izstrādes nepieciešamība</w:t>
            </w:r>
          </w:p>
        </w:tc>
      </w:tr>
      <w:tr w:rsidR="00D92E46" w:rsidRPr="00FF275E" w:rsidTr="00FF275E">
        <w:tc>
          <w:tcPr>
            <w:tcW w:w="675"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1.</w:t>
            </w:r>
          </w:p>
        </w:tc>
        <w:tc>
          <w:tcPr>
            <w:tcW w:w="3261"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Pamatojums</w:t>
            </w:r>
          </w:p>
          <w:p w:rsidR="00D92E46" w:rsidRPr="00FF275E" w:rsidRDefault="00D92E46" w:rsidP="00FF275E">
            <w:pPr>
              <w:spacing w:after="0" w:line="240" w:lineRule="auto"/>
              <w:rPr>
                <w:rFonts w:ascii="Times New Roman" w:hAnsi="Times New Roman"/>
                <w:sz w:val="24"/>
                <w:szCs w:val="24"/>
              </w:rPr>
            </w:pPr>
          </w:p>
        </w:tc>
        <w:tc>
          <w:tcPr>
            <w:tcW w:w="5103" w:type="dxa"/>
          </w:tcPr>
          <w:p w:rsidR="00D92E46" w:rsidRPr="00FF275E" w:rsidRDefault="00D92E46" w:rsidP="00FF275E">
            <w:pPr>
              <w:pStyle w:val="NoSpacing"/>
              <w:jc w:val="both"/>
              <w:rPr>
                <w:rFonts w:ascii="Times New Roman" w:hAnsi="Times New Roman"/>
                <w:sz w:val="24"/>
                <w:szCs w:val="24"/>
              </w:rPr>
            </w:pPr>
            <w:r w:rsidRPr="00FF275E">
              <w:rPr>
                <w:rFonts w:ascii="Times New Roman" w:hAnsi="Times New Roman"/>
                <w:sz w:val="24"/>
                <w:szCs w:val="24"/>
              </w:rPr>
              <w:t>Jūrlietu pārvaldes un jūras drošības likuma 15.panta trešā daļa.</w:t>
            </w:r>
          </w:p>
          <w:p w:rsidR="00D92E46" w:rsidRPr="00FF275E" w:rsidRDefault="00D92E46" w:rsidP="00FF275E">
            <w:pPr>
              <w:pStyle w:val="NoSpacing"/>
              <w:jc w:val="both"/>
              <w:rPr>
                <w:rFonts w:ascii="Times New Roman" w:hAnsi="Times New Roman"/>
                <w:sz w:val="24"/>
                <w:szCs w:val="24"/>
              </w:rPr>
            </w:pPr>
            <w:r w:rsidRPr="00FF275E">
              <w:rPr>
                <w:rFonts w:ascii="Times New Roman" w:hAnsi="Times New Roman"/>
                <w:sz w:val="24"/>
                <w:szCs w:val="24"/>
              </w:rPr>
              <w:t>Eiropas Parlamenta un Padomes 2009.gada 23.aprīļa Direktīva 2009/20/EK par kuģu īpašnieku apdrošināšanu pret jūras prasībām (turpmāk – Direktīva 2009/20/EK).</w:t>
            </w:r>
          </w:p>
        </w:tc>
      </w:tr>
      <w:tr w:rsidR="00D92E46" w:rsidRPr="00FF275E" w:rsidTr="00FF275E">
        <w:tc>
          <w:tcPr>
            <w:tcW w:w="675"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2.</w:t>
            </w:r>
          </w:p>
        </w:tc>
        <w:tc>
          <w:tcPr>
            <w:tcW w:w="3261"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Pašreizējā situācija un problēmas</w:t>
            </w:r>
          </w:p>
        </w:tc>
        <w:tc>
          <w:tcPr>
            <w:tcW w:w="5103" w:type="dxa"/>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2009.gada 23.aprīlī tika pieņemta Direktīva 2009/20/EK, kuras atsevišķas tiesību normas jau ir pārņemtas ar pašreiz spēkā esošajiem Ministru kabineta 2010.gada 21.decembra noteikumiem Nr. 1164 „Ostas valsts kontroles kārtība” (turpmāk – spēkā esošie noteikumi). Taču spēkā esošie noteikumi ir jāpapildina ar citām Direktīvas 2009/20/EK tiesību normām, kā arī jāpapildina spēkā esošo noteikumu informatīvā atsauce uz Eiropas Savienības direktīvām, kā to nosaka Direktīvas 2009/20/EK 9.panta 1.punkts (kad dalībvalstis pieņem minētos noteikumus, tajos ietver atsauci uz šo direktīvu).</w:t>
            </w:r>
          </w:p>
          <w:p w:rsidR="00D92E46" w:rsidRPr="00FF275E" w:rsidRDefault="00D92E46" w:rsidP="00FF275E">
            <w:pPr>
              <w:spacing w:after="0" w:line="240" w:lineRule="auto"/>
              <w:jc w:val="both"/>
              <w:rPr>
                <w:rFonts w:ascii="Times New Roman" w:hAnsi="Times New Roman"/>
                <w:sz w:val="24"/>
                <w:szCs w:val="24"/>
              </w:rPr>
            </w:pPr>
          </w:p>
        </w:tc>
      </w:tr>
      <w:tr w:rsidR="00D92E46" w:rsidRPr="00FF275E" w:rsidTr="00FF275E">
        <w:tc>
          <w:tcPr>
            <w:tcW w:w="675"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 xml:space="preserve">3. </w:t>
            </w:r>
          </w:p>
        </w:tc>
        <w:tc>
          <w:tcPr>
            <w:tcW w:w="3261"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Saistītie politikas ietekmes novērtējumi un pētījumi</w:t>
            </w:r>
          </w:p>
        </w:tc>
        <w:tc>
          <w:tcPr>
            <w:tcW w:w="5103"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Projekts šo jomu neskar.</w:t>
            </w:r>
          </w:p>
        </w:tc>
      </w:tr>
      <w:tr w:rsidR="00D92E46" w:rsidRPr="00FF275E" w:rsidTr="00FF275E">
        <w:tc>
          <w:tcPr>
            <w:tcW w:w="675"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 xml:space="preserve">4. </w:t>
            </w:r>
          </w:p>
        </w:tc>
        <w:tc>
          <w:tcPr>
            <w:tcW w:w="3261"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Tiesiskā regulējuma mērķis un būtība</w:t>
            </w:r>
          </w:p>
        </w:tc>
        <w:tc>
          <w:tcPr>
            <w:tcW w:w="5103" w:type="dxa"/>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Noteikumu projekts papildina spēkā esošos noteikumus ar attiecīgajām Direktīvas 2009/20/EK tiesību normām, kā arī papildina spēkā esošo noteikumu informatīvo atsauci uz Eiropas Savienības direktīvām ar atsauci uz Direktīvu 2009/20/EK.</w:t>
            </w:r>
          </w:p>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Ar noteikumu projektu tiek daļēji pārņemtas Direktīvas 2009/20/EK tiesību normas.</w:t>
            </w:r>
          </w:p>
          <w:p w:rsidR="00D92E46" w:rsidRPr="00FF275E" w:rsidRDefault="00D92E46" w:rsidP="00FF275E">
            <w:pPr>
              <w:spacing w:after="0" w:line="240" w:lineRule="auto"/>
              <w:jc w:val="both"/>
              <w:rPr>
                <w:rFonts w:ascii="Times New Roman" w:hAnsi="Times New Roman"/>
                <w:b/>
                <w:sz w:val="24"/>
                <w:szCs w:val="24"/>
              </w:rPr>
            </w:pPr>
          </w:p>
        </w:tc>
      </w:tr>
      <w:tr w:rsidR="00D92E46" w:rsidRPr="00FF275E" w:rsidTr="00FF275E">
        <w:tc>
          <w:tcPr>
            <w:tcW w:w="675"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 xml:space="preserve">5. </w:t>
            </w:r>
          </w:p>
        </w:tc>
        <w:tc>
          <w:tcPr>
            <w:tcW w:w="3261"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Projekta izstrādē iesaistītās institūcijas</w:t>
            </w:r>
          </w:p>
        </w:tc>
        <w:tc>
          <w:tcPr>
            <w:tcW w:w="5103" w:type="dxa"/>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Valsts akciju sabiedrība „Latvijas Jūras administrācija”.</w:t>
            </w:r>
          </w:p>
          <w:p w:rsidR="00D92E46" w:rsidRPr="00FF275E" w:rsidRDefault="00D92E46" w:rsidP="00FF275E">
            <w:pPr>
              <w:spacing w:after="0" w:line="240" w:lineRule="auto"/>
              <w:jc w:val="both"/>
              <w:rPr>
                <w:rFonts w:ascii="Times New Roman" w:hAnsi="Times New Roman"/>
                <w:sz w:val="24"/>
                <w:szCs w:val="24"/>
              </w:rPr>
            </w:pPr>
          </w:p>
        </w:tc>
      </w:tr>
      <w:tr w:rsidR="00D92E46" w:rsidRPr="00FF275E" w:rsidTr="00FF275E">
        <w:tc>
          <w:tcPr>
            <w:tcW w:w="675"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 xml:space="preserve">6. </w:t>
            </w:r>
          </w:p>
        </w:tc>
        <w:tc>
          <w:tcPr>
            <w:tcW w:w="3261"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Iemesli, kādēļ netika nodrošināta sabiedrības līdzdalība</w:t>
            </w:r>
          </w:p>
        </w:tc>
        <w:tc>
          <w:tcPr>
            <w:tcW w:w="5103"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Projekts šo jomu neskar.</w:t>
            </w:r>
          </w:p>
        </w:tc>
      </w:tr>
      <w:tr w:rsidR="00D92E46" w:rsidRPr="00FF275E" w:rsidTr="00FF275E">
        <w:tc>
          <w:tcPr>
            <w:tcW w:w="675"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 xml:space="preserve">7. </w:t>
            </w:r>
          </w:p>
        </w:tc>
        <w:tc>
          <w:tcPr>
            <w:tcW w:w="3261"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Cita informācija</w:t>
            </w:r>
          </w:p>
        </w:tc>
        <w:tc>
          <w:tcPr>
            <w:tcW w:w="5103"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Nav.</w:t>
            </w:r>
          </w:p>
        </w:tc>
      </w:tr>
    </w:tbl>
    <w:p w:rsidR="00D92E46" w:rsidRDefault="00D92E46" w:rsidP="00673259">
      <w:pPr>
        <w:rPr>
          <w:rFonts w:ascii="Times New Roman" w:hAnsi="Times New Roman"/>
          <w:b/>
          <w:sz w:val="28"/>
          <w:szCs w:val="28"/>
        </w:rPr>
      </w:pPr>
    </w:p>
    <w:p w:rsidR="00D92E46" w:rsidRDefault="00D92E46" w:rsidP="00673259">
      <w:pPr>
        <w:rPr>
          <w:rFonts w:ascii="Times New Roman" w:hAnsi="Times New Roman"/>
          <w:b/>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261"/>
        <w:gridCol w:w="5103"/>
      </w:tblGrid>
      <w:tr w:rsidR="00D92E46" w:rsidRPr="00FF275E" w:rsidTr="00FF275E">
        <w:tc>
          <w:tcPr>
            <w:tcW w:w="9039" w:type="dxa"/>
            <w:gridSpan w:val="3"/>
          </w:tcPr>
          <w:p w:rsidR="00D92E46" w:rsidRPr="00FF275E" w:rsidRDefault="00D92E46" w:rsidP="00FF275E">
            <w:pPr>
              <w:pStyle w:val="ListParagraph"/>
              <w:spacing w:after="0" w:line="240" w:lineRule="auto"/>
              <w:ind w:left="1080"/>
              <w:jc w:val="center"/>
              <w:rPr>
                <w:rFonts w:ascii="Times New Roman" w:hAnsi="Times New Roman"/>
                <w:b/>
                <w:sz w:val="24"/>
                <w:szCs w:val="24"/>
              </w:rPr>
            </w:pPr>
            <w:r w:rsidRPr="00FF275E">
              <w:rPr>
                <w:rFonts w:ascii="Times New Roman" w:hAnsi="Times New Roman"/>
                <w:b/>
                <w:sz w:val="24"/>
                <w:szCs w:val="24"/>
              </w:rPr>
              <w:t>II. Tiesību akta projekta ietekme uz sabiedrību</w:t>
            </w:r>
          </w:p>
        </w:tc>
      </w:tr>
      <w:tr w:rsidR="00D92E46" w:rsidRPr="00FF275E" w:rsidTr="00FF275E">
        <w:tc>
          <w:tcPr>
            <w:tcW w:w="675" w:type="dxa"/>
          </w:tcPr>
          <w:p w:rsidR="00D92E46" w:rsidRPr="00FF275E" w:rsidRDefault="00D92E46" w:rsidP="00FF275E">
            <w:pPr>
              <w:pStyle w:val="ListParagraph"/>
              <w:numPr>
                <w:ilvl w:val="0"/>
                <w:numId w:val="1"/>
              </w:numPr>
              <w:spacing w:after="0" w:line="240" w:lineRule="auto"/>
              <w:rPr>
                <w:rFonts w:ascii="Times New Roman" w:hAnsi="Times New Roman"/>
                <w:b/>
                <w:sz w:val="24"/>
                <w:szCs w:val="24"/>
              </w:rPr>
            </w:pPr>
          </w:p>
        </w:tc>
        <w:tc>
          <w:tcPr>
            <w:tcW w:w="3261"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Sabiedrības mērķgrupa</w:t>
            </w:r>
          </w:p>
        </w:tc>
        <w:tc>
          <w:tcPr>
            <w:tcW w:w="5103" w:type="dxa"/>
          </w:tcPr>
          <w:p w:rsidR="00D92E46" w:rsidRPr="00FF275E" w:rsidRDefault="00D92E46" w:rsidP="000C4E84">
            <w:pPr>
              <w:spacing w:after="0" w:line="240" w:lineRule="auto"/>
              <w:jc w:val="both"/>
              <w:rPr>
                <w:rFonts w:ascii="Times New Roman" w:hAnsi="Times New Roman"/>
                <w:sz w:val="24"/>
                <w:szCs w:val="24"/>
              </w:rPr>
            </w:pPr>
            <w:r w:rsidRPr="00FF275E">
              <w:rPr>
                <w:rFonts w:ascii="Times New Roman" w:hAnsi="Times New Roman"/>
                <w:sz w:val="24"/>
                <w:szCs w:val="24"/>
              </w:rPr>
              <w:t xml:space="preserve">Ārvalstu kuģu īpašnieki, kuru kuģi ienāk Latvijas ostās </w:t>
            </w:r>
            <w:r>
              <w:rPr>
                <w:rFonts w:ascii="Times New Roman" w:hAnsi="Times New Roman"/>
                <w:sz w:val="24"/>
                <w:szCs w:val="24"/>
              </w:rPr>
              <w:t>un</w:t>
            </w:r>
            <w:r w:rsidRPr="00FF275E">
              <w:rPr>
                <w:rFonts w:ascii="Times New Roman" w:hAnsi="Times New Roman"/>
                <w:sz w:val="24"/>
                <w:szCs w:val="24"/>
              </w:rPr>
              <w:t xml:space="preserve"> enkurvietās.</w:t>
            </w:r>
          </w:p>
        </w:tc>
      </w:tr>
      <w:tr w:rsidR="00D92E46" w:rsidRPr="00FF275E" w:rsidTr="00FF275E">
        <w:tc>
          <w:tcPr>
            <w:tcW w:w="675"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2.</w:t>
            </w:r>
          </w:p>
        </w:tc>
        <w:tc>
          <w:tcPr>
            <w:tcW w:w="3261" w:type="dxa"/>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Citas sabiedrības grupas (bez mērķgrupas), kuras tiesiskais regulējums arī ietekmē vai varētu ietekmēt.</w:t>
            </w:r>
          </w:p>
        </w:tc>
        <w:tc>
          <w:tcPr>
            <w:tcW w:w="5103"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Projekts šo jomu neskar.</w:t>
            </w:r>
          </w:p>
        </w:tc>
      </w:tr>
      <w:tr w:rsidR="00D92E46" w:rsidRPr="00FF275E" w:rsidTr="00FF275E">
        <w:tc>
          <w:tcPr>
            <w:tcW w:w="675"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3.</w:t>
            </w:r>
          </w:p>
        </w:tc>
        <w:tc>
          <w:tcPr>
            <w:tcW w:w="3261"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Tiesiskā regulējuma finansiālā ietekme</w:t>
            </w:r>
          </w:p>
        </w:tc>
        <w:tc>
          <w:tcPr>
            <w:tcW w:w="5103"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Projekts šo jomu neskar.</w:t>
            </w:r>
          </w:p>
          <w:p w:rsidR="00D92E46" w:rsidRPr="00FF275E" w:rsidRDefault="00D92E46" w:rsidP="00FF275E">
            <w:pPr>
              <w:spacing w:after="0" w:line="240" w:lineRule="auto"/>
              <w:rPr>
                <w:rFonts w:ascii="Times New Roman" w:hAnsi="Times New Roman"/>
                <w:sz w:val="24"/>
                <w:szCs w:val="24"/>
              </w:rPr>
            </w:pPr>
          </w:p>
        </w:tc>
      </w:tr>
      <w:tr w:rsidR="00D92E46" w:rsidRPr="00FF275E" w:rsidTr="00FF275E">
        <w:tc>
          <w:tcPr>
            <w:tcW w:w="675"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 xml:space="preserve">4. </w:t>
            </w:r>
          </w:p>
        </w:tc>
        <w:tc>
          <w:tcPr>
            <w:tcW w:w="3261"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Tiesiskā regulējuma nefinansiālā ietekme</w:t>
            </w:r>
          </w:p>
        </w:tc>
        <w:tc>
          <w:tcPr>
            <w:tcW w:w="5103" w:type="dxa"/>
          </w:tcPr>
          <w:p w:rsidR="00D92E46" w:rsidRPr="00FF275E" w:rsidRDefault="00D92E46" w:rsidP="00A24D3A">
            <w:pPr>
              <w:spacing w:after="0" w:line="240" w:lineRule="auto"/>
              <w:jc w:val="both"/>
              <w:rPr>
                <w:rFonts w:ascii="Times New Roman" w:hAnsi="Times New Roman"/>
                <w:sz w:val="24"/>
                <w:szCs w:val="24"/>
              </w:rPr>
            </w:pPr>
            <w:r w:rsidRPr="00FF275E">
              <w:rPr>
                <w:rFonts w:ascii="Times New Roman" w:hAnsi="Times New Roman"/>
                <w:sz w:val="24"/>
                <w:szCs w:val="24"/>
              </w:rPr>
              <w:t xml:space="preserve">Ar noteikumu projektu tiek noteikts, ka ostas valsts kontroles inspektori </w:t>
            </w:r>
            <w:r>
              <w:rPr>
                <w:rFonts w:ascii="Times New Roman" w:hAnsi="Times New Roman"/>
                <w:sz w:val="24"/>
                <w:szCs w:val="24"/>
              </w:rPr>
              <w:t xml:space="preserve">var </w:t>
            </w:r>
            <w:r w:rsidRPr="00FF275E">
              <w:rPr>
                <w:rFonts w:ascii="Times New Roman" w:hAnsi="Times New Roman"/>
                <w:sz w:val="24"/>
                <w:szCs w:val="24"/>
              </w:rPr>
              <w:t>pieņem</w:t>
            </w:r>
            <w:r>
              <w:rPr>
                <w:rFonts w:ascii="Times New Roman" w:hAnsi="Times New Roman"/>
                <w:sz w:val="24"/>
                <w:szCs w:val="24"/>
              </w:rPr>
              <w:t>t</w:t>
            </w:r>
            <w:r w:rsidRPr="00FF275E">
              <w:rPr>
                <w:rFonts w:ascii="Times New Roman" w:hAnsi="Times New Roman"/>
                <w:sz w:val="24"/>
                <w:szCs w:val="24"/>
              </w:rPr>
              <w:t xml:space="preserve"> lēmumu par ārvalsts karoga kuģa izraidīšanu no </w:t>
            </w:r>
            <w:r>
              <w:rPr>
                <w:rFonts w:ascii="Times New Roman" w:hAnsi="Times New Roman"/>
                <w:sz w:val="24"/>
                <w:szCs w:val="24"/>
              </w:rPr>
              <w:t xml:space="preserve">Latvijas </w:t>
            </w:r>
            <w:r w:rsidRPr="00FF275E">
              <w:rPr>
                <w:rFonts w:ascii="Times New Roman" w:hAnsi="Times New Roman"/>
                <w:sz w:val="24"/>
                <w:szCs w:val="24"/>
              </w:rPr>
              <w:t>ostas vai enkurvietas, ja uz kuģa nav dokumenta, kas apliecina kuģa apdrošināšanu pret jūras prasībām, uz kurām attiecas 1976.gada Starptautiskā Konvencija par atbildības ierobežošanu attiecībā uz jūras prasībām, kā tā grozīta ar 1996.gada protokolu.</w:t>
            </w:r>
            <w:r>
              <w:rPr>
                <w:rFonts w:ascii="Times New Roman" w:hAnsi="Times New Roman"/>
                <w:sz w:val="24"/>
                <w:szCs w:val="24"/>
              </w:rPr>
              <w:t xml:space="preserve"> </w:t>
            </w:r>
            <w:r w:rsidRPr="009D14B0">
              <w:rPr>
                <w:rFonts w:ascii="Times New Roman" w:hAnsi="Times New Roman"/>
                <w:sz w:val="24"/>
                <w:szCs w:val="24"/>
              </w:rPr>
              <w:t>Līdz minēto trūkumu novēršanai kuģim tiek noteikts ienākšanas aizliegums Latvijas ostā un enkurvietā.</w:t>
            </w:r>
          </w:p>
        </w:tc>
      </w:tr>
      <w:tr w:rsidR="00D92E46" w:rsidRPr="00FF275E" w:rsidTr="00FF275E">
        <w:tc>
          <w:tcPr>
            <w:tcW w:w="675"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5.</w:t>
            </w:r>
          </w:p>
        </w:tc>
        <w:tc>
          <w:tcPr>
            <w:tcW w:w="3261"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Administratīvās procedūras raksturojums</w:t>
            </w:r>
          </w:p>
        </w:tc>
        <w:tc>
          <w:tcPr>
            <w:tcW w:w="5103" w:type="dxa"/>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Projekts šo jomu neskar.</w:t>
            </w:r>
          </w:p>
        </w:tc>
      </w:tr>
      <w:tr w:rsidR="00D92E46" w:rsidRPr="00FF275E" w:rsidTr="00FF275E">
        <w:tc>
          <w:tcPr>
            <w:tcW w:w="675"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6.</w:t>
            </w:r>
          </w:p>
        </w:tc>
        <w:tc>
          <w:tcPr>
            <w:tcW w:w="3261"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Administratīvo izmaksu monetārs novērtējums</w:t>
            </w:r>
          </w:p>
        </w:tc>
        <w:tc>
          <w:tcPr>
            <w:tcW w:w="5103"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Projekts šo jomu neskar.</w:t>
            </w:r>
          </w:p>
        </w:tc>
      </w:tr>
      <w:tr w:rsidR="00D92E46" w:rsidRPr="00FF275E" w:rsidTr="00FF275E">
        <w:tc>
          <w:tcPr>
            <w:tcW w:w="675"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7.</w:t>
            </w:r>
          </w:p>
        </w:tc>
        <w:tc>
          <w:tcPr>
            <w:tcW w:w="3261"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Cita informācija</w:t>
            </w:r>
          </w:p>
        </w:tc>
        <w:tc>
          <w:tcPr>
            <w:tcW w:w="5103"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Nav.</w:t>
            </w:r>
          </w:p>
        </w:tc>
      </w:tr>
    </w:tbl>
    <w:p w:rsidR="00D92E46" w:rsidRDefault="00D92E46" w:rsidP="00673259">
      <w:pPr>
        <w:jc w:val="center"/>
        <w:rPr>
          <w:rFonts w:ascii="Times New Roman" w:hAnsi="Times New Roman"/>
          <w:b/>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402"/>
        <w:gridCol w:w="16"/>
        <w:gridCol w:w="779"/>
        <w:gridCol w:w="497"/>
        <w:gridCol w:w="567"/>
        <w:gridCol w:w="512"/>
        <w:gridCol w:w="2489"/>
        <w:gridCol w:w="2102"/>
      </w:tblGrid>
      <w:tr w:rsidR="00D92E46" w:rsidRPr="00FF275E" w:rsidTr="00FF275E">
        <w:tc>
          <w:tcPr>
            <w:tcW w:w="9039" w:type="dxa"/>
            <w:gridSpan w:val="9"/>
          </w:tcPr>
          <w:p w:rsidR="00D92E46" w:rsidRPr="00FF275E" w:rsidRDefault="00D92E46" w:rsidP="00FF275E">
            <w:pPr>
              <w:spacing w:after="0" w:line="240" w:lineRule="auto"/>
              <w:jc w:val="center"/>
              <w:rPr>
                <w:rFonts w:ascii="Times New Roman" w:hAnsi="Times New Roman"/>
                <w:b/>
                <w:sz w:val="24"/>
                <w:szCs w:val="24"/>
              </w:rPr>
            </w:pPr>
            <w:r w:rsidRPr="00FF275E">
              <w:rPr>
                <w:rFonts w:ascii="Times New Roman" w:hAnsi="Times New Roman"/>
                <w:b/>
                <w:sz w:val="24"/>
                <w:szCs w:val="24"/>
              </w:rPr>
              <w:t>V. Tiesību akta projekta atbilstība Latvijas Republikas starptautiskajām saistībām</w:t>
            </w:r>
          </w:p>
        </w:tc>
      </w:tr>
      <w:tr w:rsidR="00D92E46" w:rsidRPr="00FF275E" w:rsidTr="00FF275E">
        <w:tc>
          <w:tcPr>
            <w:tcW w:w="675" w:type="dxa"/>
          </w:tcPr>
          <w:p w:rsidR="00D92E46" w:rsidRPr="00FF275E" w:rsidRDefault="00D92E46" w:rsidP="00FF275E">
            <w:pPr>
              <w:pStyle w:val="ListParagraph"/>
              <w:numPr>
                <w:ilvl w:val="0"/>
                <w:numId w:val="2"/>
              </w:numPr>
              <w:spacing w:after="0" w:line="240" w:lineRule="auto"/>
              <w:jc w:val="center"/>
              <w:rPr>
                <w:rFonts w:ascii="Times New Roman" w:hAnsi="Times New Roman"/>
                <w:b/>
                <w:sz w:val="24"/>
                <w:szCs w:val="24"/>
              </w:rPr>
            </w:pPr>
          </w:p>
        </w:tc>
        <w:tc>
          <w:tcPr>
            <w:tcW w:w="3261" w:type="dxa"/>
            <w:gridSpan w:val="5"/>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Saistības pret Eiropas Savienību</w:t>
            </w:r>
          </w:p>
        </w:tc>
        <w:tc>
          <w:tcPr>
            <w:tcW w:w="5103" w:type="dxa"/>
            <w:gridSpan w:val="3"/>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Eiropas Parlamenta un Padomes 2009.gada 23.aprīļa Direktīva 2009/20/EK par kuģu īpašnieku apdrošināšanu pret jūras prasībām.</w:t>
            </w:r>
          </w:p>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(ES tiesību akts jāpārņem līdz 2012.gada 1.janvārim).</w:t>
            </w:r>
          </w:p>
        </w:tc>
      </w:tr>
      <w:tr w:rsidR="00D92E46" w:rsidRPr="00FF275E" w:rsidTr="00FF275E">
        <w:tc>
          <w:tcPr>
            <w:tcW w:w="675" w:type="dxa"/>
          </w:tcPr>
          <w:p w:rsidR="00D92E46" w:rsidRPr="00FF275E" w:rsidRDefault="00D92E46" w:rsidP="00FF275E">
            <w:pPr>
              <w:pStyle w:val="ListParagraph"/>
              <w:numPr>
                <w:ilvl w:val="0"/>
                <w:numId w:val="2"/>
              </w:numPr>
              <w:spacing w:after="0" w:line="240" w:lineRule="auto"/>
              <w:jc w:val="center"/>
              <w:rPr>
                <w:rFonts w:ascii="Times New Roman" w:hAnsi="Times New Roman"/>
                <w:b/>
                <w:sz w:val="24"/>
                <w:szCs w:val="24"/>
              </w:rPr>
            </w:pPr>
          </w:p>
        </w:tc>
        <w:tc>
          <w:tcPr>
            <w:tcW w:w="3261" w:type="dxa"/>
            <w:gridSpan w:val="5"/>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Citas starptautiskās saistības</w:t>
            </w:r>
          </w:p>
        </w:tc>
        <w:tc>
          <w:tcPr>
            <w:tcW w:w="5103" w:type="dxa"/>
            <w:gridSpan w:val="3"/>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Nav.</w:t>
            </w:r>
          </w:p>
        </w:tc>
      </w:tr>
      <w:tr w:rsidR="00D92E46" w:rsidRPr="00FF275E" w:rsidTr="00FF275E">
        <w:tc>
          <w:tcPr>
            <w:tcW w:w="675" w:type="dxa"/>
          </w:tcPr>
          <w:p w:rsidR="00D92E46" w:rsidRPr="00FF275E" w:rsidRDefault="00D92E46" w:rsidP="00FF275E">
            <w:pPr>
              <w:pStyle w:val="ListParagraph"/>
              <w:numPr>
                <w:ilvl w:val="0"/>
                <w:numId w:val="2"/>
              </w:numPr>
              <w:spacing w:after="0" w:line="240" w:lineRule="auto"/>
              <w:jc w:val="center"/>
              <w:rPr>
                <w:rFonts w:ascii="Times New Roman" w:hAnsi="Times New Roman"/>
                <w:b/>
                <w:sz w:val="24"/>
                <w:szCs w:val="24"/>
              </w:rPr>
            </w:pPr>
          </w:p>
        </w:tc>
        <w:tc>
          <w:tcPr>
            <w:tcW w:w="3261" w:type="dxa"/>
            <w:gridSpan w:val="5"/>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Cita informācija</w:t>
            </w:r>
          </w:p>
        </w:tc>
        <w:tc>
          <w:tcPr>
            <w:tcW w:w="5103" w:type="dxa"/>
            <w:gridSpan w:val="3"/>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Atsevišķas Direktīvas 2009/20/EK tiesību normas tiek pārņemtas ar likumprojektu „Grozījumi Jūras kodeksā”, kas Valsts sekretāru sanāksmē izsludināts šā gada 26.maijā (VSS – 512). Atbildīgā par likumprojektu – Satiksmes ministrija.</w:t>
            </w:r>
          </w:p>
          <w:p w:rsidR="00D92E46" w:rsidRPr="00FF275E" w:rsidRDefault="00D92E46" w:rsidP="009D14B0">
            <w:pPr>
              <w:spacing w:after="0" w:line="240" w:lineRule="auto"/>
              <w:jc w:val="both"/>
              <w:rPr>
                <w:rFonts w:ascii="Times New Roman" w:hAnsi="Times New Roman"/>
                <w:sz w:val="24"/>
                <w:szCs w:val="24"/>
              </w:rPr>
            </w:pPr>
            <w:r w:rsidRPr="00FF275E">
              <w:rPr>
                <w:rFonts w:ascii="Times New Roman" w:hAnsi="Times New Roman"/>
                <w:sz w:val="24"/>
                <w:szCs w:val="24"/>
              </w:rPr>
              <w:t>Direktīvas 2009/20/EK 7.panta „Sankcijas” izpilde tiek nodrošināta ar spēkā esošo Administratīvo pārkāpuma kodeksa 116.panta pirmo daļu un likumprojektu „Grozījumi Administratīvo pārkāpumu kodeksā”, kas Valsts sekretāru sanāksmē izsludināts šā gada 7.aprīlī (VSS – 345). Atbildīgā par likumprojektu – Tieslietu ministrija.</w:t>
            </w:r>
          </w:p>
        </w:tc>
      </w:tr>
      <w:tr w:rsidR="00D92E46" w:rsidRPr="00FF275E" w:rsidTr="00FF275E">
        <w:tc>
          <w:tcPr>
            <w:tcW w:w="9039" w:type="dxa"/>
            <w:gridSpan w:val="9"/>
          </w:tcPr>
          <w:p w:rsidR="00D92E46" w:rsidRPr="00FF275E" w:rsidRDefault="00D92E46" w:rsidP="00FF275E">
            <w:pPr>
              <w:pStyle w:val="ListParagraph"/>
              <w:numPr>
                <w:ilvl w:val="0"/>
                <w:numId w:val="3"/>
              </w:numPr>
              <w:spacing w:after="0" w:line="240" w:lineRule="auto"/>
              <w:jc w:val="center"/>
              <w:rPr>
                <w:rFonts w:ascii="Times New Roman" w:hAnsi="Times New Roman"/>
                <w:b/>
                <w:sz w:val="24"/>
                <w:szCs w:val="24"/>
              </w:rPr>
            </w:pPr>
            <w:r w:rsidRPr="00FF275E">
              <w:rPr>
                <w:rFonts w:ascii="Times New Roman" w:hAnsi="Times New Roman"/>
                <w:b/>
                <w:sz w:val="24"/>
                <w:szCs w:val="24"/>
              </w:rPr>
              <w:t>tabula</w:t>
            </w:r>
          </w:p>
          <w:p w:rsidR="00D92E46" w:rsidRPr="00FF275E" w:rsidRDefault="00D92E46" w:rsidP="00FF275E">
            <w:pPr>
              <w:pStyle w:val="ListParagraph"/>
              <w:spacing w:after="0" w:line="240" w:lineRule="auto"/>
              <w:jc w:val="center"/>
              <w:rPr>
                <w:rFonts w:ascii="Times New Roman" w:hAnsi="Times New Roman"/>
                <w:b/>
                <w:sz w:val="24"/>
                <w:szCs w:val="24"/>
              </w:rPr>
            </w:pPr>
            <w:r w:rsidRPr="00FF275E">
              <w:rPr>
                <w:rFonts w:ascii="Times New Roman" w:hAnsi="Times New Roman"/>
                <w:b/>
                <w:sz w:val="24"/>
                <w:szCs w:val="24"/>
              </w:rPr>
              <w:t>Tiesību akta projekta atbilstība ES tiesību aktiem</w:t>
            </w:r>
          </w:p>
        </w:tc>
      </w:tr>
      <w:tr w:rsidR="00D92E46" w:rsidRPr="00FF275E" w:rsidTr="00FF275E">
        <w:tc>
          <w:tcPr>
            <w:tcW w:w="2872" w:type="dxa"/>
            <w:gridSpan w:val="4"/>
          </w:tcPr>
          <w:p w:rsidR="00D92E46" w:rsidRPr="00FF275E" w:rsidRDefault="00D92E46" w:rsidP="00FF275E">
            <w:pPr>
              <w:spacing w:after="0" w:line="240" w:lineRule="auto"/>
              <w:jc w:val="center"/>
              <w:rPr>
                <w:rFonts w:ascii="Times New Roman" w:hAnsi="Times New Roman"/>
                <w:sz w:val="24"/>
                <w:szCs w:val="24"/>
              </w:rPr>
            </w:pPr>
            <w:r w:rsidRPr="00FF275E">
              <w:rPr>
                <w:rFonts w:ascii="Times New Roman" w:hAnsi="Times New Roman"/>
                <w:sz w:val="24"/>
                <w:szCs w:val="24"/>
              </w:rPr>
              <w:t>Attiecīgā ES tiesību akta datums, numurs un nosaukums</w:t>
            </w:r>
          </w:p>
        </w:tc>
        <w:tc>
          <w:tcPr>
            <w:tcW w:w="6167" w:type="dxa"/>
            <w:gridSpan w:val="5"/>
          </w:tcPr>
          <w:p w:rsidR="00D92E46" w:rsidRPr="00FF275E" w:rsidRDefault="00D92E46" w:rsidP="00FF275E">
            <w:pPr>
              <w:spacing w:after="0" w:line="240" w:lineRule="auto"/>
              <w:jc w:val="both"/>
              <w:rPr>
                <w:rFonts w:ascii="Times New Roman" w:hAnsi="Times New Roman"/>
                <w:b/>
                <w:sz w:val="24"/>
                <w:szCs w:val="24"/>
              </w:rPr>
            </w:pPr>
            <w:r w:rsidRPr="00FF275E">
              <w:rPr>
                <w:rFonts w:ascii="Times New Roman" w:hAnsi="Times New Roman"/>
                <w:b/>
                <w:sz w:val="24"/>
                <w:szCs w:val="24"/>
              </w:rPr>
              <w:t>Eiropas Parlamenta un Padomes 2009.gada 23.aprīļa Direktīva 2009/20/EK par kuģu īpašnieku apdrošināšanu pret jūras prasībām</w:t>
            </w:r>
            <w:r w:rsidRPr="00FF275E">
              <w:rPr>
                <w:rFonts w:ascii="Times New Roman" w:hAnsi="Times New Roman"/>
                <w:sz w:val="24"/>
                <w:szCs w:val="24"/>
              </w:rPr>
              <w:t xml:space="preserve"> </w:t>
            </w:r>
            <w:r w:rsidRPr="00FF275E">
              <w:rPr>
                <w:rFonts w:ascii="Times New Roman" w:hAnsi="Times New Roman"/>
                <w:b/>
                <w:sz w:val="24"/>
                <w:szCs w:val="24"/>
              </w:rPr>
              <w:t>(Direktīva 2009/20/EK)</w:t>
            </w:r>
          </w:p>
        </w:tc>
      </w:tr>
      <w:tr w:rsidR="00D92E46" w:rsidRPr="00FF275E" w:rsidTr="00FF275E">
        <w:tc>
          <w:tcPr>
            <w:tcW w:w="2077" w:type="dxa"/>
            <w:gridSpan w:val="2"/>
          </w:tcPr>
          <w:p w:rsidR="00D92E46" w:rsidRPr="00FF275E" w:rsidRDefault="00D92E46" w:rsidP="00FF275E">
            <w:pPr>
              <w:spacing w:after="0" w:line="240" w:lineRule="auto"/>
              <w:jc w:val="center"/>
              <w:rPr>
                <w:rFonts w:ascii="Times New Roman" w:hAnsi="Times New Roman"/>
                <w:sz w:val="28"/>
                <w:szCs w:val="28"/>
              </w:rPr>
            </w:pPr>
            <w:r w:rsidRPr="00FF275E">
              <w:rPr>
                <w:rFonts w:ascii="Times New Roman" w:hAnsi="Times New Roman"/>
                <w:sz w:val="28"/>
                <w:szCs w:val="28"/>
              </w:rPr>
              <w:t>A</w:t>
            </w:r>
          </w:p>
        </w:tc>
        <w:tc>
          <w:tcPr>
            <w:tcW w:w="2371" w:type="dxa"/>
            <w:gridSpan w:val="5"/>
          </w:tcPr>
          <w:p w:rsidR="00D92E46" w:rsidRPr="00FF275E" w:rsidRDefault="00D92E46" w:rsidP="00FF275E">
            <w:pPr>
              <w:spacing w:after="0" w:line="240" w:lineRule="auto"/>
              <w:jc w:val="center"/>
              <w:rPr>
                <w:rFonts w:ascii="Times New Roman" w:hAnsi="Times New Roman"/>
                <w:sz w:val="28"/>
                <w:szCs w:val="28"/>
              </w:rPr>
            </w:pPr>
            <w:r w:rsidRPr="00FF275E">
              <w:rPr>
                <w:rFonts w:ascii="Times New Roman" w:hAnsi="Times New Roman"/>
                <w:sz w:val="28"/>
                <w:szCs w:val="28"/>
              </w:rPr>
              <w:t>B</w:t>
            </w:r>
          </w:p>
        </w:tc>
        <w:tc>
          <w:tcPr>
            <w:tcW w:w="2489" w:type="dxa"/>
          </w:tcPr>
          <w:p w:rsidR="00D92E46" w:rsidRPr="00FF275E" w:rsidRDefault="00D92E46" w:rsidP="00FF275E">
            <w:pPr>
              <w:spacing w:after="0" w:line="240" w:lineRule="auto"/>
              <w:jc w:val="center"/>
              <w:rPr>
                <w:rFonts w:ascii="Times New Roman" w:hAnsi="Times New Roman"/>
                <w:sz w:val="28"/>
                <w:szCs w:val="28"/>
              </w:rPr>
            </w:pPr>
            <w:r w:rsidRPr="00FF275E">
              <w:rPr>
                <w:rFonts w:ascii="Times New Roman" w:hAnsi="Times New Roman"/>
                <w:sz w:val="28"/>
                <w:szCs w:val="28"/>
              </w:rPr>
              <w:t>C</w:t>
            </w:r>
          </w:p>
        </w:tc>
        <w:tc>
          <w:tcPr>
            <w:tcW w:w="2102" w:type="dxa"/>
          </w:tcPr>
          <w:p w:rsidR="00D92E46" w:rsidRPr="00FF275E" w:rsidRDefault="00D92E46" w:rsidP="00FF275E">
            <w:pPr>
              <w:spacing w:after="0" w:line="240" w:lineRule="auto"/>
              <w:jc w:val="center"/>
              <w:rPr>
                <w:rFonts w:ascii="Times New Roman" w:hAnsi="Times New Roman"/>
                <w:sz w:val="28"/>
                <w:szCs w:val="28"/>
              </w:rPr>
            </w:pPr>
            <w:r w:rsidRPr="00FF275E">
              <w:rPr>
                <w:rFonts w:ascii="Times New Roman" w:hAnsi="Times New Roman"/>
                <w:sz w:val="28"/>
                <w:szCs w:val="28"/>
              </w:rPr>
              <w:t>D</w:t>
            </w:r>
          </w:p>
        </w:tc>
      </w:tr>
      <w:tr w:rsidR="00D92E46" w:rsidRPr="00FF275E" w:rsidTr="00FF275E">
        <w:tc>
          <w:tcPr>
            <w:tcW w:w="2077" w:type="dxa"/>
            <w:gridSpan w:val="2"/>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Attiecīgā ES tiesību akta panta numurs (uzskaitot katru tiesību akta vienību – pantu, daļu, punktu, apakšpunktu)</w:t>
            </w:r>
          </w:p>
        </w:tc>
        <w:tc>
          <w:tcPr>
            <w:tcW w:w="2371" w:type="dxa"/>
            <w:gridSpan w:val="5"/>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2489" w:type="dxa"/>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Informācija par to, vai šīs tabulas A ailē minētās ES tiesību akta vienības tiek pārņemtas vai ieviestas pilnībā vai daļēji.</w:t>
            </w:r>
          </w:p>
          <w:p w:rsidR="00D92E46" w:rsidRPr="00FF275E" w:rsidRDefault="00D92E46" w:rsidP="00FF275E">
            <w:pPr>
              <w:spacing w:after="0" w:line="240" w:lineRule="auto"/>
              <w:jc w:val="both"/>
              <w:rPr>
                <w:rFonts w:ascii="Times New Roman" w:hAnsi="Times New Roman"/>
                <w:sz w:val="24"/>
                <w:szCs w:val="24"/>
              </w:rPr>
            </w:pPr>
          </w:p>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Norāda institūciju, kas ir atbildīga par šo saistību izpildi pilnībā</w:t>
            </w:r>
          </w:p>
        </w:tc>
        <w:tc>
          <w:tcPr>
            <w:tcW w:w="2102" w:type="dxa"/>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Informācija par to, vai šīs tabulas B ailē minētās projekta vienības paredz stingrākas prasības nekā šīs tabulas A ailē minētās ES tiesību akta vienības.</w:t>
            </w:r>
          </w:p>
          <w:p w:rsidR="00D92E46" w:rsidRPr="00FF275E" w:rsidRDefault="00D92E46" w:rsidP="00FF275E">
            <w:pPr>
              <w:spacing w:after="0" w:line="240" w:lineRule="auto"/>
              <w:jc w:val="both"/>
              <w:rPr>
                <w:rFonts w:ascii="Times New Roman" w:hAnsi="Times New Roman"/>
                <w:sz w:val="24"/>
                <w:szCs w:val="24"/>
              </w:rPr>
            </w:pPr>
          </w:p>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Ja projekts satur stingrākas prasības nekā attiecīgais ES tiesību akts, norāda pamatojumu un samērīgumu.</w:t>
            </w:r>
          </w:p>
          <w:p w:rsidR="00D92E46" w:rsidRPr="00FF275E" w:rsidRDefault="00D92E46" w:rsidP="00FF275E">
            <w:pPr>
              <w:spacing w:after="0" w:line="240" w:lineRule="auto"/>
              <w:jc w:val="both"/>
              <w:rPr>
                <w:rFonts w:ascii="Times New Roman" w:hAnsi="Times New Roman"/>
                <w:sz w:val="24"/>
                <w:szCs w:val="24"/>
              </w:rPr>
            </w:pPr>
          </w:p>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D92E46" w:rsidRPr="00FF275E" w:rsidTr="00FF275E">
        <w:tc>
          <w:tcPr>
            <w:tcW w:w="2077" w:type="dxa"/>
            <w:gridSpan w:val="2"/>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Direktīvas 2009/20/EK 2.panta 1.punkts</w:t>
            </w:r>
          </w:p>
          <w:p w:rsidR="00D92E46" w:rsidRPr="00FF275E" w:rsidRDefault="00D92E46" w:rsidP="00FF275E">
            <w:pPr>
              <w:spacing w:after="0" w:line="240" w:lineRule="auto"/>
              <w:jc w:val="both"/>
              <w:rPr>
                <w:rFonts w:ascii="Times New Roman" w:hAnsi="Times New Roman"/>
                <w:sz w:val="24"/>
                <w:szCs w:val="24"/>
              </w:rPr>
            </w:pPr>
          </w:p>
        </w:tc>
        <w:tc>
          <w:tcPr>
            <w:tcW w:w="2371" w:type="dxa"/>
            <w:gridSpan w:val="5"/>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Likumprojekta „Grozījumi Jūras kodeksā” 56</w:t>
            </w:r>
            <w:r w:rsidRPr="00FF275E">
              <w:rPr>
                <w:rFonts w:ascii="Times New Roman" w:hAnsi="Times New Roman"/>
                <w:sz w:val="24"/>
                <w:szCs w:val="24"/>
                <w:vertAlign w:val="superscript"/>
              </w:rPr>
              <w:t xml:space="preserve">1 </w:t>
            </w:r>
            <w:r w:rsidRPr="00FF275E">
              <w:rPr>
                <w:rFonts w:ascii="Times New Roman" w:hAnsi="Times New Roman"/>
                <w:sz w:val="24"/>
                <w:szCs w:val="24"/>
              </w:rPr>
              <w:t>panta pirmā daļa</w:t>
            </w:r>
          </w:p>
        </w:tc>
        <w:tc>
          <w:tcPr>
            <w:tcW w:w="2489" w:type="dxa"/>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Direktīvas 2009/20/EK 2.panta 1.punkts</w:t>
            </w:r>
          </w:p>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pārņemts pilnībā</w:t>
            </w:r>
          </w:p>
        </w:tc>
        <w:tc>
          <w:tcPr>
            <w:tcW w:w="2102" w:type="dxa"/>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Projekts stingrākas prasības neparedz.</w:t>
            </w:r>
          </w:p>
        </w:tc>
      </w:tr>
      <w:tr w:rsidR="00D92E46" w:rsidRPr="00FF275E" w:rsidTr="00FF275E">
        <w:tc>
          <w:tcPr>
            <w:tcW w:w="2077" w:type="dxa"/>
            <w:gridSpan w:val="2"/>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Direktīvas 2009/20/EK 2.panta 2.punkts</w:t>
            </w:r>
          </w:p>
          <w:p w:rsidR="00D92E46" w:rsidRPr="00FF275E" w:rsidRDefault="00D92E46" w:rsidP="00FF275E">
            <w:pPr>
              <w:spacing w:after="0" w:line="240" w:lineRule="auto"/>
              <w:jc w:val="both"/>
              <w:rPr>
                <w:rFonts w:ascii="Times New Roman" w:hAnsi="Times New Roman"/>
                <w:sz w:val="24"/>
                <w:szCs w:val="24"/>
              </w:rPr>
            </w:pPr>
          </w:p>
        </w:tc>
        <w:tc>
          <w:tcPr>
            <w:tcW w:w="2371" w:type="dxa"/>
            <w:gridSpan w:val="5"/>
          </w:tcPr>
          <w:p w:rsidR="00D92E46"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Likumprojekta „Grozījumi Jūras kodeksā” 56</w:t>
            </w:r>
            <w:r w:rsidRPr="00FF275E">
              <w:rPr>
                <w:rFonts w:ascii="Times New Roman" w:hAnsi="Times New Roman"/>
                <w:sz w:val="24"/>
                <w:szCs w:val="24"/>
                <w:vertAlign w:val="superscript"/>
              </w:rPr>
              <w:t xml:space="preserve">1 </w:t>
            </w:r>
            <w:r w:rsidRPr="00FF275E">
              <w:rPr>
                <w:rFonts w:ascii="Times New Roman" w:hAnsi="Times New Roman"/>
                <w:sz w:val="24"/>
                <w:szCs w:val="24"/>
              </w:rPr>
              <w:t xml:space="preserve">panta </w:t>
            </w:r>
            <w:r w:rsidRPr="00F56B6A">
              <w:rPr>
                <w:rFonts w:ascii="Times New Roman" w:hAnsi="Times New Roman"/>
                <w:color w:val="000000"/>
                <w:sz w:val="24"/>
                <w:szCs w:val="24"/>
              </w:rPr>
              <w:t xml:space="preserve">septītā </w:t>
            </w:r>
            <w:r w:rsidRPr="00FF275E">
              <w:rPr>
                <w:rFonts w:ascii="Times New Roman" w:hAnsi="Times New Roman"/>
                <w:sz w:val="24"/>
                <w:szCs w:val="24"/>
              </w:rPr>
              <w:t>daļa</w:t>
            </w:r>
          </w:p>
          <w:p w:rsidR="00D92E46" w:rsidRPr="00FF275E" w:rsidRDefault="00D92E46" w:rsidP="00FF275E">
            <w:pPr>
              <w:spacing w:after="0" w:line="240" w:lineRule="auto"/>
              <w:jc w:val="both"/>
              <w:rPr>
                <w:rFonts w:ascii="Times New Roman" w:hAnsi="Times New Roman"/>
                <w:sz w:val="24"/>
                <w:szCs w:val="24"/>
              </w:rPr>
            </w:pPr>
          </w:p>
        </w:tc>
        <w:tc>
          <w:tcPr>
            <w:tcW w:w="2489" w:type="dxa"/>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Direktīvas 2009/20/EK 2.panta 2.punkts</w:t>
            </w:r>
          </w:p>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pārņemts pilnībā</w:t>
            </w:r>
          </w:p>
        </w:tc>
        <w:tc>
          <w:tcPr>
            <w:tcW w:w="2102" w:type="dxa"/>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Projekts stingrākas prasības neparedz.</w:t>
            </w:r>
          </w:p>
        </w:tc>
      </w:tr>
      <w:tr w:rsidR="00D92E46" w:rsidRPr="00FF275E" w:rsidTr="00FF275E">
        <w:tc>
          <w:tcPr>
            <w:tcW w:w="2077" w:type="dxa"/>
            <w:gridSpan w:val="2"/>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 xml:space="preserve">Direktīvas 2009/20/EK 3.panta </w:t>
            </w:r>
          </w:p>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a) apakšpunkts</w:t>
            </w:r>
          </w:p>
          <w:p w:rsidR="00D92E46" w:rsidRPr="00FF275E" w:rsidRDefault="00D92E46" w:rsidP="00FF275E">
            <w:pPr>
              <w:spacing w:after="0" w:line="240" w:lineRule="auto"/>
              <w:jc w:val="both"/>
              <w:rPr>
                <w:rFonts w:ascii="Times New Roman" w:hAnsi="Times New Roman"/>
                <w:sz w:val="24"/>
                <w:szCs w:val="24"/>
              </w:rPr>
            </w:pPr>
          </w:p>
          <w:p w:rsidR="00D92E46" w:rsidRPr="00FF275E" w:rsidRDefault="00D92E46" w:rsidP="00FF275E">
            <w:pPr>
              <w:spacing w:after="0" w:line="240" w:lineRule="auto"/>
              <w:jc w:val="both"/>
              <w:rPr>
                <w:rFonts w:ascii="Times New Roman" w:hAnsi="Times New Roman"/>
                <w:sz w:val="24"/>
                <w:szCs w:val="24"/>
              </w:rPr>
            </w:pPr>
          </w:p>
        </w:tc>
        <w:tc>
          <w:tcPr>
            <w:tcW w:w="2371" w:type="dxa"/>
            <w:gridSpan w:val="5"/>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Likumprojekta „Grozījumi Jūras kodeksā” 56</w:t>
            </w:r>
            <w:r w:rsidRPr="00FF275E">
              <w:rPr>
                <w:rFonts w:ascii="Times New Roman" w:hAnsi="Times New Roman"/>
                <w:sz w:val="24"/>
                <w:szCs w:val="24"/>
                <w:vertAlign w:val="superscript"/>
              </w:rPr>
              <w:t xml:space="preserve">1 </w:t>
            </w:r>
            <w:r w:rsidRPr="00FF275E">
              <w:rPr>
                <w:rFonts w:ascii="Times New Roman" w:hAnsi="Times New Roman"/>
                <w:sz w:val="24"/>
                <w:szCs w:val="24"/>
              </w:rPr>
              <w:t>panta pirmā daļa</w:t>
            </w:r>
          </w:p>
        </w:tc>
        <w:tc>
          <w:tcPr>
            <w:tcW w:w="2489" w:type="dxa"/>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Direktīvas 2009/20/EK 3.panta</w:t>
            </w:r>
          </w:p>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a) apakšpunkts</w:t>
            </w:r>
          </w:p>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pārņemts pilnībā</w:t>
            </w:r>
          </w:p>
        </w:tc>
        <w:tc>
          <w:tcPr>
            <w:tcW w:w="2102" w:type="dxa"/>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Projekts stingrākas prasības neparedz.</w:t>
            </w:r>
          </w:p>
        </w:tc>
      </w:tr>
      <w:tr w:rsidR="00D92E46" w:rsidRPr="00FF275E" w:rsidTr="00FF275E">
        <w:tc>
          <w:tcPr>
            <w:tcW w:w="2077" w:type="dxa"/>
            <w:gridSpan w:val="2"/>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Direktīvas 2009/20/EK 3.panta</w:t>
            </w:r>
          </w:p>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b) apakšpunkts</w:t>
            </w:r>
          </w:p>
          <w:p w:rsidR="00D92E46" w:rsidRPr="00FF275E" w:rsidRDefault="00D92E46" w:rsidP="00FF275E">
            <w:pPr>
              <w:spacing w:after="0" w:line="240" w:lineRule="auto"/>
              <w:jc w:val="both"/>
              <w:rPr>
                <w:rFonts w:ascii="Times New Roman" w:hAnsi="Times New Roman"/>
                <w:sz w:val="24"/>
                <w:szCs w:val="24"/>
              </w:rPr>
            </w:pPr>
          </w:p>
        </w:tc>
        <w:tc>
          <w:tcPr>
            <w:tcW w:w="2371" w:type="dxa"/>
            <w:gridSpan w:val="5"/>
          </w:tcPr>
          <w:p w:rsidR="00D92E46" w:rsidRPr="00FF275E" w:rsidRDefault="00D92E46" w:rsidP="006C31F5">
            <w:pPr>
              <w:spacing w:after="0" w:line="240" w:lineRule="auto"/>
              <w:jc w:val="both"/>
              <w:rPr>
                <w:rFonts w:ascii="Times New Roman" w:hAnsi="Times New Roman"/>
                <w:sz w:val="24"/>
                <w:szCs w:val="24"/>
              </w:rPr>
            </w:pPr>
            <w:r w:rsidRPr="00FF275E">
              <w:rPr>
                <w:rFonts w:ascii="Times New Roman" w:hAnsi="Times New Roman"/>
                <w:sz w:val="24"/>
                <w:szCs w:val="24"/>
              </w:rPr>
              <w:t>Likumprojekta „Grozījumi Jūras kodeksā” 56</w:t>
            </w:r>
            <w:r w:rsidRPr="00FF275E">
              <w:rPr>
                <w:rFonts w:ascii="Times New Roman" w:hAnsi="Times New Roman"/>
                <w:sz w:val="24"/>
                <w:szCs w:val="24"/>
                <w:vertAlign w:val="superscript"/>
              </w:rPr>
              <w:t xml:space="preserve">1 </w:t>
            </w:r>
            <w:r w:rsidRPr="00FF275E">
              <w:rPr>
                <w:rFonts w:ascii="Times New Roman" w:hAnsi="Times New Roman"/>
                <w:sz w:val="24"/>
                <w:szCs w:val="24"/>
              </w:rPr>
              <w:t xml:space="preserve">panta </w:t>
            </w:r>
            <w:r w:rsidRPr="006C31F5">
              <w:rPr>
                <w:rFonts w:ascii="Times New Roman" w:hAnsi="Times New Roman"/>
                <w:color w:val="000000"/>
                <w:sz w:val="24"/>
                <w:szCs w:val="24"/>
              </w:rPr>
              <w:t xml:space="preserve">sestā </w:t>
            </w:r>
            <w:r w:rsidRPr="00FF275E">
              <w:rPr>
                <w:rFonts w:ascii="Times New Roman" w:hAnsi="Times New Roman"/>
                <w:sz w:val="24"/>
                <w:szCs w:val="24"/>
              </w:rPr>
              <w:t>daļa</w:t>
            </w:r>
          </w:p>
        </w:tc>
        <w:tc>
          <w:tcPr>
            <w:tcW w:w="2489" w:type="dxa"/>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Direktīvas 2009/20/EK 3.panta</w:t>
            </w:r>
          </w:p>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b) apakšpunkts</w:t>
            </w:r>
          </w:p>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pārņemts pilnībā</w:t>
            </w:r>
          </w:p>
        </w:tc>
        <w:tc>
          <w:tcPr>
            <w:tcW w:w="2102" w:type="dxa"/>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Projekts stingrākas prasības neparedz.</w:t>
            </w:r>
          </w:p>
        </w:tc>
      </w:tr>
      <w:tr w:rsidR="00D92E46" w:rsidRPr="00FF275E" w:rsidTr="00FF275E">
        <w:tc>
          <w:tcPr>
            <w:tcW w:w="2077" w:type="dxa"/>
            <w:gridSpan w:val="2"/>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Direktīvas 2009/20/EK 3.panta</w:t>
            </w:r>
          </w:p>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c) apakšpunkts</w:t>
            </w:r>
          </w:p>
          <w:p w:rsidR="00D92E46" w:rsidRPr="00FF275E" w:rsidRDefault="00D92E46" w:rsidP="00FF275E">
            <w:pPr>
              <w:spacing w:after="0" w:line="240" w:lineRule="auto"/>
              <w:jc w:val="both"/>
              <w:rPr>
                <w:rFonts w:ascii="Times New Roman" w:hAnsi="Times New Roman"/>
                <w:sz w:val="24"/>
                <w:szCs w:val="24"/>
              </w:rPr>
            </w:pPr>
          </w:p>
        </w:tc>
        <w:tc>
          <w:tcPr>
            <w:tcW w:w="2371" w:type="dxa"/>
            <w:gridSpan w:val="5"/>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Likumprojekta „Grozījumi Jūras kodeksā” 56</w:t>
            </w:r>
            <w:r w:rsidRPr="00FF275E">
              <w:rPr>
                <w:rFonts w:ascii="Times New Roman" w:hAnsi="Times New Roman"/>
                <w:sz w:val="24"/>
                <w:szCs w:val="24"/>
                <w:vertAlign w:val="superscript"/>
              </w:rPr>
              <w:t xml:space="preserve">1 </w:t>
            </w:r>
            <w:r w:rsidRPr="00FF275E">
              <w:rPr>
                <w:rFonts w:ascii="Times New Roman" w:hAnsi="Times New Roman"/>
                <w:sz w:val="24"/>
                <w:szCs w:val="24"/>
              </w:rPr>
              <w:t>panta pirmā daļa</w:t>
            </w:r>
          </w:p>
        </w:tc>
        <w:tc>
          <w:tcPr>
            <w:tcW w:w="2489" w:type="dxa"/>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Direktīvas 2009/20/EK 3.panta</w:t>
            </w:r>
          </w:p>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c) apakšpunkts</w:t>
            </w:r>
          </w:p>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pārņemts pilnībā</w:t>
            </w:r>
          </w:p>
        </w:tc>
        <w:tc>
          <w:tcPr>
            <w:tcW w:w="2102" w:type="dxa"/>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Projekts stingrākas prasības neparedz.</w:t>
            </w:r>
          </w:p>
        </w:tc>
      </w:tr>
      <w:tr w:rsidR="00D92E46" w:rsidRPr="00FF275E" w:rsidTr="00FF275E">
        <w:tc>
          <w:tcPr>
            <w:tcW w:w="2077" w:type="dxa"/>
            <w:gridSpan w:val="2"/>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Direktīvas 2009/20/EK 4.panta 1.punkts</w:t>
            </w:r>
          </w:p>
          <w:p w:rsidR="00D92E46" w:rsidRPr="00FF275E" w:rsidRDefault="00D92E46" w:rsidP="00FF275E">
            <w:pPr>
              <w:spacing w:after="0" w:line="240" w:lineRule="auto"/>
              <w:jc w:val="both"/>
              <w:rPr>
                <w:rFonts w:ascii="Times New Roman" w:hAnsi="Times New Roman"/>
                <w:sz w:val="24"/>
                <w:szCs w:val="24"/>
              </w:rPr>
            </w:pPr>
          </w:p>
        </w:tc>
        <w:tc>
          <w:tcPr>
            <w:tcW w:w="2371" w:type="dxa"/>
            <w:gridSpan w:val="5"/>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Likumprojekta „Grozījumi Jūras kodeksā” 56</w:t>
            </w:r>
            <w:r w:rsidRPr="00FF275E">
              <w:rPr>
                <w:rFonts w:ascii="Times New Roman" w:hAnsi="Times New Roman"/>
                <w:sz w:val="24"/>
                <w:szCs w:val="24"/>
                <w:vertAlign w:val="superscript"/>
              </w:rPr>
              <w:t xml:space="preserve">1 </w:t>
            </w:r>
            <w:r w:rsidRPr="00FF275E">
              <w:rPr>
                <w:rFonts w:ascii="Times New Roman" w:hAnsi="Times New Roman"/>
                <w:sz w:val="24"/>
                <w:szCs w:val="24"/>
              </w:rPr>
              <w:t>panta pirmā daļa</w:t>
            </w:r>
          </w:p>
        </w:tc>
        <w:tc>
          <w:tcPr>
            <w:tcW w:w="2489" w:type="dxa"/>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Direktīvas 2009/20/EK 4.panta 1.punkts</w:t>
            </w:r>
          </w:p>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pārņemts pilnībā</w:t>
            </w:r>
          </w:p>
        </w:tc>
        <w:tc>
          <w:tcPr>
            <w:tcW w:w="2102" w:type="dxa"/>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Projekts stingrākas prasības neparedz.</w:t>
            </w:r>
          </w:p>
        </w:tc>
      </w:tr>
      <w:tr w:rsidR="00D92E46" w:rsidRPr="00FF275E" w:rsidTr="00FF275E">
        <w:tc>
          <w:tcPr>
            <w:tcW w:w="2077" w:type="dxa"/>
            <w:gridSpan w:val="2"/>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Direktīvas 2009/20/EK</w:t>
            </w:r>
          </w:p>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4.panta 2.punkts</w:t>
            </w:r>
          </w:p>
        </w:tc>
        <w:tc>
          <w:tcPr>
            <w:tcW w:w="2371" w:type="dxa"/>
            <w:gridSpan w:val="5"/>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Likumprojekta „Grozījumi Jūras kodeksā” 56</w:t>
            </w:r>
            <w:r w:rsidRPr="00FF275E">
              <w:rPr>
                <w:rFonts w:ascii="Times New Roman" w:hAnsi="Times New Roman"/>
                <w:sz w:val="24"/>
                <w:szCs w:val="24"/>
                <w:vertAlign w:val="superscript"/>
              </w:rPr>
              <w:t xml:space="preserve">1 </w:t>
            </w:r>
            <w:r w:rsidRPr="00FF275E">
              <w:rPr>
                <w:rFonts w:ascii="Times New Roman" w:hAnsi="Times New Roman"/>
                <w:sz w:val="24"/>
                <w:szCs w:val="24"/>
              </w:rPr>
              <w:t xml:space="preserve">panta </w:t>
            </w:r>
            <w:r w:rsidRPr="001E6915">
              <w:rPr>
                <w:rFonts w:ascii="Times New Roman" w:hAnsi="Times New Roman"/>
                <w:color w:val="000000"/>
                <w:sz w:val="24"/>
                <w:szCs w:val="24"/>
              </w:rPr>
              <w:t>piektā</w:t>
            </w:r>
            <w:r>
              <w:rPr>
                <w:rFonts w:ascii="Times New Roman" w:hAnsi="Times New Roman"/>
                <w:sz w:val="24"/>
                <w:szCs w:val="24"/>
              </w:rPr>
              <w:t xml:space="preserve"> </w:t>
            </w:r>
            <w:r w:rsidRPr="00FF275E">
              <w:rPr>
                <w:rFonts w:ascii="Times New Roman" w:hAnsi="Times New Roman"/>
                <w:sz w:val="24"/>
                <w:szCs w:val="24"/>
              </w:rPr>
              <w:t>daļa</w:t>
            </w:r>
          </w:p>
          <w:p w:rsidR="00D92E46" w:rsidRPr="00FF275E" w:rsidRDefault="00D92E46" w:rsidP="00FF275E">
            <w:pPr>
              <w:spacing w:after="0" w:line="240" w:lineRule="auto"/>
              <w:jc w:val="both"/>
              <w:rPr>
                <w:rFonts w:ascii="Times New Roman" w:hAnsi="Times New Roman"/>
                <w:sz w:val="24"/>
                <w:szCs w:val="24"/>
              </w:rPr>
            </w:pPr>
          </w:p>
        </w:tc>
        <w:tc>
          <w:tcPr>
            <w:tcW w:w="2489" w:type="dxa"/>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Direktīvas 2009/20/EK 4.panta 2.punkts pārņemts pilnībā</w:t>
            </w:r>
          </w:p>
          <w:p w:rsidR="00D92E46" w:rsidRPr="00FF275E" w:rsidRDefault="00D92E46" w:rsidP="00FF275E">
            <w:pPr>
              <w:spacing w:after="0" w:line="240" w:lineRule="auto"/>
              <w:jc w:val="both"/>
              <w:rPr>
                <w:rFonts w:ascii="Times New Roman" w:hAnsi="Times New Roman"/>
                <w:color w:val="FF0000"/>
                <w:sz w:val="24"/>
                <w:szCs w:val="24"/>
              </w:rPr>
            </w:pPr>
          </w:p>
        </w:tc>
        <w:tc>
          <w:tcPr>
            <w:tcW w:w="2102"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Stingrākas prasības netiek paredzētas</w:t>
            </w:r>
          </w:p>
        </w:tc>
      </w:tr>
      <w:tr w:rsidR="00D92E46" w:rsidRPr="00FF275E" w:rsidTr="00FF275E">
        <w:tc>
          <w:tcPr>
            <w:tcW w:w="2077" w:type="dxa"/>
            <w:gridSpan w:val="2"/>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Direktīvas 2009/20/EK 4.panta 3.punkts</w:t>
            </w:r>
          </w:p>
          <w:p w:rsidR="00D92E46" w:rsidRPr="00FF275E" w:rsidRDefault="00D92E46" w:rsidP="00FF275E">
            <w:pPr>
              <w:spacing w:after="0" w:line="240" w:lineRule="auto"/>
              <w:jc w:val="both"/>
              <w:rPr>
                <w:rFonts w:ascii="Times New Roman" w:hAnsi="Times New Roman"/>
                <w:sz w:val="24"/>
                <w:szCs w:val="24"/>
              </w:rPr>
            </w:pPr>
          </w:p>
          <w:p w:rsidR="00D92E46" w:rsidRPr="00FF275E" w:rsidRDefault="00D92E46" w:rsidP="00FF275E">
            <w:pPr>
              <w:spacing w:after="0" w:line="240" w:lineRule="auto"/>
              <w:jc w:val="both"/>
              <w:rPr>
                <w:rFonts w:ascii="Times New Roman" w:hAnsi="Times New Roman"/>
                <w:sz w:val="24"/>
                <w:szCs w:val="24"/>
              </w:rPr>
            </w:pPr>
          </w:p>
        </w:tc>
        <w:tc>
          <w:tcPr>
            <w:tcW w:w="2371" w:type="dxa"/>
            <w:gridSpan w:val="5"/>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Likumprojekta „Grozījumi Jūras kodeksā” 56</w:t>
            </w:r>
            <w:r w:rsidRPr="00FF275E">
              <w:rPr>
                <w:rFonts w:ascii="Times New Roman" w:hAnsi="Times New Roman"/>
                <w:sz w:val="24"/>
                <w:szCs w:val="24"/>
                <w:vertAlign w:val="superscript"/>
              </w:rPr>
              <w:t xml:space="preserve">1 </w:t>
            </w:r>
            <w:r w:rsidRPr="00FF275E">
              <w:rPr>
                <w:rFonts w:ascii="Times New Roman" w:hAnsi="Times New Roman"/>
                <w:sz w:val="24"/>
                <w:szCs w:val="24"/>
              </w:rPr>
              <w:t xml:space="preserve">panta </w:t>
            </w:r>
            <w:r w:rsidRPr="00F42F91">
              <w:rPr>
                <w:rFonts w:ascii="Times New Roman" w:hAnsi="Times New Roman"/>
                <w:color w:val="000000"/>
                <w:sz w:val="24"/>
                <w:szCs w:val="24"/>
              </w:rPr>
              <w:t xml:space="preserve">otrā </w:t>
            </w:r>
            <w:r w:rsidRPr="00FF275E">
              <w:rPr>
                <w:rFonts w:ascii="Times New Roman" w:hAnsi="Times New Roman"/>
                <w:sz w:val="24"/>
                <w:szCs w:val="24"/>
              </w:rPr>
              <w:t>daļa</w:t>
            </w:r>
          </w:p>
          <w:p w:rsidR="00D92E46" w:rsidRPr="00FF275E" w:rsidRDefault="00D92E46" w:rsidP="00FF275E">
            <w:pPr>
              <w:spacing w:after="0" w:line="240" w:lineRule="auto"/>
              <w:jc w:val="both"/>
              <w:rPr>
                <w:rFonts w:ascii="Times New Roman" w:hAnsi="Times New Roman"/>
                <w:sz w:val="24"/>
                <w:szCs w:val="24"/>
              </w:rPr>
            </w:pPr>
          </w:p>
        </w:tc>
        <w:tc>
          <w:tcPr>
            <w:tcW w:w="2489" w:type="dxa"/>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Direktīvas 2009/20/EK 4.panta 3.punkts  pārņemts pilnībā.</w:t>
            </w:r>
          </w:p>
        </w:tc>
        <w:tc>
          <w:tcPr>
            <w:tcW w:w="2102"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Stingrākas prasības netiek paredzētas</w:t>
            </w:r>
          </w:p>
        </w:tc>
      </w:tr>
      <w:tr w:rsidR="00D92E46" w:rsidRPr="00FF275E" w:rsidTr="00FF275E">
        <w:tc>
          <w:tcPr>
            <w:tcW w:w="2077" w:type="dxa"/>
            <w:gridSpan w:val="2"/>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Direktīvas 2009/20/EK</w:t>
            </w:r>
          </w:p>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5.panta 1.punkts</w:t>
            </w:r>
          </w:p>
        </w:tc>
        <w:tc>
          <w:tcPr>
            <w:tcW w:w="2371" w:type="dxa"/>
            <w:gridSpan w:val="5"/>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Ministru kabineta 2010.gada 21.decembra noteikumu Nr. 1164 „Ostas valsts kontroles kārtība”</w:t>
            </w:r>
          </w:p>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34.1.apakšpunkts un 6.pielikuma 41.punkts</w:t>
            </w:r>
          </w:p>
          <w:p w:rsidR="00D92E46" w:rsidRPr="00FF275E" w:rsidRDefault="00D92E46" w:rsidP="00FF275E">
            <w:pPr>
              <w:spacing w:after="0" w:line="240" w:lineRule="auto"/>
              <w:rPr>
                <w:rFonts w:ascii="Times New Roman" w:hAnsi="Times New Roman"/>
                <w:sz w:val="24"/>
                <w:szCs w:val="24"/>
              </w:rPr>
            </w:pPr>
          </w:p>
        </w:tc>
        <w:tc>
          <w:tcPr>
            <w:tcW w:w="2489"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Direktīvas 2009/20/EK 5.panta 1.punkts pārņemts pilnībā</w:t>
            </w:r>
          </w:p>
        </w:tc>
        <w:tc>
          <w:tcPr>
            <w:tcW w:w="2102"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Stingrākas prasības netiek paredzētas</w:t>
            </w:r>
          </w:p>
        </w:tc>
      </w:tr>
      <w:tr w:rsidR="00D92E46" w:rsidRPr="00FF275E" w:rsidTr="00FF275E">
        <w:tc>
          <w:tcPr>
            <w:tcW w:w="2077" w:type="dxa"/>
            <w:gridSpan w:val="2"/>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Direktīvas 2009/20/EK</w:t>
            </w:r>
          </w:p>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5.panta 2.punkts</w:t>
            </w:r>
          </w:p>
        </w:tc>
        <w:tc>
          <w:tcPr>
            <w:tcW w:w="2371" w:type="dxa"/>
            <w:gridSpan w:val="5"/>
          </w:tcPr>
          <w:p w:rsidR="00D92E46" w:rsidRPr="00B12C51" w:rsidRDefault="00D92E46" w:rsidP="00BB2005">
            <w:pPr>
              <w:spacing w:after="0" w:line="240" w:lineRule="auto"/>
              <w:rPr>
                <w:rFonts w:ascii="Times New Roman" w:hAnsi="Times New Roman"/>
                <w:sz w:val="24"/>
                <w:szCs w:val="24"/>
              </w:rPr>
            </w:pPr>
            <w:r w:rsidRPr="00B12C51">
              <w:rPr>
                <w:rFonts w:ascii="Times New Roman" w:hAnsi="Times New Roman"/>
                <w:sz w:val="24"/>
                <w:szCs w:val="24"/>
              </w:rPr>
              <w:t>Noteikumu projekta 3.punkts</w:t>
            </w:r>
          </w:p>
        </w:tc>
        <w:tc>
          <w:tcPr>
            <w:tcW w:w="2489"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Direktīvas 2009/20/EK 5.panta 2.punkts pārņemts pilnībā</w:t>
            </w:r>
          </w:p>
          <w:p w:rsidR="00D92E46" w:rsidRPr="00FF275E" w:rsidRDefault="00D92E46" w:rsidP="00FF275E">
            <w:pPr>
              <w:spacing w:after="0" w:line="240" w:lineRule="auto"/>
              <w:rPr>
                <w:rFonts w:ascii="Times New Roman" w:hAnsi="Times New Roman"/>
                <w:sz w:val="24"/>
                <w:szCs w:val="24"/>
              </w:rPr>
            </w:pPr>
          </w:p>
        </w:tc>
        <w:tc>
          <w:tcPr>
            <w:tcW w:w="2102"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Stingrākas prasības netiek paredzētas</w:t>
            </w:r>
          </w:p>
        </w:tc>
      </w:tr>
      <w:tr w:rsidR="00D92E46" w:rsidRPr="00FF275E" w:rsidTr="00FF275E">
        <w:tc>
          <w:tcPr>
            <w:tcW w:w="2077" w:type="dxa"/>
            <w:gridSpan w:val="2"/>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Direktīvas 2009/20/EK 6.panta 1.punkts</w:t>
            </w:r>
          </w:p>
          <w:p w:rsidR="00D92E46" w:rsidRPr="00FF275E" w:rsidRDefault="00D92E46" w:rsidP="00FF275E">
            <w:pPr>
              <w:spacing w:after="0" w:line="240" w:lineRule="auto"/>
              <w:rPr>
                <w:rFonts w:ascii="Times New Roman" w:hAnsi="Times New Roman"/>
                <w:sz w:val="24"/>
                <w:szCs w:val="24"/>
              </w:rPr>
            </w:pPr>
          </w:p>
          <w:p w:rsidR="00D92E46" w:rsidRPr="00FF275E" w:rsidRDefault="00D92E46" w:rsidP="00FF275E">
            <w:pPr>
              <w:spacing w:after="0" w:line="240" w:lineRule="auto"/>
              <w:rPr>
                <w:rFonts w:ascii="Times New Roman" w:hAnsi="Times New Roman"/>
                <w:sz w:val="24"/>
                <w:szCs w:val="24"/>
              </w:rPr>
            </w:pPr>
          </w:p>
        </w:tc>
        <w:tc>
          <w:tcPr>
            <w:tcW w:w="2371" w:type="dxa"/>
            <w:gridSpan w:val="5"/>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Likumprojekta „Grozījumi Jūras kodeksā” 56</w:t>
            </w:r>
            <w:r w:rsidRPr="00FF275E">
              <w:rPr>
                <w:rFonts w:ascii="Times New Roman" w:hAnsi="Times New Roman"/>
                <w:sz w:val="24"/>
                <w:szCs w:val="24"/>
                <w:vertAlign w:val="superscript"/>
              </w:rPr>
              <w:t xml:space="preserve">1 </w:t>
            </w:r>
            <w:r w:rsidRPr="00FF275E">
              <w:rPr>
                <w:rFonts w:ascii="Times New Roman" w:hAnsi="Times New Roman"/>
                <w:sz w:val="24"/>
                <w:szCs w:val="24"/>
              </w:rPr>
              <w:t xml:space="preserve">panta </w:t>
            </w:r>
            <w:r w:rsidRPr="00733978">
              <w:rPr>
                <w:rFonts w:ascii="Times New Roman" w:hAnsi="Times New Roman"/>
                <w:color w:val="000000"/>
                <w:sz w:val="24"/>
                <w:szCs w:val="24"/>
              </w:rPr>
              <w:t>trešā</w:t>
            </w:r>
            <w:r>
              <w:rPr>
                <w:rFonts w:ascii="Times New Roman" w:hAnsi="Times New Roman"/>
                <w:sz w:val="24"/>
                <w:szCs w:val="24"/>
              </w:rPr>
              <w:t xml:space="preserve"> </w:t>
            </w:r>
            <w:r w:rsidRPr="00FF275E">
              <w:rPr>
                <w:rFonts w:ascii="Times New Roman" w:hAnsi="Times New Roman"/>
                <w:sz w:val="24"/>
                <w:szCs w:val="24"/>
              </w:rPr>
              <w:t>daļa</w:t>
            </w:r>
          </w:p>
          <w:p w:rsidR="00D92E46" w:rsidRPr="00FF275E" w:rsidRDefault="00D92E46" w:rsidP="00FF275E">
            <w:pPr>
              <w:spacing w:after="0" w:line="240" w:lineRule="auto"/>
              <w:rPr>
                <w:rFonts w:ascii="Times New Roman" w:hAnsi="Times New Roman"/>
                <w:sz w:val="24"/>
                <w:szCs w:val="24"/>
              </w:rPr>
            </w:pPr>
          </w:p>
        </w:tc>
        <w:tc>
          <w:tcPr>
            <w:tcW w:w="2489"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Direktīvas 2009/20/EK 6.panta 1.punkts pārņemts pilnībā</w:t>
            </w:r>
          </w:p>
          <w:p w:rsidR="00D92E46" w:rsidRPr="00FF275E" w:rsidRDefault="00D92E46" w:rsidP="00FF275E">
            <w:pPr>
              <w:spacing w:after="0" w:line="240" w:lineRule="auto"/>
              <w:rPr>
                <w:rFonts w:ascii="Times New Roman" w:hAnsi="Times New Roman"/>
                <w:sz w:val="24"/>
                <w:szCs w:val="24"/>
              </w:rPr>
            </w:pPr>
          </w:p>
        </w:tc>
        <w:tc>
          <w:tcPr>
            <w:tcW w:w="2102"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Stingrākas prasības netiek paredzētas</w:t>
            </w:r>
          </w:p>
        </w:tc>
      </w:tr>
      <w:tr w:rsidR="00D92E46" w:rsidRPr="00FF275E" w:rsidTr="00FF275E">
        <w:tc>
          <w:tcPr>
            <w:tcW w:w="2077" w:type="dxa"/>
            <w:gridSpan w:val="2"/>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Direktīvas 2009/20/EK 6.panta 2.punkts</w:t>
            </w:r>
          </w:p>
          <w:p w:rsidR="00D92E46" w:rsidRPr="00FF275E" w:rsidRDefault="00D92E46" w:rsidP="00FF275E">
            <w:pPr>
              <w:spacing w:after="0" w:line="240" w:lineRule="auto"/>
              <w:rPr>
                <w:rFonts w:ascii="Times New Roman" w:hAnsi="Times New Roman"/>
                <w:sz w:val="24"/>
                <w:szCs w:val="24"/>
              </w:rPr>
            </w:pPr>
          </w:p>
        </w:tc>
        <w:tc>
          <w:tcPr>
            <w:tcW w:w="2371" w:type="dxa"/>
            <w:gridSpan w:val="5"/>
          </w:tcPr>
          <w:p w:rsidR="00D92E46" w:rsidRPr="00FF275E" w:rsidRDefault="00D92E46" w:rsidP="006D1E80">
            <w:pPr>
              <w:spacing w:after="0" w:line="240" w:lineRule="auto"/>
              <w:jc w:val="both"/>
              <w:rPr>
                <w:rFonts w:ascii="Times New Roman" w:hAnsi="Times New Roman"/>
                <w:sz w:val="24"/>
                <w:szCs w:val="24"/>
              </w:rPr>
            </w:pPr>
            <w:r w:rsidRPr="00FF275E">
              <w:rPr>
                <w:rFonts w:ascii="Times New Roman" w:hAnsi="Times New Roman"/>
                <w:sz w:val="24"/>
                <w:szCs w:val="24"/>
              </w:rPr>
              <w:t>Likumprojekta „Grozījumi Jūras kodeksā” 56</w:t>
            </w:r>
            <w:r w:rsidRPr="00FF275E">
              <w:rPr>
                <w:rFonts w:ascii="Times New Roman" w:hAnsi="Times New Roman"/>
                <w:sz w:val="24"/>
                <w:szCs w:val="24"/>
                <w:vertAlign w:val="superscript"/>
              </w:rPr>
              <w:t xml:space="preserve">1 </w:t>
            </w:r>
            <w:r w:rsidRPr="00FF275E">
              <w:rPr>
                <w:rFonts w:ascii="Times New Roman" w:hAnsi="Times New Roman"/>
                <w:sz w:val="24"/>
                <w:szCs w:val="24"/>
              </w:rPr>
              <w:t xml:space="preserve">panta </w:t>
            </w:r>
            <w:r w:rsidRPr="006D1E80">
              <w:rPr>
                <w:rFonts w:ascii="Times New Roman" w:hAnsi="Times New Roman"/>
                <w:color w:val="000000"/>
                <w:sz w:val="24"/>
                <w:szCs w:val="24"/>
              </w:rPr>
              <w:t>trešā</w:t>
            </w:r>
            <w:r>
              <w:rPr>
                <w:rFonts w:ascii="Times New Roman" w:hAnsi="Times New Roman"/>
                <w:sz w:val="24"/>
                <w:szCs w:val="24"/>
              </w:rPr>
              <w:t xml:space="preserve"> </w:t>
            </w:r>
            <w:r w:rsidRPr="00FF275E">
              <w:rPr>
                <w:rFonts w:ascii="Times New Roman" w:hAnsi="Times New Roman"/>
                <w:sz w:val="24"/>
                <w:szCs w:val="24"/>
              </w:rPr>
              <w:t>daļa</w:t>
            </w:r>
          </w:p>
        </w:tc>
        <w:tc>
          <w:tcPr>
            <w:tcW w:w="2489"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Direktīvas 2009/20/EK 6.panta 2.punkts pārņemts pilnībā</w:t>
            </w:r>
          </w:p>
        </w:tc>
        <w:tc>
          <w:tcPr>
            <w:tcW w:w="2102"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Stingrākas prasības netiek paredzētas</w:t>
            </w:r>
          </w:p>
        </w:tc>
      </w:tr>
      <w:tr w:rsidR="00D92E46" w:rsidRPr="00FF275E" w:rsidTr="00FF275E">
        <w:tc>
          <w:tcPr>
            <w:tcW w:w="2077" w:type="dxa"/>
            <w:gridSpan w:val="2"/>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Direktīvas 2009/20/EK 6.panta 3.punkts</w:t>
            </w:r>
          </w:p>
          <w:p w:rsidR="00D92E46" w:rsidRPr="00FF275E" w:rsidRDefault="00D92E46" w:rsidP="00FF275E">
            <w:pPr>
              <w:spacing w:after="0" w:line="240" w:lineRule="auto"/>
              <w:rPr>
                <w:rFonts w:ascii="Times New Roman" w:hAnsi="Times New Roman"/>
                <w:sz w:val="24"/>
                <w:szCs w:val="24"/>
              </w:rPr>
            </w:pPr>
          </w:p>
        </w:tc>
        <w:tc>
          <w:tcPr>
            <w:tcW w:w="2371" w:type="dxa"/>
            <w:gridSpan w:val="5"/>
          </w:tcPr>
          <w:p w:rsidR="00D92E46" w:rsidRPr="00FF275E" w:rsidRDefault="00D92E46" w:rsidP="003767DB">
            <w:pPr>
              <w:spacing w:after="0" w:line="240" w:lineRule="auto"/>
              <w:jc w:val="both"/>
              <w:rPr>
                <w:rFonts w:ascii="Times New Roman" w:hAnsi="Times New Roman"/>
                <w:sz w:val="24"/>
                <w:szCs w:val="24"/>
              </w:rPr>
            </w:pPr>
            <w:r w:rsidRPr="00FF275E">
              <w:rPr>
                <w:rFonts w:ascii="Times New Roman" w:hAnsi="Times New Roman"/>
                <w:sz w:val="24"/>
                <w:szCs w:val="24"/>
              </w:rPr>
              <w:t>Likumprojekta „Grozījumi Jūras kodeksā” 56</w:t>
            </w:r>
            <w:r w:rsidRPr="00FF275E">
              <w:rPr>
                <w:rFonts w:ascii="Times New Roman" w:hAnsi="Times New Roman"/>
                <w:sz w:val="24"/>
                <w:szCs w:val="24"/>
                <w:vertAlign w:val="superscript"/>
              </w:rPr>
              <w:t xml:space="preserve">1 </w:t>
            </w:r>
            <w:r w:rsidRPr="00FF275E">
              <w:rPr>
                <w:rFonts w:ascii="Times New Roman" w:hAnsi="Times New Roman"/>
                <w:sz w:val="24"/>
                <w:szCs w:val="24"/>
              </w:rPr>
              <w:t xml:space="preserve">panta </w:t>
            </w:r>
            <w:r w:rsidRPr="003767DB">
              <w:rPr>
                <w:rFonts w:ascii="Times New Roman" w:hAnsi="Times New Roman"/>
                <w:color w:val="000000"/>
                <w:sz w:val="24"/>
                <w:szCs w:val="24"/>
              </w:rPr>
              <w:t xml:space="preserve">ceturtā </w:t>
            </w:r>
            <w:r w:rsidRPr="00FF275E">
              <w:rPr>
                <w:rFonts w:ascii="Times New Roman" w:hAnsi="Times New Roman"/>
                <w:sz w:val="24"/>
                <w:szCs w:val="24"/>
              </w:rPr>
              <w:t>daļa</w:t>
            </w:r>
          </w:p>
        </w:tc>
        <w:tc>
          <w:tcPr>
            <w:tcW w:w="2489"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Direktīvas 2009/20/EK 6.panta 3.punkts pārņemts pilnībā</w:t>
            </w:r>
          </w:p>
          <w:p w:rsidR="00D92E46" w:rsidRPr="00FF275E" w:rsidRDefault="00D92E46" w:rsidP="00FF275E">
            <w:pPr>
              <w:spacing w:after="0" w:line="240" w:lineRule="auto"/>
              <w:rPr>
                <w:rFonts w:ascii="Times New Roman" w:hAnsi="Times New Roman"/>
                <w:sz w:val="24"/>
                <w:szCs w:val="24"/>
              </w:rPr>
            </w:pPr>
          </w:p>
        </w:tc>
        <w:tc>
          <w:tcPr>
            <w:tcW w:w="2102"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Stingrākas prasības netiek paredzētas</w:t>
            </w:r>
          </w:p>
        </w:tc>
      </w:tr>
      <w:tr w:rsidR="00D92E46" w:rsidRPr="00FF275E" w:rsidTr="00FF275E">
        <w:tc>
          <w:tcPr>
            <w:tcW w:w="2077" w:type="dxa"/>
            <w:gridSpan w:val="2"/>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Direktīvas 2009/20/EK 7.pants</w:t>
            </w:r>
          </w:p>
          <w:p w:rsidR="00D92E46" w:rsidRPr="00FF275E" w:rsidRDefault="00D92E46" w:rsidP="00FF275E">
            <w:pPr>
              <w:spacing w:after="0" w:line="240" w:lineRule="auto"/>
              <w:rPr>
                <w:rFonts w:ascii="Times New Roman" w:hAnsi="Times New Roman"/>
                <w:sz w:val="24"/>
                <w:szCs w:val="24"/>
              </w:rPr>
            </w:pPr>
          </w:p>
          <w:p w:rsidR="00D92E46" w:rsidRPr="00FF275E" w:rsidRDefault="00D92E46" w:rsidP="00FF275E">
            <w:pPr>
              <w:spacing w:after="0" w:line="240" w:lineRule="auto"/>
              <w:rPr>
                <w:rFonts w:ascii="Times New Roman" w:hAnsi="Times New Roman"/>
                <w:sz w:val="24"/>
                <w:szCs w:val="24"/>
              </w:rPr>
            </w:pPr>
          </w:p>
          <w:p w:rsidR="00D92E46" w:rsidRPr="00FF275E" w:rsidRDefault="00D92E46" w:rsidP="00FF275E">
            <w:pPr>
              <w:spacing w:after="0" w:line="240" w:lineRule="auto"/>
              <w:rPr>
                <w:rFonts w:ascii="Times New Roman" w:hAnsi="Times New Roman"/>
                <w:sz w:val="24"/>
                <w:szCs w:val="24"/>
              </w:rPr>
            </w:pPr>
          </w:p>
        </w:tc>
        <w:tc>
          <w:tcPr>
            <w:tcW w:w="2371" w:type="dxa"/>
            <w:gridSpan w:val="5"/>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 xml:space="preserve">Latvijas Administratīvo pārkāpumu kodeksa 116.panta pirmā daļa un </w:t>
            </w:r>
          </w:p>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likumprojekts „Grozījumi Administratīvo pārkāpumu kodeksā”.</w:t>
            </w:r>
          </w:p>
        </w:tc>
        <w:tc>
          <w:tcPr>
            <w:tcW w:w="2489"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Direktīvas 2009/20/EK 7.pants pārņemts pilnībā</w:t>
            </w:r>
          </w:p>
          <w:p w:rsidR="00D92E46" w:rsidRPr="00FF275E" w:rsidRDefault="00D92E46" w:rsidP="00FF275E">
            <w:pPr>
              <w:spacing w:after="0" w:line="240" w:lineRule="auto"/>
              <w:rPr>
                <w:rFonts w:ascii="Times New Roman" w:hAnsi="Times New Roman"/>
                <w:sz w:val="24"/>
                <w:szCs w:val="24"/>
              </w:rPr>
            </w:pPr>
          </w:p>
        </w:tc>
        <w:tc>
          <w:tcPr>
            <w:tcW w:w="2102"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Stingrākas prasības netiek paredzētas</w:t>
            </w:r>
          </w:p>
        </w:tc>
      </w:tr>
      <w:tr w:rsidR="00D92E46" w:rsidRPr="00FF275E" w:rsidTr="00FF275E">
        <w:tc>
          <w:tcPr>
            <w:tcW w:w="2093" w:type="dxa"/>
            <w:gridSpan w:val="3"/>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Kā ir izmantota ES tiesību aktā paredzētā rīcības brīvība dalībvalstij pārņemt vai ieviest noteiktas ES tiesību akta normas?</w:t>
            </w:r>
          </w:p>
          <w:p w:rsidR="00D92E46" w:rsidRPr="00FF275E" w:rsidRDefault="00D92E46" w:rsidP="00FF275E">
            <w:pPr>
              <w:spacing w:after="0" w:line="240" w:lineRule="auto"/>
              <w:jc w:val="both"/>
              <w:rPr>
                <w:rFonts w:ascii="Times New Roman" w:hAnsi="Times New Roman"/>
                <w:sz w:val="24"/>
                <w:szCs w:val="24"/>
              </w:rPr>
            </w:pPr>
          </w:p>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Kādēļ?</w:t>
            </w:r>
          </w:p>
          <w:p w:rsidR="00D92E46" w:rsidRPr="00FF275E" w:rsidRDefault="00D92E46" w:rsidP="00FF275E">
            <w:pPr>
              <w:spacing w:after="0" w:line="240" w:lineRule="auto"/>
              <w:jc w:val="both"/>
              <w:rPr>
                <w:rFonts w:ascii="Times New Roman" w:hAnsi="Times New Roman"/>
                <w:sz w:val="24"/>
                <w:szCs w:val="24"/>
              </w:rPr>
            </w:pPr>
          </w:p>
        </w:tc>
        <w:tc>
          <w:tcPr>
            <w:tcW w:w="6946" w:type="dxa"/>
            <w:gridSpan w:val="6"/>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Projekts šo jomu neskar.</w:t>
            </w:r>
          </w:p>
        </w:tc>
      </w:tr>
      <w:tr w:rsidR="00D92E46" w:rsidRPr="00FF275E" w:rsidTr="00FF275E">
        <w:tc>
          <w:tcPr>
            <w:tcW w:w="2093" w:type="dxa"/>
            <w:gridSpan w:val="3"/>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p w:rsidR="00D92E46" w:rsidRPr="00FF275E" w:rsidRDefault="00D92E46" w:rsidP="00FF275E">
            <w:pPr>
              <w:spacing w:after="0" w:line="240" w:lineRule="auto"/>
              <w:jc w:val="both"/>
              <w:rPr>
                <w:rFonts w:ascii="Times New Roman" w:hAnsi="Times New Roman"/>
                <w:sz w:val="24"/>
                <w:szCs w:val="24"/>
              </w:rPr>
            </w:pPr>
          </w:p>
        </w:tc>
        <w:tc>
          <w:tcPr>
            <w:tcW w:w="6946" w:type="dxa"/>
            <w:gridSpan w:val="6"/>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Projekts šo jomu neskar.</w:t>
            </w:r>
          </w:p>
        </w:tc>
      </w:tr>
      <w:tr w:rsidR="00D92E46" w:rsidRPr="00FF275E" w:rsidTr="00FF275E">
        <w:tc>
          <w:tcPr>
            <w:tcW w:w="2093" w:type="dxa"/>
            <w:gridSpan w:val="3"/>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Cita informācija</w:t>
            </w:r>
          </w:p>
          <w:p w:rsidR="00D92E46" w:rsidRPr="00FF275E" w:rsidRDefault="00D92E46" w:rsidP="00FF275E">
            <w:pPr>
              <w:spacing w:after="0" w:line="240" w:lineRule="auto"/>
              <w:jc w:val="both"/>
              <w:rPr>
                <w:rFonts w:ascii="Times New Roman" w:hAnsi="Times New Roman"/>
                <w:sz w:val="24"/>
                <w:szCs w:val="24"/>
              </w:rPr>
            </w:pPr>
          </w:p>
        </w:tc>
        <w:tc>
          <w:tcPr>
            <w:tcW w:w="6946" w:type="dxa"/>
            <w:gridSpan w:val="6"/>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Nav.</w:t>
            </w:r>
          </w:p>
        </w:tc>
      </w:tr>
      <w:tr w:rsidR="00D92E46" w:rsidRPr="00FF275E" w:rsidTr="00FF275E">
        <w:tc>
          <w:tcPr>
            <w:tcW w:w="9039" w:type="dxa"/>
            <w:gridSpan w:val="9"/>
          </w:tcPr>
          <w:p w:rsidR="00D92E46" w:rsidRPr="00FF275E" w:rsidRDefault="00D92E46" w:rsidP="00FF275E">
            <w:pPr>
              <w:spacing w:after="0" w:line="240" w:lineRule="auto"/>
              <w:jc w:val="center"/>
              <w:rPr>
                <w:rFonts w:ascii="Times New Roman" w:hAnsi="Times New Roman"/>
                <w:b/>
                <w:sz w:val="24"/>
                <w:szCs w:val="24"/>
              </w:rPr>
            </w:pPr>
            <w:r w:rsidRPr="00FF275E">
              <w:rPr>
                <w:rFonts w:ascii="Times New Roman" w:hAnsi="Times New Roman"/>
                <w:b/>
                <w:sz w:val="24"/>
                <w:szCs w:val="24"/>
              </w:rPr>
              <w:t>VII. Tiesību akta projekta izpildes nodrošināšana un tās ietekme uz institūcijām</w:t>
            </w:r>
          </w:p>
        </w:tc>
      </w:tr>
      <w:tr w:rsidR="00D92E46" w:rsidRPr="00FF275E" w:rsidTr="00FF275E">
        <w:tc>
          <w:tcPr>
            <w:tcW w:w="675" w:type="dxa"/>
          </w:tcPr>
          <w:p w:rsidR="00D92E46" w:rsidRPr="00FF275E" w:rsidRDefault="00D92E46" w:rsidP="00FF275E">
            <w:pPr>
              <w:spacing w:after="0" w:line="240" w:lineRule="auto"/>
              <w:rPr>
                <w:rFonts w:ascii="Times New Roman" w:hAnsi="Times New Roman"/>
                <w:sz w:val="28"/>
                <w:szCs w:val="28"/>
              </w:rPr>
            </w:pPr>
            <w:r w:rsidRPr="00FF275E">
              <w:rPr>
                <w:rFonts w:ascii="Times New Roman" w:hAnsi="Times New Roman"/>
                <w:sz w:val="28"/>
                <w:szCs w:val="28"/>
              </w:rPr>
              <w:t>1.</w:t>
            </w:r>
          </w:p>
        </w:tc>
        <w:tc>
          <w:tcPr>
            <w:tcW w:w="2694" w:type="dxa"/>
            <w:gridSpan w:val="4"/>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Projekta izpildē iesaistītās institūcijas</w:t>
            </w:r>
          </w:p>
        </w:tc>
        <w:tc>
          <w:tcPr>
            <w:tcW w:w="5670" w:type="dxa"/>
            <w:gridSpan w:val="4"/>
          </w:tcPr>
          <w:p w:rsidR="00D92E46" w:rsidRPr="00AF3991" w:rsidRDefault="00D92E46" w:rsidP="00FF275E">
            <w:pPr>
              <w:spacing w:after="0" w:line="240" w:lineRule="auto"/>
              <w:jc w:val="both"/>
              <w:rPr>
                <w:rFonts w:ascii="Times New Roman" w:hAnsi="Times New Roman"/>
                <w:b/>
                <w:sz w:val="24"/>
                <w:szCs w:val="24"/>
              </w:rPr>
            </w:pPr>
            <w:r w:rsidRPr="00FF275E">
              <w:rPr>
                <w:rFonts w:ascii="Times New Roman" w:hAnsi="Times New Roman"/>
                <w:sz w:val="24"/>
                <w:szCs w:val="24"/>
              </w:rPr>
              <w:t>Projekta izpildi nodrošinās Satiksmes ministrija</w:t>
            </w:r>
            <w:r>
              <w:rPr>
                <w:rFonts w:ascii="Times New Roman" w:hAnsi="Times New Roman"/>
                <w:sz w:val="24"/>
                <w:szCs w:val="24"/>
              </w:rPr>
              <w:t>,</w:t>
            </w:r>
            <w:r w:rsidRPr="00FF275E">
              <w:rPr>
                <w:rFonts w:ascii="Times New Roman" w:hAnsi="Times New Roman"/>
                <w:sz w:val="24"/>
                <w:szCs w:val="24"/>
              </w:rPr>
              <w:t xml:space="preserve"> valsts akciju sabiedrība </w:t>
            </w:r>
            <w:r>
              <w:rPr>
                <w:rFonts w:ascii="Times New Roman" w:hAnsi="Times New Roman"/>
                <w:sz w:val="24"/>
                <w:szCs w:val="24"/>
              </w:rPr>
              <w:t xml:space="preserve">„Latvijas Jūras administrācija” </w:t>
            </w:r>
            <w:r w:rsidRPr="009B57D1">
              <w:rPr>
                <w:rFonts w:ascii="Times New Roman" w:hAnsi="Times New Roman"/>
                <w:sz w:val="24"/>
                <w:szCs w:val="24"/>
              </w:rPr>
              <w:t>un Nacionālo bruņoto spēku Krasta apsardzes dienests.</w:t>
            </w:r>
          </w:p>
          <w:p w:rsidR="00D92E46" w:rsidRPr="00FF275E" w:rsidRDefault="00D92E46" w:rsidP="00FF275E">
            <w:pPr>
              <w:spacing w:after="0" w:line="240" w:lineRule="auto"/>
              <w:jc w:val="both"/>
              <w:rPr>
                <w:rFonts w:ascii="Times New Roman" w:hAnsi="Times New Roman"/>
                <w:sz w:val="24"/>
                <w:szCs w:val="24"/>
              </w:rPr>
            </w:pPr>
          </w:p>
        </w:tc>
      </w:tr>
      <w:tr w:rsidR="00D92E46" w:rsidRPr="00FF275E" w:rsidTr="00FF275E">
        <w:tc>
          <w:tcPr>
            <w:tcW w:w="675" w:type="dxa"/>
          </w:tcPr>
          <w:p w:rsidR="00D92E46" w:rsidRPr="00FF275E" w:rsidRDefault="00D92E46" w:rsidP="00FF275E">
            <w:pPr>
              <w:spacing w:after="0" w:line="240" w:lineRule="auto"/>
              <w:rPr>
                <w:rFonts w:ascii="Times New Roman" w:hAnsi="Times New Roman"/>
                <w:sz w:val="28"/>
                <w:szCs w:val="28"/>
              </w:rPr>
            </w:pPr>
            <w:r w:rsidRPr="00FF275E">
              <w:rPr>
                <w:rFonts w:ascii="Times New Roman" w:hAnsi="Times New Roman"/>
                <w:sz w:val="28"/>
                <w:szCs w:val="28"/>
              </w:rPr>
              <w:t xml:space="preserve">2. </w:t>
            </w:r>
          </w:p>
        </w:tc>
        <w:tc>
          <w:tcPr>
            <w:tcW w:w="2694" w:type="dxa"/>
            <w:gridSpan w:val="4"/>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Projekta izpildes ietekme uz pārvaldes funkcijām</w:t>
            </w:r>
          </w:p>
        </w:tc>
        <w:tc>
          <w:tcPr>
            <w:tcW w:w="5670" w:type="dxa"/>
            <w:gridSpan w:val="4"/>
          </w:tcPr>
          <w:p w:rsidR="00D92E46" w:rsidRPr="00FF275E" w:rsidRDefault="00D92E46" w:rsidP="00FF275E">
            <w:pPr>
              <w:spacing w:after="0" w:line="240" w:lineRule="auto"/>
              <w:jc w:val="both"/>
              <w:rPr>
                <w:rFonts w:ascii="Times New Roman" w:hAnsi="Times New Roman"/>
                <w:sz w:val="24"/>
                <w:szCs w:val="24"/>
              </w:rPr>
            </w:pPr>
            <w:r w:rsidRPr="00FF275E">
              <w:rPr>
                <w:rFonts w:ascii="Times New Roman" w:hAnsi="Times New Roman"/>
                <w:sz w:val="24"/>
                <w:szCs w:val="24"/>
              </w:rPr>
              <w:t>Projekts šo jomu neskar.</w:t>
            </w:r>
          </w:p>
        </w:tc>
      </w:tr>
      <w:tr w:rsidR="00D92E46" w:rsidRPr="00FF275E" w:rsidTr="00FF275E">
        <w:tc>
          <w:tcPr>
            <w:tcW w:w="675"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3.</w:t>
            </w:r>
          </w:p>
        </w:tc>
        <w:tc>
          <w:tcPr>
            <w:tcW w:w="2694" w:type="dxa"/>
            <w:gridSpan w:val="4"/>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Projekta izpildes ietekme uz pārvaldes institucionālo struktūru.</w:t>
            </w:r>
          </w:p>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Jaunu institūciju izveide</w:t>
            </w:r>
          </w:p>
          <w:p w:rsidR="00D92E46" w:rsidRPr="00FF275E" w:rsidRDefault="00D92E46" w:rsidP="00FF275E">
            <w:pPr>
              <w:spacing w:after="0" w:line="240" w:lineRule="auto"/>
              <w:rPr>
                <w:rFonts w:ascii="Times New Roman" w:hAnsi="Times New Roman"/>
                <w:b/>
                <w:sz w:val="24"/>
                <w:szCs w:val="24"/>
              </w:rPr>
            </w:pPr>
          </w:p>
        </w:tc>
        <w:tc>
          <w:tcPr>
            <w:tcW w:w="5670" w:type="dxa"/>
            <w:gridSpan w:val="4"/>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Projekts šo jomu neskar.</w:t>
            </w:r>
          </w:p>
        </w:tc>
      </w:tr>
      <w:tr w:rsidR="00D92E46" w:rsidRPr="00FF275E" w:rsidTr="00FF275E">
        <w:tc>
          <w:tcPr>
            <w:tcW w:w="675"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4.</w:t>
            </w:r>
          </w:p>
        </w:tc>
        <w:tc>
          <w:tcPr>
            <w:tcW w:w="2694" w:type="dxa"/>
            <w:gridSpan w:val="4"/>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 xml:space="preserve">Projekta izpildes ietekme uz pārvaldes institucionālo struktūru. </w:t>
            </w:r>
          </w:p>
          <w:p w:rsidR="00D92E46" w:rsidRPr="00FF275E" w:rsidRDefault="00D92E46" w:rsidP="00FF275E">
            <w:pPr>
              <w:spacing w:after="0" w:line="240" w:lineRule="auto"/>
              <w:rPr>
                <w:rFonts w:ascii="Times New Roman" w:hAnsi="Times New Roman"/>
                <w:b/>
                <w:sz w:val="24"/>
                <w:szCs w:val="24"/>
              </w:rPr>
            </w:pPr>
            <w:r w:rsidRPr="00FF275E">
              <w:rPr>
                <w:rFonts w:ascii="Times New Roman" w:hAnsi="Times New Roman"/>
                <w:sz w:val="24"/>
                <w:szCs w:val="24"/>
              </w:rPr>
              <w:t>Esošu institūciju likvidācija</w:t>
            </w:r>
          </w:p>
        </w:tc>
        <w:tc>
          <w:tcPr>
            <w:tcW w:w="5670" w:type="dxa"/>
            <w:gridSpan w:val="4"/>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Projekts šo jomu neskar.</w:t>
            </w:r>
          </w:p>
        </w:tc>
      </w:tr>
      <w:tr w:rsidR="00D92E46" w:rsidRPr="00FF275E" w:rsidTr="00FF275E">
        <w:tc>
          <w:tcPr>
            <w:tcW w:w="675"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 xml:space="preserve">5. </w:t>
            </w:r>
          </w:p>
        </w:tc>
        <w:tc>
          <w:tcPr>
            <w:tcW w:w="2694" w:type="dxa"/>
            <w:gridSpan w:val="4"/>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Projekta izpildes ietekme uz pārvaldes institucionālo struktūru.</w:t>
            </w:r>
          </w:p>
          <w:p w:rsidR="00D92E46" w:rsidRPr="00FF275E" w:rsidRDefault="00D92E46" w:rsidP="00FF275E">
            <w:pPr>
              <w:spacing w:after="0" w:line="240" w:lineRule="auto"/>
              <w:rPr>
                <w:rFonts w:ascii="Times New Roman" w:hAnsi="Times New Roman"/>
                <w:b/>
                <w:sz w:val="24"/>
                <w:szCs w:val="24"/>
              </w:rPr>
            </w:pPr>
            <w:r w:rsidRPr="00FF275E">
              <w:rPr>
                <w:rFonts w:ascii="Times New Roman" w:hAnsi="Times New Roman"/>
                <w:sz w:val="24"/>
                <w:szCs w:val="24"/>
              </w:rPr>
              <w:t>Esošu institūciju reorganizācija.</w:t>
            </w:r>
          </w:p>
        </w:tc>
        <w:tc>
          <w:tcPr>
            <w:tcW w:w="5670" w:type="dxa"/>
            <w:gridSpan w:val="4"/>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Projekts šo jomu neskar.</w:t>
            </w:r>
          </w:p>
        </w:tc>
      </w:tr>
      <w:tr w:rsidR="00D92E46" w:rsidRPr="00FF275E" w:rsidTr="00FF275E">
        <w:tc>
          <w:tcPr>
            <w:tcW w:w="675" w:type="dxa"/>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6.</w:t>
            </w:r>
          </w:p>
        </w:tc>
        <w:tc>
          <w:tcPr>
            <w:tcW w:w="2694" w:type="dxa"/>
            <w:gridSpan w:val="4"/>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Cita informācija.</w:t>
            </w:r>
          </w:p>
          <w:p w:rsidR="00D92E46" w:rsidRPr="00FF275E" w:rsidRDefault="00D92E46" w:rsidP="00FF275E">
            <w:pPr>
              <w:spacing w:after="0" w:line="240" w:lineRule="auto"/>
              <w:rPr>
                <w:rFonts w:ascii="Times New Roman" w:hAnsi="Times New Roman"/>
                <w:sz w:val="24"/>
                <w:szCs w:val="24"/>
              </w:rPr>
            </w:pPr>
          </w:p>
        </w:tc>
        <w:tc>
          <w:tcPr>
            <w:tcW w:w="5670" w:type="dxa"/>
            <w:gridSpan w:val="4"/>
          </w:tcPr>
          <w:p w:rsidR="00D92E46" w:rsidRPr="00FF275E" w:rsidRDefault="00D92E46" w:rsidP="00FF275E">
            <w:pPr>
              <w:spacing w:after="0" w:line="240" w:lineRule="auto"/>
              <w:rPr>
                <w:rFonts w:ascii="Times New Roman" w:hAnsi="Times New Roman"/>
                <w:sz w:val="24"/>
                <w:szCs w:val="24"/>
              </w:rPr>
            </w:pPr>
            <w:r w:rsidRPr="00FF275E">
              <w:rPr>
                <w:rFonts w:ascii="Times New Roman" w:hAnsi="Times New Roman"/>
                <w:sz w:val="24"/>
                <w:szCs w:val="24"/>
              </w:rPr>
              <w:t>Nav.</w:t>
            </w:r>
          </w:p>
        </w:tc>
      </w:tr>
    </w:tbl>
    <w:p w:rsidR="00D92E46" w:rsidRDefault="00D92E46" w:rsidP="00673259">
      <w:pPr>
        <w:rPr>
          <w:rFonts w:ascii="Times New Roman" w:hAnsi="Times New Roman"/>
          <w:i/>
          <w:sz w:val="24"/>
          <w:szCs w:val="24"/>
        </w:rPr>
      </w:pPr>
    </w:p>
    <w:p w:rsidR="00D92E46" w:rsidRDefault="00D92E46" w:rsidP="00673259">
      <w:pPr>
        <w:rPr>
          <w:rFonts w:ascii="Times New Roman" w:hAnsi="Times New Roman"/>
          <w:i/>
          <w:sz w:val="24"/>
          <w:szCs w:val="24"/>
        </w:rPr>
      </w:pPr>
      <w:r>
        <w:rPr>
          <w:rFonts w:ascii="Times New Roman" w:hAnsi="Times New Roman"/>
          <w:i/>
          <w:sz w:val="24"/>
          <w:szCs w:val="24"/>
        </w:rPr>
        <w:t>Anotācijas III, IV, VI sadaļa</w:t>
      </w:r>
      <w:r w:rsidRPr="00330775">
        <w:rPr>
          <w:rFonts w:ascii="Times New Roman" w:hAnsi="Times New Roman"/>
          <w:i/>
          <w:sz w:val="24"/>
          <w:szCs w:val="24"/>
        </w:rPr>
        <w:t xml:space="preserve"> – </w:t>
      </w:r>
      <w:r>
        <w:rPr>
          <w:rFonts w:ascii="Times New Roman" w:hAnsi="Times New Roman"/>
          <w:i/>
          <w:sz w:val="24"/>
          <w:szCs w:val="24"/>
        </w:rPr>
        <w:t>projekts šīs jomas neskar.</w:t>
      </w:r>
    </w:p>
    <w:p w:rsidR="00D92E46" w:rsidRDefault="00D92E46" w:rsidP="00673259">
      <w:pPr>
        <w:ind w:firstLine="720"/>
        <w:rPr>
          <w:rFonts w:ascii="Times New Roman" w:hAnsi="Times New Roman"/>
          <w:sz w:val="28"/>
          <w:szCs w:val="28"/>
        </w:rPr>
      </w:pPr>
    </w:p>
    <w:p w:rsidR="00D92E46" w:rsidRPr="00330775" w:rsidRDefault="00D92E46" w:rsidP="00673259">
      <w:pPr>
        <w:ind w:firstLine="720"/>
        <w:rPr>
          <w:rFonts w:ascii="Times New Roman" w:hAnsi="Times New Roman"/>
          <w:sz w:val="28"/>
          <w:szCs w:val="28"/>
        </w:rPr>
      </w:pPr>
      <w:r w:rsidRPr="00330775">
        <w:rPr>
          <w:rFonts w:ascii="Times New Roman" w:hAnsi="Times New Roman"/>
          <w:sz w:val="28"/>
          <w:szCs w:val="28"/>
        </w:rPr>
        <w:t>Satiksmes ministrs</w:t>
      </w:r>
      <w:r w:rsidRPr="00330775">
        <w:rPr>
          <w:rFonts w:ascii="Times New Roman" w:hAnsi="Times New Roman"/>
          <w:sz w:val="28"/>
          <w:szCs w:val="28"/>
        </w:rPr>
        <w:tab/>
      </w:r>
      <w:r w:rsidRPr="00330775">
        <w:rPr>
          <w:rFonts w:ascii="Times New Roman" w:hAnsi="Times New Roman"/>
          <w:sz w:val="28"/>
          <w:szCs w:val="28"/>
        </w:rPr>
        <w:tab/>
      </w:r>
      <w:r w:rsidRPr="00330775">
        <w:rPr>
          <w:rFonts w:ascii="Times New Roman" w:hAnsi="Times New Roman"/>
          <w:sz w:val="28"/>
          <w:szCs w:val="28"/>
        </w:rPr>
        <w:tab/>
      </w:r>
      <w:r w:rsidRPr="00330775">
        <w:rPr>
          <w:rFonts w:ascii="Times New Roman" w:hAnsi="Times New Roman"/>
          <w:sz w:val="28"/>
          <w:szCs w:val="28"/>
        </w:rPr>
        <w:tab/>
      </w:r>
      <w:r w:rsidRPr="00330775">
        <w:rPr>
          <w:rFonts w:ascii="Times New Roman" w:hAnsi="Times New Roman"/>
          <w:sz w:val="28"/>
          <w:szCs w:val="28"/>
        </w:rPr>
        <w:tab/>
      </w:r>
      <w:r w:rsidRPr="00330775">
        <w:rPr>
          <w:rFonts w:ascii="Times New Roman" w:hAnsi="Times New Roman"/>
          <w:sz w:val="28"/>
          <w:szCs w:val="28"/>
        </w:rPr>
        <w:tab/>
        <w:t>U. Augulis</w:t>
      </w:r>
    </w:p>
    <w:p w:rsidR="00D92E46" w:rsidRPr="00802541" w:rsidRDefault="00D92E46" w:rsidP="00802541">
      <w:pPr>
        <w:pStyle w:val="NoSpacing"/>
        <w:ind w:firstLine="720"/>
        <w:jc w:val="both"/>
        <w:rPr>
          <w:rFonts w:ascii="Times New Roman" w:hAnsi="Times New Roman"/>
          <w:sz w:val="28"/>
          <w:szCs w:val="28"/>
        </w:rPr>
      </w:pPr>
      <w:r w:rsidRPr="00802541">
        <w:rPr>
          <w:rFonts w:ascii="Times New Roman" w:hAnsi="Times New Roman"/>
          <w:sz w:val="28"/>
          <w:szCs w:val="28"/>
        </w:rPr>
        <w:t>Vīza:</w:t>
      </w:r>
    </w:p>
    <w:p w:rsidR="00D92E46" w:rsidRPr="00802541" w:rsidRDefault="00D92E46" w:rsidP="00802541">
      <w:pPr>
        <w:pStyle w:val="NoSpacing"/>
        <w:ind w:firstLine="720"/>
        <w:jc w:val="both"/>
        <w:rPr>
          <w:rFonts w:ascii="Times New Roman" w:hAnsi="Times New Roman"/>
          <w:sz w:val="28"/>
          <w:szCs w:val="28"/>
        </w:rPr>
      </w:pPr>
      <w:r w:rsidRPr="00802541">
        <w:rPr>
          <w:rFonts w:ascii="Times New Roman" w:hAnsi="Times New Roman"/>
          <w:sz w:val="28"/>
          <w:szCs w:val="28"/>
        </w:rPr>
        <w:t>valsts sekretārs</w:t>
      </w:r>
      <w:r w:rsidRPr="00802541">
        <w:rPr>
          <w:rFonts w:ascii="Times New Roman" w:hAnsi="Times New Roman"/>
          <w:sz w:val="28"/>
          <w:szCs w:val="28"/>
        </w:rPr>
        <w:tab/>
      </w:r>
      <w:r w:rsidRPr="00802541">
        <w:rPr>
          <w:rFonts w:ascii="Times New Roman" w:hAnsi="Times New Roman"/>
          <w:sz w:val="28"/>
          <w:szCs w:val="28"/>
        </w:rPr>
        <w:tab/>
      </w:r>
      <w:r w:rsidRPr="00802541">
        <w:rPr>
          <w:rFonts w:ascii="Times New Roman" w:hAnsi="Times New Roman"/>
          <w:sz w:val="28"/>
          <w:szCs w:val="28"/>
        </w:rPr>
        <w:tab/>
      </w:r>
      <w:r w:rsidRPr="00802541">
        <w:rPr>
          <w:rFonts w:ascii="Times New Roman" w:hAnsi="Times New Roman"/>
          <w:sz w:val="28"/>
          <w:szCs w:val="28"/>
        </w:rPr>
        <w:tab/>
      </w:r>
      <w:r w:rsidRPr="00802541">
        <w:rPr>
          <w:rFonts w:ascii="Times New Roman" w:hAnsi="Times New Roman"/>
          <w:sz w:val="28"/>
          <w:szCs w:val="28"/>
        </w:rPr>
        <w:tab/>
      </w:r>
      <w:r w:rsidRPr="00802541">
        <w:rPr>
          <w:rFonts w:ascii="Times New Roman" w:hAnsi="Times New Roman"/>
          <w:sz w:val="28"/>
          <w:szCs w:val="28"/>
        </w:rPr>
        <w:tab/>
        <w:t>A.</w:t>
      </w:r>
      <w:r>
        <w:rPr>
          <w:rFonts w:ascii="Times New Roman" w:hAnsi="Times New Roman"/>
          <w:sz w:val="28"/>
          <w:szCs w:val="28"/>
        </w:rPr>
        <w:t xml:space="preserve"> </w:t>
      </w:r>
      <w:r w:rsidRPr="00802541">
        <w:rPr>
          <w:rFonts w:ascii="Times New Roman" w:hAnsi="Times New Roman"/>
          <w:sz w:val="28"/>
          <w:szCs w:val="28"/>
        </w:rPr>
        <w:t>Matīss</w:t>
      </w:r>
    </w:p>
    <w:p w:rsidR="00D92E46" w:rsidRDefault="00D92E46" w:rsidP="00673259">
      <w:pPr>
        <w:pStyle w:val="NoSpacing"/>
        <w:rPr>
          <w:rFonts w:ascii="Times New Roman" w:hAnsi="Times New Roman"/>
          <w:sz w:val="28"/>
          <w:szCs w:val="28"/>
        </w:rPr>
      </w:pPr>
    </w:p>
    <w:p w:rsidR="00D92E46" w:rsidRPr="00414DFE" w:rsidRDefault="00D92E46" w:rsidP="00673259">
      <w:pPr>
        <w:pStyle w:val="NoSpacing"/>
        <w:rPr>
          <w:rFonts w:ascii="Times New Roman" w:hAnsi="Times New Roman"/>
          <w:sz w:val="28"/>
          <w:szCs w:val="28"/>
        </w:rPr>
      </w:pPr>
    </w:p>
    <w:p w:rsidR="00D92E46" w:rsidRPr="0095483A" w:rsidRDefault="00D92E46" w:rsidP="00673259">
      <w:pPr>
        <w:pStyle w:val="NoSpacing"/>
        <w:rPr>
          <w:rFonts w:ascii="Times New Roman" w:hAnsi="Times New Roman"/>
        </w:rPr>
      </w:pPr>
      <w:r>
        <w:rPr>
          <w:rFonts w:ascii="Times New Roman" w:hAnsi="Times New Roman"/>
        </w:rPr>
        <w:t>25.08.</w:t>
      </w:r>
      <w:r w:rsidRPr="0095483A">
        <w:rPr>
          <w:rFonts w:ascii="Times New Roman" w:hAnsi="Times New Roman"/>
        </w:rPr>
        <w:t>2011  14:30</w:t>
      </w:r>
    </w:p>
    <w:p w:rsidR="00D92E46" w:rsidRPr="0095483A" w:rsidRDefault="00D92E46" w:rsidP="00673259">
      <w:pPr>
        <w:pStyle w:val="NoSpacing"/>
        <w:rPr>
          <w:rFonts w:ascii="Times New Roman" w:hAnsi="Times New Roman"/>
        </w:rPr>
      </w:pPr>
      <w:r>
        <w:rPr>
          <w:rFonts w:ascii="Times New Roman" w:hAnsi="Times New Roman"/>
        </w:rPr>
        <w:t>1170</w:t>
      </w:r>
    </w:p>
    <w:p w:rsidR="00D92E46" w:rsidRPr="0095483A" w:rsidRDefault="00D92E46" w:rsidP="00673259">
      <w:pPr>
        <w:pStyle w:val="NoSpacing"/>
        <w:rPr>
          <w:rFonts w:ascii="Times New Roman" w:hAnsi="Times New Roman"/>
        </w:rPr>
      </w:pPr>
      <w:r w:rsidRPr="0095483A">
        <w:rPr>
          <w:rFonts w:ascii="Times New Roman" w:hAnsi="Times New Roman"/>
        </w:rPr>
        <w:t>Laima Rituma</w:t>
      </w:r>
    </w:p>
    <w:p w:rsidR="00D92E46" w:rsidRPr="0095483A" w:rsidRDefault="00D92E46" w:rsidP="00673259">
      <w:pPr>
        <w:pStyle w:val="NoSpacing"/>
        <w:rPr>
          <w:rFonts w:ascii="Times New Roman" w:hAnsi="Times New Roman"/>
        </w:rPr>
      </w:pPr>
      <w:r w:rsidRPr="0095483A">
        <w:rPr>
          <w:rFonts w:ascii="Times New Roman" w:hAnsi="Times New Roman"/>
        </w:rPr>
        <w:t>67028198,</w:t>
      </w:r>
    </w:p>
    <w:p w:rsidR="00D92E46" w:rsidRPr="0095483A" w:rsidRDefault="00D92E46" w:rsidP="00673259">
      <w:pPr>
        <w:pStyle w:val="NoSpacing"/>
        <w:rPr>
          <w:rFonts w:ascii="Times New Roman" w:hAnsi="Times New Roman"/>
        </w:rPr>
      </w:pPr>
      <w:r w:rsidRPr="0095483A">
        <w:rPr>
          <w:rFonts w:ascii="Times New Roman" w:hAnsi="Times New Roman"/>
        </w:rPr>
        <w:t xml:space="preserve">laima.rituma@sam.gov.lv </w:t>
      </w:r>
    </w:p>
    <w:p w:rsidR="00D92E46" w:rsidRPr="0095483A" w:rsidRDefault="00D92E46" w:rsidP="00673259">
      <w:pPr>
        <w:pStyle w:val="NoSpacing"/>
        <w:rPr>
          <w:rFonts w:ascii="Times New Roman" w:hAnsi="Times New Roman"/>
        </w:rPr>
      </w:pPr>
    </w:p>
    <w:p w:rsidR="00D92E46" w:rsidRPr="0095483A" w:rsidRDefault="00D92E46" w:rsidP="00D40F89">
      <w:pPr>
        <w:pStyle w:val="NoSpacing"/>
        <w:rPr>
          <w:rFonts w:ascii="Times New Roman" w:hAnsi="Times New Roman"/>
        </w:rPr>
      </w:pPr>
      <w:r w:rsidRPr="0095483A">
        <w:rPr>
          <w:rFonts w:ascii="Times New Roman" w:hAnsi="Times New Roman"/>
        </w:rPr>
        <w:t>Jana Jankoviča,</w:t>
      </w:r>
    </w:p>
    <w:p w:rsidR="00D92E46" w:rsidRPr="0095483A" w:rsidRDefault="00D92E46" w:rsidP="00D40F89">
      <w:pPr>
        <w:pStyle w:val="NoSpacing"/>
        <w:rPr>
          <w:rFonts w:ascii="Times New Roman" w:hAnsi="Times New Roman"/>
        </w:rPr>
      </w:pPr>
      <w:r w:rsidRPr="0095483A">
        <w:rPr>
          <w:rFonts w:ascii="Times New Roman" w:hAnsi="Times New Roman"/>
        </w:rPr>
        <w:t>67062133,</w:t>
      </w:r>
    </w:p>
    <w:p w:rsidR="00D92E46" w:rsidRPr="0095483A" w:rsidRDefault="00D92E46" w:rsidP="00D40F89">
      <w:pPr>
        <w:pStyle w:val="NoSpacing"/>
      </w:pPr>
      <w:r w:rsidRPr="0095483A">
        <w:rPr>
          <w:rFonts w:ascii="Times New Roman" w:hAnsi="Times New Roman"/>
        </w:rPr>
        <w:t>jana.jankovica@lja.lv</w:t>
      </w:r>
    </w:p>
    <w:p w:rsidR="00D92E46" w:rsidRPr="003E3417" w:rsidRDefault="00D92E46">
      <w:pPr>
        <w:rPr>
          <w:rFonts w:ascii="Times New Roman" w:hAnsi="Times New Roman"/>
          <w:sz w:val="20"/>
          <w:szCs w:val="20"/>
        </w:rPr>
      </w:pPr>
    </w:p>
    <w:sectPr w:rsidR="00D92E46" w:rsidRPr="003E3417" w:rsidSect="008F1055">
      <w:headerReference w:type="default" r:id="rId7"/>
      <w:footerReference w:type="default" r:id="rId8"/>
      <w:footerReference w:type="first" r:id="rId9"/>
      <w:pgSz w:w="11906" w:h="16838"/>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E46" w:rsidRDefault="00D92E46" w:rsidP="00C57F57">
      <w:pPr>
        <w:spacing w:after="0" w:line="240" w:lineRule="auto"/>
      </w:pPr>
      <w:r>
        <w:separator/>
      </w:r>
    </w:p>
  </w:endnote>
  <w:endnote w:type="continuationSeparator" w:id="0">
    <w:p w:rsidR="00D92E46" w:rsidRDefault="00D92E46" w:rsidP="00C57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E46" w:rsidRPr="0095483A" w:rsidRDefault="00D92E46" w:rsidP="00045921">
    <w:pPr>
      <w:pStyle w:val="Footer"/>
      <w:jc w:val="both"/>
      <w:rPr>
        <w:rFonts w:ascii="Times New Roman" w:hAnsi="Times New Roman"/>
      </w:rPr>
    </w:pPr>
    <w:r w:rsidRPr="0095483A">
      <w:rPr>
        <w:rFonts w:ascii="Times New Roman" w:hAnsi="Times New Roman"/>
      </w:rPr>
      <w:t>SAMAnot_</w:t>
    </w:r>
    <w:r>
      <w:rPr>
        <w:rFonts w:ascii="Times New Roman" w:hAnsi="Times New Roman"/>
      </w:rPr>
      <w:t>2508</w:t>
    </w:r>
    <w:r w:rsidRPr="0095483A">
      <w:rPr>
        <w:rFonts w:ascii="Times New Roman" w:hAnsi="Times New Roman"/>
      </w:rPr>
      <w:t>11_ostaskontrole; Noteikumu projekta „Grozījum</w:t>
    </w:r>
    <w:r>
      <w:rPr>
        <w:rFonts w:ascii="Times New Roman" w:hAnsi="Times New Roman"/>
      </w:rPr>
      <w:t>i</w:t>
    </w:r>
    <w:r w:rsidRPr="0095483A">
      <w:rPr>
        <w:rFonts w:ascii="Times New Roman" w:hAnsi="Times New Roman"/>
      </w:rPr>
      <w:t xml:space="preserve"> Ministru kabineta 2010.gada 21.decembra noteikumos Nr. 1164 „Ostas valsts kontroles kārtība” ” sākotnējās ietekmes novērtējuma ziņojums (anotācija)</w:t>
    </w:r>
  </w:p>
  <w:p w:rsidR="00D92E46" w:rsidRPr="0095483A" w:rsidRDefault="00D92E46" w:rsidP="00045921">
    <w:pPr>
      <w:jc w:val="both"/>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E46" w:rsidRPr="0095483A" w:rsidRDefault="00D92E46" w:rsidP="004C0B7E">
    <w:pPr>
      <w:pStyle w:val="Footer"/>
      <w:jc w:val="both"/>
      <w:rPr>
        <w:rFonts w:ascii="Times New Roman" w:hAnsi="Times New Roman"/>
      </w:rPr>
    </w:pPr>
    <w:r w:rsidRPr="0095483A">
      <w:rPr>
        <w:rFonts w:ascii="Times New Roman" w:hAnsi="Times New Roman"/>
      </w:rPr>
      <w:t>SAMAnot_</w:t>
    </w:r>
    <w:r>
      <w:rPr>
        <w:rFonts w:ascii="Times New Roman" w:hAnsi="Times New Roman"/>
      </w:rPr>
      <w:t>2508</w:t>
    </w:r>
    <w:r w:rsidRPr="0095483A">
      <w:rPr>
        <w:rFonts w:ascii="Times New Roman" w:hAnsi="Times New Roman"/>
      </w:rPr>
      <w:t>11_ostaskontrol</w:t>
    </w:r>
    <w:r>
      <w:rPr>
        <w:rFonts w:ascii="Times New Roman" w:hAnsi="Times New Roman"/>
      </w:rPr>
      <w:t>e; Noteikumu projekta „Grozījumi</w:t>
    </w:r>
    <w:r w:rsidRPr="0095483A">
      <w:rPr>
        <w:rFonts w:ascii="Times New Roman" w:hAnsi="Times New Roman"/>
      </w:rPr>
      <w:t xml:space="preserve"> Ministru kabineta 2010.gada 21.decembra noteikumos Nr. 1164 „Ostas valsts kontroles kārtība” ” sākotnējās ietekmes novērtējuma ziņojums (anotācija)</w:t>
    </w:r>
  </w:p>
  <w:p w:rsidR="00D92E46" w:rsidRPr="005A397B" w:rsidRDefault="00D92E46" w:rsidP="004C0B7E">
    <w:pPr>
      <w:jc w:val="both"/>
      <w:rPr>
        <w:rFonts w:ascii="Times New Roman" w:hAnsi="Times New Roman"/>
      </w:rPr>
    </w:pPr>
  </w:p>
  <w:p w:rsidR="00D92E46" w:rsidRDefault="00D92E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E46" w:rsidRDefault="00D92E46" w:rsidP="00C57F57">
      <w:pPr>
        <w:spacing w:after="0" w:line="240" w:lineRule="auto"/>
      </w:pPr>
      <w:r>
        <w:separator/>
      </w:r>
    </w:p>
  </w:footnote>
  <w:footnote w:type="continuationSeparator" w:id="0">
    <w:p w:rsidR="00D92E46" w:rsidRDefault="00D92E46" w:rsidP="00C57F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E46" w:rsidRDefault="00D92E46">
    <w:pPr>
      <w:pStyle w:val="Header"/>
      <w:jc w:val="center"/>
    </w:pPr>
    <w:fldSimple w:instr=" PAGE   \* MERGEFORMAT ">
      <w:r>
        <w:rPr>
          <w:noProof/>
        </w:rPr>
        <w:t>6</w:t>
      </w:r>
    </w:fldSimple>
  </w:p>
  <w:p w:rsidR="00D92E46" w:rsidRDefault="00D92E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47B"/>
    <w:multiLevelType w:val="hybridMultilevel"/>
    <w:tmpl w:val="0664989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381D664C"/>
    <w:multiLevelType w:val="hybridMultilevel"/>
    <w:tmpl w:val="AC442BA2"/>
    <w:lvl w:ilvl="0" w:tplc="4D38F558">
      <w:start w:val="1"/>
      <w:numFmt w:val="decimal"/>
      <w:lvlText w:val="%1."/>
      <w:lvlJc w:val="left"/>
      <w:pPr>
        <w:ind w:left="360" w:hanging="360"/>
      </w:pPr>
      <w:rPr>
        <w:rFonts w:cs="Times New Roman" w:hint="default"/>
        <w:b w:val="0"/>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
    <w:nsid w:val="4528622B"/>
    <w:multiLevelType w:val="hybridMultilevel"/>
    <w:tmpl w:val="0664989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5CD635E4"/>
    <w:multiLevelType w:val="hybridMultilevel"/>
    <w:tmpl w:val="45809C9C"/>
    <w:lvl w:ilvl="0" w:tplc="AA46B9CC">
      <w:start w:val="1"/>
      <w:numFmt w:val="decimal"/>
      <w:lvlText w:val="%1."/>
      <w:lvlJc w:val="left"/>
      <w:pPr>
        <w:ind w:left="360" w:hanging="360"/>
      </w:pPr>
      <w:rPr>
        <w:rFonts w:cs="Times New Roman" w:hint="default"/>
        <w:b w:val="0"/>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259"/>
    <w:rsid w:val="00004408"/>
    <w:rsid w:val="000169F8"/>
    <w:rsid w:val="000252E5"/>
    <w:rsid w:val="000308B0"/>
    <w:rsid w:val="00032339"/>
    <w:rsid w:val="00032ED7"/>
    <w:rsid w:val="00040776"/>
    <w:rsid w:val="000410C8"/>
    <w:rsid w:val="0004401E"/>
    <w:rsid w:val="00045921"/>
    <w:rsid w:val="000533F0"/>
    <w:rsid w:val="0005355D"/>
    <w:rsid w:val="00055B37"/>
    <w:rsid w:val="00060C67"/>
    <w:rsid w:val="0006766B"/>
    <w:rsid w:val="00072A29"/>
    <w:rsid w:val="00076AC9"/>
    <w:rsid w:val="0007723D"/>
    <w:rsid w:val="00082B51"/>
    <w:rsid w:val="000855CB"/>
    <w:rsid w:val="000907CE"/>
    <w:rsid w:val="0009350D"/>
    <w:rsid w:val="000955C3"/>
    <w:rsid w:val="00097E93"/>
    <w:rsid w:val="000A02AF"/>
    <w:rsid w:val="000A1354"/>
    <w:rsid w:val="000A4702"/>
    <w:rsid w:val="000A6FB1"/>
    <w:rsid w:val="000B00C8"/>
    <w:rsid w:val="000B0655"/>
    <w:rsid w:val="000B1730"/>
    <w:rsid w:val="000B4A94"/>
    <w:rsid w:val="000C014E"/>
    <w:rsid w:val="000C242B"/>
    <w:rsid w:val="000C3449"/>
    <w:rsid w:val="000C4E84"/>
    <w:rsid w:val="000C4F72"/>
    <w:rsid w:val="000D23B1"/>
    <w:rsid w:val="000D5438"/>
    <w:rsid w:val="000D6A45"/>
    <w:rsid w:val="000E1E9B"/>
    <w:rsid w:val="000F0221"/>
    <w:rsid w:val="000F53AB"/>
    <w:rsid w:val="000F6DB7"/>
    <w:rsid w:val="001001C2"/>
    <w:rsid w:val="00104801"/>
    <w:rsid w:val="00106E6C"/>
    <w:rsid w:val="00116C7B"/>
    <w:rsid w:val="001250DA"/>
    <w:rsid w:val="0012526C"/>
    <w:rsid w:val="00127A43"/>
    <w:rsid w:val="0013041D"/>
    <w:rsid w:val="00133CA2"/>
    <w:rsid w:val="00144119"/>
    <w:rsid w:val="00144EEA"/>
    <w:rsid w:val="00150F6C"/>
    <w:rsid w:val="001519D1"/>
    <w:rsid w:val="00152D0B"/>
    <w:rsid w:val="00157F7B"/>
    <w:rsid w:val="00160157"/>
    <w:rsid w:val="00170032"/>
    <w:rsid w:val="00177768"/>
    <w:rsid w:val="001830A0"/>
    <w:rsid w:val="001872A4"/>
    <w:rsid w:val="0019277D"/>
    <w:rsid w:val="00193AE4"/>
    <w:rsid w:val="00193E69"/>
    <w:rsid w:val="001A08A2"/>
    <w:rsid w:val="001A21CA"/>
    <w:rsid w:val="001B3EB8"/>
    <w:rsid w:val="001B5757"/>
    <w:rsid w:val="001C31FB"/>
    <w:rsid w:val="001D119F"/>
    <w:rsid w:val="001D4ECD"/>
    <w:rsid w:val="001D59D1"/>
    <w:rsid w:val="001D6567"/>
    <w:rsid w:val="001E0409"/>
    <w:rsid w:val="001E0575"/>
    <w:rsid w:val="001E1A6D"/>
    <w:rsid w:val="001E1CEF"/>
    <w:rsid w:val="001E2D52"/>
    <w:rsid w:val="001E5360"/>
    <w:rsid w:val="001E6915"/>
    <w:rsid w:val="001E73B2"/>
    <w:rsid w:val="001F02A5"/>
    <w:rsid w:val="001F2B7F"/>
    <w:rsid w:val="001F636C"/>
    <w:rsid w:val="001F7511"/>
    <w:rsid w:val="00201611"/>
    <w:rsid w:val="002030AD"/>
    <w:rsid w:val="002036F8"/>
    <w:rsid w:val="00204142"/>
    <w:rsid w:val="0021152B"/>
    <w:rsid w:val="00212BD7"/>
    <w:rsid w:val="0021318F"/>
    <w:rsid w:val="002175FB"/>
    <w:rsid w:val="00220D5A"/>
    <w:rsid w:val="0022169E"/>
    <w:rsid w:val="002227EB"/>
    <w:rsid w:val="00231ED2"/>
    <w:rsid w:val="002341D0"/>
    <w:rsid w:val="0024136B"/>
    <w:rsid w:val="00241974"/>
    <w:rsid w:val="002435B9"/>
    <w:rsid w:val="002444F1"/>
    <w:rsid w:val="002458FF"/>
    <w:rsid w:val="00245F75"/>
    <w:rsid w:val="002476EC"/>
    <w:rsid w:val="00255FDC"/>
    <w:rsid w:val="00257550"/>
    <w:rsid w:val="00260897"/>
    <w:rsid w:val="002616D4"/>
    <w:rsid w:val="0026201E"/>
    <w:rsid w:val="002626DE"/>
    <w:rsid w:val="00263B29"/>
    <w:rsid w:val="002716A8"/>
    <w:rsid w:val="00274093"/>
    <w:rsid w:val="00276C00"/>
    <w:rsid w:val="00276CA9"/>
    <w:rsid w:val="00282753"/>
    <w:rsid w:val="0028385C"/>
    <w:rsid w:val="00286634"/>
    <w:rsid w:val="0028759D"/>
    <w:rsid w:val="00291452"/>
    <w:rsid w:val="002915B8"/>
    <w:rsid w:val="00291F12"/>
    <w:rsid w:val="00291FE2"/>
    <w:rsid w:val="0029200C"/>
    <w:rsid w:val="00292546"/>
    <w:rsid w:val="00293810"/>
    <w:rsid w:val="00294F0E"/>
    <w:rsid w:val="00295E93"/>
    <w:rsid w:val="002A1DB1"/>
    <w:rsid w:val="002A354B"/>
    <w:rsid w:val="002A764F"/>
    <w:rsid w:val="002B141C"/>
    <w:rsid w:val="002B5FAF"/>
    <w:rsid w:val="002B6E5A"/>
    <w:rsid w:val="002C17EB"/>
    <w:rsid w:val="002C4BD2"/>
    <w:rsid w:val="002D0519"/>
    <w:rsid w:val="002D76B3"/>
    <w:rsid w:val="002E395C"/>
    <w:rsid w:val="002E7599"/>
    <w:rsid w:val="002F7489"/>
    <w:rsid w:val="003025B2"/>
    <w:rsid w:val="00307136"/>
    <w:rsid w:val="00307D97"/>
    <w:rsid w:val="00307EB0"/>
    <w:rsid w:val="00312C56"/>
    <w:rsid w:val="00315F87"/>
    <w:rsid w:val="00317371"/>
    <w:rsid w:val="003179F6"/>
    <w:rsid w:val="00322A38"/>
    <w:rsid w:val="003255F0"/>
    <w:rsid w:val="003262E1"/>
    <w:rsid w:val="00326C18"/>
    <w:rsid w:val="003271DC"/>
    <w:rsid w:val="00327958"/>
    <w:rsid w:val="00330775"/>
    <w:rsid w:val="003360B7"/>
    <w:rsid w:val="00341F22"/>
    <w:rsid w:val="00342D89"/>
    <w:rsid w:val="003473F5"/>
    <w:rsid w:val="003539E6"/>
    <w:rsid w:val="00353D9D"/>
    <w:rsid w:val="00356D2B"/>
    <w:rsid w:val="00366AA3"/>
    <w:rsid w:val="003701F9"/>
    <w:rsid w:val="00371EBF"/>
    <w:rsid w:val="003767DB"/>
    <w:rsid w:val="00377A74"/>
    <w:rsid w:val="0038161D"/>
    <w:rsid w:val="003824D5"/>
    <w:rsid w:val="003864BF"/>
    <w:rsid w:val="00386629"/>
    <w:rsid w:val="00390AB5"/>
    <w:rsid w:val="0039251C"/>
    <w:rsid w:val="00393380"/>
    <w:rsid w:val="00395473"/>
    <w:rsid w:val="00397D4B"/>
    <w:rsid w:val="003A366F"/>
    <w:rsid w:val="003A6085"/>
    <w:rsid w:val="003B32F6"/>
    <w:rsid w:val="003C03D6"/>
    <w:rsid w:val="003C0786"/>
    <w:rsid w:val="003C21D8"/>
    <w:rsid w:val="003C3036"/>
    <w:rsid w:val="003C4908"/>
    <w:rsid w:val="003C694F"/>
    <w:rsid w:val="003C7459"/>
    <w:rsid w:val="003C7751"/>
    <w:rsid w:val="003D20E2"/>
    <w:rsid w:val="003D3460"/>
    <w:rsid w:val="003D3C73"/>
    <w:rsid w:val="003D6875"/>
    <w:rsid w:val="003E0172"/>
    <w:rsid w:val="003E3297"/>
    <w:rsid w:val="003E3417"/>
    <w:rsid w:val="003E580A"/>
    <w:rsid w:val="003E64FD"/>
    <w:rsid w:val="003E6990"/>
    <w:rsid w:val="003E6B28"/>
    <w:rsid w:val="003F02B9"/>
    <w:rsid w:val="003F0CE3"/>
    <w:rsid w:val="003F292D"/>
    <w:rsid w:val="003F3146"/>
    <w:rsid w:val="003F5381"/>
    <w:rsid w:val="00403CFF"/>
    <w:rsid w:val="0040566D"/>
    <w:rsid w:val="00407522"/>
    <w:rsid w:val="00407B7D"/>
    <w:rsid w:val="004111E7"/>
    <w:rsid w:val="00414DFE"/>
    <w:rsid w:val="00415C1E"/>
    <w:rsid w:val="00415FCC"/>
    <w:rsid w:val="00425938"/>
    <w:rsid w:val="00435902"/>
    <w:rsid w:val="0043602C"/>
    <w:rsid w:val="004364CB"/>
    <w:rsid w:val="00437633"/>
    <w:rsid w:val="004453CC"/>
    <w:rsid w:val="0044683A"/>
    <w:rsid w:val="00446D0F"/>
    <w:rsid w:val="004603E9"/>
    <w:rsid w:val="00460DFD"/>
    <w:rsid w:val="00461C53"/>
    <w:rsid w:val="00463F16"/>
    <w:rsid w:val="00466C4D"/>
    <w:rsid w:val="004675D7"/>
    <w:rsid w:val="004679EE"/>
    <w:rsid w:val="0047565B"/>
    <w:rsid w:val="00476520"/>
    <w:rsid w:val="0048118D"/>
    <w:rsid w:val="00483F5E"/>
    <w:rsid w:val="00484DE5"/>
    <w:rsid w:val="00485B88"/>
    <w:rsid w:val="004901DA"/>
    <w:rsid w:val="004950C2"/>
    <w:rsid w:val="00496510"/>
    <w:rsid w:val="0049764D"/>
    <w:rsid w:val="004977B4"/>
    <w:rsid w:val="004A046C"/>
    <w:rsid w:val="004A28D6"/>
    <w:rsid w:val="004A676C"/>
    <w:rsid w:val="004A7F27"/>
    <w:rsid w:val="004B3333"/>
    <w:rsid w:val="004B426A"/>
    <w:rsid w:val="004B4A00"/>
    <w:rsid w:val="004C0B7E"/>
    <w:rsid w:val="004C6DF0"/>
    <w:rsid w:val="004D2BBA"/>
    <w:rsid w:val="004D7E33"/>
    <w:rsid w:val="004E5386"/>
    <w:rsid w:val="004E5937"/>
    <w:rsid w:val="004E62A1"/>
    <w:rsid w:val="004E6E62"/>
    <w:rsid w:val="004E7370"/>
    <w:rsid w:val="004E786F"/>
    <w:rsid w:val="004F02BB"/>
    <w:rsid w:val="004F3DB2"/>
    <w:rsid w:val="004F4569"/>
    <w:rsid w:val="004F704A"/>
    <w:rsid w:val="00500B2C"/>
    <w:rsid w:val="00501C88"/>
    <w:rsid w:val="0050394D"/>
    <w:rsid w:val="005039B0"/>
    <w:rsid w:val="005078E3"/>
    <w:rsid w:val="00512740"/>
    <w:rsid w:val="00514276"/>
    <w:rsid w:val="005145A0"/>
    <w:rsid w:val="0051523F"/>
    <w:rsid w:val="0052316A"/>
    <w:rsid w:val="00526271"/>
    <w:rsid w:val="005272AE"/>
    <w:rsid w:val="005338E4"/>
    <w:rsid w:val="0053433F"/>
    <w:rsid w:val="0053478E"/>
    <w:rsid w:val="005378E3"/>
    <w:rsid w:val="00542335"/>
    <w:rsid w:val="005427F4"/>
    <w:rsid w:val="00543394"/>
    <w:rsid w:val="005461E0"/>
    <w:rsid w:val="0055279E"/>
    <w:rsid w:val="005544B1"/>
    <w:rsid w:val="00563E8E"/>
    <w:rsid w:val="00563FFD"/>
    <w:rsid w:val="005715A6"/>
    <w:rsid w:val="00573452"/>
    <w:rsid w:val="00573E51"/>
    <w:rsid w:val="00577ABA"/>
    <w:rsid w:val="00584983"/>
    <w:rsid w:val="005856E6"/>
    <w:rsid w:val="00586423"/>
    <w:rsid w:val="00590101"/>
    <w:rsid w:val="0059200A"/>
    <w:rsid w:val="00595AF2"/>
    <w:rsid w:val="005A0AD2"/>
    <w:rsid w:val="005A0AF6"/>
    <w:rsid w:val="005A327D"/>
    <w:rsid w:val="005A397B"/>
    <w:rsid w:val="005A41A3"/>
    <w:rsid w:val="005A662D"/>
    <w:rsid w:val="005B45DC"/>
    <w:rsid w:val="005B7327"/>
    <w:rsid w:val="005C122B"/>
    <w:rsid w:val="005D1E81"/>
    <w:rsid w:val="005E3205"/>
    <w:rsid w:val="005E4487"/>
    <w:rsid w:val="005E606D"/>
    <w:rsid w:val="005E6B18"/>
    <w:rsid w:val="005E6EE8"/>
    <w:rsid w:val="005F2AEE"/>
    <w:rsid w:val="005F314F"/>
    <w:rsid w:val="005F367C"/>
    <w:rsid w:val="005F37F3"/>
    <w:rsid w:val="005F6445"/>
    <w:rsid w:val="005F7392"/>
    <w:rsid w:val="00610726"/>
    <w:rsid w:val="00613EA1"/>
    <w:rsid w:val="00615CAD"/>
    <w:rsid w:val="00616E37"/>
    <w:rsid w:val="006218C0"/>
    <w:rsid w:val="00621F24"/>
    <w:rsid w:val="00635CF1"/>
    <w:rsid w:val="006366DF"/>
    <w:rsid w:val="00637355"/>
    <w:rsid w:val="00652970"/>
    <w:rsid w:val="00655C49"/>
    <w:rsid w:val="00663C2C"/>
    <w:rsid w:val="00667857"/>
    <w:rsid w:val="006679BC"/>
    <w:rsid w:val="006704A1"/>
    <w:rsid w:val="00670CC7"/>
    <w:rsid w:val="00671095"/>
    <w:rsid w:val="00673259"/>
    <w:rsid w:val="00674AA9"/>
    <w:rsid w:val="006775CC"/>
    <w:rsid w:val="00677FD3"/>
    <w:rsid w:val="00687D2F"/>
    <w:rsid w:val="00692ADB"/>
    <w:rsid w:val="00693A60"/>
    <w:rsid w:val="00694836"/>
    <w:rsid w:val="006A31E2"/>
    <w:rsid w:val="006B0D52"/>
    <w:rsid w:val="006B33AD"/>
    <w:rsid w:val="006B6B1E"/>
    <w:rsid w:val="006C31F5"/>
    <w:rsid w:val="006D14F7"/>
    <w:rsid w:val="006D1E80"/>
    <w:rsid w:val="006D6B7E"/>
    <w:rsid w:val="006F0DA3"/>
    <w:rsid w:val="006F5354"/>
    <w:rsid w:val="007034D1"/>
    <w:rsid w:val="007104E6"/>
    <w:rsid w:val="00711A63"/>
    <w:rsid w:val="007128AF"/>
    <w:rsid w:val="00713355"/>
    <w:rsid w:val="007169A5"/>
    <w:rsid w:val="00717E69"/>
    <w:rsid w:val="0072062C"/>
    <w:rsid w:val="00721A70"/>
    <w:rsid w:val="00723FC0"/>
    <w:rsid w:val="00725F74"/>
    <w:rsid w:val="00733978"/>
    <w:rsid w:val="0073539F"/>
    <w:rsid w:val="00737F13"/>
    <w:rsid w:val="007407BA"/>
    <w:rsid w:val="00742D49"/>
    <w:rsid w:val="0074483B"/>
    <w:rsid w:val="00746BE9"/>
    <w:rsid w:val="00747470"/>
    <w:rsid w:val="00750DC9"/>
    <w:rsid w:val="0075497B"/>
    <w:rsid w:val="00755EA2"/>
    <w:rsid w:val="007575E8"/>
    <w:rsid w:val="0076059E"/>
    <w:rsid w:val="00764516"/>
    <w:rsid w:val="00772CE1"/>
    <w:rsid w:val="007734DA"/>
    <w:rsid w:val="00774B18"/>
    <w:rsid w:val="00775D7A"/>
    <w:rsid w:val="007776FE"/>
    <w:rsid w:val="00787E51"/>
    <w:rsid w:val="00787F2B"/>
    <w:rsid w:val="007931D4"/>
    <w:rsid w:val="007A6043"/>
    <w:rsid w:val="007B1990"/>
    <w:rsid w:val="007B2030"/>
    <w:rsid w:val="007B5379"/>
    <w:rsid w:val="007C444F"/>
    <w:rsid w:val="007D1E5E"/>
    <w:rsid w:val="007E3BB3"/>
    <w:rsid w:val="007E4293"/>
    <w:rsid w:val="007E4E85"/>
    <w:rsid w:val="007F5B2E"/>
    <w:rsid w:val="007F5BDC"/>
    <w:rsid w:val="008007BA"/>
    <w:rsid w:val="00800CB0"/>
    <w:rsid w:val="00802541"/>
    <w:rsid w:val="00804B8E"/>
    <w:rsid w:val="00811A7B"/>
    <w:rsid w:val="00812C25"/>
    <w:rsid w:val="00814D27"/>
    <w:rsid w:val="008204B0"/>
    <w:rsid w:val="008208EA"/>
    <w:rsid w:val="00822D77"/>
    <w:rsid w:val="00823B9A"/>
    <w:rsid w:val="00824995"/>
    <w:rsid w:val="0082647D"/>
    <w:rsid w:val="0082756A"/>
    <w:rsid w:val="00832FB7"/>
    <w:rsid w:val="008331CA"/>
    <w:rsid w:val="00835849"/>
    <w:rsid w:val="0083656F"/>
    <w:rsid w:val="00837995"/>
    <w:rsid w:val="008414AA"/>
    <w:rsid w:val="00842665"/>
    <w:rsid w:val="0084646C"/>
    <w:rsid w:val="0085158F"/>
    <w:rsid w:val="00851F50"/>
    <w:rsid w:val="00854503"/>
    <w:rsid w:val="008608C1"/>
    <w:rsid w:val="00862323"/>
    <w:rsid w:val="0086478A"/>
    <w:rsid w:val="008649B2"/>
    <w:rsid w:val="0087286C"/>
    <w:rsid w:val="0087374D"/>
    <w:rsid w:val="00874A45"/>
    <w:rsid w:val="00876CC1"/>
    <w:rsid w:val="008855D3"/>
    <w:rsid w:val="0088658F"/>
    <w:rsid w:val="00886A3F"/>
    <w:rsid w:val="00887B19"/>
    <w:rsid w:val="00890EBD"/>
    <w:rsid w:val="00894A93"/>
    <w:rsid w:val="008A3D4F"/>
    <w:rsid w:val="008A7518"/>
    <w:rsid w:val="008B3BCB"/>
    <w:rsid w:val="008B7502"/>
    <w:rsid w:val="008C0D55"/>
    <w:rsid w:val="008C34EA"/>
    <w:rsid w:val="008D0F97"/>
    <w:rsid w:val="008D220B"/>
    <w:rsid w:val="008D3540"/>
    <w:rsid w:val="008D6B7E"/>
    <w:rsid w:val="008E4564"/>
    <w:rsid w:val="008E4B0D"/>
    <w:rsid w:val="008E6D76"/>
    <w:rsid w:val="008F1055"/>
    <w:rsid w:val="008F225E"/>
    <w:rsid w:val="008F5ED0"/>
    <w:rsid w:val="00901271"/>
    <w:rsid w:val="00903D82"/>
    <w:rsid w:val="00905D97"/>
    <w:rsid w:val="009064D2"/>
    <w:rsid w:val="00906DF3"/>
    <w:rsid w:val="00911BE6"/>
    <w:rsid w:val="00913311"/>
    <w:rsid w:val="009137D5"/>
    <w:rsid w:val="00914E07"/>
    <w:rsid w:val="00917F25"/>
    <w:rsid w:val="009233EB"/>
    <w:rsid w:val="00924F49"/>
    <w:rsid w:val="00926CCF"/>
    <w:rsid w:val="009278E9"/>
    <w:rsid w:val="0093450E"/>
    <w:rsid w:val="009415E6"/>
    <w:rsid w:val="00942B44"/>
    <w:rsid w:val="00946A32"/>
    <w:rsid w:val="00946CD8"/>
    <w:rsid w:val="0095483A"/>
    <w:rsid w:val="009608FD"/>
    <w:rsid w:val="00960C6D"/>
    <w:rsid w:val="00964125"/>
    <w:rsid w:val="0096439B"/>
    <w:rsid w:val="00965431"/>
    <w:rsid w:val="009705FD"/>
    <w:rsid w:val="00970F81"/>
    <w:rsid w:val="00973283"/>
    <w:rsid w:val="0097387E"/>
    <w:rsid w:val="00973E17"/>
    <w:rsid w:val="00974FCD"/>
    <w:rsid w:val="00982122"/>
    <w:rsid w:val="009831C4"/>
    <w:rsid w:val="00985B77"/>
    <w:rsid w:val="0099068D"/>
    <w:rsid w:val="00990F0E"/>
    <w:rsid w:val="00992B6F"/>
    <w:rsid w:val="0099427E"/>
    <w:rsid w:val="00996578"/>
    <w:rsid w:val="009A184F"/>
    <w:rsid w:val="009A22CC"/>
    <w:rsid w:val="009B0A5F"/>
    <w:rsid w:val="009B11CE"/>
    <w:rsid w:val="009B3D81"/>
    <w:rsid w:val="009B57D1"/>
    <w:rsid w:val="009C0B34"/>
    <w:rsid w:val="009C7BAD"/>
    <w:rsid w:val="009D14B0"/>
    <w:rsid w:val="009D624A"/>
    <w:rsid w:val="009D710E"/>
    <w:rsid w:val="009D744B"/>
    <w:rsid w:val="009E1721"/>
    <w:rsid w:val="009E298E"/>
    <w:rsid w:val="009E4EF4"/>
    <w:rsid w:val="009E5111"/>
    <w:rsid w:val="009E706C"/>
    <w:rsid w:val="00A0594C"/>
    <w:rsid w:val="00A06AB8"/>
    <w:rsid w:val="00A12F13"/>
    <w:rsid w:val="00A14414"/>
    <w:rsid w:val="00A15258"/>
    <w:rsid w:val="00A16341"/>
    <w:rsid w:val="00A17FEA"/>
    <w:rsid w:val="00A209F4"/>
    <w:rsid w:val="00A24D3A"/>
    <w:rsid w:val="00A25713"/>
    <w:rsid w:val="00A33273"/>
    <w:rsid w:val="00A36ABD"/>
    <w:rsid w:val="00A3794A"/>
    <w:rsid w:val="00A44733"/>
    <w:rsid w:val="00A44C25"/>
    <w:rsid w:val="00A50520"/>
    <w:rsid w:val="00A517EB"/>
    <w:rsid w:val="00A5297A"/>
    <w:rsid w:val="00A53676"/>
    <w:rsid w:val="00A54061"/>
    <w:rsid w:val="00A55B1A"/>
    <w:rsid w:val="00A62B13"/>
    <w:rsid w:val="00A64673"/>
    <w:rsid w:val="00A651B2"/>
    <w:rsid w:val="00A65A99"/>
    <w:rsid w:val="00A71B0F"/>
    <w:rsid w:val="00A745CE"/>
    <w:rsid w:val="00A82101"/>
    <w:rsid w:val="00A829D7"/>
    <w:rsid w:val="00A87521"/>
    <w:rsid w:val="00A90229"/>
    <w:rsid w:val="00A91073"/>
    <w:rsid w:val="00A9181C"/>
    <w:rsid w:val="00A91DB2"/>
    <w:rsid w:val="00A944F4"/>
    <w:rsid w:val="00A95E02"/>
    <w:rsid w:val="00A96DC5"/>
    <w:rsid w:val="00A9714B"/>
    <w:rsid w:val="00AA3705"/>
    <w:rsid w:val="00AA46BB"/>
    <w:rsid w:val="00AA475C"/>
    <w:rsid w:val="00AA699B"/>
    <w:rsid w:val="00AB1B5C"/>
    <w:rsid w:val="00AB292C"/>
    <w:rsid w:val="00AC2540"/>
    <w:rsid w:val="00AC395C"/>
    <w:rsid w:val="00AC7F74"/>
    <w:rsid w:val="00AD204B"/>
    <w:rsid w:val="00AD2BB5"/>
    <w:rsid w:val="00AD39F0"/>
    <w:rsid w:val="00AD5437"/>
    <w:rsid w:val="00AD6004"/>
    <w:rsid w:val="00AD684A"/>
    <w:rsid w:val="00AD7F08"/>
    <w:rsid w:val="00AE026A"/>
    <w:rsid w:val="00AE781A"/>
    <w:rsid w:val="00AF0DEB"/>
    <w:rsid w:val="00AF11E3"/>
    <w:rsid w:val="00AF3991"/>
    <w:rsid w:val="00AF6304"/>
    <w:rsid w:val="00AF663F"/>
    <w:rsid w:val="00AF6C79"/>
    <w:rsid w:val="00B02701"/>
    <w:rsid w:val="00B12C51"/>
    <w:rsid w:val="00B16113"/>
    <w:rsid w:val="00B16F92"/>
    <w:rsid w:val="00B1707F"/>
    <w:rsid w:val="00B17317"/>
    <w:rsid w:val="00B17501"/>
    <w:rsid w:val="00B22C79"/>
    <w:rsid w:val="00B22EBB"/>
    <w:rsid w:val="00B3016F"/>
    <w:rsid w:val="00B32A16"/>
    <w:rsid w:val="00B3404E"/>
    <w:rsid w:val="00B37A24"/>
    <w:rsid w:val="00B40FC6"/>
    <w:rsid w:val="00B43E84"/>
    <w:rsid w:val="00B508CA"/>
    <w:rsid w:val="00B52F17"/>
    <w:rsid w:val="00B53B9D"/>
    <w:rsid w:val="00B70413"/>
    <w:rsid w:val="00B70681"/>
    <w:rsid w:val="00B778A9"/>
    <w:rsid w:val="00B81C2A"/>
    <w:rsid w:val="00B834E2"/>
    <w:rsid w:val="00B94970"/>
    <w:rsid w:val="00B951C9"/>
    <w:rsid w:val="00BA2FF3"/>
    <w:rsid w:val="00BA6A0D"/>
    <w:rsid w:val="00BA6E91"/>
    <w:rsid w:val="00BA7340"/>
    <w:rsid w:val="00BB2005"/>
    <w:rsid w:val="00BB4790"/>
    <w:rsid w:val="00BC017A"/>
    <w:rsid w:val="00BD1086"/>
    <w:rsid w:val="00BD2C90"/>
    <w:rsid w:val="00BE4AFC"/>
    <w:rsid w:val="00BE515A"/>
    <w:rsid w:val="00BF394F"/>
    <w:rsid w:val="00BF40EF"/>
    <w:rsid w:val="00BF4479"/>
    <w:rsid w:val="00C00189"/>
    <w:rsid w:val="00C01745"/>
    <w:rsid w:val="00C10E4A"/>
    <w:rsid w:val="00C13733"/>
    <w:rsid w:val="00C20C11"/>
    <w:rsid w:val="00C24D21"/>
    <w:rsid w:val="00C4227F"/>
    <w:rsid w:val="00C45805"/>
    <w:rsid w:val="00C45A6C"/>
    <w:rsid w:val="00C46693"/>
    <w:rsid w:val="00C472A1"/>
    <w:rsid w:val="00C51764"/>
    <w:rsid w:val="00C5454D"/>
    <w:rsid w:val="00C54E18"/>
    <w:rsid w:val="00C56ED5"/>
    <w:rsid w:val="00C57F57"/>
    <w:rsid w:val="00C652C5"/>
    <w:rsid w:val="00C65643"/>
    <w:rsid w:val="00C678D4"/>
    <w:rsid w:val="00C701E5"/>
    <w:rsid w:val="00C80161"/>
    <w:rsid w:val="00C80682"/>
    <w:rsid w:val="00C809ED"/>
    <w:rsid w:val="00C82AF1"/>
    <w:rsid w:val="00C8499E"/>
    <w:rsid w:val="00C858CE"/>
    <w:rsid w:val="00C8761E"/>
    <w:rsid w:val="00C87F73"/>
    <w:rsid w:val="00C9506C"/>
    <w:rsid w:val="00C9680F"/>
    <w:rsid w:val="00CA13D6"/>
    <w:rsid w:val="00CA41BF"/>
    <w:rsid w:val="00CA5F4B"/>
    <w:rsid w:val="00CA65FB"/>
    <w:rsid w:val="00CA7883"/>
    <w:rsid w:val="00CB01D7"/>
    <w:rsid w:val="00CB0896"/>
    <w:rsid w:val="00CB0F9A"/>
    <w:rsid w:val="00CB13E7"/>
    <w:rsid w:val="00CB3D3C"/>
    <w:rsid w:val="00CC1C82"/>
    <w:rsid w:val="00CC4E84"/>
    <w:rsid w:val="00CC77D5"/>
    <w:rsid w:val="00CD1796"/>
    <w:rsid w:val="00CD286C"/>
    <w:rsid w:val="00CD656F"/>
    <w:rsid w:val="00CD6AB3"/>
    <w:rsid w:val="00CE0978"/>
    <w:rsid w:val="00CE5913"/>
    <w:rsid w:val="00CE7449"/>
    <w:rsid w:val="00CF081B"/>
    <w:rsid w:val="00CF5066"/>
    <w:rsid w:val="00D01C14"/>
    <w:rsid w:val="00D053B1"/>
    <w:rsid w:val="00D062E8"/>
    <w:rsid w:val="00D074BE"/>
    <w:rsid w:val="00D11F1F"/>
    <w:rsid w:val="00D1618F"/>
    <w:rsid w:val="00D235F7"/>
    <w:rsid w:val="00D253BB"/>
    <w:rsid w:val="00D26B56"/>
    <w:rsid w:val="00D30E22"/>
    <w:rsid w:val="00D31D1E"/>
    <w:rsid w:val="00D40F89"/>
    <w:rsid w:val="00D416B3"/>
    <w:rsid w:val="00D41A1F"/>
    <w:rsid w:val="00D4563B"/>
    <w:rsid w:val="00D45A43"/>
    <w:rsid w:val="00D52C8D"/>
    <w:rsid w:val="00D54593"/>
    <w:rsid w:val="00D63294"/>
    <w:rsid w:val="00D74A0E"/>
    <w:rsid w:val="00D77865"/>
    <w:rsid w:val="00D8194C"/>
    <w:rsid w:val="00D82C31"/>
    <w:rsid w:val="00D87E8E"/>
    <w:rsid w:val="00D92E46"/>
    <w:rsid w:val="00D93217"/>
    <w:rsid w:val="00D96F0A"/>
    <w:rsid w:val="00D972C7"/>
    <w:rsid w:val="00D97E8C"/>
    <w:rsid w:val="00DA11C2"/>
    <w:rsid w:val="00DA208A"/>
    <w:rsid w:val="00DA67B8"/>
    <w:rsid w:val="00DA765C"/>
    <w:rsid w:val="00DB495D"/>
    <w:rsid w:val="00DC2354"/>
    <w:rsid w:val="00DC2BF3"/>
    <w:rsid w:val="00DC379D"/>
    <w:rsid w:val="00DC5CD7"/>
    <w:rsid w:val="00DC6DA1"/>
    <w:rsid w:val="00DD25C6"/>
    <w:rsid w:val="00DF7D11"/>
    <w:rsid w:val="00E02CB3"/>
    <w:rsid w:val="00E03CFF"/>
    <w:rsid w:val="00E10B1F"/>
    <w:rsid w:val="00E125D0"/>
    <w:rsid w:val="00E14A99"/>
    <w:rsid w:val="00E152AF"/>
    <w:rsid w:val="00E16571"/>
    <w:rsid w:val="00E22E4E"/>
    <w:rsid w:val="00E27C0E"/>
    <w:rsid w:val="00E42E65"/>
    <w:rsid w:val="00E43865"/>
    <w:rsid w:val="00E505D9"/>
    <w:rsid w:val="00E5274C"/>
    <w:rsid w:val="00E5360D"/>
    <w:rsid w:val="00E6481E"/>
    <w:rsid w:val="00E66580"/>
    <w:rsid w:val="00E67531"/>
    <w:rsid w:val="00E77719"/>
    <w:rsid w:val="00E77C49"/>
    <w:rsid w:val="00E81471"/>
    <w:rsid w:val="00E848B2"/>
    <w:rsid w:val="00E92315"/>
    <w:rsid w:val="00E94A38"/>
    <w:rsid w:val="00E97FF5"/>
    <w:rsid w:val="00EA7549"/>
    <w:rsid w:val="00EB6A81"/>
    <w:rsid w:val="00EC36F3"/>
    <w:rsid w:val="00EC4FC7"/>
    <w:rsid w:val="00EE347C"/>
    <w:rsid w:val="00EE4D58"/>
    <w:rsid w:val="00EE5B39"/>
    <w:rsid w:val="00EE5CAC"/>
    <w:rsid w:val="00EF0A03"/>
    <w:rsid w:val="00EF66CB"/>
    <w:rsid w:val="00F054B4"/>
    <w:rsid w:val="00F0707B"/>
    <w:rsid w:val="00F07379"/>
    <w:rsid w:val="00F11A68"/>
    <w:rsid w:val="00F15465"/>
    <w:rsid w:val="00F21980"/>
    <w:rsid w:val="00F24F89"/>
    <w:rsid w:val="00F2692E"/>
    <w:rsid w:val="00F2725E"/>
    <w:rsid w:val="00F277F6"/>
    <w:rsid w:val="00F34215"/>
    <w:rsid w:val="00F350F3"/>
    <w:rsid w:val="00F35C47"/>
    <w:rsid w:val="00F366AA"/>
    <w:rsid w:val="00F37E79"/>
    <w:rsid w:val="00F42F91"/>
    <w:rsid w:val="00F43518"/>
    <w:rsid w:val="00F45511"/>
    <w:rsid w:val="00F45D42"/>
    <w:rsid w:val="00F52566"/>
    <w:rsid w:val="00F52BF2"/>
    <w:rsid w:val="00F53824"/>
    <w:rsid w:val="00F538D8"/>
    <w:rsid w:val="00F54343"/>
    <w:rsid w:val="00F56A5B"/>
    <w:rsid w:val="00F56B6A"/>
    <w:rsid w:val="00F574A8"/>
    <w:rsid w:val="00F57644"/>
    <w:rsid w:val="00F6045F"/>
    <w:rsid w:val="00F60C05"/>
    <w:rsid w:val="00F61F2B"/>
    <w:rsid w:val="00F633A0"/>
    <w:rsid w:val="00F64069"/>
    <w:rsid w:val="00F71D9E"/>
    <w:rsid w:val="00F74E3C"/>
    <w:rsid w:val="00F74E7D"/>
    <w:rsid w:val="00F837C7"/>
    <w:rsid w:val="00F83DD9"/>
    <w:rsid w:val="00F84AC5"/>
    <w:rsid w:val="00F86387"/>
    <w:rsid w:val="00F875A9"/>
    <w:rsid w:val="00F97401"/>
    <w:rsid w:val="00FA0B06"/>
    <w:rsid w:val="00FA3345"/>
    <w:rsid w:val="00FA3509"/>
    <w:rsid w:val="00FA5028"/>
    <w:rsid w:val="00FA53BF"/>
    <w:rsid w:val="00FA71D3"/>
    <w:rsid w:val="00FC4977"/>
    <w:rsid w:val="00FC514C"/>
    <w:rsid w:val="00FC65A9"/>
    <w:rsid w:val="00FD1434"/>
    <w:rsid w:val="00FE5D67"/>
    <w:rsid w:val="00FE5FB7"/>
    <w:rsid w:val="00FF275E"/>
    <w:rsid w:val="00FF3223"/>
    <w:rsid w:val="00FF60A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5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732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73259"/>
    <w:pPr>
      <w:ind w:left="720"/>
      <w:contextualSpacing/>
    </w:pPr>
  </w:style>
  <w:style w:type="paragraph" w:styleId="NoSpacing">
    <w:name w:val="No Spacing"/>
    <w:uiPriority w:val="99"/>
    <w:qFormat/>
    <w:rsid w:val="00673259"/>
    <w:rPr>
      <w:lang w:eastAsia="en-US"/>
    </w:rPr>
  </w:style>
  <w:style w:type="paragraph" w:styleId="Header">
    <w:name w:val="header"/>
    <w:basedOn w:val="Normal"/>
    <w:link w:val="HeaderChar"/>
    <w:uiPriority w:val="99"/>
    <w:rsid w:val="0067325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673259"/>
    <w:rPr>
      <w:rFonts w:cs="Times New Roman"/>
    </w:rPr>
  </w:style>
  <w:style w:type="paragraph" w:styleId="Footer">
    <w:name w:val="footer"/>
    <w:basedOn w:val="Normal"/>
    <w:link w:val="FooterChar"/>
    <w:uiPriority w:val="99"/>
    <w:rsid w:val="0067325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673259"/>
    <w:rPr>
      <w:rFonts w:cs="Times New Roman"/>
    </w:rPr>
  </w:style>
  <w:style w:type="paragraph" w:customStyle="1" w:styleId="Default">
    <w:name w:val="Default"/>
    <w:uiPriority w:val="99"/>
    <w:rsid w:val="00CB3D3C"/>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rsid w:val="00C4669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58056500">
      <w:marLeft w:val="0"/>
      <w:marRight w:val="0"/>
      <w:marTop w:val="0"/>
      <w:marBottom w:val="0"/>
      <w:divBdr>
        <w:top w:val="none" w:sz="0" w:space="0" w:color="auto"/>
        <w:left w:val="none" w:sz="0" w:space="0" w:color="auto"/>
        <w:bottom w:val="none" w:sz="0" w:space="0" w:color="auto"/>
        <w:right w:val="none" w:sz="0" w:space="0" w:color="auto"/>
      </w:divBdr>
    </w:div>
    <w:div w:id="558056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6</Pages>
  <Words>1170</Words>
  <Characters>8250</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21.decembra noteikumos Nr. 1164 "Ostas valsts kontroles kārtība</dc:title>
  <dc:subject>Anotācija</dc:subject>
  <dc:creator>Laima Rituma, Jana Jankoviča</dc:creator>
  <cp:keywords/>
  <dc:description>laima.rituma@sam.gov.lv, 67028198jana.jankovica@lja.lv, 67062133</dc:description>
  <cp:lastModifiedBy>bsterna</cp:lastModifiedBy>
  <cp:revision>276</cp:revision>
  <cp:lastPrinted>2011-03-28T08:55:00Z</cp:lastPrinted>
  <dcterms:created xsi:type="dcterms:W3CDTF">2011-08-08T07:03:00Z</dcterms:created>
  <dcterms:modified xsi:type="dcterms:W3CDTF">2011-09-20T07:53:00Z</dcterms:modified>
</cp:coreProperties>
</file>