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E9" w:rsidRDefault="006065E9" w:rsidP="00721CF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lv-LV"/>
        </w:rPr>
      </w:pPr>
    </w:p>
    <w:p w:rsidR="006065E9" w:rsidRDefault="006065E9" w:rsidP="00721CF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lv-LV"/>
        </w:rPr>
      </w:pPr>
    </w:p>
    <w:p w:rsidR="006065E9" w:rsidRPr="00EE4FB2" w:rsidRDefault="006065E9" w:rsidP="00721CF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lv-LV"/>
        </w:rPr>
      </w:pPr>
      <w:r w:rsidRPr="00EE4FB2">
        <w:rPr>
          <w:rFonts w:ascii="Times New Roman" w:hAnsi="Times New Roman"/>
          <w:sz w:val="32"/>
          <w:szCs w:val="32"/>
          <w:lang w:val="lv-LV"/>
        </w:rPr>
        <w:t>Likumprojekts</w:t>
      </w:r>
    </w:p>
    <w:p w:rsidR="006065E9" w:rsidRDefault="006065E9" w:rsidP="0023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6065E9" w:rsidRDefault="006065E9" w:rsidP="0023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6065E9" w:rsidRPr="00721CF2" w:rsidRDefault="006065E9" w:rsidP="0023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21CF2">
        <w:rPr>
          <w:rFonts w:ascii="Times New Roman" w:hAnsi="Times New Roman"/>
          <w:b/>
          <w:sz w:val="28"/>
          <w:szCs w:val="28"/>
          <w:lang w:val="lv-LV"/>
        </w:rPr>
        <w:t>Grozījumi Jūras kodeksā</w:t>
      </w:r>
    </w:p>
    <w:p w:rsidR="006065E9" w:rsidRDefault="006065E9" w:rsidP="00D133FF">
      <w:pPr>
        <w:pStyle w:val="naisf"/>
      </w:pPr>
      <w:r>
        <w:tab/>
      </w:r>
    </w:p>
    <w:p w:rsidR="006065E9" w:rsidRDefault="006065E9" w:rsidP="00D133FF">
      <w:pPr>
        <w:pStyle w:val="naisf"/>
        <w:rPr>
          <w:sz w:val="28"/>
          <w:szCs w:val="28"/>
        </w:rPr>
      </w:pPr>
    </w:p>
    <w:p w:rsidR="006065E9" w:rsidRDefault="006065E9" w:rsidP="00D133FF">
      <w:pPr>
        <w:pStyle w:val="naisf"/>
        <w:rPr>
          <w:rFonts w:cs="Arial"/>
          <w:sz w:val="28"/>
          <w:szCs w:val="20"/>
          <w:lang w:eastAsia="en-US"/>
        </w:rPr>
      </w:pPr>
      <w:r w:rsidRPr="00D133FF">
        <w:rPr>
          <w:sz w:val="28"/>
          <w:szCs w:val="28"/>
        </w:rPr>
        <w:t>Izdarīt Jūras kodeksā</w:t>
      </w:r>
      <w:r>
        <w:t xml:space="preserve"> </w:t>
      </w:r>
      <w:r w:rsidRPr="0031145E">
        <w:rPr>
          <w:rFonts w:cs="Arial"/>
          <w:sz w:val="28"/>
          <w:szCs w:val="20"/>
          <w:lang w:eastAsia="en-US"/>
        </w:rPr>
        <w:t xml:space="preserve">(Latvijas </w:t>
      </w:r>
      <w:r>
        <w:rPr>
          <w:rFonts w:cs="Arial"/>
          <w:sz w:val="28"/>
          <w:szCs w:val="20"/>
          <w:lang w:eastAsia="en-US"/>
        </w:rPr>
        <w:t xml:space="preserve">Vēstnesis, 2003, 91.nr.; </w:t>
      </w:r>
      <w:r w:rsidRPr="0031145E">
        <w:rPr>
          <w:rFonts w:cs="Arial"/>
          <w:sz w:val="28"/>
          <w:szCs w:val="20"/>
          <w:lang w:eastAsia="en-US"/>
        </w:rPr>
        <w:t>200</w:t>
      </w:r>
      <w:r>
        <w:rPr>
          <w:rFonts w:cs="Arial"/>
          <w:sz w:val="28"/>
          <w:szCs w:val="20"/>
          <w:lang w:eastAsia="en-US"/>
        </w:rPr>
        <w:t>6</w:t>
      </w:r>
      <w:r w:rsidRPr="0031145E">
        <w:rPr>
          <w:rFonts w:cs="Arial"/>
          <w:sz w:val="28"/>
          <w:szCs w:val="20"/>
          <w:lang w:eastAsia="en-US"/>
        </w:rPr>
        <w:t xml:space="preserve">, </w:t>
      </w:r>
      <w:r>
        <w:rPr>
          <w:rFonts w:cs="Arial"/>
          <w:sz w:val="28"/>
          <w:szCs w:val="20"/>
          <w:lang w:eastAsia="en-US"/>
        </w:rPr>
        <w:t>1</w:t>
      </w:r>
      <w:r w:rsidRPr="0031145E">
        <w:rPr>
          <w:rFonts w:cs="Arial"/>
          <w:sz w:val="28"/>
          <w:szCs w:val="20"/>
          <w:lang w:eastAsia="en-US"/>
        </w:rPr>
        <w:t>.nr.; 200</w:t>
      </w:r>
      <w:r>
        <w:rPr>
          <w:rFonts w:cs="Arial"/>
          <w:sz w:val="28"/>
          <w:szCs w:val="20"/>
          <w:lang w:eastAsia="en-US"/>
        </w:rPr>
        <w:t>7</w:t>
      </w:r>
      <w:r w:rsidRPr="0031145E">
        <w:rPr>
          <w:rFonts w:cs="Arial"/>
          <w:sz w:val="28"/>
          <w:szCs w:val="20"/>
          <w:lang w:eastAsia="en-US"/>
        </w:rPr>
        <w:t xml:space="preserve">, </w:t>
      </w:r>
      <w:r>
        <w:rPr>
          <w:rFonts w:cs="Arial"/>
          <w:sz w:val="28"/>
          <w:szCs w:val="20"/>
          <w:lang w:eastAsia="en-US"/>
        </w:rPr>
        <w:t>56</w:t>
      </w:r>
      <w:r w:rsidRPr="0031145E">
        <w:rPr>
          <w:rFonts w:cs="Arial"/>
          <w:sz w:val="28"/>
          <w:szCs w:val="20"/>
          <w:lang w:eastAsia="en-US"/>
        </w:rPr>
        <w:t>.nr.;</w:t>
      </w:r>
      <w:r>
        <w:rPr>
          <w:rFonts w:cs="Arial"/>
          <w:sz w:val="28"/>
          <w:szCs w:val="20"/>
          <w:lang w:eastAsia="en-US"/>
        </w:rPr>
        <w:t xml:space="preserve"> 2008, 82.</w:t>
      </w:r>
      <w:r w:rsidRPr="0031145E">
        <w:rPr>
          <w:rFonts w:cs="Arial"/>
          <w:sz w:val="28"/>
          <w:szCs w:val="20"/>
          <w:lang w:eastAsia="en-US"/>
        </w:rPr>
        <w:t>nr</w:t>
      </w:r>
      <w:r>
        <w:rPr>
          <w:rFonts w:cs="Arial"/>
          <w:sz w:val="28"/>
          <w:szCs w:val="20"/>
          <w:lang w:eastAsia="en-US"/>
        </w:rPr>
        <w:t>.; 2010, 174.nr.</w:t>
      </w:r>
      <w:r w:rsidRPr="0031145E">
        <w:rPr>
          <w:rFonts w:cs="Arial"/>
          <w:sz w:val="28"/>
          <w:szCs w:val="20"/>
          <w:lang w:eastAsia="en-US"/>
        </w:rPr>
        <w:t>) šādu</w:t>
      </w:r>
      <w:r>
        <w:rPr>
          <w:rFonts w:cs="Arial"/>
          <w:sz w:val="28"/>
          <w:szCs w:val="20"/>
          <w:lang w:eastAsia="en-US"/>
        </w:rPr>
        <w:t>s</w:t>
      </w:r>
      <w:r w:rsidRPr="0031145E">
        <w:rPr>
          <w:rFonts w:cs="Arial"/>
          <w:sz w:val="28"/>
          <w:szCs w:val="20"/>
          <w:lang w:eastAsia="en-US"/>
        </w:rPr>
        <w:t xml:space="preserve"> grozījumu</w:t>
      </w:r>
      <w:r>
        <w:rPr>
          <w:rFonts w:cs="Arial"/>
          <w:sz w:val="28"/>
          <w:szCs w:val="20"/>
          <w:lang w:eastAsia="en-US"/>
        </w:rPr>
        <w:t>s</w:t>
      </w:r>
      <w:r w:rsidRPr="0031145E">
        <w:rPr>
          <w:rFonts w:cs="Arial"/>
          <w:sz w:val="28"/>
          <w:szCs w:val="20"/>
          <w:lang w:eastAsia="en-US"/>
        </w:rPr>
        <w:t>:</w:t>
      </w:r>
    </w:p>
    <w:p w:rsidR="006065E9" w:rsidRDefault="006065E9" w:rsidP="00A74B85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1. Papildināt </w:t>
      </w:r>
      <w:r w:rsidRPr="00CE2D23">
        <w:rPr>
          <w:rFonts w:cs="Arial"/>
          <w:b/>
          <w:sz w:val="28"/>
          <w:szCs w:val="20"/>
          <w:lang w:eastAsia="en-US"/>
        </w:rPr>
        <w:t>XII nodaļu</w:t>
      </w:r>
      <w:r>
        <w:rPr>
          <w:rFonts w:cs="Arial"/>
          <w:sz w:val="28"/>
          <w:szCs w:val="20"/>
          <w:lang w:eastAsia="en-US"/>
        </w:rPr>
        <w:t xml:space="preserve"> ar 56.</w:t>
      </w:r>
      <w:r>
        <w:rPr>
          <w:rFonts w:cs="Arial"/>
          <w:sz w:val="28"/>
          <w:szCs w:val="20"/>
          <w:vertAlign w:val="superscript"/>
          <w:lang w:eastAsia="en-US"/>
        </w:rPr>
        <w:t>1</w:t>
      </w:r>
      <w:r>
        <w:rPr>
          <w:rFonts w:cs="Arial"/>
          <w:sz w:val="28"/>
          <w:szCs w:val="20"/>
          <w:lang w:eastAsia="en-US"/>
        </w:rPr>
        <w:t xml:space="preserve"> pantu šādā redakcijā: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b/>
          <w:sz w:val="28"/>
          <w:szCs w:val="20"/>
          <w:lang w:eastAsia="en-US"/>
        </w:rPr>
      </w:pPr>
      <w:r>
        <w:rPr>
          <w:rFonts w:cs="Arial"/>
          <w:b/>
          <w:sz w:val="28"/>
          <w:szCs w:val="20"/>
          <w:lang w:eastAsia="en-US"/>
        </w:rPr>
        <w:t>„</w:t>
      </w:r>
      <w:r w:rsidRPr="00F24713">
        <w:rPr>
          <w:rFonts w:cs="Arial"/>
          <w:b/>
          <w:sz w:val="28"/>
          <w:szCs w:val="20"/>
          <w:lang w:eastAsia="en-US"/>
        </w:rPr>
        <w:t>56.</w:t>
      </w:r>
      <w:r w:rsidRPr="00F24713">
        <w:rPr>
          <w:rFonts w:cs="Arial"/>
          <w:b/>
          <w:sz w:val="28"/>
          <w:szCs w:val="20"/>
          <w:vertAlign w:val="superscript"/>
          <w:lang w:eastAsia="en-US"/>
        </w:rPr>
        <w:t>1</w:t>
      </w:r>
      <w:r w:rsidRPr="00F24713">
        <w:rPr>
          <w:rFonts w:cs="Arial"/>
          <w:b/>
          <w:sz w:val="28"/>
          <w:szCs w:val="20"/>
          <w:lang w:eastAsia="en-US"/>
        </w:rPr>
        <w:t xml:space="preserve"> pants. „Apdrošināšana</w:t>
      </w:r>
      <w:r>
        <w:rPr>
          <w:rFonts w:cs="Arial"/>
          <w:b/>
          <w:sz w:val="28"/>
          <w:szCs w:val="20"/>
          <w:lang w:eastAsia="en-US"/>
        </w:rPr>
        <w:t>s</w:t>
      </w:r>
      <w:r w:rsidRPr="00F24713">
        <w:rPr>
          <w:rFonts w:cs="Arial"/>
          <w:b/>
          <w:sz w:val="28"/>
          <w:szCs w:val="20"/>
          <w:lang w:eastAsia="en-US"/>
        </w:rPr>
        <w:t xml:space="preserve"> </w:t>
      </w:r>
      <w:r>
        <w:rPr>
          <w:rFonts w:cs="Arial"/>
          <w:b/>
          <w:sz w:val="28"/>
          <w:szCs w:val="20"/>
          <w:lang w:eastAsia="en-US"/>
        </w:rPr>
        <w:t>pienākums attiecībā uz</w:t>
      </w:r>
      <w:r w:rsidRPr="00F24713">
        <w:rPr>
          <w:rFonts w:cs="Arial"/>
          <w:b/>
          <w:sz w:val="28"/>
          <w:szCs w:val="20"/>
          <w:lang w:eastAsia="en-US"/>
        </w:rPr>
        <w:t xml:space="preserve"> jūras prasībām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(1) Latvijas kuģa, kura tilpība ir 300 tilpības vienības vai lielāka</w:t>
      </w:r>
      <w:r w:rsidRPr="00473392">
        <w:rPr>
          <w:rFonts w:cs="Arial"/>
          <w:sz w:val="28"/>
          <w:szCs w:val="20"/>
          <w:lang w:eastAsia="en-US"/>
        </w:rPr>
        <w:t>,</w:t>
      </w:r>
      <w:r w:rsidRPr="002759DE">
        <w:rPr>
          <w:rFonts w:cs="Arial"/>
          <w:b/>
          <w:sz w:val="28"/>
          <w:szCs w:val="20"/>
          <w:lang w:eastAsia="en-US"/>
        </w:rPr>
        <w:t xml:space="preserve"> </w:t>
      </w:r>
      <w:r w:rsidRPr="00DB12FD">
        <w:rPr>
          <w:rFonts w:cs="Arial"/>
          <w:sz w:val="28"/>
          <w:szCs w:val="20"/>
          <w:lang w:eastAsia="en-US"/>
        </w:rPr>
        <w:t>īpašniekam vai citai personai, kura ir atbildīga par kuģa darbību, piemēram, kuģa berbouta fraktētājam</w:t>
      </w:r>
      <w:r>
        <w:rPr>
          <w:rFonts w:cs="Arial"/>
          <w:sz w:val="28"/>
          <w:szCs w:val="20"/>
          <w:lang w:eastAsia="en-US"/>
        </w:rPr>
        <w:t xml:space="preserve">, ir pienākums apdrošināt kuģi </w:t>
      </w:r>
      <w:r w:rsidRPr="00DB12FD">
        <w:rPr>
          <w:rFonts w:cs="Arial"/>
          <w:sz w:val="28"/>
          <w:szCs w:val="20"/>
          <w:lang w:eastAsia="en-US"/>
        </w:rPr>
        <w:t>attiecībā uz</w:t>
      </w:r>
      <w:r w:rsidRPr="00271953">
        <w:rPr>
          <w:rFonts w:cs="Arial"/>
          <w:b/>
          <w:sz w:val="28"/>
          <w:szCs w:val="20"/>
          <w:lang w:eastAsia="en-US"/>
        </w:rPr>
        <w:t xml:space="preserve"> </w:t>
      </w:r>
      <w:r>
        <w:rPr>
          <w:rFonts w:cs="Arial"/>
          <w:sz w:val="28"/>
          <w:szCs w:val="20"/>
          <w:lang w:eastAsia="en-US"/>
        </w:rPr>
        <w:t xml:space="preserve">jūras prasībām uz kurām attiecas 1976.gada Konvencijā par atbildības ierobežošanu attiecībā uz jūras prasībām, kā tā grozīta ar 1996.gada Protokolu (turpmāk – </w:t>
      </w:r>
      <w:r w:rsidRPr="00DB12FD">
        <w:rPr>
          <w:rFonts w:cs="Arial"/>
          <w:sz w:val="28"/>
          <w:szCs w:val="20"/>
          <w:lang w:eastAsia="en-US"/>
        </w:rPr>
        <w:t>LLMC</w:t>
      </w:r>
      <w:r>
        <w:rPr>
          <w:rFonts w:cs="Arial"/>
          <w:sz w:val="28"/>
          <w:szCs w:val="20"/>
          <w:lang w:eastAsia="en-US"/>
        </w:rPr>
        <w:t xml:space="preserve">) noteiktie ierobežojumi. 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(2) Šī panta pirmajā daļā minētās apdrošināšanas summa katram kuģim katrā nelaimes gadījumā ir vienāda ar </w:t>
      </w:r>
      <w:r w:rsidRPr="00DB12FD">
        <w:rPr>
          <w:rFonts w:cs="Arial"/>
          <w:sz w:val="28"/>
          <w:szCs w:val="20"/>
          <w:lang w:eastAsia="en-US"/>
        </w:rPr>
        <w:t>šī kodeksa 69.panta pirmajā un otrajā daļā un 70.panta pirmajā daļā noteikto attiecīgo atbildības ierobežojuma maksimālo summu.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(3) Šī panta pirmajā daļā minētās apdrošināšanas esamību </w:t>
      </w:r>
      <w:r w:rsidRPr="00DB12FD">
        <w:rPr>
          <w:rFonts w:cs="Arial"/>
          <w:sz w:val="28"/>
          <w:szCs w:val="20"/>
          <w:lang w:eastAsia="en-US"/>
        </w:rPr>
        <w:t>pierāda ar vienu vai vairākiem dokumentiem, kurus izsniedzis apdrošinātājs</w:t>
      </w:r>
      <w:r>
        <w:rPr>
          <w:rFonts w:cs="Arial"/>
          <w:sz w:val="28"/>
          <w:szCs w:val="20"/>
          <w:lang w:eastAsia="en-US"/>
        </w:rPr>
        <w:t xml:space="preserve"> </w:t>
      </w:r>
      <w:r w:rsidRPr="00E5266C">
        <w:rPr>
          <w:rFonts w:cs="Arial"/>
          <w:sz w:val="28"/>
          <w:szCs w:val="20"/>
          <w:lang w:eastAsia="en-US"/>
        </w:rPr>
        <w:t>(turpmāk</w:t>
      </w:r>
      <w:r w:rsidRPr="00960366">
        <w:rPr>
          <w:rFonts w:cs="Arial"/>
          <w:b/>
          <w:sz w:val="28"/>
          <w:szCs w:val="20"/>
          <w:lang w:eastAsia="en-US"/>
        </w:rPr>
        <w:t xml:space="preserve"> – </w:t>
      </w:r>
      <w:r w:rsidRPr="00E5266C">
        <w:rPr>
          <w:rFonts w:cs="Arial"/>
          <w:sz w:val="28"/>
          <w:szCs w:val="20"/>
          <w:lang w:eastAsia="en-US"/>
        </w:rPr>
        <w:t>dokuments)</w:t>
      </w:r>
      <w:r w:rsidRPr="00DB12FD">
        <w:rPr>
          <w:rFonts w:cs="Arial"/>
          <w:sz w:val="28"/>
          <w:szCs w:val="20"/>
          <w:lang w:eastAsia="en-US"/>
        </w:rPr>
        <w:t>. Dokumentā</w:t>
      </w:r>
      <w:r>
        <w:rPr>
          <w:rFonts w:cs="Arial"/>
          <w:b/>
          <w:sz w:val="28"/>
          <w:szCs w:val="20"/>
          <w:lang w:eastAsia="en-US"/>
        </w:rPr>
        <w:t xml:space="preserve"> </w:t>
      </w:r>
      <w:r>
        <w:rPr>
          <w:rFonts w:cs="Arial"/>
          <w:sz w:val="28"/>
          <w:szCs w:val="20"/>
          <w:lang w:eastAsia="en-US"/>
        </w:rPr>
        <w:t>iekļauj šādu informāciju: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1) kuģa nosaukums, Starptautiskās Jūrniecības organizācijas (IMO) numurs un </w:t>
      </w:r>
      <w:r w:rsidRPr="00DB12FD">
        <w:rPr>
          <w:rFonts w:cs="Arial"/>
          <w:sz w:val="28"/>
          <w:szCs w:val="20"/>
          <w:lang w:eastAsia="en-US"/>
        </w:rPr>
        <w:t>pieraksta</w:t>
      </w:r>
      <w:r>
        <w:rPr>
          <w:rFonts w:cs="Arial"/>
          <w:sz w:val="28"/>
          <w:szCs w:val="20"/>
          <w:lang w:eastAsia="en-US"/>
        </w:rPr>
        <w:t xml:space="preserve"> osta;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2) kuģa īpašnieka </w:t>
      </w:r>
      <w:r w:rsidRPr="00DB12FD">
        <w:rPr>
          <w:rFonts w:cs="Arial"/>
          <w:sz w:val="28"/>
          <w:szCs w:val="20"/>
          <w:lang w:eastAsia="en-US"/>
        </w:rPr>
        <w:t>vai citas personas, kura ir atbildīga par kuģa darbību, piemēram, kuģa berbouta fraktētāja</w:t>
      </w:r>
      <w:r>
        <w:rPr>
          <w:rFonts w:cs="Arial"/>
          <w:sz w:val="28"/>
          <w:szCs w:val="20"/>
          <w:lang w:eastAsia="en-US"/>
        </w:rPr>
        <w:t xml:space="preserve"> nosaukums un galvenā </w:t>
      </w:r>
      <w:r w:rsidRPr="00DB12FD">
        <w:rPr>
          <w:rFonts w:cs="Arial"/>
          <w:sz w:val="28"/>
          <w:szCs w:val="20"/>
          <w:lang w:eastAsia="en-US"/>
        </w:rPr>
        <w:t xml:space="preserve">komercdarbības </w:t>
      </w:r>
      <w:r>
        <w:rPr>
          <w:rFonts w:cs="Arial"/>
          <w:sz w:val="28"/>
          <w:szCs w:val="20"/>
          <w:lang w:eastAsia="en-US"/>
        </w:rPr>
        <w:t>vieta;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3) apdrošinājuma veids un ilgums;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 w:rsidRPr="00DB12FD">
        <w:rPr>
          <w:rFonts w:cs="Arial"/>
          <w:sz w:val="28"/>
          <w:szCs w:val="20"/>
          <w:lang w:eastAsia="en-US"/>
        </w:rPr>
        <w:t>4)</w:t>
      </w:r>
      <w:r>
        <w:rPr>
          <w:rFonts w:cs="Arial"/>
          <w:sz w:val="28"/>
          <w:szCs w:val="20"/>
          <w:lang w:eastAsia="en-US"/>
        </w:rPr>
        <w:t xml:space="preserve"> apdrošinātāja nosaukums, </w:t>
      </w:r>
      <w:r w:rsidRPr="00DB12FD">
        <w:rPr>
          <w:rFonts w:cs="Arial"/>
          <w:sz w:val="28"/>
          <w:szCs w:val="20"/>
          <w:lang w:eastAsia="en-US"/>
        </w:rPr>
        <w:t>mītnes (reģistrācijas) vieta</w:t>
      </w:r>
      <w:r>
        <w:rPr>
          <w:rFonts w:cs="Arial"/>
          <w:sz w:val="28"/>
          <w:szCs w:val="20"/>
          <w:lang w:eastAsia="en-US"/>
        </w:rPr>
        <w:t xml:space="preserve"> un apdrošināšanas izsniegšanas vieta.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 w:rsidRPr="00DB12FD">
        <w:rPr>
          <w:rFonts w:cs="Arial"/>
          <w:sz w:val="28"/>
          <w:szCs w:val="20"/>
          <w:lang w:eastAsia="en-US"/>
        </w:rPr>
        <w:t>(4) Dokumentā</w:t>
      </w:r>
      <w:r>
        <w:rPr>
          <w:rFonts w:cs="Arial"/>
          <w:sz w:val="28"/>
          <w:szCs w:val="20"/>
          <w:lang w:eastAsia="en-US"/>
        </w:rPr>
        <w:t xml:space="preserve"> iekļauts teksta tulkojums angļu, franču vai spāņu valodā un tas atrodas uz kuģa.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(5) Šinī pantā paredzētos noteikumus piemēro arī attiecībā uz ārvalstu kuģiem, kuri  ienāk Latvijas ostā vai enkurvietā, vai iziet no tās, kā arī atrodas </w:t>
      </w:r>
      <w:r w:rsidRPr="00DB12FD">
        <w:rPr>
          <w:rFonts w:cs="Arial"/>
          <w:sz w:val="28"/>
          <w:szCs w:val="20"/>
          <w:lang w:eastAsia="en-US"/>
        </w:rPr>
        <w:t>Latvijas teritoriālajā jūrā.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(6) </w:t>
      </w:r>
      <w:r w:rsidRPr="00DB12FD">
        <w:rPr>
          <w:rFonts w:cs="Arial"/>
          <w:sz w:val="28"/>
          <w:szCs w:val="20"/>
          <w:lang w:eastAsia="en-US"/>
        </w:rPr>
        <w:t>Apdrošināšana šī panta izpratnē ir apdrošināšana ar pašrisku vai bez tā, pašapdrošināšana, kā arī cits līdzīgs finansiālais nodrošinājums.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(7) Šo pantu nepiemēro attiecībā uz valstij piederošiem vai tās lietošanā esošiem kuģiem, kuri tiek izmantoti vienīgi valsts vajadzībām un nekomerciālos nolūkos.”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 w:rsidRPr="00DB12FD">
        <w:rPr>
          <w:rFonts w:cs="Arial"/>
          <w:sz w:val="28"/>
          <w:szCs w:val="20"/>
          <w:lang w:eastAsia="en-US"/>
        </w:rPr>
        <w:t>2. Aizvietot 64.panta pirmajā daļā vārdus „1976.gada Konvencijas par atbildības ierobežošanu attiecībā uz jūras prasībām (LLMC) (turpmāk – Atbildības ierobežošanas konvencija) ” ar vārdiem „LLMC”.</w:t>
      </w:r>
    </w:p>
    <w:p w:rsidR="006065E9" w:rsidRDefault="006065E9" w:rsidP="00C27B02">
      <w:pPr>
        <w:pStyle w:val="naisf"/>
        <w:ind w:left="375" w:firstLine="0"/>
        <w:rPr>
          <w:rFonts w:cs="Arial"/>
          <w:i/>
          <w:sz w:val="28"/>
          <w:szCs w:val="20"/>
          <w:u w:val="single"/>
          <w:lang w:eastAsia="en-US"/>
        </w:rPr>
      </w:pPr>
    </w:p>
    <w:p w:rsidR="006065E9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3. Izteikt </w:t>
      </w:r>
      <w:r>
        <w:rPr>
          <w:rFonts w:cs="Arial"/>
          <w:b/>
          <w:sz w:val="28"/>
          <w:szCs w:val="20"/>
          <w:lang w:eastAsia="en-US"/>
        </w:rPr>
        <w:t>66.panta</w:t>
      </w:r>
      <w:r>
        <w:rPr>
          <w:rFonts w:cs="Arial"/>
          <w:sz w:val="28"/>
          <w:szCs w:val="20"/>
          <w:lang w:eastAsia="en-US"/>
        </w:rPr>
        <w:t xml:space="preserve"> 1. punktu šādā redakcijā:</w:t>
      </w:r>
    </w:p>
    <w:p w:rsidR="006065E9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 w:rsidRPr="00DB12FD">
        <w:rPr>
          <w:rFonts w:cs="Arial"/>
          <w:sz w:val="28"/>
          <w:szCs w:val="20"/>
          <w:lang w:eastAsia="en-US"/>
        </w:rPr>
        <w:t>„1) prasībām, kas saistītas ar glābšanas atlīdzību, ieskaitot prasības, ja tādas ir, par īpašu kompensāciju saskaņā ar grozītās 1989.gada Starptautiskās glābšanas konvencijas 14.pantu vai iemaksām vispārējās avārijas gadījumā;”</w:t>
      </w:r>
    </w:p>
    <w:p w:rsidR="006065E9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4. Izteikt </w:t>
      </w:r>
      <w:r>
        <w:rPr>
          <w:rFonts w:cs="Arial"/>
          <w:b/>
          <w:sz w:val="28"/>
          <w:szCs w:val="20"/>
          <w:lang w:eastAsia="en-US"/>
        </w:rPr>
        <w:t>69.panta</w:t>
      </w:r>
      <w:r>
        <w:rPr>
          <w:rFonts w:cs="Arial"/>
          <w:sz w:val="28"/>
          <w:szCs w:val="20"/>
          <w:lang w:eastAsia="en-US"/>
        </w:rPr>
        <w:t xml:space="preserve"> pirmo un otro daļu šādā redakcijā: </w:t>
      </w:r>
    </w:p>
    <w:p w:rsidR="006065E9" w:rsidRDefault="006065E9" w:rsidP="00C27B02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Pr="00DB12FD" w:rsidRDefault="006065E9" w:rsidP="005A41A3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  <w:r w:rsidRPr="00DB12FD">
        <w:rPr>
          <w:sz w:val="28"/>
          <w:szCs w:val="28"/>
        </w:rPr>
        <w:t xml:space="preserve">(1) Atbildības robeža attiecībā uz prasībām, kas saistītas ar cilvēka dzīvības zaudēšanu vai viņa veselībai nodarīto kaitējumu, par katru konkrētu gadījumu, izņemot šā kodeksa 70.pantā minētās prasības, tiek noteikta šādā apmērā: </w:t>
      </w:r>
      <w:r w:rsidRPr="00DB12FD">
        <w:rPr>
          <w:sz w:val="28"/>
          <w:szCs w:val="28"/>
        </w:rPr>
        <w:br/>
        <w:t xml:space="preserve">1) 2 miljoni norēķina vienības par kuģi, kura tilpība nepārsniedz 2000 tilpības vienības; </w:t>
      </w:r>
      <w:r w:rsidRPr="00DB12FD">
        <w:rPr>
          <w:sz w:val="28"/>
          <w:szCs w:val="28"/>
        </w:rPr>
        <w:br/>
        <w:t xml:space="preserve">2) par kuģi, kura tilpība ir lielāka par 2000 tilpības vienībām, šīs daļas 1.punktā minētajai summai pieskaita: </w:t>
      </w:r>
      <w:r w:rsidRPr="00DB12FD">
        <w:rPr>
          <w:sz w:val="28"/>
          <w:szCs w:val="28"/>
        </w:rPr>
        <w:br/>
        <w:t xml:space="preserve">a) ja tilpība ir no 2001 līdz 30 000 tilpības vienībām, — par katru vienību 800 norēķina vienības, </w:t>
      </w:r>
      <w:r w:rsidRPr="00DB12FD">
        <w:rPr>
          <w:sz w:val="28"/>
          <w:szCs w:val="28"/>
        </w:rPr>
        <w:br/>
        <w:t xml:space="preserve">b) ja tilpība ir no 30 001 līdz 70 000 tilpības vienībām, — par katru vienību 600 norēķina vienības, </w:t>
      </w:r>
      <w:r w:rsidRPr="00DB12FD">
        <w:rPr>
          <w:sz w:val="28"/>
          <w:szCs w:val="28"/>
        </w:rPr>
        <w:br/>
        <w:t xml:space="preserve">c) par katru vienību, kas pārsniedz 70 000 tilpības vienības, — 400 norēķina vienības. </w:t>
      </w:r>
      <w:r w:rsidRPr="00DB12FD">
        <w:rPr>
          <w:sz w:val="28"/>
          <w:szCs w:val="28"/>
        </w:rPr>
        <w:br/>
      </w:r>
      <w:r w:rsidRPr="00DB12FD">
        <w:rPr>
          <w:sz w:val="28"/>
          <w:szCs w:val="28"/>
        </w:rPr>
        <w:br/>
        <w:t>(2) Atbildības robeža attiecībā uz jebkurām cita veida prasībām par katru konkrētu gadījumu, izņemot šā kodeksa 70.pantā minētās prasības, tiek</w:t>
      </w:r>
      <w:r w:rsidRPr="005A41A3">
        <w:rPr>
          <w:b/>
          <w:sz w:val="28"/>
          <w:szCs w:val="28"/>
        </w:rPr>
        <w:t xml:space="preserve"> </w:t>
      </w:r>
      <w:r w:rsidRPr="00DB12FD">
        <w:rPr>
          <w:sz w:val="28"/>
          <w:szCs w:val="28"/>
        </w:rPr>
        <w:t xml:space="preserve">noteikta šādā apmērā: </w:t>
      </w:r>
      <w:r w:rsidRPr="00DB12FD">
        <w:rPr>
          <w:sz w:val="28"/>
          <w:szCs w:val="28"/>
        </w:rPr>
        <w:br/>
        <w:t xml:space="preserve">1) 1 miljons norēķina vienības par kuģi, kura tilpība nepārsniedz 2000 tilpības vienības; </w:t>
      </w:r>
      <w:r w:rsidRPr="00DB12FD">
        <w:rPr>
          <w:sz w:val="28"/>
          <w:szCs w:val="28"/>
        </w:rPr>
        <w:br/>
        <w:t xml:space="preserve">2) par kuģi, kura tilpība ir lielāka par 2000 tilpības vienībām, šīs daļas 1.punktā minētajai summai pieskaita: </w:t>
      </w:r>
      <w:r w:rsidRPr="00DB12FD">
        <w:rPr>
          <w:sz w:val="28"/>
          <w:szCs w:val="28"/>
        </w:rPr>
        <w:br/>
        <w:t xml:space="preserve">a) ja tilpība ir no 2001 līdz 30 000 tilpības vienībām, — par katru vienību 400 norēķina vienības, </w:t>
      </w:r>
      <w:r w:rsidRPr="00DB12FD">
        <w:rPr>
          <w:sz w:val="28"/>
          <w:szCs w:val="28"/>
        </w:rPr>
        <w:br/>
        <w:t xml:space="preserve">b) ja tilpība ir no 30 001 līdz 70 000 tilpības vienībām, — par katru vienību 300 norēķina vienības, </w:t>
      </w:r>
      <w:r w:rsidRPr="00DB12FD">
        <w:rPr>
          <w:sz w:val="28"/>
          <w:szCs w:val="28"/>
        </w:rPr>
        <w:br/>
        <w:t>c) par katru vienību, kas pārsniedz 70 000 tilpības vienības, — 200 norēķina vienības.</w:t>
      </w:r>
    </w:p>
    <w:p w:rsidR="006065E9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</w:p>
    <w:p w:rsidR="006065E9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>
        <w:rPr>
          <w:b/>
          <w:sz w:val="28"/>
          <w:szCs w:val="28"/>
          <w:lang w:eastAsia="en-US"/>
        </w:rPr>
        <w:t>70.panta</w:t>
      </w:r>
      <w:r>
        <w:rPr>
          <w:sz w:val="28"/>
          <w:szCs w:val="28"/>
          <w:lang w:eastAsia="en-US"/>
        </w:rPr>
        <w:t xml:space="preserve"> pirmajā daļā:</w:t>
      </w:r>
    </w:p>
    <w:p w:rsidR="006065E9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</w:p>
    <w:p w:rsidR="006065E9" w:rsidRPr="00DB12FD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  <w:r w:rsidRPr="00DB12FD">
        <w:rPr>
          <w:sz w:val="28"/>
          <w:szCs w:val="28"/>
          <w:lang w:eastAsia="en-US"/>
        </w:rPr>
        <w:t>aizstāt skaitli „46 666” ar skaitli „175 000”;</w:t>
      </w:r>
    </w:p>
    <w:p w:rsidR="006065E9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</w:p>
    <w:p w:rsidR="006065E9" w:rsidRDefault="006065E9" w:rsidP="00775BC8">
      <w:pPr>
        <w:pStyle w:val="naisf"/>
        <w:spacing w:before="0" w:after="0"/>
        <w:ind w:left="374" w:firstLine="0"/>
        <w:rPr>
          <w:rFonts w:cs="Arial"/>
          <w:i/>
          <w:sz w:val="28"/>
          <w:szCs w:val="20"/>
          <w:lang w:eastAsia="en-US"/>
        </w:rPr>
      </w:pPr>
      <w:r w:rsidRPr="00DB12FD">
        <w:rPr>
          <w:sz w:val="28"/>
          <w:szCs w:val="28"/>
          <w:lang w:eastAsia="en-US"/>
        </w:rPr>
        <w:t>izslēgt vārdus „bet tā nedrīkst pārsniegt 25 miljonus norēķina vienību”</w:t>
      </w:r>
      <w:r>
        <w:rPr>
          <w:sz w:val="28"/>
          <w:szCs w:val="28"/>
          <w:lang w:eastAsia="en-US"/>
        </w:rPr>
        <w:t>.</w:t>
      </w:r>
    </w:p>
    <w:p w:rsidR="006065E9" w:rsidRDefault="006065E9" w:rsidP="00C27B02">
      <w:pPr>
        <w:pStyle w:val="naisf"/>
        <w:spacing w:before="0" w:after="0"/>
        <w:ind w:left="374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6. Papildināt Pārejas noteikumus ar 9.punktu šādā redakcijā: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„9. Šī kodeksa 56.</w:t>
      </w:r>
      <w:r>
        <w:rPr>
          <w:rFonts w:cs="Arial"/>
          <w:sz w:val="28"/>
          <w:szCs w:val="20"/>
          <w:vertAlign w:val="superscript"/>
          <w:lang w:eastAsia="en-US"/>
        </w:rPr>
        <w:t>1</w:t>
      </w:r>
      <w:r>
        <w:rPr>
          <w:rFonts w:cs="Arial"/>
          <w:sz w:val="28"/>
          <w:szCs w:val="20"/>
          <w:lang w:eastAsia="en-US"/>
        </w:rPr>
        <w:t xml:space="preserve"> pants stājas spēkā 2012.gada 1.janvārī.”</w:t>
      </w:r>
    </w:p>
    <w:p w:rsidR="006065E9" w:rsidRPr="007E6670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7. Izteikt nodaļu „Informatīva atsauce uz Eiropas Savienības direktīvu” un tās nosaukumu šādā redakcijā: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„Informatīva atsauce uz Eiropas Savienības direktīvām”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Kodeksā iekļautas tiesību normas, kas izriet no:</w:t>
      </w:r>
    </w:p>
    <w:p w:rsidR="006065E9" w:rsidRPr="004F04EC" w:rsidRDefault="006065E9" w:rsidP="004F04EC">
      <w:pPr>
        <w:pStyle w:val="naisf"/>
        <w:ind w:left="375" w:firstLine="0"/>
        <w:rPr>
          <w:sz w:val="28"/>
          <w:szCs w:val="28"/>
        </w:rPr>
      </w:pPr>
      <w:r>
        <w:rPr>
          <w:rFonts w:cs="Arial"/>
          <w:sz w:val="28"/>
          <w:szCs w:val="20"/>
          <w:lang w:eastAsia="en-US"/>
        </w:rPr>
        <w:t xml:space="preserve">1) </w:t>
      </w:r>
      <w:r w:rsidRPr="004F04EC">
        <w:rPr>
          <w:sz w:val="28"/>
          <w:szCs w:val="28"/>
        </w:rPr>
        <w:t xml:space="preserve">Padomes 1999.gada 21.jūnija </w:t>
      </w:r>
      <w:r>
        <w:rPr>
          <w:sz w:val="28"/>
          <w:szCs w:val="28"/>
        </w:rPr>
        <w:t>D</w:t>
      </w:r>
      <w:r w:rsidRPr="004F04EC">
        <w:rPr>
          <w:sz w:val="28"/>
          <w:szCs w:val="28"/>
        </w:rPr>
        <w:t xml:space="preserve">irektīvas </w:t>
      </w:r>
      <w:hyperlink r:id="rId7" w:tgtFrame="_blank" w:tooltip="Atvērt direktīvas konsolidēto versiju" w:history="1">
        <w:r w:rsidRPr="004F04EC">
          <w:rPr>
            <w:rStyle w:val="Hyperlink"/>
            <w:sz w:val="28"/>
            <w:szCs w:val="28"/>
          </w:rPr>
          <w:t>1999/63/EK</w:t>
        </w:r>
      </w:hyperlink>
      <w:r w:rsidRPr="004F04EC">
        <w:rPr>
          <w:sz w:val="28"/>
          <w:szCs w:val="28"/>
        </w:rPr>
        <w:t xml:space="preserve"> attiecībā uz Nolīgumu par jūrnieku darba laika organizēšanu, ko noslēgusi Eiropas Kopienas Kuģu īpašnieku asociācija (EKKĪA) un Eiropas Savienības Transporta darbinieku arodbiedrību federācija (ESTDAF)</w:t>
      </w:r>
      <w:r>
        <w:rPr>
          <w:sz w:val="28"/>
          <w:szCs w:val="28"/>
        </w:rPr>
        <w:t>;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 xml:space="preserve"> 2) Eiropas Parlamenta un Padomes 2009.gada 23.aprīļa Direktīva 2009/20/EK par kuģu īpašnieku apdrošināšanu pret jūras prasībām.”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Iesniedzējs: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Satiksmes ministrs</w:t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  <w:t>U.Augulis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Vīza:</w:t>
      </w:r>
    </w:p>
    <w:p w:rsidR="006065E9" w:rsidRDefault="006065E9" w:rsidP="00B56E0A">
      <w:pPr>
        <w:pStyle w:val="naisf"/>
        <w:ind w:left="375" w:firstLine="0"/>
        <w:rPr>
          <w:rFonts w:cs="Arial"/>
          <w:sz w:val="28"/>
          <w:szCs w:val="20"/>
          <w:lang w:eastAsia="en-US"/>
        </w:rPr>
      </w:pPr>
      <w:r>
        <w:rPr>
          <w:rFonts w:cs="Arial"/>
          <w:sz w:val="28"/>
          <w:szCs w:val="20"/>
          <w:lang w:eastAsia="en-US"/>
        </w:rPr>
        <w:t>Valsts sekretārs</w:t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</w:r>
      <w:r>
        <w:rPr>
          <w:rFonts w:cs="Arial"/>
          <w:sz w:val="28"/>
          <w:szCs w:val="20"/>
          <w:lang w:eastAsia="en-US"/>
        </w:rPr>
        <w:tab/>
        <w:t>A.Matīss</w:t>
      </w: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</w:p>
    <w:p w:rsidR="006065E9" w:rsidRPr="00956E7B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  <w:r w:rsidRPr="00956E7B">
        <w:rPr>
          <w:rFonts w:cs="Arial"/>
          <w:sz w:val="18"/>
          <w:szCs w:val="18"/>
          <w:lang w:eastAsia="en-US"/>
        </w:rPr>
        <w:t>28.04.2011</w:t>
      </w:r>
    </w:p>
    <w:p w:rsidR="006065E9" w:rsidRPr="00956E7B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682</w:t>
      </w:r>
    </w:p>
    <w:p w:rsidR="006065E9" w:rsidRPr="00956E7B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  <w:r w:rsidRPr="00956E7B">
        <w:rPr>
          <w:rFonts w:cs="Arial"/>
          <w:sz w:val="18"/>
          <w:szCs w:val="18"/>
          <w:lang w:eastAsia="en-US"/>
        </w:rPr>
        <w:t>V.Putāne</w:t>
      </w:r>
    </w:p>
    <w:p w:rsidR="006065E9" w:rsidRPr="00956E7B" w:rsidRDefault="006065E9" w:rsidP="00742187">
      <w:pPr>
        <w:pStyle w:val="naisf"/>
        <w:spacing w:before="0" w:after="0"/>
        <w:ind w:left="374" w:firstLine="0"/>
        <w:rPr>
          <w:rFonts w:cs="Arial"/>
          <w:sz w:val="18"/>
          <w:szCs w:val="18"/>
          <w:lang w:eastAsia="en-US"/>
        </w:rPr>
      </w:pPr>
      <w:r w:rsidRPr="00956E7B">
        <w:rPr>
          <w:rFonts w:cs="Arial"/>
          <w:sz w:val="18"/>
          <w:szCs w:val="18"/>
          <w:lang w:eastAsia="en-US"/>
        </w:rPr>
        <w:t>67062108</w:t>
      </w:r>
    </w:p>
    <w:p w:rsidR="006065E9" w:rsidRPr="00956E7B" w:rsidRDefault="006065E9" w:rsidP="007E6670">
      <w:pPr>
        <w:pStyle w:val="naisf"/>
        <w:spacing w:before="0" w:after="0"/>
        <w:ind w:left="374" w:firstLine="0"/>
        <w:rPr>
          <w:sz w:val="18"/>
          <w:szCs w:val="18"/>
        </w:rPr>
      </w:pPr>
      <w:r w:rsidRPr="00956E7B">
        <w:rPr>
          <w:rFonts w:cs="Arial"/>
          <w:sz w:val="18"/>
          <w:szCs w:val="18"/>
          <w:lang w:eastAsia="en-US"/>
        </w:rPr>
        <w:t>vija.putane@lja.lv</w:t>
      </w:r>
    </w:p>
    <w:sectPr w:rsidR="006065E9" w:rsidRPr="00956E7B" w:rsidSect="00592252">
      <w:headerReference w:type="default" r:id="rId8"/>
      <w:footerReference w:type="default" r:id="rId9"/>
      <w:footerReference w:type="first" r:id="rId10"/>
      <w:pgSz w:w="12240" w:h="15840" w:code="1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E9" w:rsidRDefault="006065E9" w:rsidP="00776DA0">
      <w:pPr>
        <w:spacing w:after="0" w:line="240" w:lineRule="auto"/>
      </w:pPr>
      <w:r>
        <w:separator/>
      </w:r>
    </w:p>
  </w:endnote>
  <w:endnote w:type="continuationSeparator" w:id="0">
    <w:p w:rsidR="006065E9" w:rsidRDefault="006065E9" w:rsidP="0077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E9" w:rsidRPr="00592252" w:rsidRDefault="006065E9" w:rsidP="00742187">
    <w:pPr>
      <w:pStyle w:val="Footer"/>
      <w:rPr>
        <w:rFonts w:ascii="Times New Roman" w:hAnsi="Times New Roman"/>
        <w:lang w:val="lv-LV"/>
      </w:rPr>
    </w:pPr>
    <w:r w:rsidRPr="00592252">
      <w:rPr>
        <w:rFonts w:ascii="Times New Roman" w:hAnsi="Times New Roman"/>
        <w:lang w:val="lv-LV"/>
      </w:rPr>
      <w:t>SAM</w:t>
    </w:r>
    <w:r>
      <w:rPr>
        <w:rFonts w:ascii="Times New Roman" w:hAnsi="Times New Roman"/>
        <w:lang w:val="lv-LV"/>
      </w:rPr>
      <w:t xml:space="preserve">Lik_280411_juraskodekss; Likumprojekts „Grozījumi Jūras kodeksā” </w:t>
    </w:r>
  </w:p>
  <w:p w:rsidR="006065E9" w:rsidRPr="00742187" w:rsidRDefault="006065E9">
    <w:pPr>
      <w:pStyle w:val="Footer"/>
      <w:rPr>
        <w:lang w:val="lv-LV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E9" w:rsidRPr="00592252" w:rsidRDefault="006065E9">
    <w:pPr>
      <w:pStyle w:val="Footer"/>
      <w:rPr>
        <w:rFonts w:ascii="Times New Roman" w:hAnsi="Times New Roman"/>
        <w:lang w:val="lv-LV"/>
      </w:rPr>
    </w:pPr>
    <w:r w:rsidRPr="00592252">
      <w:rPr>
        <w:rFonts w:ascii="Times New Roman" w:hAnsi="Times New Roman"/>
        <w:lang w:val="lv-LV"/>
      </w:rPr>
      <w:t>SAM</w:t>
    </w:r>
    <w:r>
      <w:rPr>
        <w:rFonts w:ascii="Times New Roman" w:hAnsi="Times New Roman"/>
        <w:lang w:val="lv-LV"/>
      </w:rPr>
      <w:t xml:space="preserve">Lik_280411_juraskodekss; Likumprojekts „Grozījumi Jūras kodeksā”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E9" w:rsidRDefault="006065E9" w:rsidP="00776DA0">
      <w:pPr>
        <w:spacing w:after="0" w:line="240" w:lineRule="auto"/>
      </w:pPr>
      <w:r>
        <w:separator/>
      </w:r>
    </w:p>
  </w:footnote>
  <w:footnote w:type="continuationSeparator" w:id="0">
    <w:p w:rsidR="006065E9" w:rsidRDefault="006065E9" w:rsidP="0077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E9" w:rsidRDefault="006065E9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6065E9" w:rsidRDefault="006065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196"/>
    <w:multiLevelType w:val="hybridMultilevel"/>
    <w:tmpl w:val="BB40147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C7AEB"/>
    <w:multiLevelType w:val="hybridMultilevel"/>
    <w:tmpl w:val="8ADCC14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D2323"/>
    <w:multiLevelType w:val="hybridMultilevel"/>
    <w:tmpl w:val="FC18CC2C"/>
    <w:lvl w:ilvl="0" w:tplc="2EC22D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31224"/>
    <w:multiLevelType w:val="hybridMultilevel"/>
    <w:tmpl w:val="B220EA26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847FDF"/>
    <w:multiLevelType w:val="hybridMultilevel"/>
    <w:tmpl w:val="BD888628"/>
    <w:lvl w:ilvl="0" w:tplc="29B2EF5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C6EE3"/>
    <w:multiLevelType w:val="hybridMultilevel"/>
    <w:tmpl w:val="5B543BA0"/>
    <w:lvl w:ilvl="0" w:tplc="EFE26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752C76"/>
    <w:multiLevelType w:val="hybridMultilevel"/>
    <w:tmpl w:val="A76EBF4E"/>
    <w:lvl w:ilvl="0" w:tplc="A532F47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C819C1"/>
    <w:multiLevelType w:val="hybridMultilevel"/>
    <w:tmpl w:val="E7B25066"/>
    <w:lvl w:ilvl="0" w:tplc="D750D27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BEF429B"/>
    <w:multiLevelType w:val="hybridMultilevel"/>
    <w:tmpl w:val="8CAACDA8"/>
    <w:lvl w:ilvl="0" w:tplc="3468C30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C313364"/>
    <w:multiLevelType w:val="hybridMultilevel"/>
    <w:tmpl w:val="020CEC8A"/>
    <w:lvl w:ilvl="0" w:tplc="C02C06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9BD"/>
    <w:rsid w:val="00001123"/>
    <w:rsid w:val="0000175B"/>
    <w:rsid w:val="000074AF"/>
    <w:rsid w:val="0000794B"/>
    <w:rsid w:val="0001458D"/>
    <w:rsid w:val="00015A33"/>
    <w:rsid w:val="00017B1B"/>
    <w:rsid w:val="0002558A"/>
    <w:rsid w:val="000270D4"/>
    <w:rsid w:val="00030B15"/>
    <w:rsid w:val="0003514F"/>
    <w:rsid w:val="000356BA"/>
    <w:rsid w:val="0004059B"/>
    <w:rsid w:val="000413D0"/>
    <w:rsid w:val="00047387"/>
    <w:rsid w:val="00050BCA"/>
    <w:rsid w:val="0006105D"/>
    <w:rsid w:val="000626CE"/>
    <w:rsid w:val="00065169"/>
    <w:rsid w:val="00066CB3"/>
    <w:rsid w:val="00073213"/>
    <w:rsid w:val="0007395B"/>
    <w:rsid w:val="00083D07"/>
    <w:rsid w:val="00090D58"/>
    <w:rsid w:val="000A0868"/>
    <w:rsid w:val="000A19C3"/>
    <w:rsid w:val="000B3C7E"/>
    <w:rsid w:val="000C412B"/>
    <w:rsid w:val="000C4BC5"/>
    <w:rsid w:val="000D31FF"/>
    <w:rsid w:val="000D33CA"/>
    <w:rsid w:val="000D4609"/>
    <w:rsid w:val="000E1298"/>
    <w:rsid w:val="00110EA4"/>
    <w:rsid w:val="001113C4"/>
    <w:rsid w:val="0012418C"/>
    <w:rsid w:val="00136DC2"/>
    <w:rsid w:val="001427FC"/>
    <w:rsid w:val="00152C5A"/>
    <w:rsid w:val="00155BAA"/>
    <w:rsid w:val="001667F5"/>
    <w:rsid w:val="00187CD7"/>
    <w:rsid w:val="001A05D2"/>
    <w:rsid w:val="001B03C0"/>
    <w:rsid w:val="001C6072"/>
    <w:rsid w:val="001D52EA"/>
    <w:rsid w:val="001D6707"/>
    <w:rsid w:val="001D74DB"/>
    <w:rsid w:val="001E5A44"/>
    <w:rsid w:val="001E627C"/>
    <w:rsid w:val="001F0252"/>
    <w:rsid w:val="001F08BB"/>
    <w:rsid w:val="001F08E1"/>
    <w:rsid w:val="001F769F"/>
    <w:rsid w:val="0020163E"/>
    <w:rsid w:val="002124C8"/>
    <w:rsid w:val="002167F8"/>
    <w:rsid w:val="002274C4"/>
    <w:rsid w:val="0023770A"/>
    <w:rsid w:val="00237B9A"/>
    <w:rsid w:val="00245036"/>
    <w:rsid w:val="002558AC"/>
    <w:rsid w:val="00263CD7"/>
    <w:rsid w:val="00271953"/>
    <w:rsid w:val="00273992"/>
    <w:rsid w:val="002759DE"/>
    <w:rsid w:val="002836BF"/>
    <w:rsid w:val="00285CD5"/>
    <w:rsid w:val="00293940"/>
    <w:rsid w:val="002A3673"/>
    <w:rsid w:val="002A5324"/>
    <w:rsid w:val="002B0C01"/>
    <w:rsid w:val="002B5544"/>
    <w:rsid w:val="002C5059"/>
    <w:rsid w:val="002C77E0"/>
    <w:rsid w:val="002D3567"/>
    <w:rsid w:val="002E255C"/>
    <w:rsid w:val="002E55E4"/>
    <w:rsid w:val="002E7C0D"/>
    <w:rsid w:val="00304AB7"/>
    <w:rsid w:val="003102B1"/>
    <w:rsid w:val="00310642"/>
    <w:rsid w:val="0031145E"/>
    <w:rsid w:val="00321B1A"/>
    <w:rsid w:val="00332B27"/>
    <w:rsid w:val="003444A0"/>
    <w:rsid w:val="003475E4"/>
    <w:rsid w:val="00355388"/>
    <w:rsid w:val="00366494"/>
    <w:rsid w:val="00366B9E"/>
    <w:rsid w:val="00377E6C"/>
    <w:rsid w:val="0038143D"/>
    <w:rsid w:val="00387C78"/>
    <w:rsid w:val="00396367"/>
    <w:rsid w:val="00397BF4"/>
    <w:rsid w:val="003A1780"/>
    <w:rsid w:val="003D18F0"/>
    <w:rsid w:val="003D5D9D"/>
    <w:rsid w:val="003F2700"/>
    <w:rsid w:val="003F2A56"/>
    <w:rsid w:val="003F641E"/>
    <w:rsid w:val="00402529"/>
    <w:rsid w:val="00406512"/>
    <w:rsid w:val="004075B5"/>
    <w:rsid w:val="00410114"/>
    <w:rsid w:val="004312FB"/>
    <w:rsid w:val="00463C11"/>
    <w:rsid w:val="00470916"/>
    <w:rsid w:val="00473392"/>
    <w:rsid w:val="0047441D"/>
    <w:rsid w:val="00475016"/>
    <w:rsid w:val="0048331D"/>
    <w:rsid w:val="00486DBC"/>
    <w:rsid w:val="004935E6"/>
    <w:rsid w:val="00493FF7"/>
    <w:rsid w:val="004C49EF"/>
    <w:rsid w:val="004D140B"/>
    <w:rsid w:val="004D2A54"/>
    <w:rsid w:val="004D3336"/>
    <w:rsid w:val="004E37DE"/>
    <w:rsid w:val="004E39C7"/>
    <w:rsid w:val="004E41EC"/>
    <w:rsid w:val="004F04EC"/>
    <w:rsid w:val="0050040D"/>
    <w:rsid w:val="00502D9D"/>
    <w:rsid w:val="0050341F"/>
    <w:rsid w:val="00512A7E"/>
    <w:rsid w:val="00514DF8"/>
    <w:rsid w:val="00527BA3"/>
    <w:rsid w:val="005331C0"/>
    <w:rsid w:val="005608B6"/>
    <w:rsid w:val="005642EB"/>
    <w:rsid w:val="00566ACA"/>
    <w:rsid w:val="00567912"/>
    <w:rsid w:val="00592252"/>
    <w:rsid w:val="0059389B"/>
    <w:rsid w:val="005A1E67"/>
    <w:rsid w:val="005A2682"/>
    <w:rsid w:val="005A2C79"/>
    <w:rsid w:val="005A41A3"/>
    <w:rsid w:val="005B3586"/>
    <w:rsid w:val="005B3C44"/>
    <w:rsid w:val="005B50EC"/>
    <w:rsid w:val="005C0C33"/>
    <w:rsid w:val="005C408F"/>
    <w:rsid w:val="005C6A56"/>
    <w:rsid w:val="005C7FD1"/>
    <w:rsid w:val="005D35FC"/>
    <w:rsid w:val="005E3044"/>
    <w:rsid w:val="005E30A1"/>
    <w:rsid w:val="005E552A"/>
    <w:rsid w:val="005F2660"/>
    <w:rsid w:val="005F4026"/>
    <w:rsid w:val="0060234A"/>
    <w:rsid w:val="00602E36"/>
    <w:rsid w:val="006065E9"/>
    <w:rsid w:val="00612FAB"/>
    <w:rsid w:val="006138EF"/>
    <w:rsid w:val="00614AD2"/>
    <w:rsid w:val="00626F16"/>
    <w:rsid w:val="006307B6"/>
    <w:rsid w:val="00635552"/>
    <w:rsid w:val="006804EE"/>
    <w:rsid w:val="0068767F"/>
    <w:rsid w:val="0069007D"/>
    <w:rsid w:val="0069235A"/>
    <w:rsid w:val="00692679"/>
    <w:rsid w:val="00693E9B"/>
    <w:rsid w:val="006946AE"/>
    <w:rsid w:val="00695924"/>
    <w:rsid w:val="006B0570"/>
    <w:rsid w:val="006B0C06"/>
    <w:rsid w:val="006B4546"/>
    <w:rsid w:val="006C5846"/>
    <w:rsid w:val="006D0A23"/>
    <w:rsid w:val="006D7AB6"/>
    <w:rsid w:val="006E0B48"/>
    <w:rsid w:val="006E4235"/>
    <w:rsid w:val="006F570D"/>
    <w:rsid w:val="007073E8"/>
    <w:rsid w:val="0071298E"/>
    <w:rsid w:val="00713628"/>
    <w:rsid w:val="00713C7F"/>
    <w:rsid w:val="0071645B"/>
    <w:rsid w:val="00721CF2"/>
    <w:rsid w:val="00727741"/>
    <w:rsid w:val="00732254"/>
    <w:rsid w:val="00736C10"/>
    <w:rsid w:val="00742187"/>
    <w:rsid w:val="00750B5D"/>
    <w:rsid w:val="007540E2"/>
    <w:rsid w:val="007612CD"/>
    <w:rsid w:val="00762DC5"/>
    <w:rsid w:val="00773051"/>
    <w:rsid w:val="00775BC8"/>
    <w:rsid w:val="00776DA0"/>
    <w:rsid w:val="00782A9C"/>
    <w:rsid w:val="00785FF4"/>
    <w:rsid w:val="007B1D1C"/>
    <w:rsid w:val="007B76E1"/>
    <w:rsid w:val="007C3FB9"/>
    <w:rsid w:val="007C6A38"/>
    <w:rsid w:val="007D1EEA"/>
    <w:rsid w:val="007D7297"/>
    <w:rsid w:val="007E041A"/>
    <w:rsid w:val="007E0D0A"/>
    <w:rsid w:val="007E6670"/>
    <w:rsid w:val="007F2717"/>
    <w:rsid w:val="007F5E6C"/>
    <w:rsid w:val="00801515"/>
    <w:rsid w:val="00802E37"/>
    <w:rsid w:val="008102EB"/>
    <w:rsid w:val="00822514"/>
    <w:rsid w:val="00827092"/>
    <w:rsid w:val="00830EFC"/>
    <w:rsid w:val="008311E7"/>
    <w:rsid w:val="0083591E"/>
    <w:rsid w:val="00836A1B"/>
    <w:rsid w:val="008372C1"/>
    <w:rsid w:val="0085543D"/>
    <w:rsid w:val="008763D5"/>
    <w:rsid w:val="00881EC5"/>
    <w:rsid w:val="008916C6"/>
    <w:rsid w:val="008B0512"/>
    <w:rsid w:val="008B2CC7"/>
    <w:rsid w:val="008E0C19"/>
    <w:rsid w:val="008F0EF1"/>
    <w:rsid w:val="008F5CBC"/>
    <w:rsid w:val="0090111F"/>
    <w:rsid w:val="00922F06"/>
    <w:rsid w:val="00927E9A"/>
    <w:rsid w:val="009342F0"/>
    <w:rsid w:val="0093541A"/>
    <w:rsid w:val="009356C9"/>
    <w:rsid w:val="00936DFB"/>
    <w:rsid w:val="009379BD"/>
    <w:rsid w:val="009451DF"/>
    <w:rsid w:val="00956E7B"/>
    <w:rsid w:val="00960366"/>
    <w:rsid w:val="009738B1"/>
    <w:rsid w:val="00981A16"/>
    <w:rsid w:val="00984B0D"/>
    <w:rsid w:val="00991CC6"/>
    <w:rsid w:val="009A3874"/>
    <w:rsid w:val="009A4E05"/>
    <w:rsid w:val="009B486D"/>
    <w:rsid w:val="009C31E8"/>
    <w:rsid w:val="009C4E7E"/>
    <w:rsid w:val="009D23F5"/>
    <w:rsid w:val="009D3BDA"/>
    <w:rsid w:val="009D484E"/>
    <w:rsid w:val="009D7E16"/>
    <w:rsid w:val="009F0ECE"/>
    <w:rsid w:val="009F3154"/>
    <w:rsid w:val="00A0463C"/>
    <w:rsid w:val="00A10EE0"/>
    <w:rsid w:val="00A116EA"/>
    <w:rsid w:val="00A17A69"/>
    <w:rsid w:val="00A36174"/>
    <w:rsid w:val="00A5428A"/>
    <w:rsid w:val="00A61C88"/>
    <w:rsid w:val="00A66D54"/>
    <w:rsid w:val="00A713E5"/>
    <w:rsid w:val="00A74B85"/>
    <w:rsid w:val="00A8658A"/>
    <w:rsid w:val="00A86968"/>
    <w:rsid w:val="00AB4E34"/>
    <w:rsid w:val="00AE0B25"/>
    <w:rsid w:val="00AE6AD4"/>
    <w:rsid w:val="00AF03C7"/>
    <w:rsid w:val="00AF1880"/>
    <w:rsid w:val="00AF7E2F"/>
    <w:rsid w:val="00B02894"/>
    <w:rsid w:val="00B128DB"/>
    <w:rsid w:val="00B12EA9"/>
    <w:rsid w:val="00B22714"/>
    <w:rsid w:val="00B2434A"/>
    <w:rsid w:val="00B2551B"/>
    <w:rsid w:val="00B36059"/>
    <w:rsid w:val="00B51885"/>
    <w:rsid w:val="00B53BA6"/>
    <w:rsid w:val="00B56E0A"/>
    <w:rsid w:val="00B66297"/>
    <w:rsid w:val="00B66F1C"/>
    <w:rsid w:val="00B67F7B"/>
    <w:rsid w:val="00B744D7"/>
    <w:rsid w:val="00B76A48"/>
    <w:rsid w:val="00B84709"/>
    <w:rsid w:val="00B87E55"/>
    <w:rsid w:val="00BA00DA"/>
    <w:rsid w:val="00BA3CD4"/>
    <w:rsid w:val="00BA3DA9"/>
    <w:rsid w:val="00BA7D6B"/>
    <w:rsid w:val="00BB0FFF"/>
    <w:rsid w:val="00BB15EC"/>
    <w:rsid w:val="00BC1518"/>
    <w:rsid w:val="00BD3ABD"/>
    <w:rsid w:val="00BD443E"/>
    <w:rsid w:val="00BE1A87"/>
    <w:rsid w:val="00BF0276"/>
    <w:rsid w:val="00C02AAD"/>
    <w:rsid w:val="00C21943"/>
    <w:rsid w:val="00C219B8"/>
    <w:rsid w:val="00C21D20"/>
    <w:rsid w:val="00C27B02"/>
    <w:rsid w:val="00C354E7"/>
    <w:rsid w:val="00C37AB7"/>
    <w:rsid w:val="00C45867"/>
    <w:rsid w:val="00C66A50"/>
    <w:rsid w:val="00C825FE"/>
    <w:rsid w:val="00C82E1E"/>
    <w:rsid w:val="00C860FB"/>
    <w:rsid w:val="00CA5DB2"/>
    <w:rsid w:val="00CA6E4D"/>
    <w:rsid w:val="00CA7343"/>
    <w:rsid w:val="00CB5926"/>
    <w:rsid w:val="00CC6FFF"/>
    <w:rsid w:val="00CC7353"/>
    <w:rsid w:val="00CD37FE"/>
    <w:rsid w:val="00CE2671"/>
    <w:rsid w:val="00CE2D23"/>
    <w:rsid w:val="00D0212A"/>
    <w:rsid w:val="00D02631"/>
    <w:rsid w:val="00D12393"/>
    <w:rsid w:val="00D133FF"/>
    <w:rsid w:val="00D20088"/>
    <w:rsid w:val="00D22BBC"/>
    <w:rsid w:val="00D37B32"/>
    <w:rsid w:val="00D44426"/>
    <w:rsid w:val="00D524F7"/>
    <w:rsid w:val="00D553B9"/>
    <w:rsid w:val="00D5598A"/>
    <w:rsid w:val="00D62C48"/>
    <w:rsid w:val="00D62CA3"/>
    <w:rsid w:val="00D63F9B"/>
    <w:rsid w:val="00D65BE6"/>
    <w:rsid w:val="00D823BC"/>
    <w:rsid w:val="00D8344A"/>
    <w:rsid w:val="00D87BE7"/>
    <w:rsid w:val="00D90E03"/>
    <w:rsid w:val="00D9445A"/>
    <w:rsid w:val="00DB082E"/>
    <w:rsid w:val="00DB12FD"/>
    <w:rsid w:val="00DD29DC"/>
    <w:rsid w:val="00DE0A8E"/>
    <w:rsid w:val="00DE4E14"/>
    <w:rsid w:val="00DF0F26"/>
    <w:rsid w:val="00DF5ABE"/>
    <w:rsid w:val="00E10401"/>
    <w:rsid w:val="00E11769"/>
    <w:rsid w:val="00E11F59"/>
    <w:rsid w:val="00E15A49"/>
    <w:rsid w:val="00E22B2A"/>
    <w:rsid w:val="00E24FFA"/>
    <w:rsid w:val="00E5266C"/>
    <w:rsid w:val="00E66693"/>
    <w:rsid w:val="00E7581A"/>
    <w:rsid w:val="00E76C35"/>
    <w:rsid w:val="00E84851"/>
    <w:rsid w:val="00E94CCD"/>
    <w:rsid w:val="00E95F45"/>
    <w:rsid w:val="00EA078F"/>
    <w:rsid w:val="00EA7BBB"/>
    <w:rsid w:val="00EB19F3"/>
    <w:rsid w:val="00EB3AAD"/>
    <w:rsid w:val="00EC38F2"/>
    <w:rsid w:val="00EE49E5"/>
    <w:rsid w:val="00EE4FB2"/>
    <w:rsid w:val="00EE6CB6"/>
    <w:rsid w:val="00EF0AB7"/>
    <w:rsid w:val="00EF4800"/>
    <w:rsid w:val="00EF6264"/>
    <w:rsid w:val="00F123CC"/>
    <w:rsid w:val="00F12A86"/>
    <w:rsid w:val="00F20AA2"/>
    <w:rsid w:val="00F2462E"/>
    <w:rsid w:val="00F24713"/>
    <w:rsid w:val="00F27B87"/>
    <w:rsid w:val="00F438A6"/>
    <w:rsid w:val="00F54935"/>
    <w:rsid w:val="00F65BDF"/>
    <w:rsid w:val="00F9779D"/>
    <w:rsid w:val="00FA61D8"/>
    <w:rsid w:val="00FC13DB"/>
    <w:rsid w:val="00FD473C"/>
    <w:rsid w:val="00FE06FB"/>
    <w:rsid w:val="00FE4482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6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4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2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A50"/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776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6D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6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6D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0D4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4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460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4609"/>
    <w:rPr>
      <w:b/>
      <w:bCs/>
    </w:rPr>
  </w:style>
  <w:style w:type="paragraph" w:customStyle="1" w:styleId="naisf">
    <w:name w:val="naisf"/>
    <w:basedOn w:val="Normal"/>
    <w:uiPriority w:val="99"/>
    <w:rsid w:val="00D133FF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sid w:val="00BA3DA9"/>
    <w:rPr>
      <w:rFonts w:cs="Times New Roman"/>
      <w:color w:val="0000FF"/>
      <w:u w:val="single"/>
    </w:rPr>
  </w:style>
  <w:style w:type="paragraph" w:customStyle="1" w:styleId="naispant">
    <w:name w:val="naispant"/>
    <w:basedOn w:val="Normal"/>
    <w:uiPriority w:val="99"/>
    <w:rsid w:val="0038143D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69824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69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xUriServ/LexUriServ.do?uri=CONSLEG:1999L0063:20090520:LV: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3672</TotalTime>
  <Pages>4</Pages>
  <Words>714</Words>
  <Characters>4474</Characters>
  <Application>Microsoft Office Outlook</Application>
  <DocSecurity>0</DocSecurity>
  <Lines>0</Lines>
  <Paragraphs>0</Paragraphs>
  <ScaleCrop>false</ScaleCrop>
  <Company>Jūras administrācija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Jūras kodeksā</dc:title>
  <dc:subject>likumprojekts</dc:subject>
  <dc:creator>Vija Putāne</dc:creator>
  <cp:keywords/>
  <dc:description>Vija Putāne, 67062108, vija.putane@lja.lv</dc:description>
  <cp:lastModifiedBy>Aiga Bruvere</cp:lastModifiedBy>
  <cp:revision>48</cp:revision>
  <cp:lastPrinted>2011-07-21T08:24:00Z</cp:lastPrinted>
  <dcterms:created xsi:type="dcterms:W3CDTF">2010-05-27T19:23:00Z</dcterms:created>
  <dcterms:modified xsi:type="dcterms:W3CDTF">2011-08-05T08:55:00Z</dcterms:modified>
</cp:coreProperties>
</file>