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6B" w:rsidRDefault="00EC6D6B" w:rsidP="00C15F47">
      <w:pPr>
        <w:ind w:right="-334"/>
        <w:jc w:val="right"/>
        <w:rPr>
          <w:sz w:val="28"/>
          <w:szCs w:val="28"/>
        </w:rPr>
      </w:pPr>
    </w:p>
    <w:p w:rsidR="00EC6D6B" w:rsidRPr="004C6536" w:rsidRDefault="00EC6D6B" w:rsidP="00C15F47">
      <w:pPr>
        <w:ind w:right="-334"/>
        <w:jc w:val="right"/>
        <w:rPr>
          <w:sz w:val="28"/>
          <w:szCs w:val="28"/>
        </w:rPr>
      </w:pPr>
      <w:r w:rsidRPr="004C6536">
        <w:rPr>
          <w:sz w:val="28"/>
          <w:szCs w:val="28"/>
        </w:rPr>
        <w:t>Projekts</w:t>
      </w:r>
    </w:p>
    <w:p w:rsidR="00EC6D6B" w:rsidRDefault="00EC6D6B" w:rsidP="00C15F47">
      <w:pPr>
        <w:ind w:right="-334"/>
        <w:jc w:val="center"/>
        <w:rPr>
          <w:sz w:val="28"/>
          <w:szCs w:val="28"/>
          <w:lang w:val="de-DE"/>
        </w:rPr>
      </w:pPr>
    </w:p>
    <w:p w:rsidR="00EC6D6B" w:rsidRPr="004C6536" w:rsidRDefault="00EC6D6B" w:rsidP="00C15F47">
      <w:pPr>
        <w:ind w:right="-334"/>
        <w:jc w:val="center"/>
        <w:rPr>
          <w:sz w:val="28"/>
          <w:szCs w:val="28"/>
          <w:lang w:val="de-DE"/>
        </w:rPr>
      </w:pPr>
      <w:r w:rsidRPr="004C6536">
        <w:rPr>
          <w:sz w:val="28"/>
          <w:szCs w:val="28"/>
          <w:lang w:val="de-DE"/>
        </w:rPr>
        <w:t>Latvijas Republikas Ministru kabinets</w:t>
      </w:r>
    </w:p>
    <w:p w:rsidR="00EC6D6B" w:rsidRPr="004C6536" w:rsidRDefault="00EC6D6B" w:rsidP="00C15F47">
      <w:pPr>
        <w:ind w:right="-334"/>
        <w:jc w:val="both"/>
        <w:rPr>
          <w:sz w:val="28"/>
          <w:szCs w:val="28"/>
          <w:lang w:val="de-DE"/>
        </w:rPr>
      </w:pPr>
    </w:p>
    <w:p w:rsidR="00EC6D6B" w:rsidRDefault="00EC6D6B" w:rsidP="00C15F47">
      <w:pPr>
        <w:ind w:right="-334"/>
        <w:jc w:val="both"/>
        <w:rPr>
          <w:sz w:val="28"/>
          <w:szCs w:val="28"/>
          <w:lang w:val="de-DE"/>
        </w:rPr>
      </w:pPr>
    </w:p>
    <w:p w:rsidR="00EC6D6B" w:rsidRPr="004C6536" w:rsidRDefault="00EC6D6B" w:rsidP="00C15F47">
      <w:pPr>
        <w:ind w:right="-334"/>
        <w:jc w:val="both"/>
        <w:rPr>
          <w:sz w:val="28"/>
          <w:szCs w:val="28"/>
          <w:lang w:val="de-DE"/>
        </w:rPr>
      </w:pPr>
      <w:r w:rsidRPr="004C6536">
        <w:rPr>
          <w:sz w:val="28"/>
          <w:szCs w:val="28"/>
          <w:lang w:val="de-DE"/>
        </w:rPr>
        <w:t>2011.gada ___._______                                              Noteikumi Nr.__</w:t>
      </w:r>
    </w:p>
    <w:p w:rsidR="00EC6D6B" w:rsidRPr="004C6536" w:rsidRDefault="00EC6D6B" w:rsidP="00C15F47">
      <w:pPr>
        <w:ind w:right="-334"/>
        <w:jc w:val="both"/>
        <w:rPr>
          <w:sz w:val="28"/>
          <w:szCs w:val="28"/>
        </w:rPr>
      </w:pPr>
      <w:r w:rsidRPr="004C6536">
        <w:rPr>
          <w:sz w:val="28"/>
          <w:szCs w:val="28"/>
        </w:rPr>
        <w:t>Rīgā                                                                               (prot. Nr.__  __.§)</w:t>
      </w:r>
    </w:p>
    <w:p w:rsidR="00EC6D6B" w:rsidRPr="004C6536" w:rsidRDefault="00EC6D6B" w:rsidP="00C15F47">
      <w:pPr>
        <w:ind w:right="-334"/>
        <w:jc w:val="both"/>
        <w:rPr>
          <w:sz w:val="28"/>
          <w:szCs w:val="28"/>
        </w:rPr>
      </w:pPr>
    </w:p>
    <w:p w:rsidR="00EC6D6B" w:rsidRDefault="00EC6D6B" w:rsidP="00C15F47">
      <w:pPr>
        <w:ind w:right="-334"/>
        <w:jc w:val="center"/>
        <w:rPr>
          <w:b/>
          <w:bCs/>
          <w:sz w:val="28"/>
          <w:szCs w:val="28"/>
        </w:rPr>
      </w:pPr>
    </w:p>
    <w:p w:rsidR="00EC6D6B" w:rsidRPr="00EC42E1" w:rsidRDefault="00EC6D6B" w:rsidP="00C15F47">
      <w:pPr>
        <w:ind w:right="-334"/>
        <w:jc w:val="center"/>
        <w:rPr>
          <w:b/>
          <w:bCs/>
          <w:sz w:val="28"/>
          <w:szCs w:val="28"/>
        </w:rPr>
      </w:pPr>
      <w:r w:rsidRPr="00EC42E1">
        <w:rPr>
          <w:b/>
          <w:bCs/>
          <w:sz w:val="28"/>
          <w:szCs w:val="28"/>
        </w:rPr>
        <w:t>Grozījumi Ministru kabineta 2005.gada 7.jūnija noteikumos Nr.402 „Noteikumi par reklāmas objektu vai informācijas objektu izvietošanu gar ceļiem, kā arī kārtību, kādā saskaņojama reklāmas objektu vai informācijas objektu izvietošana”</w:t>
      </w:r>
    </w:p>
    <w:p w:rsidR="00EC6D6B" w:rsidRDefault="00EC6D6B" w:rsidP="00C15F47">
      <w:pPr>
        <w:ind w:right="-334"/>
        <w:jc w:val="right"/>
        <w:rPr>
          <w:sz w:val="28"/>
          <w:szCs w:val="28"/>
        </w:rPr>
      </w:pPr>
    </w:p>
    <w:p w:rsidR="00EC6D6B" w:rsidRPr="00EC42E1" w:rsidRDefault="00EC6D6B" w:rsidP="00C15F47">
      <w:pPr>
        <w:ind w:right="-334"/>
        <w:jc w:val="right"/>
        <w:rPr>
          <w:iCs/>
          <w:sz w:val="28"/>
          <w:szCs w:val="28"/>
        </w:rPr>
      </w:pPr>
      <w:r w:rsidRPr="00EC42E1">
        <w:rPr>
          <w:sz w:val="28"/>
          <w:szCs w:val="28"/>
        </w:rPr>
        <w:t xml:space="preserve"> </w:t>
      </w:r>
      <w:r w:rsidRPr="00EC42E1">
        <w:rPr>
          <w:iCs/>
          <w:sz w:val="28"/>
          <w:szCs w:val="28"/>
        </w:rPr>
        <w:t>Izdoti saskaņā ar</w:t>
      </w:r>
    </w:p>
    <w:p w:rsidR="00EC6D6B" w:rsidRPr="00EC42E1" w:rsidRDefault="00EC6D6B" w:rsidP="00C15F47">
      <w:pPr>
        <w:ind w:right="-334"/>
        <w:jc w:val="right"/>
        <w:rPr>
          <w:iCs/>
          <w:sz w:val="28"/>
          <w:szCs w:val="28"/>
        </w:rPr>
      </w:pPr>
      <w:r w:rsidRPr="00EC42E1">
        <w:rPr>
          <w:iCs/>
          <w:sz w:val="28"/>
          <w:szCs w:val="28"/>
        </w:rPr>
        <w:t>Ceļu satiksmes likuma</w:t>
      </w:r>
    </w:p>
    <w:p w:rsidR="00EC6D6B" w:rsidRPr="00EC42E1" w:rsidRDefault="00EC6D6B" w:rsidP="00C15F47">
      <w:pPr>
        <w:ind w:right="-334"/>
        <w:jc w:val="right"/>
        <w:rPr>
          <w:iCs/>
          <w:sz w:val="28"/>
          <w:szCs w:val="28"/>
        </w:rPr>
      </w:pPr>
      <w:r w:rsidRPr="00EC42E1">
        <w:rPr>
          <w:iCs/>
          <w:sz w:val="28"/>
          <w:szCs w:val="28"/>
        </w:rPr>
        <w:t xml:space="preserve">40.panta otro daļu </w:t>
      </w:r>
    </w:p>
    <w:p w:rsidR="00EC6D6B" w:rsidRDefault="00EC6D6B" w:rsidP="00C15F47">
      <w:pPr>
        <w:ind w:right="-334" w:firstLine="720"/>
        <w:jc w:val="both"/>
        <w:rPr>
          <w:sz w:val="28"/>
          <w:szCs w:val="28"/>
        </w:rPr>
      </w:pPr>
    </w:p>
    <w:p w:rsidR="00EC6D6B" w:rsidRPr="00EC42E1" w:rsidRDefault="00EC6D6B" w:rsidP="00C15F47">
      <w:pPr>
        <w:ind w:right="-334" w:firstLine="720"/>
        <w:jc w:val="both"/>
        <w:rPr>
          <w:sz w:val="28"/>
          <w:szCs w:val="28"/>
        </w:rPr>
      </w:pPr>
    </w:p>
    <w:p w:rsidR="00EC6D6B" w:rsidRPr="00EC42E1" w:rsidRDefault="00EC6D6B" w:rsidP="00C15F47">
      <w:pPr>
        <w:ind w:right="-334" w:firstLine="720"/>
        <w:jc w:val="both"/>
        <w:rPr>
          <w:sz w:val="28"/>
          <w:szCs w:val="28"/>
        </w:rPr>
      </w:pPr>
      <w:r w:rsidRPr="00EC42E1">
        <w:rPr>
          <w:sz w:val="28"/>
          <w:szCs w:val="28"/>
        </w:rPr>
        <w:t>Izdarīt Ministru kabineta 2005.gada 7.jūnija noteikumos Nr.402 „Noteikumi par reklāmas objektu vai informācijas objektu izvietošanu gar ceļiem, kā arī kārtību, kādā saskaņojama reklāmas objektu vai informācijas objektu izvietošana” (Latvijas Vēstnesis, 2005, 92.nr., 2008, 187.nr.) šādus grozījumus:</w:t>
      </w: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sidRPr="004C6536">
        <w:rPr>
          <w:sz w:val="28"/>
          <w:szCs w:val="28"/>
        </w:rPr>
        <w:t>1. Papildināt noteikumus ar 1.</w:t>
      </w:r>
      <w:r w:rsidRPr="004C6536">
        <w:rPr>
          <w:sz w:val="28"/>
          <w:szCs w:val="28"/>
          <w:vertAlign w:val="superscript"/>
        </w:rPr>
        <w:t>1</w:t>
      </w:r>
      <w:r w:rsidRPr="004C6536">
        <w:rPr>
          <w:sz w:val="28"/>
          <w:szCs w:val="28"/>
        </w:rPr>
        <w:t>punktu šādā redakcijā:</w:t>
      </w:r>
    </w:p>
    <w:p w:rsidR="00EC6D6B" w:rsidRPr="004C6536" w:rsidRDefault="00EC6D6B" w:rsidP="00C15F47">
      <w:pPr>
        <w:ind w:right="-334" w:firstLine="720"/>
        <w:jc w:val="both"/>
        <w:rPr>
          <w:sz w:val="28"/>
          <w:szCs w:val="28"/>
        </w:rPr>
      </w:pPr>
      <w:r w:rsidRPr="004C6536">
        <w:rPr>
          <w:sz w:val="28"/>
          <w:szCs w:val="28"/>
        </w:rPr>
        <w:t>„1</w:t>
      </w:r>
      <w:r w:rsidRPr="004C6536">
        <w:rPr>
          <w:sz w:val="28"/>
          <w:szCs w:val="28"/>
          <w:vertAlign w:val="superscript"/>
        </w:rPr>
        <w:t>1</w:t>
      </w:r>
      <w:r w:rsidRPr="004C6536">
        <w:rPr>
          <w:sz w:val="28"/>
          <w:szCs w:val="28"/>
        </w:rPr>
        <w:t>. Noteikumos lietotie termini:</w:t>
      </w:r>
    </w:p>
    <w:p w:rsidR="00EC6D6B" w:rsidRPr="004C6536" w:rsidRDefault="00EC6D6B" w:rsidP="00C15F47">
      <w:pPr>
        <w:ind w:right="-334" w:firstLine="720"/>
        <w:jc w:val="both"/>
        <w:rPr>
          <w:sz w:val="28"/>
          <w:szCs w:val="28"/>
        </w:rPr>
      </w:pPr>
      <w:r w:rsidRPr="004C6536">
        <w:rPr>
          <w:sz w:val="28"/>
          <w:szCs w:val="28"/>
        </w:rPr>
        <w:t>1</w:t>
      </w:r>
      <w:r w:rsidRPr="004C6536">
        <w:rPr>
          <w:sz w:val="28"/>
          <w:szCs w:val="28"/>
          <w:vertAlign w:val="superscript"/>
        </w:rPr>
        <w:t>1</w:t>
      </w:r>
      <w:r>
        <w:rPr>
          <w:sz w:val="28"/>
          <w:szCs w:val="28"/>
        </w:rPr>
        <w:t>.1</w:t>
      </w:r>
      <w:r w:rsidRPr="004C6536">
        <w:rPr>
          <w:sz w:val="28"/>
          <w:szCs w:val="28"/>
        </w:rPr>
        <w:t xml:space="preserve">. informācijas objekts – vizuālās informācijas stends, kas izvietots pie jebkuras </w:t>
      </w:r>
      <w:r>
        <w:rPr>
          <w:sz w:val="28"/>
          <w:szCs w:val="28"/>
        </w:rPr>
        <w:t>institūcijas</w:t>
      </w:r>
      <w:r w:rsidRPr="004C6536">
        <w:rPr>
          <w:sz w:val="28"/>
          <w:szCs w:val="28"/>
        </w:rPr>
        <w:t xml:space="preserve"> vai komercdarbības veikšanas vietas vai pie nobrauktuves uz iestādi vai komercdarbības veikšanas vietu;</w:t>
      </w:r>
    </w:p>
    <w:p w:rsidR="00EC6D6B" w:rsidRPr="004C6536" w:rsidRDefault="00EC6D6B" w:rsidP="00C15F47">
      <w:pPr>
        <w:ind w:right="-334" w:firstLine="720"/>
        <w:jc w:val="both"/>
        <w:rPr>
          <w:sz w:val="28"/>
          <w:szCs w:val="28"/>
        </w:rPr>
      </w:pPr>
      <w:r w:rsidRPr="004C6536">
        <w:rPr>
          <w:sz w:val="28"/>
          <w:szCs w:val="28"/>
        </w:rPr>
        <w:t>1</w:t>
      </w:r>
      <w:r w:rsidRPr="004C6536">
        <w:rPr>
          <w:sz w:val="28"/>
          <w:szCs w:val="28"/>
          <w:vertAlign w:val="superscript"/>
        </w:rPr>
        <w:t>1</w:t>
      </w:r>
      <w:r w:rsidRPr="004C6536">
        <w:rPr>
          <w:sz w:val="28"/>
          <w:szCs w:val="28"/>
        </w:rPr>
        <w:t>.</w:t>
      </w:r>
      <w:r>
        <w:rPr>
          <w:sz w:val="28"/>
          <w:szCs w:val="28"/>
        </w:rPr>
        <w:t>2</w:t>
      </w:r>
      <w:r w:rsidRPr="004C6536">
        <w:rPr>
          <w:sz w:val="28"/>
          <w:szCs w:val="28"/>
        </w:rPr>
        <w:t>. reklāmas objekts – jebkuras formas vai jebkura veida priekšmets, konstrukcija vai būve, kas speciāli</w:t>
      </w:r>
      <w:r>
        <w:rPr>
          <w:sz w:val="28"/>
          <w:szCs w:val="28"/>
        </w:rPr>
        <w:t xml:space="preserve"> veidots reklāmas izvietošanai.</w:t>
      </w:r>
      <w:r w:rsidRPr="004C6536">
        <w:rPr>
          <w:sz w:val="28"/>
          <w:szCs w:val="28"/>
        </w:rPr>
        <w:t>”.</w:t>
      </w: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sidRPr="004C6536">
        <w:rPr>
          <w:sz w:val="28"/>
          <w:szCs w:val="28"/>
        </w:rPr>
        <w:t>2. Izteikt 2.punktu šādā redakcijā:</w:t>
      </w:r>
    </w:p>
    <w:p w:rsidR="00EC6D6B" w:rsidRPr="004C6536" w:rsidRDefault="00EC6D6B" w:rsidP="00C15F47">
      <w:pPr>
        <w:ind w:right="-334" w:firstLine="720"/>
        <w:jc w:val="both"/>
        <w:rPr>
          <w:sz w:val="28"/>
          <w:szCs w:val="28"/>
        </w:rPr>
      </w:pPr>
      <w:r w:rsidRPr="004C6536">
        <w:rPr>
          <w:sz w:val="28"/>
          <w:szCs w:val="28"/>
        </w:rPr>
        <w:t>„2. Noteikumi neattiecas uz:</w:t>
      </w:r>
    </w:p>
    <w:p w:rsidR="00EC6D6B" w:rsidRPr="004C6536" w:rsidRDefault="00EC6D6B" w:rsidP="00C15F47">
      <w:pPr>
        <w:ind w:right="-334" w:firstLine="720"/>
        <w:jc w:val="both"/>
        <w:rPr>
          <w:sz w:val="28"/>
          <w:szCs w:val="28"/>
        </w:rPr>
      </w:pPr>
      <w:r w:rsidRPr="004C6536">
        <w:rPr>
          <w:sz w:val="28"/>
          <w:szCs w:val="28"/>
        </w:rPr>
        <w:t>2.1. reklām</w:t>
      </w:r>
      <w:r>
        <w:rPr>
          <w:sz w:val="28"/>
          <w:szCs w:val="28"/>
        </w:rPr>
        <w:t>as objektiem</w:t>
      </w:r>
      <w:r w:rsidRPr="004C6536">
        <w:rPr>
          <w:sz w:val="28"/>
          <w:szCs w:val="28"/>
        </w:rPr>
        <w:t>, kas izvietot</w:t>
      </w:r>
      <w:r>
        <w:rPr>
          <w:sz w:val="28"/>
          <w:szCs w:val="28"/>
        </w:rPr>
        <w:t>i</w:t>
      </w:r>
      <w:r w:rsidRPr="004C6536">
        <w:rPr>
          <w:sz w:val="28"/>
          <w:szCs w:val="28"/>
        </w:rPr>
        <w:t xml:space="preserve"> uz ēkām;</w:t>
      </w:r>
    </w:p>
    <w:p w:rsidR="00EC6D6B" w:rsidRPr="004C6536" w:rsidRDefault="00EC6D6B" w:rsidP="00C15F47">
      <w:pPr>
        <w:ind w:right="-334" w:firstLine="720"/>
        <w:jc w:val="both"/>
        <w:rPr>
          <w:sz w:val="28"/>
          <w:szCs w:val="28"/>
        </w:rPr>
      </w:pPr>
      <w:r w:rsidRPr="004C6536">
        <w:rPr>
          <w:sz w:val="28"/>
          <w:szCs w:val="28"/>
        </w:rPr>
        <w:t>2.2. informatīvajiem plakātiem, ko izvieto valsts akciju sabiedrība “Ceļu satiksmes drošības direkcija” ceļu satiksmes drošības kampaņu ietvaros;</w:t>
      </w:r>
    </w:p>
    <w:p w:rsidR="00EC6D6B" w:rsidRPr="004C6536" w:rsidRDefault="00EC6D6B" w:rsidP="00C15F47">
      <w:pPr>
        <w:ind w:right="-334" w:firstLine="720"/>
        <w:jc w:val="both"/>
        <w:rPr>
          <w:iCs/>
          <w:sz w:val="28"/>
          <w:szCs w:val="28"/>
        </w:rPr>
      </w:pPr>
      <w:r w:rsidRPr="004C6536">
        <w:rPr>
          <w:iCs/>
          <w:sz w:val="28"/>
          <w:szCs w:val="28"/>
        </w:rPr>
        <w:t>2.3. Eiropas Savienības fondu līdzfinansēto būvju publicitātes līdzekļiem;</w:t>
      </w:r>
    </w:p>
    <w:p w:rsidR="00EC6D6B" w:rsidRPr="004C6536" w:rsidRDefault="00EC6D6B" w:rsidP="00C15F47">
      <w:pPr>
        <w:ind w:right="-334" w:firstLine="720"/>
        <w:jc w:val="both"/>
        <w:rPr>
          <w:iCs/>
          <w:sz w:val="28"/>
          <w:szCs w:val="28"/>
        </w:rPr>
      </w:pPr>
      <w:r w:rsidRPr="004C6536">
        <w:rPr>
          <w:iCs/>
          <w:sz w:val="28"/>
          <w:szCs w:val="28"/>
        </w:rPr>
        <w:t>2.4. pašvaldību identitātei atbilstošiem vēsturiskajiem afišu stabiem;</w:t>
      </w:r>
    </w:p>
    <w:p w:rsidR="00EC6D6B" w:rsidRPr="004C6536" w:rsidRDefault="00EC6D6B" w:rsidP="00C15F47">
      <w:pPr>
        <w:ind w:right="-334" w:firstLine="720"/>
        <w:jc w:val="both"/>
        <w:rPr>
          <w:iCs/>
          <w:sz w:val="28"/>
          <w:szCs w:val="28"/>
        </w:rPr>
      </w:pPr>
      <w:r w:rsidRPr="004C6536">
        <w:rPr>
          <w:iCs/>
          <w:sz w:val="28"/>
          <w:szCs w:val="28"/>
        </w:rPr>
        <w:t>2.5. būvizkārtnēm</w:t>
      </w:r>
      <w:r w:rsidRPr="005C4CF4">
        <w:t xml:space="preserve"> </w:t>
      </w:r>
      <w:r>
        <w:t xml:space="preserve">- </w:t>
      </w:r>
      <w:r w:rsidRPr="005C4CF4">
        <w:rPr>
          <w:iCs/>
          <w:sz w:val="28"/>
          <w:szCs w:val="28"/>
        </w:rPr>
        <w:t>informatīva plāksne ar informāciju par būvobjektu, kas tiek izvietota uz būvniecības laiku</w:t>
      </w:r>
      <w:r w:rsidRPr="004C6536">
        <w:rPr>
          <w:iCs/>
          <w:sz w:val="28"/>
          <w:szCs w:val="28"/>
        </w:rPr>
        <w:t>.”.</w:t>
      </w:r>
    </w:p>
    <w:p w:rsidR="00EC6D6B" w:rsidRPr="004C6536" w:rsidRDefault="00EC6D6B" w:rsidP="00C15F47">
      <w:pPr>
        <w:ind w:right="-334" w:firstLine="720"/>
        <w:jc w:val="both"/>
        <w:rPr>
          <w:iCs/>
          <w:sz w:val="28"/>
          <w:szCs w:val="28"/>
        </w:rPr>
      </w:pPr>
    </w:p>
    <w:p w:rsidR="00EC6D6B" w:rsidRPr="004C6536" w:rsidRDefault="00EC6D6B" w:rsidP="00C15F47">
      <w:pPr>
        <w:ind w:right="-334" w:firstLine="720"/>
        <w:jc w:val="both"/>
        <w:rPr>
          <w:sz w:val="28"/>
          <w:szCs w:val="28"/>
        </w:rPr>
      </w:pPr>
      <w:r w:rsidRPr="004C6536">
        <w:rPr>
          <w:sz w:val="28"/>
          <w:szCs w:val="28"/>
        </w:rPr>
        <w:t>3. Izteikt 3.punkta ievaddaļu šādā redakcijā:</w:t>
      </w:r>
    </w:p>
    <w:p w:rsidR="00EC6D6B" w:rsidRPr="004C6536" w:rsidRDefault="00EC6D6B" w:rsidP="00C15F47">
      <w:pPr>
        <w:ind w:right="-334" w:firstLine="720"/>
        <w:jc w:val="both"/>
        <w:rPr>
          <w:sz w:val="28"/>
          <w:szCs w:val="28"/>
        </w:rPr>
      </w:pPr>
      <w:r w:rsidRPr="004C6536">
        <w:rPr>
          <w:sz w:val="28"/>
          <w:szCs w:val="28"/>
        </w:rPr>
        <w:t>„3. Reklāmas objekti un informācijas objekti nedrīkst:”.</w:t>
      </w: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sidRPr="004C6536">
        <w:rPr>
          <w:sz w:val="28"/>
          <w:szCs w:val="28"/>
        </w:rPr>
        <w:t>4. Izteikt 4.punktu šādā redakcijā:</w:t>
      </w:r>
    </w:p>
    <w:p w:rsidR="00EC6D6B" w:rsidRPr="004C6536" w:rsidRDefault="00EC6D6B" w:rsidP="00C15F47">
      <w:pPr>
        <w:ind w:right="-334" w:firstLine="720"/>
        <w:jc w:val="both"/>
        <w:rPr>
          <w:sz w:val="28"/>
          <w:szCs w:val="28"/>
        </w:rPr>
      </w:pPr>
      <w:r w:rsidRPr="004C6536">
        <w:rPr>
          <w:sz w:val="28"/>
          <w:szCs w:val="28"/>
        </w:rPr>
        <w:t>„4. Informācijas objektā vienā plaknē nedrīkst būt vairāk par 40 vārdiem vai atsevišķiem grafiskiem attēliem, vai atsevišķiem simboliem, vai atsevišķām skaitļu kombi</w:t>
      </w:r>
      <w:r w:rsidRPr="004C6536">
        <w:rPr>
          <w:sz w:val="28"/>
          <w:szCs w:val="28"/>
        </w:rPr>
        <w:softHyphen/>
        <w:t>nācijām. Šī norma neattiecas uz pašvaldību izvietotajām informatīvajām tūrisma kartēm un shēmām.”.</w:t>
      </w: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sidRPr="004C6536">
        <w:rPr>
          <w:sz w:val="28"/>
          <w:szCs w:val="28"/>
        </w:rPr>
        <w:t>5. Izteikt 11. un 12.punktu šādā redakcijā:</w:t>
      </w:r>
    </w:p>
    <w:p w:rsidR="00EC6D6B" w:rsidRPr="004C6536" w:rsidRDefault="00EC6D6B" w:rsidP="00C15F47">
      <w:pPr>
        <w:ind w:right="-334" w:firstLine="720"/>
        <w:jc w:val="both"/>
        <w:rPr>
          <w:sz w:val="28"/>
          <w:szCs w:val="28"/>
        </w:rPr>
      </w:pPr>
      <w:r w:rsidRPr="004C6536">
        <w:rPr>
          <w:sz w:val="28"/>
          <w:szCs w:val="28"/>
        </w:rPr>
        <w:t xml:space="preserve">„11. Reklāmas objektus ielu posmos, kur transportlīdzekļiem atļauts braukt ar ātrumu, kas nepārsniedz </w:t>
      </w:r>
      <w:smartTag w:uri="urn:schemas-microsoft-com:office:smarttags" w:element="metricconverter">
        <w:smartTagPr>
          <w:attr w:name="ProductID" w:val="50 km/h"/>
        </w:smartTagPr>
        <w:r w:rsidRPr="004C6536">
          <w:rPr>
            <w:sz w:val="28"/>
            <w:szCs w:val="28"/>
          </w:rPr>
          <w:t>50 km/h</w:t>
        </w:r>
      </w:smartTag>
      <w:r w:rsidRPr="004C6536">
        <w:rPr>
          <w:sz w:val="28"/>
          <w:szCs w:val="28"/>
        </w:rPr>
        <w:t>, izvieto:</w:t>
      </w:r>
    </w:p>
    <w:p w:rsidR="00EC6D6B" w:rsidRPr="004C6536" w:rsidRDefault="00EC6D6B" w:rsidP="00C15F47">
      <w:pPr>
        <w:ind w:right="-334" w:firstLine="720"/>
        <w:jc w:val="both"/>
        <w:rPr>
          <w:sz w:val="28"/>
          <w:szCs w:val="28"/>
        </w:rPr>
      </w:pPr>
      <w:r w:rsidRPr="004C6536">
        <w:rPr>
          <w:sz w:val="28"/>
          <w:szCs w:val="28"/>
        </w:rPr>
        <w:t xml:space="preserve">11.1. ne tuvāk par </w:t>
      </w:r>
      <w:smartTag w:uri="urn:schemas-microsoft-com:office:smarttags" w:element="metricconverter">
        <w:smartTagPr>
          <w:attr w:name="ProductID" w:val="0,5 metriem"/>
        </w:smartTagPr>
        <w:r w:rsidRPr="004C6536">
          <w:rPr>
            <w:sz w:val="28"/>
            <w:szCs w:val="28"/>
          </w:rPr>
          <w:t>0,5 metriem</w:t>
        </w:r>
      </w:smartTag>
      <w:r w:rsidRPr="004C6536">
        <w:rPr>
          <w:sz w:val="28"/>
          <w:szCs w:val="28"/>
        </w:rPr>
        <w:t xml:space="preserve"> no brauktuves malas, bet, ja ir nomale,– no nomales malas (attālums mērāms no reklāmas objekta malas, kas atrodas tuvāk brauktuvei);</w:t>
      </w:r>
    </w:p>
    <w:p w:rsidR="00EC6D6B" w:rsidRPr="004C6536" w:rsidRDefault="00EC6D6B" w:rsidP="00C15F47">
      <w:pPr>
        <w:ind w:right="-334" w:firstLine="720"/>
        <w:jc w:val="both"/>
        <w:rPr>
          <w:sz w:val="28"/>
          <w:szCs w:val="28"/>
        </w:rPr>
      </w:pPr>
      <w:r w:rsidRPr="004C6536">
        <w:rPr>
          <w:sz w:val="28"/>
          <w:szCs w:val="28"/>
        </w:rPr>
        <w:t xml:space="preserve">11.2. uz ietves, paredzot gājēju kustībai vismaz 75% no ietves platuma, bet ne mazāk kā </w:t>
      </w:r>
      <w:smartTag w:uri="urn:schemas-microsoft-com:office:smarttags" w:element="metricconverter">
        <w:smartTagPr>
          <w:attr w:name="ProductID" w:val="1,5 metrus"/>
        </w:smartTagPr>
        <w:r w:rsidRPr="004C6536">
          <w:rPr>
            <w:sz w:val="28"/>
            <w:szCs w:val="28"/>
          </w:rPr>
          <w:t>1,5 metrus</w:t>
        </w:r>
      </w:smartTag>
      <w:r>
        <w:rPr>
          <w:sz w:val="28"/>
          <w:szCs w:val="28"/>
        </w:rPr>
        <w:t xml:space="preserve"> platu brīvu ietvi.</w:t>
      </w:r>
      <w:r w:rsidRPr="004C6536">
        <w:rPr>
          <w:sz w:val="28"/>
          <w:szCs w:val="28"/>
        </w:rPr>
        <w:t xml:space="preserve"> Ja uz ietves ir izveidots gājēju un velosipēdistu ceļš, tad jāparedz vismaz </w:t>
      </w:r>
      <w:smartTag w:uri="urn:schemas-microsoft-com:office:smarttags" w:element="metricconverter">
        <w:smartTagPr>
          <w:attr w:name="ProductID" w:val="2,25 metrus"/>
        </w:smartTagPr>
        <w:r w:rsidRPr="004C6536">
          <w:rPr>
            <w:sz w:val="28"/>
            <w:szCs w:val="28"/>
          </w:rPr>
          <w:t>2,25 metrus</w:t>
        </w:r>
      </w:smartTag>
      <w:r w:rsidRPr="004C6536">
        <w:rPr>
          <w:sz w:val="28"/>
          <w:szCs w:val="28"/>
        </w:rPr>
        <w:t xml:space="preserve"> plata brīva zona.</w:t>
      </w:r>
    </w:p>
    <w:p w:rsidR="00EC6D6B" w:rsidRPr="004C6536" w:rsidRDefault="00EC6D6B" w:rsidP="00C15F47">
      <w:pPr>
        <w:ind w:right="-334" w:firstLine="720"/>
        <w:jc w:val="both"/>
        <w:rPr>
          <w:sz w:val="28"/>
          <w:szCs w:val="28"/>
        </w:rPr>
      </w:pPr>
      <w:r w:rsidRPr="004C6536">
        <w:rPr>
          <w:sz w:val="28"/>
          <w:szCs w:val="28"/>
        </w:rPr>
        <w:t xml:space="preserve">11.3. ne tuvāk par 12,0 m no brauktuves malas, ja telpisko reklāmas objektu (apaļi vai trīsplakņu piloni, figurāli objekti) izmēri pārsniedz </w:t>
      </w:r>
      <w:smartTag w:uri="urn:schemas-microsoft-com:office:smarttags" w:element="metricconverter">
        <w:smartTagPr>
          <w:attr w:name="ProductID" w:val="1,8 m"/>
        </w:smartTagPr>
        <w:r w:rsidRPr="004C6536">
          <w:rPr>
            <w:sz w:val="28"/>
            <w:szCs w:val="28"/>
          </w:rPr>
          <w:t>1,8 m</w:t>
        </w:r>
      </w:smartTag>
      <w:r w:rsidRPr="004C6536">
        <w:rPr>
          <w:sz w:val="28"/>
          <w:szCs w:val="28"/>
        </w:rPr>
        <w:t xml:space="preserve"> šķērsgriezumā un </w:t>
      </w:r>
      <w:smartTag w:uri="urn:schemas-microsoft-com:office:smarttags" w:element="metricconverter">
        <w:smartTagPr>
          <w:attr w:name="ProductID" w:val="4,5 m"/>
        </w:smartTagPr>
        <w:r w:rsidRPr="004C6536">
          <w:rPr>
            <w:sz w:val="28"/>
            <w:szCs w:val="28"/>
          </w:rPr>
          <w:t>4,5 m</w:t>
        </w:r>
      </w:smartTag>
      <w:r w:rsidRPr="004C6536">
        <w:rPr>
          <w:sz w:val="28"/>
          <w:szCs w:val="28"/>
        </w:rPr>
        <w:t xml:space="preserve"> augstumā, bet vienpusējo un divpusējo reklāmas objektu izmēri – </w:t>
      </w:r>
      <w:smartTag w:uri="urn:schemas-microsoft-com:office:smarttags" w:element="metricconverter">
        <w:smartTagPr>
          <w:attr w:name="ProductID" w:val="1,5 m"/>
        </w:smartTagPr>
        <w:r w:rsidRPr="004C6536">
          <w:rPr>
            <w:sz w:val="28"/>
            <w:szCs w:val="28"/>
          </w:rPr>
          <w:t>1,5 m</w:t>
        </w:r>
      </w:smartTag>
      <w:r w:rsidRPr="004C6536">
        <w:rPr>
          <w:sz w:val="28"/>
          <w:szCs w:val="28"/>
        </w:rPr>
        <w:t xml:space="preserve"> platumā un </w:t>
      </w:r>
      <w:smartTag w:uri="urn:schemas-microsoft-com:office:smarttags" w:element="metricconverter">
        <w:smartTagPr>
          <w:attr w:name="ProductID" w:val="2,5 m"/>
        </w:smartTagPr>
        <w:r w:rsidRPr="004C6536">
          <w:rPr>
            <w:sz w:val="28"/>
            <w:szCs w:val="28"/>
          </w:rPr>
          <w:t>2,5 m</w:t>
        </w:r>
      </w:smartTag>
      <w:r w:rsidRPr="004C6536">
        <w:rPr>
          <w:sz w:val="28"/>
          <w:szCs w:val="28"/>
        </w:rPr>
        <w:t xml:space="preserve"> augstumā;</w:t>
      </w:r>
    </w:p>
    <w:p w:rsidR="00EC6D6B" w:rsidRPr="004C6536" w:rsidRDefault="00EC6D6B" w:rsidP="00C15F47">
      <w:pPr>
        <w:ind w:right="-334" w:firstLine="720"/>
        <w:jc w:val="both"/>
        <w:rPr>
          <w:sz w:val="28"/>
          <w:szCs w:val="28"/>
        </w:rPr>
      </w:pPr>
      <w:r w:rsidRPr="004C6536">
        <w:rPr>
          <w:sz w:val="28"/>
          <w:szCs w:val="28"/>
        </w:rPr>
        <w:t xml:space="preserve">11.4. paralēli ceļa asij, bet ne tuvāk par </w:t>
      </w:r>
      <w:smartTag w:uri="urn:schemas-microsoft-com:office:smarttags" w:element="metricconverter">
        <w:smartTagPr>
          <w:attr w:name="ProductID" w:val="5,0 metriem"/>
        </w:smartTagPr>
        <w:r w:rsidRPr="004C6536">
          <w:rPr>
            <w:sz w:val="28"/>
            <w:szCs w:val="28"/>
          </w:rPr>
          <w:t>5,0 metriem</w:t>
        </w:r>
      </w:smartTag>
      <w:r w:rsidRPr="004C6536">
        <w:rPr>
          <w:sz w:val="28"/>
          <w:szCs w:val="28"/>
        </w:rPr>
        <w:t xml:space="preserve"> no brauktuves malas, ja vienpusējs vai divpusējs reklāmas objekts pārsniedz </w:t>
      </w:r>
      <w:r>
        <w:rPr>
          <w:sz w:val="28"/>
          <w:szCs w:val="28"/>
        </w:rPr>
        <w:t xml:space="preserve">šo noteikumu </w:t>
      </w:r>
      <w:r w:rsidRPr="004C6536">
        <w:rPr>
          <w:sz w:val="28"/>
          <w:szCs w:val="28"/>
        </w:rPr>
        <w:t xml:space="preserve">11.3.apakšpunktā noteiktos izmērus, bet reklāmas objekta kopējā platība nepārsniedz </w:t>
      </w:r>
      <w:smartTag w:uri="urn:schemas-microsoft-com:office:smarttags" w:element="metricconverter">
        <w:smartTagPr>
          <w:attr w:name="ProductID" w:val="15 m2"/>
        </w:smartTagPr>
        <w:r w:rsidRPr="004C6536">
          <w:rPr>
            <w:sz w:val="28"/>
            <w:szCs w:val="28"/>
          </w:rPr>
          <w:t>15 m</w:t>
        </w:r>
        <w:r w:rsidRPr="004C6536">
          <w:rPr>
            <w:sz w:val="28"/>
            <w:szCs w:val="28"/>
            <w:vertAlign w:val="superscript"/>
          </w:rPr>
          <w:t>2</w:t>
        </w:r>
      </w:smartTag>
      <w:r w:rsidRPr="004C6536">
        <w:rPr>
          <w:sz w:val="28"/>
          <w:szCs w:val="28"/>
        </w:rPr>
        <w:t>.</w:t>
      </w:r>
    </w:p>
    <w:p w:rsidR="00EC6D6B" w:rsidRPr="004C6536" w:rsidRDefault="00EC6D6B" w:rsidP="00C15F47">
      <w:pPr>
        <w:ind w:right="-334" w:firstLine="720"/>
        <w:jc w:val="both"/>
        <w:rPr>
          <w:sz w:val="28"/>
          <w:szCs w:val="28"/>
        </w:rPr>
      </w:pPr>
    </w:p>
    <w:p w:rsidR="00EC6D6B" w:rsidRPr="000F5DFF" w:rsidRDefault="00EC6D6B" w:rsidP="00C15F47">
      <w:pPr>
        <w:ind w:right="-334" w:firstLine="720"/>
        <w:jc w:val="both"/>
        <w:rPr>
          <w:sz w:val="28"/>
          <w:szCs w:val="28"/>
        </w:rPr>
      </w:pPr>
      <w:r w:rsidRPr="000F5DFF">
        <w:rPr>
          <w:sz w:val="28"/>
          <w:szCs w:val="28"/>
        </w:rPr>
        <w:t>12. Reklāmas objektus ielu posmos, kur transportlīdzekļiem atļauts braukt ar ātrumu,  kas pārsniedz 50 km/h, izvieto:</w:t>
      </w:r>
    </w:p>
    <w:p w:rsidR="00EC6D6B" w:rsidRPr="000F5DFF" w:rsidRDefault="00EC6D6B" w:rsidP="00C15F47">
      <w:pPr>
        <w:ind w:right="-334" w:firstLine="720"/>
        <w:jc w:val="both"/>
        <w:rPr>
          <w:sz w:val="28"/>
          <w:szCs w:val="28"/>
        </w:rPr>
      </w:pPr>
      <w:r w:rsidRPr="000F5DFF">
        <w:rPr>
          <w:sz w:val="28"/>
          <w:szCs w:val="28"/>
        </w:rPr>
        <w:t>12.1. ne tuvāk par 1,5 metriem no brauktuves malas, bet, ja ir nomale,</w:t>
      </w:r>
      <w:r>
        <w:rPr>
          <w:sz w:val="28"/>
          <w:szCs w:val="28"/>
        </w:rPr>
        <w:t xml:space="preserve"> </w:t>
      </w:r>
      <w:r w:rsidRPr="000F5DFF">
        <w:rPr>
          <w:sz w:val="28"/>
          <w:szCs w:val="28"/>
        </w:rPr>
        <w:t>– no nomales malas (attālums mērāms no reklāmas objekta malas, kas atrodas tuvāk brauktuvei);</w:t>
      </w:r>
    </w:p>
    <w:p w:rsidR="00EC6D6B" w:rsidRPr="000F5DFF" w:rsidRDefault="00EC6D6B" w:rsidP="00C15F47">
      <w:pPr>
        <w:ind w:right="-334" w:firstLine="720"/>
        <w:jc w:val="both"/>
        <w:rPr>
          <w:sz w:val="28"/>
          <w:szCs w:val="28"/>
        </w:rPr>
      </w:pPr>
      <w:r w:rsidRPr="000F5DFF">
        <w:rPr>
          <w:sz w:val="28"/>
          <w:szCs w:val="28"/>
        </w:rPr>
        <w:t>12.2. uz ietves, paredzot gājēju kustībai vismaz 75% no ietves platuma, bet ne mazāk kā 1,5 metrus platu brīvu ietvi. Ja uz ietves ir izveidots apvienotais gājēju un velosipēdistu ceļš, tad jāparedz vismaz 2,25 metrus plata brīva zona;</w:t>
      </w:r>
    </w:p>
    <w:p w:rsidR="00EC6D6B" w:rsidRDefault="00EC6D6B" w:rsidP="00C15F47">
      <w:pPr>
        <w:ind w:right="-334" w:firstLine="720"/>
        <w:jc w:val="both"/>
        <w:rPr>
          <w:sz w:val="28"/>
          <w:szCs w:val="28"/>
        </w:rPr>
      </w:pPr>
      <w:r w:rsidRPr="000F5DFF">
        <w:rPr>
          <w:sz w:val="28"/>
          <w:szCs w:val="28"/>
        </w:rPr>
        <w:t>12.3. aiz ielu sarkanajām līnijām, bet ne tuvāk par 30 metriem no brauktuves malas, ja telpisko reklāmas objektu (apaļi vai trīsplakņu piloni, figurāli objekti) izmēri pārsniedz 1,8 m šķērsgriezumā un 4,5 m augstumā, bet vienpusējo un divpusējo reklāmas objektu izmēri – 1,5 m platumā un 2,5 m augstumā.”.</w:t>
      </w:r>
    </w:p>
    <w:p w:rsidR="00EC6D6B"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sidRPr="004C6536">
        <w:rPr>
          <w:sz w:val="28"/>
          <w:szCs w:val="28"/>
        </w:rPr>
        <w:t>6. Aizstāt 13.punktā skaitli „30” ar skaitli „25”.</w:t>
      </w:r>
    </w:p>
    <w:p w:rsidR="00EC6D6B" w:rsidRPr="004C6536" w:rsidRDefault="00EC6D6B" w:rsidP="00C15F47">
      <w:pPr>
        <w:ind w:right="-334" w:firstLine="720"/>
        <w:jc w:val="both"/>
        <w:rPr>
          <w:sz w:val="28"/>
          <w:szCs w:val="28"/>
        </w:rPr>
      </w:pPr>
      <w:r>
        <w:rPr>
          <w:sz w:val="28"/>
          <w:szCs w:val="28"/>
        </w:rPr>
        <w:t xml:space="preserve"> </w:t>
      </w:r>
    </w:p>
    <w:p w:rsidR="00EC6D6B" w:rsidRPr="004C6536" w:rsidRDefault="00EC6D6B" w:rsidP="00C15F47">
      <w:pPr>
        <w:ind w:right="-334" w:firstLine="720"/>
        <w:jc w:val="both"/>
        <w:rPr>
          <w:sz w:val="28"/>
          <w:szCs w:val="28"/>
        </w:rPr>
      </w:pPr>
      <w:r w:rsidRPr="004C6536">
        <w:rPr>
          <w:sz w:val="28"/>
          <w:szCs w:val="28"/>
        </w:rPr>
        <w:t>7. Svītrot 16.punktu.</w:t>
      </w: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sidRPr="004C6536">
        <w:rPr>
          <w:sz w:val="28"/>
          <w:szCs w:val="28"/>
        </w:rPr>
        <w:t>8. Izteikt 17.punkta pirmo teikumu šādā redakcijā:</w:t>
      </w:r>
    </w:p>
    <w:p w:rsidR="00EC6D6B" w:rsidRPr="004C6536" w:rsidRDefault="00EC6D6B" w:rsidP="00C15F47">
      <w:pPr>
        <w:ind w:right="-334" w:firstLine="720"/>
        <w:jc w:val="both"/>
        <w:rPr>
          <w:sz w:val="28"/>
          <w:szCs w:val="28"/>
        </w:rPr>
      </w:pPr>
      <w:r w:rsidRPr="004C6536">
        <w:rPr>
          <w:sz w:val="28"/>
          <w:szCs w:val="28"/>
        </w:rPr>
        <w:t>„Minimālais attālums starp reklāmas objektiem, kas izvietoti viens aiz otra, ir vismaz 25 metru, izņemot reklāmas, kas izvietotas sabiedriskā transporta pieturvietu paviljonos.”.</w:t>
      </w: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Pr>
          <w:sz w:val="28"/>
          <w:szCs w:val="28"/>
        </w:rPr>
        <w:t>9</w:t>
      </w:r>
      <w:r w:rsidRPr="004C6536">
        <w:rPr>
          <w:sz w:val="28"/>
          <w:szCs w:val="28"/>
        </w:rPr>
        <w:t>. Izteikt 22.punktu šādā redakcijā:</w:t>
      </w:r>
    </w:p>
    <w:p w:rsidR="00EC6D6B" w:rsidRPr="004C6536" w:rsidRDefault="00EC6D6B" w:rsidP="004D792C">
      <w:pPr>
        <w:ind w:right="-154" w:firstLine="720"/>
        <w:jc w:val="both"/>
        <w:rPr>
          <w:sz w:val="28"/>
          <w:szCs w:val="28"/>
        </w:rPr>
      </w:pPr>
      <w:r w:rsidRPr="004C6536">
        <w:rPr>
          <w:sz w:val="28"/>
          <w:szCs w:val="28"/>
        </w:rPr>
        <w:t xml:space="preserve">„22. Ja mainās satiksmes organizācija uz ceļa vai reklāmas objekts vai informācijas objekts atrodas ceļa rekonstrukcijas zonā, ceļa īpašnieka pienākums ir rakstiski informēt reklāmas vai informācijas objekta īpašnieku par izmaiņām satiksmes organizācijā ne vēlāk kā trīs mēnešus pirms ceļa rekonstrukcijas uzsākšanas. </w:t>
      </w:r>
      <w:r>
        <w:rPr>
          <w:sz w:val="28"/>
          <w:szCs w:val="28"/>
        </w:rPr>
        <w:t>Pēc trijiem mēnešiem no rakstiskas informācijas nosūtīšanas dienas c</w:t>
      </w:r>
      <w:r w:rsidRPr="004C6536">
        <w:rPr>
          <w:sz w:val="28"/>
          <w:szCs w:val="28"/>
        </w:rPr>
        <w:t>eļa īpašniekam ir tiesības pieprasīt reklāmas objekta vai informācijas objekta demontāžu</w:t>
      </w:r>
      <w:r>
        <w:rPr>
          <w:sz w:val="28"/>
          <w:szCs w:val="28"/>
        </w:rPr>
        <w:t>.</w:t>
      </w:r>
      <w:r w:rsidRPr="004C6536">
        <w:rPr>
          <w:sz w:val="28"/>
          <w:szCs w:val="28"/>
        </w:rPr>
        <w:t>”.</w:t>
      </w: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sidRPr="004C6536">
        <w:rPr>
          <w:sz w:val="28"/>
          <w:szCs w:val="28"/>
        </w:rPr>
        <w:t>1</w:t>
      </w:r>
      <w:r>
        <w:rPr>
          <w:sz w:val="28"/>
          <w:szCs w:val="28"/>
        </w:rPr>
        <w:t>0</w:t>
      </w:r>
      <w:r w:rsidRPr="004C6536">
        <w:rPr>
          <w:sz w:val="28"/>
          <w:szCs w:val="28"/>
        </w:rPr>
        <w:t>. Aizstāt 25.punktā skaitli „2011” ar skaitli „2014”.</w:t>
      </w: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p>
    <w:p w:rsidR="00EC6D6B" w:rsidRPr="004C6536" w:rsidRDefault="00EC6D6B" w:rsidP="00C15F47">
      <w:pPr>
        <w:ind w:right="-334" w:firstLine="720"/>
        <w:jc w:val="both"/>
        <w:rPr>
          <w:sz w:val="28"/>
          <w:szCs w:val="28"/>
        </w:rPr>
      </w:pPr>
      <w:r w:rsidRPr="004C6536">
        <w:rPr>
          <w:sz w:val="28"/>
          <w:szCs w:val="28"/>
        </w:rPr>
        <w:t xml:space="preserve">Ministru prezidents </w:t>
      </w:r>
      <w:r w:rsidRPr="004C6536">
        <w:rPr>
          <w:sz w:val="28"/>
          <w:szCs w:val="28"/>
        </w:rPr>
        <w:tab/>
      </w:r>
      <w:r w:rsidRPr="004C6536">
        <w:rPr>
          <w:sz w:val="28"/>
          <w:szCs w:val="28"/>
        </w:rPr>
        <w:tab/>
      </w:r>
      <w:r w:rsidRPr="004C6536">
        <w:rPr>
          <w:sz w:val="28"/>
          <w:szCs w:val="28"/>
        </w:rPr>
        <w:tab/>
      </w:r>
      <w:r w:rsidRPr="004C6536">
        <w:rPr>
          <w:sz w:val="28"/>
          <w:szCs w:val="28"/>
        </w:rPr>
        <w:tab/>
      </w:r>
      <w:r w:rsidRPr="004C6536">
        <w:rPr>
          <w:sz w:val="28"/>
          <w:szCs w:val="28"/>
        </w:rPr>
        <w:tab/>
        <w:t>V.Dombrovskis</w:t>
      </w:r>
    </w:p>
    <w:p w:rsidR="00EC6D6B" w:rsidRDefault="00EC6D6B" w:rsidP="00C15F47">
      <w:pPr>
        <w:ind w:right="-334" w:firstLine="720"/>
        <w:jc w:val="both"/>
        <w:rPr>
          <w:sz w:val="28"/>
          <w:szCs w:val="28"/>
        </w:rPr>
      </w:pPr>
    </w:p>
    <w:p w:rsidR="00EC6D6B" w:rsidRDefault="00EC6D6B" w:rsidP="00C15F47">
      <w:pPr>
        <w:ind w:right="-334" w:firstLine="720"/>
        <w:jc w:val="both"/>
        <w:rPr>
          <w:sz w:val="28"/>
          <w:szCs w:val="28"/>
        </w:rPr>
      </w:pPr>
    </w:p>
    <w:p w:rsidR="00EC6D6B" w:rsidRDefault="00EC6D6B" w:rsidP="00C15F47">
      <w:pPr>
        <w:ind w:right="-334" w:firstLine="720"/>
        <w:jc w:val="both"/>
        <w:rPr>
          <w:sz w:val="28"/>
          <w:szCs w:val="28"/>
        </w:rPr>
      </w:pPr>
      <w:r w:rsidRPr="004C6536">
        <w:rPr>
          <w:sz w:val="28"/>
          <w:szCs w:val="28"/>
        </w:rPr>
        <w:t xml:space="preserve">Satiksmes ministrs </w:t>
      </w:r>
      <w:r w:rsidRPr="004C6536">
        <w:rPr>
          <w:sz w:val="28"/>
          <w:szCs w:val="28"/>
        </w:rPr>
        <w:tab/>
      </w:r>
      <w:r w:rsidRPr="004C6536">
        <w:rPr>
          <w:sz w:val="28"/>
          <w:szCs w:val="28"/>
        </w:rPr>
        <w:tab/>
      </w:r>
      <w:r w:rsidRPr="004C6536">
        <w:rPr>
          <w:sz w:val="28"/>
          <w:szCs w:val="28"/>
        </w:rPr>
        <w:tab/>
      </w:r>
      <w:r w:rsidRPr="004C6536">
        <w:rPr>
          <w:sz w:val="28"/>
          <w:szCs w:val="28"/>
        </w:rPr>
        <w:tab/>
      </w:r>
      <w:r w:rsidRPr="004C6536">
        <w:rPr>
          <w:sz w:val="28"/>
          <w:szCs w:val="28"/>
        </w:rPr>
        <w:tab/>
      </w:r>
      <w:r>
        <w:rPr>
          <w:sz w:val="28"/>
          <w:szCs w:val="28"/>
        </w:rPr>
        <w:t>A.Ronis</w:t>
      </w:r>
    </w:p>
    <w:p w:rsidR="00EC6D6B" w:rsidRDefault="00EC6D6B" w:rsidP="00C15F47">
      <w:pPr>
        <w:ind w:right="-334" w:firstLine="720"/>
        <w:jc w:val="both"/>
        <w:rPr>
          <w:sz w:val="28"/>
          <w:szCs w:val="28"/>
        </w:rPr>
      </w:pPr>
    </w:p>
    <w:p w:rsidR="00EC6D6B" w:rsidRDefault="00EC6D6B" w:rsidP="00C15F47">
      <w:pPr>
        <w:ind w:right="-334" w:firstLine="720"/>
        <w:jc w:val="both"/>
        <w:rPr>
          <w:sz w:val="28"/>
          <w:szCs w:val="28"/>
        </w:rPr>
      </w:pPr>
      <w:r>
        <w:rPr>
          <w:sz w:val="28"/>
          <w:szCs w:val="28"/>
        </w:rPr>
        <w:t>Iesniedzējs:</w:t>
      </w:r>
    </w:p>
    <w:p w:rsidR="00EC6D6B" w:rsidRDefault="00EC6D6B" w:rsidP="00C15F47">
      <w:pPr>
        <w:ind w:right="-334" w:firstLine="720"/>
        <w:jc w:val="both"/>
        <w:rPr>
          <w:sz w:val="28"/>
          <w:szCs w:val="28"/>
        </w:rPr>
      </w:pPr>
      <w:r>
        <w:rPr>
          <w:sz w:val="28"/>
          <w:szCs w:val="28"/>
        </w:rPr>
        <w:t xml:space="preserve">Satiksmes ministrs </w:t>
      </w:r>
      <w:r>
        <w:rPr>
          <w:sz w:val="28"/>
          <w:szCs w:val="28"/>
        </w:rPr>
        <w:tab/>
      </w:r>
      <w:r>
        <w:rPr>
          <w:sz w:val="28"/>
          <w:szCs w:val="28"/>
        </w:rPr>
        <w:tab/>
      </w:r>
      <w:r>
        <w:rPr>
          <w:sz w:val="28"/>
          <w:szCs w:val="28"/>
        </w:rPr>
        <w:tab/>
      </w:r>
      <w:r>
        <w:rPr>
          <w:sz w:val="28"/>
          <w:szCs w:val="28"/>
        </w:rPr>
        <w:tab/>
      </w:r>
      <w:r>
        <w:rPr>
          <w:sz w:val="28"/>
          <w:szCs w:val="28"/>
        </w:rPr>
        <w:tab/>
        <w:t>A.Ronis</w:t>
      </w:r>
    </w:p>
    <w:p w:rsidR="00EC6D6B" w:rsidRDefault="00EC6D6B" w:rsidP="00C15F47">
      <w:pPr>
        <w:ind w:right="-334" w:firstLine="720"/>
        <w:jc w:val="both"/>
        <w:rPr>
          <w:sz w:val="28"/>
          <w:szCs w:val="28"/>
        </w:rPr>
      </w:pPr>
    </w:p>
    <w:p w:rsidR="00EC6D6B" w:rsidRDefault="00EC6D6B" w:rsidP="00C15F47">
      <w:pPr>
        <w:ind w:right="-334" w:firstLine="720"/>
        <w:jc w:val="both"/>
        <w:rPr>
          <w:sz w:val="28"/>
          <w:szCs w:val="28"/>
        </w:rPr>
      </w:pPr>
      <w:r>
        <w:rPr>
          <w:sz w:val="28"/>
          <w:szCs w:val="28"/>
        </w:rPr>
        <w:t>Vīza:</w:t>
      </w:r>
    </w:p>
    <w:p w:rsidR="00EC6D6B" w:rsidRDefault="00EC6D6B" w:rsidP="00C15F47">
      <w:pPr>
        <w:ind w:right="-334" w:firstLine="720"/>
        <w:jc w:val="both"/>
        <w:rPr>
          <w:sz w:val="28"/>
          <w:szCs w:val="28"/>
        </w:rPr>
      </w:pPr>
      <w:r>
        <w:rPr>
          <w:sz w:val="28"/>
          <w:szCs w:val="28"/>
        </w:rPr>
        <w:t xml:space="preserve">Valsts sekretārs </w:t>
      </w:r>
      <w:r>
        <w:rPr>
          <w:sz w:val="28"/>
          <w:szCs w:val="28"/>
        </w:rPr>
        <w:tab/>
      </w:r>
      <w:r>
        <w:rPr>
          <w:sz w:val="28"/>
          <w:szCs w:val="28"/>
        </w:rPr>
        <w:tab/>
      </w:r>
      <w:r>
        <w:rPr>
          <w:sz w:val="28"/>
          <w:szCs w:val="28"/>
        </w:rPr>
        <w:tab/>
      </w:r>
      <w:r>
        <w:rPr>
          <w:sz w:val="28"/>
          <w:szCs w:val="28"/>
        </w:rPr>
        <w:tab/>
      </w:r>
      <w:r>
        <w:rPr>
          <w:sz w:val="28"/>
          <w:szCs w:val="28"/>
        </w:rPr>
        <w:tab/>
      </w:r>
      <w:r>
        <w:rPr>
          <w:sz w:val="28"/>
          <w:szCs w:val="28"/>
        </w:rPr>
        <w:tab/>
        <w:t>A.Matīss</w:t>
      </w:r>
    </w:p>
    <w:p w:rsidR="00EC6D6B" w:rsidRDefault="00EC6D6B" w:rsidP="00C15F47">
      <w:pPr>
        <w:ind w:right="-334" w:firstLine="720"/>
        <w:jc w:val="both"/>
        <w:rPr>
          <w:sz w:val="28"/>
          <w:szCs w:val="28"/>
        </w:rPr>
      </w:pPr>
    </w:p>
    <w:p w:rsidR="00EC6D6B" w:rsidRPr="00C412E4" w:rsidRDefault="00EC6D6B" w:rsidP="00C412E4">
      <w:pPr>
        <w:spacing w:line="276" w:lineRule="auto"/>
        <w:ind w:right="-154"/>
        <w:jc w:val="both"/>
        <w:rPr>
          <w:sz w:val="22"/>
          <w:szCs w:val="22"/>
          <w:lang w:eastAsia="en-US"/>
        </w:rPr>
      </w:pPr>
      <w:r>
        <w:rPr>
          <w:sz w:val="22"/>
          <w:szCs w:val="22"/>
          <w:lang w:eastAsia="en-US"/>
        </w:rPr>
        <w:t>12.12</w:t>
      </w:r>
      <w:r w:rsidRPr="00C412E4">
        <w:rPr>
          <w:sz w:val="22"/>
          <w:szCs w:val="22"/>
          <w:lang w:eastAsia="en-US"/>
        </w:rPr>
        <w:t>.2011 1</w:t>
      </w:r>
      <w:r>
        <w:rPr>
          <w:sz w:val="22"/>
          <w:szCs w:val="22"/>
          <w:lang w:eastAsia="en-US"/>
        </w:rPr>
        <w:t>7</w:t>
      </w:r>
      <w:r w:rsidRPr="00C412E4">
        <w:rPr>
          <w:sz w:val="22"/>
          <w:szCs w:val="22"/>
          <w:lang w:eastAsia="en-US"/>
        </w:rPr>
        <w:t>:</w:t>
      </w:r>
      <w:r>
        <w:rPr>
          <w:sz w:val="22"/>
          <w:szCs w:val="22"/>
          <w:lang w:eastAsia="en-US"/>
        </w:rPr>
        <w:t>05</w:t>
      </w:r>
    </w:p>
    <w:p w:rsidR="00EC6D6B" w:rsidRPr="00C412E4" w:rsidRDefault="00EC6D6B" w:rsidP="00C412E4">
      <w:pPr>
        <w:spacing w:line="276" w:lineRule="auto"/>
        <w:ind w:right="-154"/>
        <w:jc w:val="both"/>
        <w:rPr>
          <w:sz w:val="22"/>
          <w:szCs w:val="22"/>
          <w:lang w:eastAsia="en-US"/>
        </w:rPr>
      </w:pPr>
      <w:r>
        <w:rPr>
          <w:sz w:val="22"/>
          <w:szCs w:val="22"/>
          <w:lang w:eastAsia="en-US"/>
        </w:rPr>
        <w:t>674</w:t>
      </w:r>
      <w:bookmarkStart w:id="0" w:name="_GoBack"/>
      <w:bookmarkEnd w:id="0"/>
    </w:p>
    <w:p w:rsidR="00EC6D6B" w:rsidRPr="00C412E4" w:rsidRDefault="00EC6D6B" w:rsidP="00C412E4">
      <w:pPr>
        <w:spacing w:line="276" w:lineRule="auto"/>
        <w:ind w:right="-154"/>
        <w:jc w:val="both"/>
        <w:rPr>
          <w:sz w:val="22"/>
          <w:szCs w:val="22"/>
          <w:lang w:eastAsia="en-US"/>
        </w:rPr>
      </w:pPr>
      <w:r w:rsidRPr="00C412E4">
        <w:rPr>
          <w:sz w:val="22"/>
          <w:szCs w:val="22"/>
          <w:lang w:eastAsia="en-US"/>
        </w:rPr>
        <w:t>Ziedonis Lazda</w:t>
      </w:r>
    </w:p>
    <w:p w:rsidR="00EC6D6B" w:rsidRPr="00C412E4" w:rsidRDefault="00EC6D6B" w:rsidP="00EC42E1">
      <w:pPr>
        <w:spacing w:line="276" w:lineRule="auto"/>
        <w:jc w:val="both"/>
        <w:rPr>
          <w:sz w:val="22"/>
          <w:szCs w:val="22"/>
          <w:lang w:eastAsia="en-US"/>
        </w:rPr>
      </w:pPr>
      <w:r w:rsidRPr="00C412E4">
        <w:rPr>
          <w:sz w:val="22"/>
          <w:szCs w:val="22"/>
          <w:lang w:eastAsia="en-US"/>
        </w:rPr>
        <w:t>67025716</w:t>
      </w:r>
    </w:p>
    <w:p w:rsidR="00EC6D6B" w:rsidRPr="00C412E4" w:rsidRDefault="00EC6D6B" w:rsidP="00EC42E1">
      <w:pPr>
        <w:spacing w:line="276" w:lineRule="auto"/>
        <w:jc w:val="both"/>
        <w:rPr>
          <w:sz w:val="22"/>
          <w:szCs w:val="22"/>
          <w:lang w:eastAsia="en-US"/>
        </w:rPr>
      </w:pPr>
      <w:r w:rsidRPr="00C412E4">
        <w:rPr>
          <w:sz w:val="22"/>
          <w:szCs w:val="22"/>
          <w:lang w:eastAsia="en-US"/>
        </w:rPr>
        <w:t>Ziedonis.Lazda@csdd.gov.lv</w:t>
      </w:r>
    </w:p>
    <w:sectPr w:rsidR="00EC6D6B" w:rsidRPr="00C412E4" w:rsidSect="00131C05">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6B" w:rsidRDefault="00EC6D6B" w:rsidP="00131C05">
      <w:r>
        <w:separator/>
      </w:r>
    </w:p>
  </w:endnote>
  <w:endnote w:type="continuationSeparator" w:id="0">
    <w:p w:rsidR="00EC6D6B" w:rsidRDefault="00EC6D6B" w:rsidP="00131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6B" w:rsidRPr="00AC71B5" w:rsidRDefault="00EC6D6B" w:rsidP="00C412E4">
    <w:pPr>
      <w:rPr>
        <w:sz w:val="20"/>
        <w:szCs w:val="20"/>
      </w:rPr>
    </w:pPr>
    <w:r w:rsidRPr="00AC71B5">
      <w:rPr>
        <w:sz w:val="20"/>
        <w:szCs w:val="20"/>
      </w:rPr>
      <w:t>SAMNot_</w:t>
    </w:r>
    <w:r>
      <w:rPr>
        <w:sz w:val="20"/>
        <w:szCs w:val="20"/>
      </w:rPr>
      <w:t>12121</w:t>
    </w:r>
    <w:r w:rsidRPr="00AC71B5">
      <w:rPr>
        <w:sz w:val="20"/>
        <w:szCs w:val="20"/>
      </w:rPr>
      <w:t>1_</w:t>
    </w:r>
    <w:r>
      <w:rPr>
        <w:sz w:val="20"/>
        <w:szCs w:val="20"/>
      </w:rPr>
      <w:t>reklama</w:t>
    </w:r>
    <w:r w:rsidRPr="00AC71B5">
      <w:rPr>
        <w:sz w:val="20"/>
        <w:szCs w:val="20"/>
      </w:rPr>
      <w:t>; Ministru kabineta noteikumu projekts „Grozījumi Ministru kabineta 20</w:t>
    </w:r>
    <w:r>
      <w:rPr>
        <w:sz w:val="20"/>
        <w:szCs w:val="20"/>
      </w:rPr>
      <w:t>05.gada 7</w:t>
    </w:r>
    <w:r w:rsidRPr="00AC71B5">
      <w:rPr>
        <w:sz w:val="20"/>
        <w:szCs w:val="20"/>
      </w:rPr>
      <w:t>.jūnija noteikumos Nr.</w:t>
    </w:r>
    <w:r>
      <w:rPr>
        <w:sz w:val="20"/>
        <w:szCs w:val="20"/>
      </w:rPr>
      <w:t>402</w:t>
    </w:r>
    <w:r w:rsidRPr="00AC71B5">
      <w:rPr>
        <w:sz w:val="20"/>
        <w:szCs w:val="20"/>
      </w:rPr>
      <w:t xml:space="preserve"> „</w:t>
    </w:r>
    <w:r>
      <w:rPr>
        <w:sz w:val="20"/>
        <w:szCs w:val="20"/>
      </w:rPr>
      <w:t>Noteikumi par reklāmas objektu vai informācijas objektu izvietošanu gar ceļiem, kā arī kārtību, kādā saskaņojama reklāmas objektu vai informācijas objektu izvietošana</w:t>
    </w:r>
    <w:r w:rsidRPr="00AC71B5">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6B" w:rsidRPr="00AC71B5" w:rsidRDefault="00EC6D6B" w:rsidP="00C412E4">
    <w:pPr>
      <w:rPr>
        <w:sz w:val="20"/>
        <w:szCs w:val="20"/>
      </w:rPr>
    </w:pPr>
    <w:r w:rsidRPr="00AC71B5">
      <w:rPr>
        <w:sz w:val="20"/>
        <w:szCs w:val="20"/>
      </w:rPr>
      <w:t>SAMNot_</w:t>
    </w:r>
    <w:r>
      <w:rPr>
        <w:sz w:val="20"/>
        <w:szCs w:val="20"/>
      </w:rPr>
      <w:t>121211</w:t>
    </w:r>
    <w:r w:rsidRPr="00AC71B5">
      <w:rPr>
        <w:sz w:val="20"/>
        <w:szCs w:val="20"/>
      </w:rPr>
      <w:t>_</w:t>
    </w:r>
    <w:r>
      <w:rPr>
        <w:sz w:val="20"/>
        <w:szCs w:val="20"/>
      </w:rPr>
      <w:t>reklama</w:t>
    </w:r>
    <w:r w:rsidRPr="00AC71B5">
      <w:rPr>
        <w:sz w:val="20"/>
        <w:szCs w:val="20"/>
      </w:rPr>
      <w:t>; Ministru kabineta noteikumu projekts „Grozījumi Ministru kabineta 20</w:t>
    </w:r>
    <w:r>
      <w:rPr>
        <w:sz w:val="20"/>
        <w:szCs w:val="20"/>
      </w:rPr>
      <w:t>05.gada 7</w:t>
    </w:r>
    <w:r w:rsidRPr="00AC71B5">
      <w:rPr>
        <w:sz w:val="20"/>
        <w:szCs w:val="20"/>
      </w:rPr>
      <w:t>.jūnija noteikumos Nr.</w:t>
    </w:r>
    <w:r>
      <w:rPr>
        <w:sz w:val="20"/>
        <w:szCs w:val="20"/>
      </w:rPr>
      <w:t>402</w:t>
    </w:r>
    <w:r w:rsidRPr="00AC71B5">
      <w:rPr>
        <w:sz w:val="20"/>
        <w:szCs w:val="20"/>
      </w:rPr>
      <w:t xml:space="preserve"> „</w:t>
    </w:r>
    <w:r>
      <w:rPr>
        <w:sz w:val="20"/>
        <w:szCs w:val="20"/>
      </w:rPr>
      <w:t>Noteikumi par reklāmas objektu vai informācijas objektu izvietošanu gar ceļiem, kā arī kārtību, kādā saskaņojama reklāmas objektu vai informācijas objektu izvietošana</w:t>
    </w:r>
    <w:r w:rsidRPr="00AC71B5">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6B" w:rsidRDefault="00EC6D6B" w:rsidP="00131C05">
      <w:r>
        <w:separator/>
      </w:r>
    </w:p>
  </w:footnote>
  <w:footnote w:type="continuationSeparator" w:id="0">
    <w:p w:rsidR="00EC6D6B" w:rsidRDefault="00EC6D6B" w:rsidP="00131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6B" w:rsidRDefault="00EC6D6B">
    <w:pPr>
      <w:pStyle w:val="Header"/>
      <w:jc w:val="center"/>
    </w:pPr>
    <w:fldSimple w:instr=" PAGE   \* MERGEFORMAT ">
      <w:r>
        <w:rPr>
          <w:noProof/>
        </w:rPr>
        <w:t>3</w:t>
      </w:r>
    </w:fldSimple>
  </w:p>
  <w:p w:rsidR="00EC6D6B" w:rsidRDefault="00EC6D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B74"/>
    <w:rsid w:val="00007C0B"/>
    <w:rsid w:val="0005780B"/>
    <w:rsid w:val="00073ABD"/>
    <w:rsid w:val="00097313"/>
    <w:rsid w:val="000A0FB1"/>
    <w:rsid w:val="000C2331"/>
    <w:rsid w:val="000F5DFF"/>
    <w:rsid w:val="00102036"/>
    <w:rsid w:val="00131C05"/>
    <w:rsid w:val="001E1D85"/>
    <w:rsid w:val="001E2839"/>
    <w:rsid w:val="00277B4B"/>
    <w:rsid w:val="00293621"/>
    <w:rsid w:val="00296B74"/>
    <w:rsid w:val="002D6367"/>
    <w:rsid w:val="003D3FB3"/>
    <w:rsid w:val="0041794E"/>
    <w:rsid w:val="00457E5A"/>
    <w:rsid w:val="00491A78"/>
    <w:rsid w:val="004C6536"/>
    <w:rsid w:val="004D792C"/>
    <w:rsid w:val="0056338A"/>
    <w:rsid w:val="0056609F"/>
    <w:rsid w:val="005C4CF4"/>
    <w:rsid w:val="00632DCE"/>
    <w:rsid w:val="006448B8"/>
    <w:rsid w:val="00657F30"/>
    <w:rsid w:val="006E74DD"/>
    <w:rsid w:val="00731B24"/>
    <w:rsid w:val="00767060"/>
    <w:rsid w:val="007B252B"/>
    <w:rsid w:val="00862E79"/>
    <w:rsid w:val="008828A9"/>
    <w:rsid w:val="008F785C"/>
    <w:rsid w:val="00906526"/>
    <w:rsid w:val="00933CB4"/>
    <w:rsid w:val="00952D47"/>
    <w:rsid w:val="00A56AAC"/>
    <w:rsid w:val="00A8394D"/>
    <w:rsid w:val="00AC71B5"/>
    <w:rsid w:val="00B1244C"/>
    <w:rsid w:val="00B60253"/>
    <w:rsid w:val="00B846F3"/>
    <w:rsid w:val="00B9678A"/>
    <w:rsid w:val="00C15F47"/>
    <w:rsid w:val="00C412E4"/>
    <w:rsid w:val="00CB16D6"/>
    <w:rsid w:val="00CC116F"/>
    <w:rsid w:val="00D27F82"/>
    <w:rsid w:val="00DC0F4A"/>
    <w:rsid w:val="00E446CE"/>
    <w:rsid w:val="00E8126A"/>
    <w:rsid w:val="00EB5E4C"/>
    <w:rsid w:val="00EC42E1"/>
    <w:rsid w:val="00EC6D6B"/>
    <w:rsid w:val="00EF4E18"/>
    <w:rsid w:val="00F93443"/>
    <w:rsid w:val="00F95333"/>
    <w:rsid w:val="00FD2F7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C05"/>
    <w:rPr>
      <w:rFonts w:cs="Times New Roman"/>
      <w:color w:val="0000FF"/>
      <w:u w:val="single"/>
    </w:rPr>
  </w:style>
  <w:style w:type="paragraph" w:styleId="Header">
    <w:name w:val="header"/>
    <w:basedOn w:val="Normal"/>
    <w:link w:val="HeaderChar"/>
    <w:uiPriority w:val="99"/>
    <w:rsid w:val="00131C05"/>
    <w:pPr>
      <w:tabs>
        <w:tab w:val="center" w:pos="4153"/>
        <w:tab w:val="right" w:pos="8306"/>
      </w:tabs>
    </w:pPr>
  </w:style>
  <w:style w:type="character" w:customStyle="1" w:styleId="HeaderChar">
    <w:name w:val="Header Char"/>
    <w:basedOn w:val="DefaultParagraphFont"/>
    <w:link w:val="Header"/>
    <w:uiPriority w:val="99"/>
    <w:locked/>
    <w:rsid w:val="00131C05"/>
    <w:rPr>
      <w:rFonts w:ascii="Times New Roman" w:hAnsi="Times New Roman" w:cs="Times New Roman"/>
      <w:sz w:val="24"/>
      <w:szCs w:val="24"/>
      <w:lang w:eastAsia="lv-LV"/>
    </w:rPr>
  </w:style>
  <w:style w:type="paragraph" w:styleId="Footer">
    <w:name w:val="footer"/>
    <w:basedOn w:val="Normal"/>
    <w:link w:val="FooterChar"/>
    <w:uiPriority w:val="99"/>
    <w:rsid w:val="00131C05"/>
    <w:pPr>
      <w:tabs>
        <w:tab w:val="center" w:pos="4153"/>
        <w:tab w:val="right" w:pos="8306"/>
      </w:tabs>
    </w:pPr>
  </w:style>
  <w:style w:type="character" w:customStyle="1" w:styleId="FooterChar">
    <w:name w:val="Footer Char"/>
    <w:basedOn w:val="DefaultParagraphFont"/>
    <w:link w:val="Footer"/>
    <w:uiPriority w:val="99"/>
    <w:locked/>
    <w:rsid w:val="00131C05"/>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34610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674</Words>
  <Characters>4333</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7.jūnija noteikumos Nr.402 „Noteikumi par reklāmas objektu vai informācijas objektu izvietošanu gar ceļiem, kā arī kārtību, kādā saskaņojama reklāmas objektu vai informācijas objektu izvietošana””</dc:title>
  <dc:subject>noteikumu projekts</dc:subject>
  <dc:creator>Ziedonis Lazda</dc:creator>
  <cp:keywords/>
  <dc:description>67025716Ziedonis.Lazda@csdd.gov.lv</dc:description>
  <cp:lastModifiedBy>bsterna</cp:lastModifiedBy>
  <cp:revision>15</cp:revision>
  <cp:lastPrinted>2011-09-06T07:43:00Z</cp:lastPrinted>
  <dcterms:created xsi:type="dcterms:W3CDTF">2011-12-01T08:39:00Z</dcterms:created>
  <dcterms:modified xsi:type="dcterms:W3CDTF">2011-12-22T11:01:00Z</dcterms:modified>
</cp:coreProperties>
</file>