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EB" w:rsidRDefault="004F2375" w:rsidP="00555AFF">
      <w:pPr>
        <w:pStyle w:val="BodyText"/>
        <w:spacing w:after="0"/>
        <w:jc w:val="center"/>
        <w:rPr>
          <w:sz w:val="28"/>
          <w:szCs w:val="28"/>
        </w:rPr>
      </w:pPr>
      <w:bookmarkStart w:id="0" w:name="_GoBack"/>
      <w:bookmarkEnd w:id="0"/>
      <w:r>
        <w:rPr>
          <w:sz w:val="28"/>
          <w:szCs w:val="28"/>
        </w:rPr>
        <w:t xml:space="preserve">Ministru </w:t>
      </w:r>
      <w:r w:rsidR="00F6314A" w:rsidRPr="00E47194">
        <w:rPr>
          <w:sz w:val="28"/>
          <w:szCs w:val="28"/>
        </w:rPr>
        <w:t xml:space="preserve">kabineta rīkojuma projekta </w:t>
      </w:r>
      <w:r w:rsidR="00E47194" w:rsidRPr="00E47194">
        <w:rPr>
          <w:sz w:val="28"/>
          <w:szCs w:val="28"/>
        </w:rPr>
        <w:t>„</w:t>
      </w:r>
      <w:r w:rsidR="0082475D" w:rsidRPr="0082475D">
        <w:rPr>
          <w:sz w:val="28"/>
          <w:szCs w:val="28"/>
        </w:rPr>
        <w:t>Par valstij dividendēs izmaksājamo akciju sabiedrības „</w:t>
      </w:r>
      <w:r w:rsidR="00644D49">
        <w:rPr>
          <w:sz w:val="28"/>
          <w:szCs w:val="28"/>
        </w:rPr>
        <w:t>Pasažieru vilciens</w:t>
      </w:r>
      <w:r w:rsidR="00F14FDF" w:rsidRPr="00B5758A">
        <w:rPr>
          <w:sz w:val="28"/>
          <w:szCs w:val="28"/>
        </w:rPr>
        <w:t xml:space="preserve">” </w:t>
      </w:r>
      <w:r w:rsidR="0082475D" w:rsidRPr="0082475D">
        <w:rPr>
          <w:sz w:val="28"/>
          <w:szCs w:val="28"/>
        </w:rPr>
        <w:t>peļņas daļu</w:t>
      </w:r>
      <w:r w:rsidR="00EF201A">
        <w:rPr>
          <w:sz w:val="28"/>
          <w:szCs w:val="28"/>
        </w:rPr>
        <w:t xml:space="preserve">” </w:t>
      </w:r>
      <w:r w:rsidR="00C80203">
        <w:rPr>
          <w:sz w:val="28"/>
          <w:szCs w:val="28"/>
        </w:rPr>
        <w:t xml:space="preserve">sākotnējās ietekmes novērtējuma </w:t>
      </w:r>
      <w:smartTag w:uri="schemas-tilde-lv/tildestengine" w:element="veidnes">
        <w:smartTagPr>
          <w:attr w:name="id" w:val="-1"/>
          <w:attr w:name="baseform" w:val="ziņojums"/>
          <w:attr w:name="text" w:val="ziņojums"/>
        </w:smartTagPr>
        <w:r w:rsidR="00C80203">
          <w:rPr>
            <w:sz w:val="28"/>
            <w:szCs w:val="28"/>
          </w:rPr>
          <w:t>ziņojums</w:t>
        </w:r>
      </w:smartTag>
      <w:r w:rsidR="00C80203">
        <w:rPr>
          <w:sz w:val="28"/>
          <w:szCs w:val="28"/>
        </w:rPr>
        <w:t xml:space="preserve"> (</w:t>
      </w:r>
      <w:r w:rsidR="002A3B66" w:rsidRPr="00E47194">
        <w:rPr>
          <w:sz w:val="28"/>
          <w:szCs w:val="28"/>
        </w:rPr>
        <w:t>a</w:t>
      </w:r>
      <w:r w:rsidR="00A911EB" w:rsidRPr="00E47194">
        <w:rPr>
          <w:sz w:val="28"/>
          <w:szCs w:val="28"/>
        </w:rPr>
        <w:t>notācija</w:t>
      </w:r>
      <w:r w:rsidR="00C80203">
        <w:rPr>
          <w:sz w:val="28"/>
          <w:szCs w:val="28"/>
        </w:rPr>
        <w:t>)</w:t>
      </w:r>
    </w:p>
    <w:p w:rsidR="00A26F40" w:rsidRDefault="00A26F40" w:rsidP="00555AFF">
      <w:pPr>
        <w:pStyle w:val="BodyText"/>
        <w:spacing w:after="0"/>
        <w:jc w:val="center"/>
        <w:rPr>
          <w:sz w:val="28"/>
          <w:szCs w:val="28"/>
        </w:rPr>
      </w:pPr>
    </w:p>
    <w:p w:rsidR="007235E0" w:rsidRPr="0082475D" w:rsidRDefault="007235E0" w:rsidP="00555AFF">
      <w:pPr>
        <w:pStyle w:val="BodyText"/>
        <w:spacing w:after="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154"/>
        <w:gridCol w:w="6959"/>
      </w:tblGrid>
      <w:tr w:rsidR="003A4EAB" w:rsidRPr="00512E4D" w:rsidTr="00C404EE">
        <w:tc>
          <w:tcPr>
            <w:tcW w:w="9606" w:type="dxa"/>
            <w:gridSpan w:val="3"/>
          </w:tcPr>
          <w:p w:rsidR="003A4EAB" w:rsidRPr="00512E4D" w:rsidRDefault="003A4EAB" w:rsidP="00555AFF">
            <w:pPr>
              <w:jc w:val="center"/>
              <w:rPr>
                <w:b/>
              </w:rPr>
            </w:pPr>
            <w:r w:rsidRPr="00512E4D">
              <w:rPr>
                <w:b/>
              </w:rPr>
              <w:t>I. Tiesību akta projekta izstrādes nepieciešamība</w:t>
            </w:r>
          </w:p>
        </w:tc>
      </w:tr>
      <w:tr w:rsidR="003A4EAB" w:rsidRPr="00512E4D" w:rsidTr="00C404EE">
        <w:tc>
          <w:tcPr>
            <w:tcW w:w="493" w:type="dxa"/>
          </w:tcPr>
          <w:p w:rsidR="003A4EAB" w:rsidRPr="00512E4D" w:rsidRDefault="003A4EAB" w:rsidP="00555AFF">
            <w:pPr>
              <w:jc w:val="center"/>
            </w:pPr>
            <w:r w:rsidRPr="00512E4D">
              <w:t xml:space="preserve">1. </w:t>
            </w:r>
          </w:p>
        </w:tc>
        <w:tc>
          <w:tcPr>
            <w:tcW w:w="2154" w:type="dxa"/>
          </w:tcPr>
          <w:p w:rsidR="003A4EAB" w:rsidRPr="00512E4D" w:rsidRDefault="003A4EAB" w:rsidP="00555AFF">
            <w:pPr>
              <w:jc w:val="center"/>
            </w:pPr>
            <w:r w:rsidRPr="00512E4D">
              <w:t>Pamatojums</w:t>
            </w:r>
          </w:p>
        </w:tc>
        <w:tc>
          <w:tcPr>
            <w:tcW w:w="6959" w:type="dxa"/>
          </w:tcPr>
          <w:p w:rsidR="002A02C3" w:rsidRDefault="005673FB" w:rsidP="00555AFF">
            <w:pPr>
              <w:ind w:firstLine="582"/>
              <w:jc w:val="both"/>
            </w:pPr>
            <w:r w:rsidRPr="00512E4D">
              <w:t>Ministru kabineta rīkojuma projekts „Par valstij dividendēs izmaksājamo akciju sabiedrības „</w:t>
            </w:r>
            <w:r w:rsidR="00644D49">
              <w:t>Pasažieru vilciens</w:t>
            </w:r>
            <w:r w:rsidRPr="00512E4D">
              <w:t xml:space="preserve">” peļņas daļu” (turpmāk – Projekts) sagatavots 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(turpmāk – </w:t>
            </w:r>
            <w:r w:rsidR="0070538C" w:rsidRPr="00512E4D">
              <w:t>n</w:t>
            </w:r>
            <w:r w:rsidRPr="00512E4D">
              <w:t>oteikumi Nr.1471) 5.punktu, kas paredz, ka Ministru kabinets var noteikt atšķirīgu dividendēs izmaksājamo peļņas daļu.</w:t>
            </w:r>
          </w:p>
          <w:p w:rsidR="00E30A3C" w:rsidRPr="00512E4D" w:rsidRDefault="00E30A3C" w:rsidP="00555AFF">
            <w:pPr>
              <w:ind w:firstLine="582"/>
              <w:jc w:val="both"/>
            </w:pPr>
          </w:p>
        </w:tc>
      </w:tr>
      <w:tr w:rsidR="003A4EAB" w:rsidRPr="00512E4D" w:rsidTr="00C404EE">
        <w:tc>
          <w:tcPr>
            <w:tcW w:w="493" w:type="dxa"/>
          </w:tcPr>
          <w:p w:rsidR="003A4EAB" w:rsidRPr="00512E4D" w:rsidRDefault="003A4EAB" w:rsidP="00555AFF">
            <w:pPr>
              <w:jc w:val="center"/>
            </w:pPr>
            <w:r w:rsidRPr="00512E4D">
              <w:t xml:space="preserve">2. </w:t>
            </w:r>
          </w:p>
        </w:tc>
        <w:tc>
          <w:tcPr>
            <w:tcW w:w="2154" w:type="dxa"/>
          </w:tcPr>
          <w:p w:rsidR="003A4EAB" w:rsidRPr="00512E4D" w:rsidRDefault="003A4EAB" w:rsidP="00555AFF">
            <w:pPr>
              <w:jc w:val="center"/>
            </w:pPr>
            <w:r w:rsidRPr="00512E4D">
              <w:t>Pašreizējā situācija un problēmas</w:t>
            </w:r>
          </w:p>
        </w:tc>
        <w:tc>
          <w:tcPr>
            <w:tcW w:w="6959" w:type="dxa"/>
          </w:tcPr>
          <w:p w:rsidR="008C107A" w:rsidRPr="008C107A" w:rsidRDefault="0070538C" w:rsidP="008C107A">
            <w:pPr>
              <w:ind w:firstLine="614"/>
              <w:jc w:val="both"/>
              <w:rPr>
                <w:color w:val="000000"/>
              </w:rPr>
            </w:pPr>
            <w:r w:rsidRPr="00512E4D">
              <w:rPr>
                <w:color w:val="000000"/>
              </w:rPr>
              <w:t>AS „</w:t>
            </w:r>
            <w:r w:rsidR="00644D49">
              <w:rPr>
                <w:color w:val="000000"/>
              </w:rPr>
              <w:t>Pasažieru vilciens</w:t>
            </w:r>
            <w:r w:rsidRPr="00512E4D">
              <w:rPr>
                <w:color w:val="000000"/>
              </w:rPr>
              <w:t xml:space="preserve">”  (turpmāk tekstā – </w:t>
            </w:r>
            <w:r w:rsidR="00644D49">
              <w:rPr>
                <w:color w:val="000000"/>
              </w:rPr>
              <w:t>PV</w:t>
            </w:r>
            <w:r w:rsidRPr="00512E4D">
              <w:rPr>
                <w:color w:val="000000"/>
              </w:rPr>
              <w:t xml:space="preserve">) nodrošina </w:t>
            </w:r>
            <w:r w:rsidR="00644D49">
              <w:rPr>
                <w:color w:val="000000"/>
              </w:rPr>
              <w:t xml:space="preserve">iekšzemes </w:t>
            </w:r>
            <w:proofErr w:type="spellStart"/>
            <w:r w:rsidR="00644D49">
              <w:rPr>
                <w:color w:val="000000"/>
              </w:rPr>
              <w:t>starpreģionālos</w:t>
            </w:r>
            <w:proofErr w:type="spellEnd"/>
            <w:r w:rsidRPr="00512E4D">
              <w:rPr>
                <w:color w:val="000000"/>
              </w:rPr>
              <w:t xml:space="preserve"> pasažieru</w:t>
            </w:r>
            <w:r w:rsidR="00644D49">
              <w:rPr>
                <w:color w:val="000000"/>
              </w:rPr>
              <w:t xml:space="preserve"> pārvadājumus pa dzelzceļu</w:t>
            </w:r>
            <w:r w:rsidRPr="00512E4D">
              <w:rPr>
                <w:color w:val="000000"/>
              </w:rPr>
              <w:t>.</w:t>
            </w:r>
            <w:r w:rsidR="00644D49">
              <w:rPr>
                <w:color w:val="000000"/>
              </w:rPr>
              <w:t xml:space="preserve"> PV ir nozīmīgs uzņēmums Latvijas tautsaimniecībai, nodrošinot valsts pasūtījuma pasažieru pārvadājumos izpildi.</w:t>
            </w:r>
            <w:r w:rsidRPr="00512E4D">
              <w:rPr>
                <w:color w:val="000000"/>
              </w:rPr>
              <w:t xml:space="preserve"> </w:t>
            </w:r>
          </w:p>
          <w:p w:rsidR="00E637B9" w:rsidRDefault="0070538C" w:rsidP="008C107A">
            <w:pPr>
              <w:ind w:firstLine="614"/>
              <w:jc w:val="both"/>
              <w:rPr>
                <w:rFonts w:eastAsia="Calibri"/>
                <w:lang w:eastAsia="en-US"/>
              </w:rPr>
            </w:pPr>
            <w:r w:rsidRPr="00512E4D">
              <w:rPr>
                <w:rFonts w:eastAsia="Calibri"/>
                <w:lang w:eastAsia="en-US"/>
              </w:rPr>
              <w:t xml:space="preserve">Lai nodrošinātu </w:t>
            </w:r>
            <w:r w:rsidR="00644D49" w:rsidRPr="00644D49">
              <w:rPr>
                <w:rFonts w:eastAsia="Calibri"/>
                <w:lang w:eastAsia="en-US"/>
              </w:rPr>
              <w:t xml:space="preserve">efektīvus, drošus, apkārtējai videi draudzīgus un konkurētspējīgus augstas kvalitātes pasažieru un bagāžas pārvadājumu pakalpojumus pa dzelzceļu </w:t>
            </w:r>
            <w:r w:rsidR="00644D49">
              <w:rPr>
                <w:rFonts w:eastAsia="Calibri"/>
                <w:lang w:eastAsia="en-US"/>
              </w:rPr>
              <w:t xml:space="preserve">un PV attīstību </w:t>
            </w:r>
            <w:r w:rsidRPr="00512E4D">
              <w:rPr>
                <w:rFonts w:eastAsia="Calibri"/>
                <w:lang w:eastAsia="en-US"/>
              </w:rPr>
              <w:t xml:space="preserve">ir nepieciešamas </w:t>
            </w:r>
            <w:r w:rsidR="00644D49">
              <w:rPr>
                <w:rFonts w:eastAsia="Calibri"/>
                <w:lang w:eastAsia="en-US"/>
              </w:rPr>
              <w:t xml:space="preserve">būtiskas </w:t>
            </w:r>
            <w:r w:rsidRPr="00512E4D">
              <w:rPr>
                <w:rFonts w:eastAsia="Calibri"/>
                <w:lang w:eastAsia="en-US"/>
              </w:rPr>
              <w:t>investīcijas</w:t>
            </w:r>
            <w:r w:rsidR="00E637B9">
              <w:rPr>
                <w:rFonts w:eastAsia="Calibri"/>
                <w:lang w:eastAsia="en-US"/>
              </w:rPr>
              <w:t>:</w:t>
            </w:r>
          </w:p>
          <w:p w:rsidR="00E637B9" w:rsidRDefault="00644D49" w:rsidP="00E637B9">
            <w:pPr>
              <w:numPr>
                <w:ilvl w:val="0"/>
                <w:numId w:val="11"/>
              </w:numPr>
              <w:jc w:val="both"/>
              <w:rPr>
                <w:rFonts w:eastAsia="Calibri"/>
                <w:lang w:eastAsia="en-US"/>
              </w:rPr>
            </w:pPr>
            <w:r>
              <w:rPr>
                <w:rFonts w:eastAsia="Calibri"/>
                <w:lang w:eastAsia="en-US"/>
              </w:rPr>
              <w:t>esošā elektrovilcienu ritošā sastāva kapitālie remonti, lai nodrošinātu pakalpojumu sniegšanu līdz jauna ritošā sastāva piegādēm, 2013.gada remontu programma paredz investēt 2 milj. LVL</w:t>
            </w:r>
            <w:r w:rsidR="00E637B9">
              <w:rPr>
                <w:rFonts w:eastAsia="Calibri"/>
                <w:lang w:eastAsia="en-US"/>
              </w:rPr>
              <w:t>;</w:t>
            </w:r>
          </w:p>
          <w:p w:rsidR="00E637B9" w:rsidRDefault="00644D49" w:rsidP="00E637B9">
            <w:pPr>
              <w:numPr>
                <w:ilvl w:val="0"/>
                <w:numId w:val="11"/>
              </w:numPr>
              <w:jc w:val="both"/>
              <w:rPr>
                <w:rFonts w:eastAsia="Calibri"/>
                <w:lang w:eastAsia="en-US"/>
              </w:rPr>
            </w:pPr>
            <w:r w:rsidRPr="00644D49">
              <w:rPr>
                <w:rFonts w:eastAsia="Calibri"/>
                <w:lang w:eastAsia="en-US"/>
              </w:rPr>
              <w:t>lai ieviestu savstarpēji integrētu biļešu sistēmu Rīgas pilsētas robežās un nodrošinātu pasažieru ar braukšanas maksas atvieglojumiem pārvadāšanu</w:t>
            </w:r>
            <w:r>
              <w:rPr>
                <w:rFonts w:eastAsia="Calibri"/>
                <w:lang w:eastAsia="en-US"/>
              </w:rPr>
              <w:t xml:space="preserve"> nepieciešamas investīcijas programmnodrošinājumā un iekārtu uzstādīšana</w:t>
            </w:r>
            <w:r w:rsidR="007C2DD1">
              <w:rPr>
                <w:rFonts w:eastAsia="Calibri"/>
                <w:lang w:eastAsia="en-US"/>
              </w:rPr>
              <w:t xml:space="preserve"> kopsummā 70 tūkst. LVL</w:t>
            </w:r>
            <w:r w:rsidR="00E637B9">
              <w:rPr>
                <w:rFonts w:eastAsia="Calibri"/>
                <w:lang w:eastAsia="en-US"/>
              </w:rPr>
              <w:t>;</w:t>
            </w:r>
          </w:p>
          <w:p w:rsidR="00E637B9" w:rsidRPr="00E637B9" w:rsidRDefault="007C2DD1" w:rsidP="00E637B9">
            <w:pPr>
              <w:numPr>
                <w:ilvl w:val="0"/>
                <w:numId w:val="11"/>
              </w:numPr>
              <w:jc w:val="both"/>
              <w:rPr>
                <w:rFonts w:eastAsia="Calibri"/>
                <w:lang w:eastAsia="en-US"/>
              </w:rPr>
            </w:pPr>
            <w:r>
              <w:rPr>
                <w:rFonts w:eastAsia="Calibri"/>
                <w:lang w:eastAsia="en-US"/>
              </w:rPr>
              <w:t>Programmnodrošinājuma izmaiņas, kas saistītas ar pāreju uz EURO – 31 tūkst. LVL</w:t>
            </w:r>
            <w:r w:rsidR="00E637B9">
              <w:rPr>
                <w:rFonts w:eastAsia="Calibri"/>
                <w:lang w:eastAsia="en-US"/>
              </w:rPr>
              <w:t xml:space="preserve">. </w:t>
            </w:r>
          </w:p>
          <w:p w:rsidR="0070538C" w:rsidRDefault="0070538C" w:rsidP="00512E4D">
            <w:pPr>
              <w:ind w:firstLine="614"/>
              <w:jc w:val="both"/>
              <w:rPr>
                <w:rFonts w:eastAsia="Calibri"/>
                <w:lang w:eastAsia="en-US"/>
              </w:rPr>
            </w:pPr>
          </w:p>
          <w:p w:rsidR="00033CC2" w:rsidRDefault="005A7139" w:rsidP="005A7139">
            <w:pPr>
              <w:jc w:val="both"/>
            </w:pPr>
            <w:r>
              <w:rPr>
                <w:rFonts w:eastAsia="Calibri"/>
                <w:lang w:eastAsia="en-US"/>
              </w:rPr>
              <w:t xml:space="preserve">        </w:t>
            </w:r>
            <w:r w:rsidR="007C2DD1">
              <w:rPr>
                <w:rFonts w:eastAsia="Calibri"/>
                <w:lang w:eastAsia="en-US"/>
              </w:rPr>
              <w:t xml:space="preserve">PV nav pieejami brīvi finanšu resursi pietiekamā apjomā lai realizētu nepieciešamās investīcijas </w:t>
            </w:r>
            <w:r w:rsidR="00033CC2">
              <w:rPr>
                <w:rFonts w:eastAsia="Calibri"/>
                <w:lang w:eastAsia="en-US"/>
              </w:rPr>
              <w:t xml:space="preserve">un gadījumā, ja </w:t>
            </w:r>
            <w:r w:rsidR="007C2DD1">
              <w:rPr>
                <w:rFonts w:eastAsia="Calibri"/>
                <w:lang w:eastAsia="en-US"/>
              </w:rPr>
              <w:t>PV</w:t>
            </w:r>
            <w:r w:rsidR="00033CC2">
              <w:rPr>
                <w:rFonts w:eastAsia="Calibri"/>
                <w:lang w:eastAsia="en-US"/>
              </w:rPr>
              <w:t xml:space="preserve"> 2012.gada un nākamo gadu peļņa ir jāmaksā valsts budžetā dividendēs, tas faktiski nozīmē, ka </w:t>
            </w:r>
            <w:r w:rsidR="007C2DD1">
              <w:rPr>
                <w:rFonts w:eastAsia="Calibri"/>
                <w:lang w:eastAsia="en-US"/>
              </w:rPr>
              <w:t>PV būs nepieciešams aizņemties finanšu resursus no kredītiestādēm, kas palielinās PV izmaksas un līdz ar to nepieciešamo valsts dotāciju zaudējumu, kas radusies izpildot valsts pasūtījumu pasažieru pārvadājumiem pa dzelzceļu, kompensācijai</w:t>
            </w:r>
            <w:r w:rsidR="00033CC2">
              <w:rPr>
                <w:rFonts w:eastAsia="Calibri"/>
                <w:lang w:eastAsia="en-US"/>
              </w:rPr>
              <w:t xml:space="preserve">.  </w:t>
            </w:r>
            <w:r w:rsidR="000C4ECB">
              <w:t xml:space="preserve">      </w:t>
            </w:r>
          </w:p>
          <w:p w:rsidR="006C4F4F" w:rsidRDefault="00033CC2" w:rsidP="001266F3">
            <w:pPr>
              <w:jc w:val="both"/>
            </w:pPr>
            <w:r>
              <w:t xml:space="preserve">         </w:t>
            </w:r>
            <w:r w:rsidR="007C2DD1">
              <w:t>Neveicot investīcijas ritošā sastāva uzturēšanā, var tikt būtiski apdraudēta pārvadājumu drošība</w:t>
            </w:r>
            <w:r w:rsidR="00B678CA">
              <w:t>, kas var novest pie smagām sekām, apdraudot pasažieru veselību un dzīvību</w:t>
            </w:r>
            <w:r w:rsidR="006C4F4F">
              <w:t>.</w:t>
            </w:r>
          </w:p>
          <w:p w:rsidR="00B678CA" w:rsidRDefault="00B678CA" w:rsidP="001266F3">
            <w:pPr>
              <w:jc w:val="both"/>
            </w:pPr>
            <w:r>
              <w:t xml:space="preserve">         Savstarpēji integrētas </w:t>
            </w:r>
            <w:r w:rsidRPr="00644D49">
              <w:rPr>
                <w:rFonts w:eastAsia="Calibri"/>
                <w:lang w:eastAsia="en-US"/>
              </w:rPr>
              <w:t>biļešu sistēm</w:t>
            </w:r>
            <w:r>
              <w:rPr>
                <w:rFonts w:eastAsia="Calibri"/>
                <w:lang w:eastAsia="en-US"/>
              </w:rPr>
              <w:t>as</w:t>
            </w:r>
            <w:r w:rsidRPr="00644D49">
              <w:rPr>
                <w:rFonts w:eastAsia="Calibri"/>
                <w:lang w:eastAsia="en-US"/>
              </w:rPr>
              <w:t xml:space="preserve"> Rīgas pilsētas robežās</w:t>
            </w:r>
            <w:r>
              <w:rPr>
                <w:rFonts w:eastAsia="Calibri"/>
                <w:lang w:eastAsia="en-US"/>
              </w:rPr>
              <w:t xml:space="preserve"> ieviešana ļautu piesaistīt papildus pasažierus un Rīgas Domes līdzfinansējumu pasažieru pārvadāšanai, kam Rīgas Dome ir piešķīrusi atvieglojumus. Tādējādi tiktu palielināti PV ieņēmumi, </w:t>
            </w:r>
            <w:r>
              <w:rPr>
                <w:rFonts w:eastAsia="Calibri"/>
                <w:lang w:eastAsia="en-US"/>
              </w:rPr>
              <w:lastRenderedPageBreak/>
              <w:t>samazinot nepieciešamo valsts dotāciju zaudējumu kompensācijai.</w:t>
            </w:r>
          </w:p>
          <w:p w:rsidR="005E60A0" w:rsidRPr="00485332" w:rsidRDefault="00B377C0" w:rsidP="00B678CA">
            <w:pPr>
              <w:jc w:val="both"/>
            </w:pPr>
            <w:r w:rsidRPr="00B377C0">
              <w:t xml:space="preserve">Ņemot vērā augstākminēto, PV 2012.gada peļņa būtu novirzāma ritošā sastāva uzturēšanai, </w:t>
            </w:r>
            <w:r w:rsidRPr="00B377C0">
              <w:rPr>
                <w:b/>
              </w:rPr>
              <w:t xml:space="preserve">saskaņā ar Sabiedriskā transporta pakalpojumu likumu, Ministru kabineta 2012.gada 15.maija noteikumiem Nr.341 „Kārtība, kādā nosaka un kompensē ar sabiedriskā transporta pakalpojumu sniegšanu saistītos zaudējumus un izdevumus un nosaka sabiedriskā transporta pakalpojuma tarifu” un Saskaņā ar 2008.gada 19.decembra līgumu par sabiedriskā transporta pakalpojumu sniegšanu reģionālajos starppilsētu nozīmes maršrutos pa dzelzceļu </w:t>
            </w:r>
            <w:proofErr w:type="spellStart"/>
            <w:r w:rsidRPr="00B377C0">
              <w:rPr>
                <w:b/>
              </w:rPr>
              <w:t>Nr.ATD</w:t>
            </w:r>
            <w:proofErr w:type="spellEnd"/>
            <w:r w:rsidRPr="00B377C0">
              <w:rPr>
                <w:b/>
              </w:rPr>
              <w:t>/ST-2008/04 (</w:t>
            </w:r>
            <w:proofErr w:type="spellStart"/>
            <w:r w:rsidRPr="00B377C0">
              <w:rPr>
                <w:b/>
              </w:rPr>
              <w:t>Nr.AS”PV</w:t>
            </w:r>
            <w:proofErr w:type="spellEnd"/>
            <w:r w:rsidRPr="00B377C0">
              <w:rPr>
                <w:b/>
              </w:rPr>
              <w:t>”/262-08). Peļņu plānots novirzīt lai nodrošinātu 2013.gada motorvagonu ritošā sastāva kapitālo remontu programmai.</w:t>
            </w:r>
          </w:p>
        </w:tc>
      </w:tr>
      <w:tr w:rsidR="0082475D" w:rsidRPr="00512E4D" w:rsidTr="00C404EE">
        <w:tc>
          <w:tcPr>
            <w:tcW w:w="493" w:type="dxa"/>
          </w:tcPr>
          <w:p w:rsidR="0082475D" w:rsidRPr="00512E4D" w:rsidRDefault="0082475D" w:rsidP="00555AFF">
            <w:pPr>
              <w:jc w:val="center"/>
            </w:pPr>
            <w:r w:rsidRPr="00512E4D">
              <w:lastRenderedPageBreak/>
              <w:t xml:space="preserve">3. </w:t>
            </w:r>
          </w:p>
        </w:tc>
        <w:tc>
          <w:tcPr>
            <w:tcW w:w="2154" w:type="dxa"/>
          </w:tcPr>
          <w:p w:rsidR="0082475D" w:rsidRPr="00512E4D" w:rsidRDefault="0082475D" w:rsidP="00555AFF">
            <w:pPr>
              <w:jc w:val="center"/>
            </w:pPr>
            <w:r w:rsidRPr="00512E4D">
              <w:t>Saistītie politikas ietekmes novērtējumi un pētījumi</w:t>
            </w:r>
          </w:p>
        </w:tc>
        <w:tc>
          <w:tcPr>
            <w:tcW w:w="6959" w:type="dxa"/>
          </w:tcPr>
          <w:p w:rsidR="0082475D" w:rsidRPr="00512E4D" w:rsidRDefault="00555AFF" w:rsidP="00555AFF">
            <w:r w:rsidRPr="00512E4D">
              <w:t>Projekts šo jomu neskar.</w:t>
            </w:r>
          </w:p>
        </w:tc>
      </w:tr>
      <w:tr w:rsidR="0082475D" w:rsidRPr="00512E4D" w:rsidTr="00C404EE">
        <w:tc>
          <w:tcPr>
            <w:tcW w:w="493" w:type="dxa"/>
          </w:tcPr>
          <w:p w:rsidR="0082475D" w:rsidRPr="00512E4D" w:rsidRDefault="0082475D" w:rsidP="00555AFF">
            <w:pPr>
              <w:jc w:val="center"/>
            </w:pPr>
            <w:r w:rsidRPr="00512E4D">
              <w:t xml:space="preserve">4. </w:t>
            </w:r>
          </w:p>
        </w:tc>
        <w:tc>
          <w:tcPr>
            <w:tcW w:w="2154" w:type="dxa"/>
          </w:tcPr>
          <w:p w:rsidR="0082475D" w:rsidRPr="00512E4D" w:rsidRDefault="0082475D" w:rsidP="00555AFF">
            <w:pPr>
              <w:jc w:val="center"/>
            </w:pPr>
            <w:r w:rsidRPr="00512E4D">
              <w:t>Tiesiskā regulējuma mērķis un būtība</w:t>
            </w:r>
          </w:p>
        </w:tc>
        <w:tc>
          <w:tcPr>
            <w:tcW w:w="6959" w:type="dxa"/>
          </w:tcPr>
          <w:p w:rsidR="00E30A3C" w:rsidRPr="00512E4D" w:rsidRDefault="00B678CA" w:rsidP="00B13081">
            <w:pPr>
              <w:ind w:firstLine="614"/>
              <w:jc w:val="both"/>
            </w:pPr>
            <w:r>
              <w:t>PV</w:t>
            </w:r>
            <w:r w:rsidR="005673FB" w:rsidRPr="00512E4D">
              <w:t xml:space="preserve"> ir valsts kapitālsabiedrība, kurā 100% kapitāla daļu turētāja ir </w:t>
            </w:r>
            <w:r w:rsidR="0070538C" w:rsidRPr="00512E4D">
              <w:t>Satiksmes</w:t>
            </w:r>
            <w:r w:rsidR="005673FB" w:rsidRPr="00512E4D">
              <w:t xml:space="preserve"> ministrija.</w:t>
            </w:r>
          </w:p>
          <w:p w:rsidR="00E30A3C" w:rsidRPr="00512E4D" w:rsidRDefault="005673FB" w:rsidP="00B13081">
            <w:pPr>
              <w:ind w:firstLine="614"/>
              <w:jc w:val="both"/>
            </w:pPr>
            <w:r w:rsidRPr="00512E4D">
              <w:t xml:space="preserve">Saskaņā ar likuma „Par valsts un pašvaldību kapitāla daļām un kapitālsabiedrībām” 3.panta trešo daļu un </w:t>
            </w:r>
            <w:r w:rsidR="0070538C" w:rsidRPr="00512E4D">
              <w:t>n</w:t>
            </w:r>
            <w:r w:rsidRPr="00512E4D">
              <w:t>oteikumu Nr.1471 4.</w:t>
            </w:r>
            <w:r w:rsidRPr="00ED4148">
              <w:rPr>
                <w:vertAlign w:val="superscript"/>
              </w:rPr>
              <w:t>1</w:t>
            </w:r>
            <w:r w:rsidRPr="00512E4D">
              <w:t>punktu minimālo dividendēs izmaksājamo peļņas daļu par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30A3C" w:rsidRPr="00512E4D" w:rsidRDefault="00535DB9" w:rsidP="00B13081">
            <w:pPr>
              <w:ind w:firstLine="614"/>
              <w:jc w:val="both"/>
            </w:pPr>
            <w:r>
              <w:t>AS „Pasažieru vilciens”</w:t>
            </w:r>
            <w:r w:rsidR="00410295">
              <w:t xml:space="preserve"> 2012</w:t>
            </w:r>
            <w:r w:rsidR="005673FB" w:rsidRPr="00512E4D">
              <w:t xml:space="preserve">.gadu ir noslēgusi ar </w:t>
            </w:r>
            <w:r w:rsidR="00410295">
              <w:t xml:space="preserve">LVL </w:t>
            </w:r>
            <w:r w:rsidR="00B678CA">
              <w:t>168 536</w:t>
            </w:r>
            <w:r w:rsidR="005673FB" w:rsidRPr="00512E4D">
              <w:t xml:space="preserve"> peļņu. No minētās summas atbilstoši </w:t>
            </w:r>
            <w:r w:rsidR="0070538C" w:rsidRPr="00512E4D">
              <w:t>n</w:t>
            </w:r>
            <w:r w:rsidR="005673FB" w:rsidRPr="00512E4D">
              <w:t>oteikumu Nr.1471 4.</w:t>
            </w:r>
            <w:r w:rsidR="005673FB" w:rsidRPr="00ED4148">
              <w:rPr>
                <w:vertAlign w:val="superscript"/>
              </w:rPr>
              <w:t>1</w:t>
            </w:r>
            <w:r w:rsidR="005673FB" w:rsidRPr="00512E4D">
              <w:t>punktam valstij dividendēs izmaksājamā peļņas daļa (90% no peļņas) sastāda</w:t>
            </w:r>
            <w:r w:rsidR="00555AFF" w:rsidRPr="00512E4D">
              <w:t xml:space="preserve"> </w:t>
            </w:r>
            <w:r w:rsidR="00410295">
              <w:t xml:space="preserve">LVL </w:t>
            </w:r>
            <w:r w:rsidR="00B678CA">
              <w:t>151 682.40</w:t>
            </w:r>
            <w:r w:rsidR="005673FB" w:rsidRPr="00512E4D">
              <w:t>.</w:t>
            </w:r>
          </w:p>
          <w:p w:rsidR="00E30A3C" w:rsidRPr="00512E4D" w:rsidRDefault="005673FB" w:rsidP="00B13081">
            <w:pPr>
              <w:ind w:firstLine="614"/>
              <w:jc w:val="both"/>
            </w:pPr>
            <w:r w:rsidRPr="00512E4D">
              <w:t>Noteikumu Nr.1471 5.1.punkts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E30A3C" w:rsidRPr="00512E4D" w:rsidRDefault="00B76253" w:rsidP="00B13081">
            <w:pPr>
              <w:ind w:firstLine="614"/>
              <w:jc w:val="both"/>
            </w:pPr>
            <w:r w:rsidRPr="00512E4D">
              <w:t>Satiksmes</w:t>
            </w:r>
            <w:r w:rsidR="005673FB" w:rsidRPr="00512E4D">
              <w:t xml:space="preserve"> ministrija </w:t>
            </w:r>
            <w:r w:rsidRPr="00512E4D">
              <w:t xml:space="preserve">kārtējā akcionāru sapulcē </w:t>
            </w:r>
            <w:r w:rsidR="005E293F" w:rsidRPr="00512E4D">
              <w:t>201</w:t>
            </w:r>
            <w:r w:rsidR="00410295">
              <w:t>3</w:t>
            </w:r>
            <w:r w:rsidR="005E293F" w:rsidRPr="00512E4D">
              <w:t xml:space="preserve">.gada </w:t>
            </w:r>
            <w:r w:rsidR="00B678CA">
              <w:t>30</w:t>
            </w:r>
            <w:r w:rsidR="006D200B" w:rsidRPr="006D200B">
              <w:t>.</w:t>
            </w:r>
            <w:r w:rsidR="00C94421">
              <w:t>jūl</w:t>
            </w:r>
            <w:r w:rsidR="005E293F" w:rsidRPr="006D200B">
              <w:t xml:space="preserve">ijā </w:t>
            </w:r>
            <w:r w:rsidRPr="006D200B">
              <w:t>(prot.Nr.</w:t>
            </w:r>
            <w:r w:rsidR="002D728A">
              <w:t>2</w:t>
            </w:r>
            <w:r w:rsidRPr="006D200B">
              <w:t>)</w:t>
            </w:r>
            <w:r w:rsidRPr="00512E4D">
              <w:t xml:space="preserve"> </w:t>
            </w:r>
            <w:r w:rsidR="00B678CA">
              <w:t xml:space="preserve">apstiprināja </w:t>
            </w:r>
            <w:r w:rsidR="00444F32" w:rsidRPr="00512E4D">
              <w:t>AS „</w:t>
            </w:r>
            <w:r w:rsidR="00B678CA">
              <w:t>Pasažieru vilciens</w:t>
            </w:r>
            <w:r w:rsidR="00444F32" w:rsidRPr="00512E4D">
              <w:t>” 201</w:t>
            </w:r>
            <w:r w:rsidR="00410295">
              <w:t>2</w:t>
            </w:r>
            <w:r w:rsidR="00444F32" w:rsidRPr="00512E4D">
              <w:t>.gada pārskatu un pieņē</w:t>
            </w:r>
            <w:r w:rsidR="005673FB" w:rsidRPr="00512E4D">
              <w:t>m</w:t>
            </w:r>
            <w:r w:rsidR="00444F32" w:rsidRPr="00512E4D">
              <w:t>a</w:t>
            </w:r>
            <w:r w:rsidR="005673FB" w:rsidRPr="00512E4D">
              <w:t xml:space="preserve"> lēmum</w:t>
            </w:r>
            <w:r w:rsidR="00444F32" w:rsidRPr="00512E4D">
              <w:t>u</w:t>
            </w:r>
            <w:r w:rsidR="005673FB" w:rsidRPr="00512E4D">
              <w:t xml:space="preserve"> priekšlikumu par atšķirīgas dividendēs izmaksājamās peļņas daļu virzīt izskatīšanai Ministru kabinetā. </w:t>
            </w:r>
            <w:r w:rsidR="005E293F">
              <w:t>Š</w:t>
            </w:r>
            <w:r w:rsidR="005673FB" w:rsidRPr="00512E4D">
              <w:t xml:space="preserve">obrīd </w:t>
            </w:r>
            <w:smartTag w:uri="schemas-tilde-lv/tildestengine" w:element="veidnes">
              <w:smartTagPr>
                <w:attr w:name="id" w:val="-1"/>
                <w:attr w:name="baseform" w:val="lēmums"/>
                <w:attr w:name="text" w:val="lēmums"/>
              </w:smartTagPr>
              <w:r w:rsidR="005673FB" w:rsidRPr="00512E4D">
                <w:t>lēmums</w:t>
              </w:r>
            </w:smartTag>
            <w:r w:rsidR="005673FB" w:rsidRPr="00512E4D">
              <w:t xml:space="preserve"> par </w:t>
            </w:r>
            <w:r w:rsidR="00B678CA">
              <w:t>PV</w:t>
            </w:r>
            <w:r w:rsidR="005673FB" w:rsidRPr="00512E4D">
              <w:t xml:space="preserve"> 201</w:t>
            </w:r>
            <w:r w:rsidR="00410295">
              <w:t>2</w:t>
            </w:r>
            <w:r w:rsidR="005673FB" w:rsidRPr="00512E4D">
              <w:t>.gada peļņas sadali nav pieņemts un peļņa nav sadalīta. 201</w:t>
            </w:r>
            <w:r w:rsidR="00410295">
              <w:t>2</w:t>
            </w:r>
            <w:r w:rsidR="005673FB" w:rsidRPr="00512E4D">
              <w:t xml:space="preserve">.gada nesadalītā peļņa atbilstoši </w:t>
            </w:r>
            <w:r w:rsidR="005E293F">
              <w:t>likuma „</w:t>
            </w:r>
            <w:r w:rsidR="005673FB" w:rsidRPr="00512E4D">
              <w:t>Gada pārskatu likum</w:t>
            </w:r>
            <w:r w:rsidR="005E293F">
              <w:t>s”</w:t>
            </w:r>
            <w:r w:rsidR="005673FB" w:rsidRPr="00512E4D">
              <w:t xml:space="preserve"> 20.pantam ir ietverta attiecīgā pārskata gada bilances postenī „Pārskata gada nesadalītā peļņa”. </w:t>
            </w:r>
          </w:p>
          <w:p w:rsidR="00E30A3C" w:rsidRPr="00512E4D" w:rsidRDefault="005673FB" w:rsidP="00B13081">
            <w:pPr>
              <w:ind w:firstLine="614"/>
              <w:jc w:val="both"/>
            </w:pPr>
            <w:r w:rsidRPr="00512E4D">
              <w:t>Ņemot vērā to, ka 201</w:t>
            </w:r>
            <w:r w:rsidR="00410295">
              <w:t>3</w:t>
            </w:r>
            <w:r w:rsidRPr="00512E4D">
              <w:t xml:space="preserve">.gada kapitālsabiedrības budžetā nav </w:t>
            </w:r>
            <w:r w:rsidR="00B678CA">
              <w:t>pietiekoši</w:t>
            </w:r>
            <w:r w:rsidR="0012689E">
              <w:t xml:space="preserve"> finanšu</w:t>
            </w:r>
            <w:r w:rsidRPr="00512E4D">
              <w:t xml:space="preserve"> līdzekļi </w:t>
            </w:r>
            <w:r w:rsidR="00B678CA">
              <w:t>ritošā sastāva uzturēšanai</w:t>
            </w:r>
            <w:r w:rsidRPr="00512E4D">
              <w:t xml:space="preserve">, dividenžu izmaksa par </w:t>
            </w:r>
            <w:r w:rsidR="00ED4148" w:rsidRPr="00512E4D">
              <w:t xml:space="preserve">pārskata </w:t>
            </w:r>
            <w:r w:rsidRPr="00512E4D">
              <w:t>201</w:t>
            </w:r>
            <w:r w:rsidR="00410295">
              <w:t>2</w:t>
            </w:r>
            <w:r w:rsidRPr="00512E4D">
              <w:t>.gadu ietekmēs kapitālsabiedrības pamatdarbības nodrošināšanai nepieciešamo finansējumu</w:t>
            </w:r>
            <w:r w:rsidR="0012689E">
              <w:t xml:space="preserve"> </w:t>
            </w:r>
            <w:r w:rsidR="00B678CA">
              <w:t>PV</w:t>
            </w:r>
            <w:r w:rsidR="0012689E">
              <w:t xml:space="preserve"> attīstību nākotnē</w:t>
            </w:r>
            <w:r w:rsidRPr="00512E4D">
              <w:t>.</w:t>
            </w:r>
          </w:p>
          <w:p w:rsidR="00E30A3C" w:rsidRPr="00512E4D" w:rsidRDefault="005673FB" w:rsidP="00B13081">
            <w:pPr>
              <w:ind w:firstLine="614"/>
              <w:jc w:val="both"/>
            </w:pPr>
            <w:r w:rsidRPr="00512E4D">
              <w:t>Lai novērstu draudus kapitālsabiedrības komercdarbības ilgtspējīgai attīstībai</w:t>
            </w:r>
            <w:r w:rsidR="0012689E">
              <w:t xml:space="preserve">, </w:t>
            </w:r>
            <w:r w:rsidRPr="00512E4D">
              <w:t xml:space="preserve">efektīvi būtu maksimālu </w:t>
            </w:r>
            <w:r w:rsidR="00B678CA">
              <w:t>PV</w:t>
            </w:r>
            <w:r w:rsidRPr="00512E4D">
              <w:t xml:space="preserve"> peļņas daļu ieguldīt </w:t>
            </w:r>
            <w:r w:rsidR="00B678CA">
              <w:lastRenderedPageBreak/>
              <w:t>ritošā sastāva uzturēšanā</w:t>
            </w:r>
            <w:r w:rsidR="005A7139">
              <w:t xml:space="preserve">. </w:t>
            </w:r>
            <w:r w:rsidRPr="00512E4D">
              <w:t xml:space="preserve">Tādējādi </w:t>
            </w:r>
            <w:r w:rsidR="0012689E">
              <w:t>Satiksmes ministrijas redzējumā</w:t>
            </w:r>
            <w:r w:rsidRPr="00512E4D">
              <w:t xml:space="preserve"> atšķirīgas dividendēs izmaksājamās peļņas daļas noteikšana atbilst Noteikumu Nr.1471 5.1.punktā noteiktajam „nepieciešams novērst draudus kapitālsabiedrības ilgtspējīgai attīstībai un konkurētspējas saglabāšanai.”</w:t>
            </w:r>
          </w:p>
          <w:p w:rsidR="006C4F4F" w:rsidRPr="00512E4D" w:rsidRDefault="000C4ECB" w:rsidP="00B678CA">
            <w:pPr>
              <w:jc w:val="both"/>
            </w:pPr>
            <w:r>
              <w:t xml:space="preserve">        </w:t>
            </w:r>
            <w:r w:rsidR="005673FB" w:rsidRPr="00512E4D">
              <w:t xml:space="preserve">Līdz ar to Ministru kabinetam ir nepieciešams pieņemt lēmumu, ka </w:t>
            </w:r>
            <w:r w:rsidR="00B678CA">
              <w:t>PV</w:t>
            </w:r>
            <w:r w:rsidR="005673FB" w:rsidRPr="00512E4D">
              <w:t xml:space="preserve">  201</w:t>
            </w:r>
            <w:r w:rsidR="00410295">
              <w:t>2</w:t>
            </w:r>
            <w:r w:rsidR="005673FB" w:rsidRPr="00512E4D">
              <w:t>. pārskata gada peļņa netiek izmaksāta dividendēs, t.i., tiek noteikta atšķirīga dividendēs izmaksājamā peļņas daļa 0% apmērā.</w:t>
            </w:r>
            <w:r>
              <w:t xml:space="preserve">     </w:t>
            </w:r>
          </w:p>
        </w:tc>
      </w:tr>
      <w:tr w:rsidR="0082475D" w:rsidRPr="00512E4D" w:rsidTr="00C404EE">
        <w:tc>
          <w:tcPr>
            <w:tcW w:w="493" w:type="dxa"/>
          </w:tcPr>
          <w:p w:rsidR="0082475D" w:rsidRPr="00512E4D" w:rsidRDefault="0082475D" w:rsidP="00555AFF">
            <w:pPr>
              <w:jc w:val="center"/>
            </w:pPr>
            <w:r w:rsidRPr="00512E4D">
              <w:lastRenderedPageBreak/>
              <w:t xml:space="preserve">5. </w:t>
            </w:r>
          </w:p>
        </w:tc>
        <w:tc>
          <w:tcPr>
            <w:tcW w:w="2154" w:type="dxa"/>
          </w:tcPr>
          <w:p w:rsidR="0082475D" w:rsidRPr="00512E4D" w:rsidRDefault="0082475D" w:rsidP="00555AFF">
            <w:pPr>
              <w:jc w:val="center"/>
            </w:pPr>
            <w:r w:rsidRPr="00512E4D">
              <w:t>Projekta izstrādē iesaistītās institūcijas</w:t>
            </w:r>
          </w:p>
        </w:tc>
        <w:tc>
          <w:tcPr>
            <w:tcW w:w="6959" w:type="dxa"/>
          </w:tcPr>
          <w:p w:rsidR="0082475D" w:rsidRPr="00512E4D" w:rsidRDefault="0082475D" w:rsidP="00555AFF">
            <w:r w:rsidRPr="00512E4D">
              <w:t>Satiksmes ministrija</w:t>
            </w:r>
          </w:p>
          <w:p w:rsidR="007235E0" w:rsidRPr="00512E4D" w:rsidRDefault="00555AFF" w:rsidP="00B678CA">
            <w:r w:rsidRPr="00512E4D">
              <w:t>AS „</w:t>
            </w:r>
            <w:r w:rsidR="00B678CA">
              <w:t>Pasažieru vilciens</w:t>
            </w:r>
            <w:r w:rsidRPr="00512E4D">
              <w:t xml:space="preserve">”  </w:t>
            </w:r>
          </w:p>
        </w:tc>
      </w:tr>
      <w:tr w:rsidR="0082475D" w:rsidRPr="00512E4D" w:rsidTr="00C404EE">
        <w:tc>
          <w:tcPr>
            <w:tcW w:w="493" w:type="dxa"/>
          </w:tcPr>
          <w:p w:rsidR="0082475D" w:rsidRPr="00512E4D" w:rsidRDefault="0082475D" w:rsidP="00555AFF">
            <w:pPr>
              <w:jc w:val="center"/>
            </w:pPr>
            <w:r w:rsidRPr="00512E4D">
              <w:t xml:space="preserve">6. </w:t>
            </w:r>
          </w:p>
        </w:tc>
        <w:tc>
          <w:tcPr>
            <w:tcW w:w="2154" w:type="dxa"/>
          </w:tcPr>
          <w:p w:rsidR="0082475D" w:rsidRPr="00512E4D" w:rsidRDefault="0082475D" w:rsidP="00555AFF">
            <w:pPr>
              <w:jc w:val="center"/>
            </w:pPr>
            <w:r w:rsidRPr="00512E4D">
              <w:t>Iemesli, kādēļ netika nodrošināta sabiedrības līdzdalība</w:t>
            </w:r>
          </w:p>
        </w:tc>
        <w:tc>
          <w:tcPr>
            <w:tcW w:w="6959" w:type="dxa"/>
          </w:tcPr>
          <w:p w:rsidR="0082475D" w:rsidRPr="00512E4D" w:rsidRDefault="00555AFF" w:rsidP="00555AFF">
            <w:r w:rsidRPr="00512E4D">
              <w:t>Projekts šo jomu neskar.</w:t>
            </w:r>
          </w:p>
          <w:p w:rsidR="007235E0" w:rsidRPr="00512E4D" w:rsidRDefault="007235E0" w:rsidP="00555AFF"/>
        </w:tc>
      </w:tr>
      <w:tr w:rsidR="0082475D" w:rsidRPr="00512E4D" w:rsidTr="00C404EE">
        <w:tc>
          <w:tcPr>
            <w:tcW w:w="493" w:type="dxa"/>
          </w:tcPr>
          <w:p w:rsidR="0082475D" w:rsidRPr="00512E4D" w:rsidRDefault="0082475D" w:rsidP="00555AFF">
            <w:pPr>
              <w:jc w:val="center"/>
            </w:pPr>
            <w:r w:rsidRPr="00512E4D">
              <w:t xml:space="preserve">7. </w:t>
            </w:r>
          </w:p>
        </w:tc>
        <w:tc>
          <w:tcPr>
            <w:tcW w:w="2154" w:type="dxa"/>
          </w:tcPr>
          <w:p w:rsidR="0082475D" w:rsidRPr="00512E4D" w:rsidRDefault="0082475D" w:rsidP="00555AFF">
            <w:pPr>
              <w:jc w:val="center"/>
            </w:pPr>
            <w:r w:rsidRPr="00512E4D">
              <w:t>Cita informācija</w:t>
            </w:r>
          </w:p>
        </w:tc>
        <w:tc>
          <w:tcPr>
            <w:tcW w:w="6959" w:type="dxa"/>
          </w:tcPr>
          <w:p w:rsidR="007235E0" w:rsidRPr="00512E4D" w:rsidRDefault="0082475D" w:rsidP="00555AFF">
            <w:r w:rsidRPr="00512E4D">
              <w:t>Nav</w:t>
            </w:r>
          </w:p>
        </w:tc>
      </w:tr>
    </w:tbl>
    <w:p w:rsidR="00F76C69" w:rsidRPr="00555AFF" w:rsidRDefault="00F76C69" w:rsidP="00555AFF">
      <w:pPr>
        <w:jc w:val="both"/>
        <w:rPr>
          <w:i/>
        </w:rPr>
      </w:pPr>
    </w:p>
    <w:p w:rsidR="00CF2CE4" w:rsidRDefault="00CF2CE4" w:rsidP="00555AFF">
      <w:pPr>
        <w:jc w:val="both"/>
      </w:pPr>
    </w:p>
    <w:tbl>
      <w:tblPr>
        <w:tblW w:w="9604"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33"/>
        <w:gridCol w:w="1443"/>
        <w:gridCol w:w="1554"/>
        <w:gridCol w:w="1600"/>
        <w:gridCol w:w="1600"/>
        <w:gridCol w:w="1474"/>
      </w:tblGrid>
      <w:tr w:rsidR="0082475D" w:rsidRPr="009E21E2" w:rsidTr="00C404EE">
        <w:trPr>
          <w:trHeight w:val="652"/>
          <w:tblHeader/>
          <w:tblCellSpacing w:w="0" w:type="dxa"/>
        </w:trPr>
        <w:tc>
          <w:tcPr>
            <w:tcW w:w="9604" w:type="dxa"/>
            <w:gridSpan w:val="6"/>
            <w:tcBorders>
              <w:top w:val="outset" w:sz="6" w:space="0" w:color="auto"/>
              <w:bottom w:val="outset" w:sz="6" w:space="0" w:color="auto"/>
            </w:tcBorders>
          </w:tcPr>
          <w:p w:rsidR="0082475D" w:rsidRPr="00C204C9" w:rsidRDefault="0082475D" w:rsidP="00555AFF">
            <w:pPr>
              <w:jc w:val="center"/>
              <w:rPr>
                <w:b/>
                <w:bCs/>
              </w:rPr>
            </w:pPr>
            <w:r w:rsidRPr="00C204C9">
              <w:rPr>
                <w:b/>
                <w:bCs/>
              </w:rPr>
              <w:t>III. Tiesību akta projekta ietekme uz valsts budžetu un pašvaldību budžetiem</w:t>
            </w:r>
          </w:p>
        </w:tc>
      </w:tr>
      <w:tr w:rsidR="0082475D" w:rsidRPr="009E21E2" w:rsidTr="00C404EE">
        <w:trPr>
          <w:tblHeader/>
          <w:tblCellSpacing w:w="0" w:type="dxa"/>
        </w:trPr>
        <w:tc>
          <w:tcPr>
            <w:tcW w:w="1933" w:type="dxa"/>
            <w:vMerge w:val="restart"/>
            <w:tcBorders>
              <w:top w:val="outset" w:sz="6" w:space="0" w:color="auto"/>
              <w:bottom w:val="outset" w:sz="6" w:space="0" w:color="auto"/>
              <w:right w:val="outset" w:sz="6" w:space="0" w:color="auto"/>
            </w:tcBorders>
            <w:vAlign w:val="center"/>
          </w:tcPr>
          <w:p w:rsidR="0082475D" w:rsidRPr="00C204C9" w:rsidRDefault="0082475D" w:rsidP="00555AFF">
            <w:pPr>
              <w:jc w:val="center"/>
              <w:rPr>
                <w:b/>
              </w:rPr>
            </w:pPr>
            <w:r w:rsidRPr="00C204C9">
              <w:rPr>
                <w:b/>
              </w:rPr>
              <w:t> </w:t>
            </w:r>
            <w:r w:rsidRPr="00C204C9">
              <w:rPr>
                <w:b/>
                <w:bCs/>
              </w:rPr>
              <w:t>Rādītāji</w:t>
            </w:r>
          </w:p>
        </w:tc>
        <w:tc>
          <w:tcPr>
            <w:tcW w:w="2997" w:type="dxa"/>
            <w:gridSpan w:val="2"/>
            <w:vMerge w:val="restart"/>
            <w:tcBorders>
              <w:top w:val="outset" w:sz="6" w:space="0" w:color="auto"/>
              <w:left w:val="outset" w:sz="6" w:space="0" w:color="auto"/>
              <w:bottom w:val="outset" w:sz="6" w:space="0" w:color="auto"/>
              <w:right w:val="outset" w:sz="6" w:space="0" w:color="auto"/>
            </w:tcBorders>
            <w:vAlign w:val="center"/>
          </w:tcPr>
          <w:p w:rsidR="0082475D" w:rsidRPr="00C204C9" w:rsidRDefault="0082475D" w:rsidP="006D200B">
            <w:pPr>
              <w:jc w:val="center"/>
              <w:rPr>
                <w:b/>
              </w:rPr>
            </w:pPr>
            <w:r w:rsidRPr="00C204C9">
              <w:rPr>
                <w:b/>
              </w:rPr>
              <w:t> </w:t>
            </w:r>
            <w:r w:rsidR="006D200B">
              <w:rPr>
                <w:b/>
                <w:bCs/>
              </w:rPr>
              <w:t>2013.</w:t>
            </w:r>
            <w:r w:rsidRPr="00C204C9">
              <w:rPr>
                <w:b/>
                <w:bCs/>
              </w:rPr>
              <w:t xml:space="preserve"> gads</w:t>
            </w:r>
          </w:p>
        </w:tc>
        <w:tc>
          <w:tcPr>
            <w:tcW w:w="4674" w:type="dxa"/>
            <w:gridSpan w:val="3"/>
            <w:tcBorders>
              <w:top w:val="outset" w:sz="6" w:space="0" w:color="auto"/>
              <w:left w:val="outset" w:sz="6" w:space="0" w:color="auto"/>
              <w:bottom w:val="outset" w:sz="6" w:space="0" w:color="auto"/>
            </w:tcBorders>
            <w:vAlign w:val="center"/>
          </w:tcPr>
          <w:p w:rsidR="0082475D" w:rsidRPr="00C204C9" w:rsidRDefault="0082475D" w:rsidP="00555AFF">
            <w:pPr>
              <w:jc w:val="center"/>
              <w:rPr>
                <w:b/>
              </w:rPr>
            </w:pPr>
            <w:r w:rsidRPr="00C204C9">
              <w:rPr>
                <w:b/>
              </w:rPr>
              <w:t> Turpmākie trīs gadi (tūkst</w:t>
            </w:r>
            <w:smartTag w:uri="schemas-tilde-lv/tildestengine" w:element="currency2">
              <w:smartTagPr>
                <w:attr w:name="currency_text" w:val="latu"/>
                <w:attr w:name="currency_value" w:val="."/>
                <w:attr w:name="currency_key" w:val="LVL"/>
                <w:attr w:name="currency_id" w:val="48"/>
              </w:smartTagPr>
              <w:r w:rsidRPr="00C204C9">
                <w:rPr>
                  <w:b/>
                </w:rPr>
                <w:t>. latu</w:t>
              </w:r>
            </w:smartTag>
            <w:r w:rsidRPr="00C204C9">
              <w:rPr>
                <w:b/>
              </w:rPr>
              <w:t>)</w:t>
            </w:r>
          </w:p>
        </w:tc>
      </w:tr>
      <w:tr w:rsidR="0082475D" w:rsidRPr="009E21E2" w:rsidTr="00C404EE">
        <w:trPr>
          <w:tblHeader/>
          <w:tblCellSpacing w:w="0" w:type="dxa"/>
        </w:trPr>
        <w:tc>
          <w:tcPr>
            <w:tcW w:w="1933" w:type="dxa"/>
            <w:vMerge/>
            <w:tcBorders>
              <w:top w:val="outset" w:sz="6" w:space="0" w:color="auto"/>
              <w:bottom w:val="outset" w:sz="6" w:space="0" w:color="auto"/>
              <w:right w:val="outset" w:sz="6" w:space="0" w:color="auto"/>
            </w:tcBorders>
            <w:vAlign w:val="center"/>
          </w:tcPr>
          <w:p w:rsidR="0082475D" w:rsidRPr="00C204C9" w:rsidRDefault="0082475D" w:rsidP="00555AFF"/>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6D200B">
            <w:pPr>
              <w:jc w:val="center"/>
              <w:rPr>
                <w:b/>
                <w:bCs/>
              </w:rPr>
            </w:pPr>
            <w:r w:rsidRPr="00C204C9">
              <w:rPr>
                <w:b/>
                <w:bCs/>
              </w:rPr>
              <w:t> </w:t>
            </w:r>
            <w:r w:rsidR="006D200B">
              <w:rPr>
                <w:b/>
                <w:bCs/>
              </w:rPr>
              <w:t>2014</w:t>
            </w:r>
          </w:p>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6D200B" w:rsidP="00555AFF">
            <w:pPr>
              <w:jc w:val="center"/>
              <w:rPr>
                <w:b/>
                <w:bCs/>
              </w:rPr>
            </w:pPr>
            <w:r>
              <w:rPr>
                <w:b/>
                <w:bCs/>
              </w:rPr>
              <w:t>2015</w:t>
            </w:r>
          </w:p>
        </w:tc>
        <w:tc>
          <w:tcPr>
            <w:tcW w:w="1474" w:type="dxa"/>
            <w:tcBorders>
              <w:top w:val="outset" w:sz="6" w:space="0" w:color="auto"/>
              <w:left w:val="outset" w:sz="6" w:space="0" w:color="auto"/>
              <w:bottom w:val="outset" w:sz="6" w:space="0" w:color="auto"/>
            </w:tcBorders>
            <w:vAlign w:val="center"/>
          </w:tcPr>
          <w:p w:rsidR="0082475D" w:rsidRPr="00C204C9" w:rsidRDefault="0082475D" w:rsidP="006D200B">
            <w:pPr>
              <w:jc w:val="center"/>
              <w:rPr>
                <w:b/>
                <w:bCs/>
              </w:rPr>
            </w:pPr>
            <w:r w:rsidRPr="00C204C9">
              <w:rPr>
                <w:b/>
                <w:bCs/>
              </w:rPr>
              <w:t> </w:t>
            </w:r>
            <w:r w:rsidR="006D200B">
              <w:rPr>
                <w:b/>
                <w:bCs/>
              </w:rPr>
              <w:t>2016</w:t>
            </w:r>
          </w:p>
        </w:tc>
      </w:tr>
      <w:tr w:rsidR="0082475D" w:rsidRPr="009E21E2" w:rsidTr="00C404EE">
        <w:trPr>
          <w:tblHeader/>
          <w:tblCellSpacing w:w="0" w:type="dxa"/>
        </w:trPr>
        <w:tc>
          <w:tcPr>
            <w:tcW w:w="1933" w:type="dxa"/>
            <w:vMerge/>
            <w:tcBorders>
              <w:top w:val="outset" w:sz="6" w:space="0" w:color="auto"/>
              <w:bottom w:val="outset" w:sz="6" w:space="0" w:color="auto"/>
              <w:right w:val="outset" w:sz="6" w:space="0" w:color="auto"/>
            </w:tcBorders>
            <w:vAlign w:val="center"/>
          </w:tcPr>
          <w:p w:rsidR="0082475D" w:rsidRPr="00C204C9" w:rsidRDefault="0082475D" w:rsidP="00555AFF"/>
        </w:tc>
        <w:tc>
          <w:tcPr>
            <w:tcW w:w="1443"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Saskaņā ar valsts budžetu kārtējam gadam</w:t>
            </w:r>
          </w:p>
        </w:tc>
        <w:tc>
          <w:tcPr>
            <w:tcW w:w="1554"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Izmaiņas kārtējā gadā, salīdzinot ar budžetu kārtējam gadam</w:t>
            </w:r>
          </w:p>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Izmaiņas, salīdzinot ar kārtējo (n) gadu</w:t>
            </w:r>
          </w:p>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Izmaiņas, salīdzinot ar kārtējo (n) gadu</w:t>
            </w:r>
          </w:p>
        </w:tc>
        <w:tc>
          <w:tcPr>
            <w:tcW w:w="1474" w:type="dxa"/>
            <w:tcBorders>
              <w:top w:val="outset" w:sz="6" w:space="0" w:color="auto"/>
              <w:left w:val="outset" w:sz="6" w:space="0" w:color="auto"/>
              <w:bottom w:val="outset" w:sz="6" w:space="0" w:color="auto"/>
            </w:tcBorders>
            <w:vAlign w:val="center"/>
          </w:tcPr>
          <w:p w:rsidR="0082475D" w:rsidRPr="00C204C9" w:rsidRDefault="0082475D" w:rsidP="00555AFF">
            <w:pPr>
              <w:jc w:val="center"/>
            </w:pPr>
            <w:r w:rsidRPr="00C204C9">
              <w:t> Izmaiņas, salīdzinot ar kārtējo (n) gadu</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vAlign w:val="center"/>
          </w:tcPr>
          <w:p w:rsidR="0082475D" w:rsidRPr="00C204C9" w:rsidRDefault="0082475D" w:rsidP="00555AFF">
            <w:pPr>
              <w:jc w:val="center"/>
            </w:pPr>
            <w:r w:rsidRPr="00C204C9">
              <w:t> 1</w:t>
            </w:r>
          </w:p>
        </w:tc>
        <w:tc>
          <w:tcPr>
            <w:tcW w:w="1443"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2</w:t>
            </w:r>
          </w:p>
        </w:tc>
        <w:tc>
          <w:tcPr>
            <w:tcW w:w="1554"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3</w:t>
            </w:r>
          </w:p>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4</w:t>
            </w:r>
          </w:p>
        </w:tc>
        <w:tc>
          <w:tcPr>
            <w:tcW w:w="1600" w:type="dxa"/>
            <w:tcBorders>
              <w:top w:val="outset" w:sz="6" w:space="0" w:color="auto"/>
              <w:left w:val="outset" w:sz="6" w:space="0" w:color="auto"/>
              <w:bottom w:val="outset" w:sz="6" w:space="0" w:color="auto"/>
              <w:right w:val="outset" w:sz="6" w:space="0" w:color="auto"/>
            </w:tcBorders>
            <w:vAlign w:val="center"/>
          </w:tcPr>
          <w:p w:rsidR="0082475D" w:rsidRPr="00C204C9" w:rsidRDefault="0082475D" w:rsidP="00555AFF">
            <w:pPr>
              <w:jc w:val="center"/>
            </w:pPr>
            <w:r w:rsidRPr="00C204C9">
              <w:t> 5</w:t>
            </w:r>
          </w:p>
        </w:tc>
        <w:tc>
          <w:tcPr>
            <w:tcW w:w="1474" w:type="dxa"/>
            <w:tcBorders>
              <w:top w:val="outset" w:sz="6" w:space="0" w:color="auto"/>
              <w:left w:val="outset" w:sz="6" w:space="0" w:color="auto"/>
              <w:bottom w:val="outset" w:sz="6" w:space="0" w:color="auto"/>
            </w:tcBorders>
            <w:vAlign w:val="center"/>
          </w:tcPr>
          <w:p w:rsidR="0082475D" w:rsidRPr="00C204C9" w:rsidRDefault="0082475D" w:rsidP="00555AFF">
            <w:pPr>
              <w:jc w:val="center"/>
            </w:pPr>
            <w:r w:rsidRPr="00C204C9">
              <w:t> 6</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1. Budžeta ieņēmumi:</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2D728A" w:rsidP="00CF2CE4">
            <w:pPr>
              <w:ind w:left="18"/>
              <w:jc w:val="center"/>
              <w:rPr>
                <w:color w:val="000000"/>
                <w:sz w:val="22"/>
                <w:szCs w:val="22"/>
              </w:rPr>
            </w:pPr>
            <w:r w:rsidRPr="002D728A">
              <w:rPr>
                <w:color w:val="000000"/>
                <w:sz w:val="22"/>
                <w:szCs w:val="22"/>
              </w:rPr>
              <w:t>99 837.4</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555AFF" w:rsidP="002D728A">
            <w:pPr>
              <w:jc w:val="center"/>
              <w:rPr>
                <w:color w:val="000000"/>
                <w:sz w:val="22"/>
                <w:szCs w:val="22"/>
              </w:rPr>
            </w:pPr>
            <w:r w:rsidRPr="00CF2CE4">
              <w:rPr>
                <w:color w:val="000000"/>
                <w:sz w:val="22"/>
                <w:szCs w:val="22"/>
              </w:rPr>
              <w:t xml:space="preserve">- </w:t>
            </w:r>
            <w:r w:rsidR="00EA0FFE">
              <w:t>151</w:t>
            </w:r>
            <w:r w:rsidR="002D728A">
              <w:t>.7</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r>
      <w:tr w:rsidR="00CF2CE4" w:rsidRPr="009E21E2" w:rsidTr="00C404EE">
        <w:trPr>
          <w:tblCellSpacing w:w="0" w:type="dxa"/>
        </w:trPr>
        <w:tc>
          <w:tcPr>
            <w:tcW w:w="1933" w:type="dxa"/>
            <w:tcBorders>
              <w:top w:val="outset" w:sz="6" w:space="0" w:color="auto"/>
              <w:bottom w:val="outset" w:sz="6" w:space="0" w:color="auto"/>
              <w:right w:val="outset" w:sz="6" w:space="0" w:color="auto"/>
            </w:tcBorders>
          </w:tcPr>
          <w:p w:rsidR="00CF2CE4" w:rsidRPr="00C204C9" w:rsidRDefault="00CF2CE4" w:rsidP="00555AFF">
            <w:r w:rsidRPr="00C204C9">
              <w:t> 1.1. valsts pamatbudžets, tai skaitā ieņēmumi no maksas pakalpojumiem un citi pašu ieņēmumi</w:t>
            </w:r>
          </w:p>
        </w:tc>
        <w:tc>
          <w:tcPr>
            <w:tcW w:w="1443" w:type="dxa"/>
            <w:tcBorders>
              <w:top w:val="outset" w:sz="6" w:space="0" w:color="auto"/>
              <w:left w:val="outset" w:sz="6" w:space="0" w:color="auto"/>
              <w:bottom w:val="outset" w:sz="6" w:space="0" w:color="auto"/>
              <w:right w:val="outset" w:sz="6" w:space="0" w:color="auto"/>
            </w:tcBorders>
          </w:tcPr>
          <w:p w:rsidR="00CF2CE4" w:rsidRPr="00824B7A" w:rsidRDefault="002D728A" w:rsidP="00CF2CE4">
            <w:pPr>
              <w:ind w:left="18"/>
              <w:jc w:val="center"/>
              <w:rPr>
                <w:color w:val="000000"/>
                <w:sz w:val="22"/>
                <w:szCs w:val="22"/>
              </w:rPr>
            </w:pPr>
            <w:r w:rsidRPr="002D728A">
              <w:rPr>
                <w:color w:val="000000"/>
                <w:sz w:val="22"/>
                <w:szCs w:val="22"/>
              </w:rPr>
              <w:t>99 837.4</w:t>
            </w:r>
          </w:p>
        </w:tc>
        <w:tc>
          <w:tcPr>
            <w:tcW w:w="1554" w:type="dxa"/>
            <w:tcBorders>
              <w:top w:val="outset" w:sz="6" w:space="0" w:color="auto"/>
              <w:left w:val="outset" w:sz="6" w:space="0" w:color="auto"/>
              <w:bottom w:val="outset" w:sz="6" w:space="0" w:color="auto"/>
              <w:right w:val="outset" w:sz="6" w:space="0" w:color="auto"/>
            </w:tcBorders>
          </w:tcPr>
          <w:p w:rsidR="00CF2CE4" w:rsidRPr="00CF2CE4" w:rsidRDefault="00CF2CE4" w:rsidP="002D728A">
            <w:pPr>
              <w:jc w:val="center"/>
              <w:rPr>
                <w:sz w:val="22"/>
                <w:szCs w:val="22"/>
              </w:rPr>
            </w:pPr>
            <w:r w:rsidRPr="00CF2CE4">
              <w:rPr>
                <w:sz w:val="22"/>
                <w:szCs w:val="22"/>
              </w:rPr>
              <w:t xml:space="preserve">- </w:t>
            </w:r>
            <w:r w:rsidR="00EA0FFE">
              <w:t>151</w:t>
            </w:r>
            <w:r w:rsidR="002D728A">
              <w:t>.7</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1.2. valsts speciālais 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ind w:left="18"/>
              <w:jc w:val="center"/>
              <w:rPr>
                <w:color w:val="000000"/>
                <w:sz w:val="22"/>
                <w:szCs w:val="22"/>
              </w:rPr>
            </w:pPr>
            <w:r w:rsidRPr="00CF2CE4">
              <w:rPr>
                <w:color w:val="000000"/>
                <w:sz w:val="22"/>
                <w:szCs w:val="22"/>
              </w:rPr>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1.3. pašvaldību 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ind w:left="18"/>
              <w:jc w:val="center"/>
              <w:rPr>
                <w:color w:val="000000"/>
                <w:sz w:val="22"/>
                <w:szCs w:val="22"/>
              </w:rPr>
            </w:pPr>
            <w:r w:rsidRPr="00CF2CE4">
              <w:rPr>
                <w:color w:val="000000"/>
                <w:sz w:val="22"/>
                <w:szCs w:val="22"/>
              </w:rPr>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r>
      <w:tr w:rsidR="00CF2CE4" w:rsidRPr="009E21E2" w:rsidTr="00C404EE">
        <w:trPr>
          <w:tblCellSpacing w:w="0" w:type="dxa"/>
        </w:trPr>
        <w:tc>
          <w:tcPr>
            <w:tcW w:w="1933" w:type="dxa"/>
            <w:tcBorders>
              <w:top w:val="outset" w:sz="6" w:space="0" w:color="auto"/>
              <w:bottom w:val="outset" w:sz="6" w:space="0" w:color="auto"/>
              <w:right w:val="outset" w:sz="6" w:space="0" w:color="auto"/>
            </w:tcBorders>
          </w:tcPr>
          <w:p w:rsidR="00CF2CE4" w:rsidRPr="00C204C9" w:rsidRDefault="00CF2CE4" w:rsidP="00555AFF">
            <w:r w:rsidRPr="00C204C9">
              <w:t> 2. Budžeta izdevumi:</w:t>
            </w:r>
          </w:p>
        </w:tc>
        <w:tc>
          <w:tcPr>
            <w:tcW w:w="1443" w:type="dxa"/>
            <w:tcBorders>
              <w:top w:val="outset" w:sz="6" w:space="0" w:color="auto"/>
              <w:left w:val="outset" w:sz="6" w:space="0" w:color="auto"/>
              <w:bottom w:val="outset" w:sz="6" w:space="0" w:color="auto"/>
              <w:right w:val="outset" w:sz="6" w:space="0" w:color="auto"/>
            </w:tcBorders>
          </w:tcPr>
          <w:p w:rsidR="00CF2CE4" w:rsidRPr="002B271C" w:rsidRDefault="00D950F1" w:rsidP="00CF2CE4">
            <w:pPr>
              <w:ind w:left="18"/>
              <w:jc w:val="center"/>
            </w:pPr>
            <w:r>
              <w:t>0</w:t>
            </w:r>
          </w:p>
        </w:tc>
        <w:tc>
          <w:tcPr>
            <w:tcW w:w="1554"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r>
      <w:tr w:rsidR="00CF2CE4" w:rsidRPr="009E21E2" w:rsidTr="00C404EE">
        <w:trPr>
          <w:tblCellSpacing w:w="0" w:type="dxa"/>
        </w:trPr>
        <w:tc>
          <w:tcPr>
            <w:tcW w:w="1933" w:type="dxa"/>
            <w:tcBorders>
              <w:top w:val="outset" w:sz="6" w:space="0" w:color="auto"/>
              <w:bottom w:val="outset" w:sz="6" w:space="0" w:color="auto"/>
              <w:right w:val="outset" w:sz="6" w:space="0" w:color="auto"/>
            </w:tcBorders>
          </w:tcPr>
          <w:p w:rsidR="00CF2CE4" w:rsidRPr="00C204C9" w:rsidRDefault="00CF2CE4" w:rsidP="00555AFF">
            <w:r w:rsidRPr="00C204C9">
              <w:t> 2.1. valsts pamatbudžets</w:t>
            </w:r>
          </w:p>
        </w:tc>
        <w:tc>
          <w:tcPr>
            <w:tcW w:w="1443" w:type="dxa"/>
            <w:tcBorders>
              <w:top w:val="outset" w:sz="6" w:space="0" w:color="auto"/>
              <w:left w:val="outset" w:sz="6" w:space="0" w:color="auto"/>
              <w:bottom w:val="outset" w:sz="6" w:space="0" w:color="auto"/>
              <w:right w:val="outset" w:sz="6" w:space="0" w:color="auto"/>
            </w:tcBorders>
          </w:tcPr>
          <w:p w:rsidR="00CF2CE4" w:rsidRDefault="00D950F1" w:rsidP="00CF2CE4">
            <w:pPr>
              <w:ind w:left="18"/>
              <w:jc w:val="center"/>
            </w:pPr>
            <w:r>
              <w:t>0</w:t>
            </w:r>
          </w:p>
        </w:tc>
        <w:tc>
          <w:tcPr>
            <w:tcW w:w="1554"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CF2CE4" w:rsidRPr="00CF2CE4" w:rsidRDefault="00CF2CE4" w:rsidP="00CF2CE4">
            <w:pPr>
              <w:jc w:val="center"/>
              <w:rPr>
                <w:color w:val="000000"/>
                <w:sz w:val="22"/>
                <w:szCs w:val="22"/>
              </w:rPr>
            </w:pPr>
            <w:r w:rsidRPr="00CF2CE4">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2.2. valsts speciālais 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ind w:left="18"/>
              <w:jc w:val="center"/>
              <w:rPr>
                <w:color w:val="000000"/>
                <w:sz w:val="22"/>
                <w:szCs w:val="22"/>
              </w:rPr>
            </w:pPr>
            <w:r w:rsidRPr="00CF2CE4">
              <w:rPr>
                <w:color w:val="000000"/>
                <w:sz w:val="22"/>
                <w:szCs w:val="22"/>
              </w:rPr>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xml:space="preserve"> 2.3. pašvaldību </w:t>
            </w:r>
            <w:r w:rsidRPr="00C204C9">
              <w:lastRenderedPageBreak/>
              <w:t>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ind w:left="18"/>
              <w:jc w:val="center"/>
              <w:rPr>
                <w:color w:val="000000"/>
                <w:sz w:val="22"/>
                <w:szCs w:val="22"/>
              </w:rPr>
            </w:pPr>
            <w:r w:rsidRPr="00CF2CE4">
              <w:rPr>
                <w:color w:val="000000"/>
                <w:sz w:val="22"/>
                <w:szCs w:val="22"/>
              </w:rPr>
              <w:lastRenderedPageBreak/>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555AFF" w:rsidP="00CF2CE4">
            <w:pPr>
              <w:jc w:val="center"/>
              <w:rPr>
                <w:color w:val="000000"/>
                <w:sz w:val="22"/>
                <w:szCs w:val="22"/>
              </w:rPr>
            </w:pPr>
            <w:r w:rsidRPr="00CF2CE4">
              <w:rPr>
                <w:color w:val="000000"/>
                <w:sz w:val="22"/>
                <w:szCs w:val="22"/>
              </w:rPr>
              <w:t>0</w:t>
            </w:r>
          </w:p>
        </w:tc>
      </w:tr>
      <w:tr w:rsidR="00CF2CE4" w:rsidRPr="009E21E2" w:rsidTr="00C404EE">
        <w:trPr>
          <w:tblCellSpacing w:w="0" w:type="dxa"/>
        </w:trPr>
        <w:tc>
          <w:tcPr>
            <w:tcW w:w="1933" w:type="dxa"/>
            <w:tcBorders>
              <w:top w:val="outset" w:sz="6" w:space="0" w:color="auto"/>
              <w:bottom w:val="outset" w:sz="6" w:space="0" w:color="auto"/>
              <w:right w:val="outset" w:sz="6" w:space="0" w:color="auto"/>
            </w:tcBorders>
          </w:tcPr>
          <w:p w:rsidR="00CF2CE4" w:rsidRPr="00C204C9" w:rsidRDefault="00CF2CE4" w:rsidP="00555AFF">
            <w:r w:rsidRPr="00C204C9">
              <w:lastRenderedPageBreak/>
              <w:t> 3. Finansiālā ietekme:</w:t>
            </w:r>
          </w:p>
        </w:tc>
        <w:tc>
          <w:tcPr>
            <w:tcW w:w="1443" w:type="dxa"/>
            <w:tcBorders>
              <w:top w:val="outset" w:sz="6" w:space="0" w:color="auto"/>
              <w:left w:val="outset" w:sz="6" w:space="0" w:color="auto"/>
              <w:bottom w:val="outset" w:sz="6" w:space="0" w:color="auto"/>
              <w:right w:val="outset" w:sz="6" w:space="0" w:color="auto"/>
            </w:tcBorders>
            <w:vAlign w:val="center"/>
          </w:tcPr>
          <w:p w:rsidR="00CF2CE4" w:rsidRPr="00CF2CE4" w:rsidRDefault="00CF2CE4" w:rsidP="00CF2CE4">
            <w:pPr>
              <w:ind w:left="18"/>
              <w:jc w:val="cente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CF2CE4" w:rsidRPr="00606BE0" w:rsidRDefault="00CF2CE4" w:rsidP="00CF2CE4">
            <w:pPr>
              <w:jc w:val="center"/>
            </w:pP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p>
        </w:tc>
        <w:tc>
          <w:tcPr>
            <w:tcW w:w="1474" w:type="dxa"/>
            <w:tcBorders>
              <w:top w:val="outset" w:sz="6" w:space="0" w:color="auto"/>
              <w:left w:val="outset" w:sz="6" w:space="0" w:color="auto"/>
              <w:bottom w:val="outset" w:sz="6" w:space="0" w:color="auto"/>
            </w:tcBorders>
          </w:tcPr>
          <w:p w:rsidR="00CF2CE4" w:rsidRPr="00CF2CE4" w:rsidRDefault="00CF2CE4" w:rsidP="00CF2CE4">
            <w:pPr>
              <w:jc w:val="center"/>
              <w:rPr>
                <w:color w:val="000000"/>
                <w:sz w:val="22"/>
                <w:szCs w:val="22"/>
              </w:rPr>
            </w:pPr>
          </w:p>
        </w:tc>
      </w:tr>
      <w:tr w:rsidR="00CF2CE4" w:rsidRPr="009E21E2" w:rsidTr="00C404EE">
        <w:trPr>
          <w:tblCellSpacing w:w="0" w:type="dxa"/>
        </w:trPr>
        <w:tc>
          <w:tcPr>
            <w:tcW w:w="1933" w:type="dxa"/>
            <w:tcBorders>
              <w:top w:val="outset" w:sz="6" w:space="0" w:color="auto"/>
              <w:bottom w:val="outset" w:sz="6" w:space="0" w:color="auto"/>
              <w:right w:val="outset" w:sz="6" w:space="0" w:color="auto"/>
            </w:tcBorders>
          </w:tcPr>
          <w:p w:rsidR="00CF2CE4" w:rsidRPr="00C204C9" w:rsidRDefault="00CF2CE4" w:rsidP="00555AFF">
            <w:r w:rsidRPr="00C204C9">
              <w:t> 3.1. valsts pamatbudžets</w:t>
            </w:r>
          </w:p>
        </w:tc>
        <w:tc>
          <w:tcPr>
            <w:tcW w:w="1443" w:type="dxa"/>
            <w:tcBorders>
              <w:top w:val="outset" w:sz="6" w:space="0" w:color="auto"/>
              <w:left w:val="outset" w:sz="6" w:space="0" w:color="auto"/>
              <w:bottom w:val="outset" w:sz="6" w:space="0" w:color="auto"/>
              <w:right w:val="outset" w:sz="6" w:space="0" w:color="auto"/>
            </w:tcBorders>
          </w:tcPr>
          <w:p w:rsidR="00CF2CE4" w:rsidRPr="00CF2CE4" w:rsidRDefault="002D728A" w:rsidP="00CF2CE4">
            <w:pPr>
              <w:jc w:val="center"/>
              <w:rPr>
                <w:color w:val="000000"/>
                <w:sz w:val="22"/>
                <w:szCs w:val="22"/>
              </w:rPr>
            </w:pPr>
            <w:r w:rsidRPr="002D728A">
              <w:rPr>
                <w:color w:val="000000"/>
                <w:sz w:val="22"/>
                <w:szCs w:val="22"/>
              </w:rPr>
              <w:t>99 837.4</w:t>
            </w:r>
          </w:p>
        </w:tc>
        <w:tc>
          <w:tcPr>
            <w:tcW w:w="1554" w:type="dxa"/>
            <w:tcBorders>
              <w:top w:val="outset" w:sz="6" w:space="0" w:color="auto"/>
              <w:left w:val="outset" w:sz="6" w:space="0" w:color="auto"/>
              <w:bottom w:val="outset" w:sz="6" w:space="0" w:color="auto"/>
              <w:right w:val="outset" w:sz="6" w:space="0" w:color="auto"/>
            </w:tcBorders>
          </w:tcPr>
          <w:p w:rsidR="00CF2CE4" w:rsidRDefault="00CF2CE4" w:rsidP="002D728A">
            <w:pPr>
              <w:jc w:val="center"/>
            </w:pPr>
            <w:r w:rsidRPr="00B868F7">
              <w:rPr>
                <w:sz w:val="22"/>
                <w:szCs w:val="22"/>
              </w:rPr>
              <w:t xml:space="preserve">- </w:t>
            </w:r>
            <w:r w:rsidR="00EA0FFE">
              <w:t>151</w:t>
            </w:r>
            <w:r w:rsidR="002D728A">
              <w:t>.7</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CF2CE4"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CF2CE4"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3.2. speciālais 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3.3. pašvaldību budžets</w:t>
            </w:r>
          </w:p>
        </w:tc>
        <w:tc>
          <w:tcPr>
            <w:tcW w:w="1443"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vMerge w:val="restart"/>
            <w:tcBorders>
              <w:top w:val="outset" w:sz="6" w:space="0" w:color="auto"/>
              <w:bottom w:val="outset" w:sz="6" w:space="0" w:color="auto"/>
              <w:right w:val="outset" w:sz="6" w:space="0" w:color="auto"/>
            </w:tcBorders>
          </w:tcPr>
          <w:p w:rsidR="0082475D" w:rsidRPr="00C204C9" w:rsidRDefault="0082475D" w:rsidP="00555AFF">
            <w:r w:rsidRPr="00C204C9">
              <w:t> 4. Finanšu līdzekļi papildu izde</w:t>
            </w:r>
            <w:r w:rsidRPr="00C204C9">
              <w:softHyphen/>
              <w:t>vumu finansēšanai (kompensējošu izdevumu samazinājumu norāda ar "+" zīmi)</w:t>
            </w:r>
          </w:p>
        </w:tc>
        <w:tc>
          <w:tcPr>
            <w:tcW w:w="1443" w:type="dxa"/>
            <w:vMerge w:val="restart"/>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x</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vMerge/>
            <w:tcBorders>
              <w:top w:val="outset" w:sz="6" w:space="0" w:color="auto"/>
              <w:bottom w:val="outset" w:sz="6" w:space="0" w:color="auto"/>
              <w:right w:val="outset" w:sz="6" w:space="0" w:color="auto"/>
            </w:tcBorders>
            <w:vAlign w:val="center"/>
          </w:tcPr>
          <w:p w:rsidR="0082475D" w:rsidRPr="00C204C9" w:rsidRDefault="0082475D" w:rsidP="00555AFF"/>
        </w:tc>
        <w:tc>
          <w:tcPr>
            <w:tcW w:w="0" w:type="auto"/>
            <w:vMerge/>
            <w:tcBorders>
              <w:top w:val="outset" w:sz="6" w:space="0" w:color="auto"/>
              <w:left w:val="outset" w:sz="6" w:space="0" w:color="auto"/>
              <w:bottom w:val="outset" w:sz="6" w:space="0" w:color="auto"/>
              <w:right w:val="outset" w:sz="6" w:space="0" w:color="auto"/>
            </w:tcBorders>
            <w:vAlign w:val="center"/>
          </w:tcPr>
          <w:p w:rsidR="0082475D" w:rsidRPr="00CF2CE4" w:rsidRDefault="0082475D" w:rsidP="00CF2CE4">
            <w:pPr>
              <w:jc w:val="cente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vMerge/>
            <w:tcBorders>
              <w:top w:val="outset" w:sz="6" w:space="0" w:color="auto"/>
              <w:bottom w:val="outset" w:sz="6" w:space="0" w:color="auto"/>
              <w:right w:val="outset" w:sz="6" w:space="0" w:color="auto"/>
            </w:tcBorders>
            <w:vAlign w:val="center"/>
          </w:tcPr>
          <w:p w:rsidR="0082475D" w:rsidRPr="00C204C9" w:rsidRDefault="0082475D" w:rsidP="00555AFF"/>
        </w:tc>
        <w:tc>
          <w:tcPr>
            <w:tcW w:w="0" w:type="auto"/>
            <w:vMerge/>
            <w:tcBorders>
              <w:top w:val="outset" w:sz="6" w:space="0" w:color="auto"/>
              <w:left w:val="outset" w:sz="6" w:space="0" w:color="auto"/>
              <w:bottom w:val="outset" w:sz="6" w:space="0" w:color="auto"/>
              <w:right w:val="outset" w:sz="6" w:space="0" w:color="auto"/>
            </w:tcBorders>
            <w:vAlign w:val="center"/>
          </w:tcPr>
          <w:p w:rsidR="0082475D" w:rsidRPr="00CF2CE4" w:rsidRDefault="0082475D" w:rsidP="00CF2CE4">
            <w:pPr>
              <w:jc w:val="cente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5. Precizēta finansiālā ietekme:</w:t>
            </w:r>
          </w:p>
        </w:tc>
        <w:tc>
          <w:tcPr>
            <w:tcW w:w="1443" w:type="dxa"/>
            <w:vMerge w:val="restart"/>
            <w:tcBorders>
              <w:top w:val="outset" w:sz="6" w:space="0" w:color="auto"/>
              <w:left w:val="outset" w:sz="6" w:space="0" w:color="auto"/>
              <w:bottom w:val="outset" w:sz="6" w:space="0" w:color="auto"/>
              <w:right w:val="outset" w:sz="6" w:space="0" w:color="auto"/>
            </w:tcBorders>
          </w:tcPr>
          <w:p w:rsidR="0082475D" w:rsidRPr="00CF2CE4" w:rsidRDefault="00CF2CE4" w:rsidP="00555AFF">
            <w:pPr>
              <w:jc w:val="center"/>
              <w:rPr>
                <w:color w:val="000000"/>
                <w:sz w:val="22"/>
                <w:szCs w:val="22"/>
              </w:rPr>
            </w:pPr>
            <w:r>
              <w:rPr>
                <w:color w:val="000000"/>
                <w:sz w:val="22"/>
                <w:szCs w:val="22"/>
              </w:rPr>
              <w:t>x</w:t>
            </w: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82475D" w:rsidRPr="00CF2CE4" w:rsidRDefault="0082475D" w:rsidP="00555AFF">
            <w:pP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82475D" w:rsidRPr="00CF2CE4" w:rsidRDefault="0082475D" w:rsidP="00555AFF">
            <w:pP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82475D" w:rsidRPr="00CF2CE4" w:rsidRDefault="0082475D" w:rsidP="00555AFF">
            <w:pPr>
              <w:rPr>
                <w:color w:val="000000"/>
                <w:sz w:val="22"/>
                <w:szCs w:val="22"/>
              </w:rPr>
            </w:pPr>
          </w:p>
        </w:tc>
        <w:tc>
          <w:tcPr>
            <w:tcW w:w="1554"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600" w:type="dxa"/>
            <w:tcBorders>
              <w:top w:val="outset" w:sz="6" w:space="0" w:color="auto"/>
              <w:left w:val="outset" w:sz="6" w:space="0" w:color="auto"/>
              <w:bottom w:val="outset" w:sz="6" w:space="0" w:color="auto"/>
              <w:right w:val="outset" w:sz="6" w:space="0" w:color="auto"/>
            </w:tcBorders>
          </w:tcPr>
          <w:p w:rsidR="0082475D" w:rsidRPr="00CF2CE4" w:rsidRDefault="00CF2CE4" w:rsidP="00CF2CE4">
            <w:pPr>
              <w:jc w:val="center"/>
              <w:rPr>
                <w:color w:val="000000"/>
                <w:sz w:val="22"/>
                <w:szCs w:val="22"/>
              </w:rPr>
            </w:pPr>
            <w:r>
              <w:rPr>
                <w:color w:val="000000"/>
                <w:sz w:val="22"/>
                <w:szCs w:val="22"/>
              </w:rPr>
              <w:t>0</w:t>
            </w:r>
          </w:p>
        </w:tc>
        <w:tc>
          <w:tcPr>
            <w:tcW w:w="1474" w:type="dxa"/>
            <w:tcBorders>
              <w:top w:val="outset" w:sz="6" w:space="0" w:color="auto"/>
              <w:left w:val="outset" w:sz="6" w:space="0" w:color="auto"/>
              <w:bottom w:val="outset" w:sz="6" w:space="0" w:color="auto"/>
            </w:tcBorders>
          </w:tcPr>
          <w:p w:rsidR="0082475D" w:rsidRPr="00CF2CE4" w:rsidRDefault="00CF2CE4" w:rsidP="00CF2CE4">
            <w:pPr>
              <w:jc w:val="center"/>
              <w:rPr>
                <w:color w:val="000000"/>
                <w:sz w:val="22"/>
                <w:szCs w:val="22"/>
              </w:rPr>
            </w:pPr>
            <w:r>
              <w:rPr>
                <w:color w:val="000000"/>
                <w:sz w:val="22"/>
                <w:szCs w:val="22"/>
              </w:rPr>
              <w:t>0</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6. Detalizēts ieņēmumu un izdevu</w:t>
            </w:r>
            <w:r w:rsidRPr="00C204C9">
              <w:softHyphen/>
              <w:t>mu aprēķins (ja nepieciešams, detalizētu ieņēmumu un izdevumu aprēķinu var pievienot anotācijas pielikumā):</w:t>
            </w:r>
          </w:p>
        </w:tc>
        <w:tc>
          <w:tcPr>
            <w:tcW w:w="7671" w:type="dxa"/>
            <w:gridSpan w:val="5"/>
            <w:vMerge w:val="restart"/>
            <w:tcBorders>
              <w:top w:val="outset" w:sz="6" w:space="0" w:color="auto"/>
              <w:left w:val="outset" w:sz="6" w:space="0" w:color="auto"/>
              <w:bottom w:val="outset" w:sz="6" w:space="0" w:color="auto"/>
            </w:tcBorders>
            <w:vAlign w:val="center"/>
          </w:tcPr>
          <w:p w:rsidR="0082475D" w:rsidRPr="00CF2CE4" w:rsidRDefault="00A016ED" w:rsidP="00555AFF">
            <w:pPr>
              <w:ind w:firstLine="375"/>
              <w:jc w:val="both"/>
              <w:rPr>
                <w:color w:val="000000"/>
                <w:sz w:val="22"/>
                <w:szCs w:val="22"/>
              </w:rPr>
            </w:pPr>
            <w:r w:rsidRPr="00A016ED">
              <w:rPr>
                <w:color w:val="000000"/>
                <w:sz w:val="22"/>
                <w:szCs w:val="22"/>
              </w:rPr>
              <w:t>Projekts šo jomu neskar.</w:t>
            </w:r>
          </w:p>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6.1. detalizēts ieņēmumu aprēķins</w:t>
            </w:r>
          </w:p>
        </w:tc>
        <w:tc>
          <w:tcPr>
            <w:tcW w:w="7671" w:type="dxa"/>
            <w:gridSpan w:val="5"/>
            <w:vMerge/>
            <w:tcBorders>
              <w:top w:val="outset" w:sz="6" w:space="0" w:color="auto"/>
              <w:left w:val="outset" w:sz="6" w:space="0" w:color="auto"/>
              <w:bottom w:val="outset" w:sz="6" w:space="0" w:color="auto"/>
            </w:tcBorders>
            <w:vAlign w:val="center"/>
          </w:tcPr>
          <w:p w:rsidR="0082475D" w:rsidRPr="00C204C9" w:rsidRDefault="0082475D" w:rsidP="00555AFF"/>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6.2. detalizēts izdevumu aprēķins</w:t>
            </w:r>
          </w:p>
        </w:tc>
        <w:tc>
          <w:tcPr>
            <w:tcW w:w="7671" w:type="dxa"/>
            <w:gridSpan w:val="5"/>
            <w:vMerge/>
            <w:tcBorders>
              <w:top w:val="outset" w:sz="6" w:space="0" w:color="auto"/>
              <w:left w:val="outset" w:sz="6" w:space="0" w:color="auto"/>
              <w:bottom w:val="outset" w:sz="6" w:space="0" w:color="auto"/>
            </w:tcBorders>
            <w:vAlign w:val="center"/>
          </w:tcPr>
          <w:p w:rsidR="0082475D" w:rsidRPr="00C204C9" w:rsidRDefault="0082475D" w:rsidP="00555AFF"/>
        </w:tc>
      </w:tr>
      <w:tr w:rsidR="0082475D" w:rsidRPr="009E21E2" w:rsidTr="00C404EE">
        <w:trPr>
          <w:tblCellSpacing w:w="0" w:type="dxa"/>
        </w:trPr>
        <w:tc>
          <w:tcPr>
            <w:tcW w:w="1933" w:type="dxa"/>
            <w:tcBorders>
              <w:top w:val="outset" w:sz="6" w:space="0" w:color="auto"/>
              <w:bottom w:val="outset" w:sz="6" w:space="0" w:color="auto"/>
              <w:right w:val="outset" w:sz="6" w:space="0" w:color="auto"/>
            </w:tcBorders>
          </w:tcPr>
          <w:p w:rsidR="0082475D" w:rsidRPr="00C204C9" w:rsidRDefault="0082475D" w:rsidP="00555AFF">
            <w:r w:rsidRPr="00C204C9">
              <w:t> 7. Cita informācija</w:t>
            </w:r>
          </w:p>
        </w:tc>
        <w:tc>
          <w:tcPr>
            <w:tcW w:w="7671" w:type="dxa"/>
            <w:gridSpan w:val="5"/>
            <w:tcBorders>
              <w:top w:val="outset" w:sz="6" w:space="0" w:color="auto"/>
              <w:left w:val="outset" w:sz="6" w:space="0" w:color="auto"/>
              <w:bottom w:val="outset" w:sz="6" w:space="0" w:color="auto"/>
            </w:tcBorders>
          </w:tcPr>
          <w:p w:rsidR="0082475D" w:rsidRPr="00C204C9" w:rsidRDefault="00CF2CE4" w:rsidP="00CF2CE4">
            <w:pPr>
              <w:ind w:left="443"/>
            </w:pPr>
            <w:r>
              <w:t>Nav</w:t>
            </w:r>
          </w:p>
        </w:tc>
      </w:tr>
    </w:tbl>
    <w:p w:rsidR="00CF2CE4" w:rsidRDefault="00CF2CE4" w:rsidP="00555AFF"/>
    <w:p w:rsidR="005B493D" w:rsidRDefault="005B493D" w:rsidP="00555AFF"/>
    <w:p w:rsidR="00E30A3C" w:rsidRDefault="00E30A3C" w:rsidP="00555AFF"/>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3970"/>
        <w:gridCol w:w="4535"/>
      </w:tblGrid>
      <w:tr w:rsidR="005B493D" w:rsidRPr="00E253D5" w:rsidTr="00C87582">
        <w:tc>
          <w:tcPr>
            <w:tcW w:w="9072" w:type="dxa"/>
            <w:gridSpan w:val="3"/>
            <w:tcBorders>
              <w:top w:val="single" w:sz="4" w:space="0" w:color="auto"/>
            </w:tcBorders>
          </w:tcPr>
          <w:p w:rsidR="005B493D" w:rsidRPr="00E253D5" w:rsidRDefault="005B493D" w:rsidP="00555AFF">
            <w:pPr>
              <w:pStyle w:val="naisnod"/>
              <w:spacing w:before="0" w:after="0"/>
              <w:ind w:left="57" w:right="57"/>
            </w:pPr>
            <w:r w:rsidRPr="00E253D5">
              <w:t>VII. Tiesību akta projekta izpildes nodrošināšana un tās ietekme uz institūcijām</w:t>
            </w:r>
          </w:p>
        </w:tc>
      </w:tr>
      <w:tr w:rsidR="005B493D" w:rsidRPr="00E253D5" w:rsidTr="00C87582">
        <w:trPr>
          <w:trHeight w:val="427"/>
        </w:trPr>
        <w:tc>
          <w:tcPr>
            <w:tcW w:w="567" w:type="dxa"/>
          </w:tcPr>
          <w:p w:rsidR="005B493D" w:rsidRPr="00E253D5" w:rsidRDefault="005B493D" w:rsidP="00555AFF">
            <w:pPr>
              <w:pStyle w:val="naisnod"/>
              <w:spacing w:before="0" w:after="0"/>
              <w:ind w:left="57" w:right="57"/>
              <w:jc w:val="left"/>
              <w:rPr>
                <w:b w:val="0"/>
              </w:rPr>
            </w:pPr>
            <w:r w:rsidRPr="00E253D5">
              <w:rPr>
                <w:b w:val="0"/>
              </w:rPr>
              <w:t>1.</w:t>
            </w:r>
          </w:p>
        </w:tc>
        <w:tc>
          <w:tcPr>
            <w:tcW w:w="3970" w:type="dxa"/>
          </w:tcPr>
          <w:p w:rsidR="005B493D" w:rsidRPr="00E253D5" w:rsidRDefault="005B493D" w:rsidP="00555AFF">
            <w:pPr>
              <w:pStyle w:val="naisf"/>
              <w:spacing w:before="0" w:after="0"/>
              <w:ind w:left="57" w:right="57" w:firstLine="0"/>
              <w:jc w:val="left"/>
            </w:pPr>
            <w:r w:rsidRPr="00E253D5">
              <w:t xml:space="preserve">Projekta izpildē iesaistītās institūcijas </w:t>
            </w:r>
          </w:p>
        </w:tc>
        <w:tc>
          <w:tcPr>
            <w:tcW w:w="4535" w:type="dxa"/>
          </w:tcPr>
          <w:p w:rsidR="005B493D" w:rsidRPr="00891A06" w:rsidRDefault="00CF2CE4" w:rsidP="00B678CA">
            <w:pPr>
              <w:pStyle w:val="naisnod"/>
              <w:spacing w:before="0" w:after="0"/>
              <w:ind w:left="57" w:right="57"/>
              <w:jc w:val="left"/>
              <w:rPr>
                <w:b w:val="0"/>
                <w:iCs/>
              </w:rPr>
            </w:pPr>
            <w:r>
              <w:rPr>
                <w:b w:val="0"/>
                <w:iCs/>
              </w:rPr>
              <w:t xml:space="preserve">Satiksmes ministrija, </w:t>
            </w:r>
            <w:r w:rsidR="005B493D" w:rsidRPr="00891A06">
              <w:rPr>
                <w:b w:val="0"/>
                <w:iCs/>
              </w:rPr>
              <w:t>akciju sabiedrība „</w:t>
            </w:r>
            <w:r w:rsidR="00B678CA">
              <w:rPr>
                <w:b w:val="0"/>
                <w:iCs/>
              </w:rPr>
              <w:t>Pasažieru vilciens</w:t>
            </w:r>
            <w:r w:rsidR="005B493D" w:rsidRPr="00891A06">
              <w:rPr>
                <w:b w:val="0"/>
                <w:iCs/>
              </w:rPr>
              <w:t>”</w:t>
            </w:r>
          </w:p>
        </w:tc>
      </w:tr>
      <w:tr w:rsidR="005B493D" w:rsidRPr="00E253D5" w:rsidTr="00C87582">
        <w:trPr>
          <w:trHeight w:val="463"/>
        </w:trPr>
        <w:tc>
          <w:tcPr>
            <w:tcW w:w="567" w:type="dxa"/>
          </w:tcPr>
          <w:p w:rsidR="005B493D" w:rsidRPr="00E253D5" w:rsidRDefault="005B493D" w:rsidP="00555AFF">
            <w:pPr>
              <w:pStyle w:val="naisnod"/>
              <w:spacing w:before="0" w:after="0"/>
              <w:ind w:left="57" w:right="57"/>
              <w:jc w:val="left"/>
              <w:rPr>
                <w:b w:val="0"/>
              </w:rPr>
            </w:pPr>
            <w:r w:rsidRPr="00E253D5">
              <w:rPr>
                <w:b w:val="0"/>
              </w:rPr>
              <w:t>2.</w:t>
            </w:r>
          </w:p>
        </w:tc>
        <w:tc>
          <w:tcPr>
            <w:tcW w:w="3970" w:type="dxa"/>
          </w:tcPr>
          <w:p w:rsidR="005B493D" w:rsidRPr="00E253D5" w:rsidRDefault="005B493D" w:rsidP="00555AFF">
            <w:pPr>
              <w:pStyle w:val="naisf"/>
              <w:spacing w:before="0" w:after="0"/>
              <w:ind w:left="57" w:right="57" w:firstLine="0"/>
              <w:jc w:val="left"/>
            </w:pPr>
            <w:r w:rsidRPr="00E253D5">
              <w:t xml:space="preserve">Projekta izpildes ietekme uz pārvaldes funkcijām </w:t>
            </w:r>
          </w:p>
        </w:tc>
        <w:tc>
          <w:tcPr>
            <w:tcW w:w="4535" w:type="dxa"/>
          </w:tcPr>
          <w:p w:rsidR="005B493D" w:rsidRPr="00E253D5" w:rsidRDefault="00594517" w:rsidP="00555AFF">
            <w:pPr>
              <w:pStyle w:val="naisnod"/>
              <w:spacing w:before="0" w:after="0"/>
              <w:ind w:left="57" w:right="57"/>
              <w:jc w:val="both"/>
              <w:rPr>
                <w:b w:val="0"/>
              </w:rPr>
            </w:pPr>
            <w:r>
              <w:rPr>
                <w:b w:val="0"/>
                <w:iCs/>
              </w:rPr>
              <w:t>Projekts šo jomu neskar.</w:t>
            </w:r>
          </w:p>
        </w:tc>
      </w:tr>
      <w:tr w:rsidR="005B493D" w:rsidRPr="00E253D5" w:rsidTr="00C87582">
        <w:trPr>
          <w:trHeight w:val="725"/>
        </w:trPr>
        <w:tc>
          <w:tcPr>
            <w:tcW w:w="567" w:type="dxa"/>
          </w:tcPr>
          <w:p w:rsidR="005B493D" w:rsidRPr="00E253D5" w:rsidRDefault="005B493D" w:rsidP="00555AFF">
            <w:pPr>
              <w:pStyle w:val="naisnod"/>
              <w:spacing w:before="0" w:after="0"/>
              <w:ind w:left="57" w:right="57"/>
              <w:jc w:val="left"/>
              <w:rPr>
                <w:b w:val="0"/>
              </w:rPr>
            </w:pPr>
            <w:r w:rsidRPr="00E253D5">
              <w:rPr>
                <w:b w:val="0"/>
              </w:rPr>
              <w:t>3.</w:t>
            </w:r>
          </w:p>
        </w:tc>
        <w:tc>
          <w:tcPr>
            <w:tcW w:w="3970" w:type="dxa"/>
          </w:tcPr>
          <w:p w:rsidR="005B493D" w:rsidRPr="00E253D5" w:rsidRDefault="005B493D" w:rsidP="00555AFF">
            <w:pPr>
              <w:pStyle w:val="naisf"/>
              <w:spacing w:before="0" w:after="0"/>
              <w:ind w:left="57" w:right="57" w:firstLine="0"/>
              <w:jc w:val="left"/>
            </w:pPr>
            <w:r w:rsidRPr="00E253D5">
              <w:t>Projekta izpildes ietekme uz pārvaldes institucionālo struktūru.</w:t>
            </w:r>
          </w:p>
          <w:p w:rsidR="005B493D" w:rsidRPr="00E253D5" w:rsidRDefault="005B493D" w:rsidP="00555AFF">
            <w:pPr>
              <w:pStyle w:val="naisf"/>
              <w:spacing w:before="0" w:after="0"/>
              <w:ind w:left="57" w:right="57" w:firstLine="0"/>
              <w:jc w:val="left"/>
            </w:pPr>
            <w:r w:rsidRPr="00E253D5">
              <w:t>Jaunu institūciju izveide</w:t>
            </w:r>
          </w:p>
        </w:tc>
        <w:tc>
          <w:tcPr>
            <w:tcW w:w="4535" w:type="dxa"/>
          </w:tcPr>
          <w:p w:rsidR="005B493D" w:rsidRPr="00E253D5" w:rsidRDefault="00594517" w:rsidP="00555AFF">
            <w:pPr>
              <w:pStyle w:val="naisnod"/>
              <w:spacing w:before="0" w:after="0"/>
              <w:ind w:left="57" w:right="57"/>
              <w:jc w:val="left"/>
              <w:rPr>
                <w:b w:val="0"/>
              </w:rPr>
            </w:pPr>
            <w:r w:rsidRPr="00594517">
              <w:rPr>
                <w:b w:val="0"/>
                <w:iCs/>
              </w:rPr>
              <w:t>Projekts šo jomu neskar.</w:t>
            </w:r>
          </w:p>
        </w:tc>
      </w:tr>
      <w:tr w:rsidR="005B493D" w:rsidRPr="00E253D5" w:rsidTr="00C87582">
        <w:trPr>
          <w:trHeight w:val="780"/>
        </w:trPr>
        <w:tc>
          <w:tcPr>
            <w:tcW w:w="567" w:type="dxa"/>
          </w:tcPr>
          <w:p w:rsidR="005B493D" w:rsidRPr="00E253D5" w:rsidRDefault="005B493D" w:rsidP="00555AFF">
            <w:pPr>
              <w:pStyle w:val="naisnod"/>
              <w:spacing w:before="0" w:after="0"/>
              <w:ind w:left="57" w:right="57"/>
              <w:jc w:val="left"/>
              <w:rPr>
                <w:b w:val="0"/>
              </w:rPr>
            </w:pPr>
            <w:r w:rsidRPr="00E253D5">
              <w:rPr>
                <w:b w:val="0"/>
              </w:rPr>
              <w:t>4.</w:t>
            </w:r>
          </w:p>
        </w:tc>
        <w:tc>
          <w:tcPr>
            <w:tcW w:w="3970" w:type="dxa"/>
          </w:tcPr>
          <w:p w:rsidR="005B493D" w:rsidRPr="00E253D5" w:rsidRDefault="005B493D" w:rsidP="00555AFF">
            <w:pPr>
              <w:pStyle w:val="naisf"/>
              <w:spacing w:before="0" w:after="0"/>
              <w:ind w:left="57" w:right="57" w:firstLine="0"/>
              <w:jc w:val="left"/>
            </w:pPr>
            <w:r w:rsidRPr="00E253D5">
              <w:t>Projekta izpildes ietekme uz pārvaldes institucionālo struktūru.</w:t>
            </w:r>
          </w:p>
          <w:p w:rsidR="005B493D" w:rsidRPr="00E253D5" w:rsidRDefault="005B493D" w:rsidP="00555AFF">
            <w:pPr>
              <w:pStyle w:val="naisf"/>
              <w:spacing w:before="0" w:after="0"/>
              <w:ind w:left="57" w:right="57" w:firstLine="0"/>
              <w:jc w:val="left"/>
            </w:pPr>
            <w:r w:rsidRPr="00E253D5">
              <w:t>Esošu institūciju likvidācija</w:t>
            </w:r>
          </w:p>
        </w:tc>
        <w:tc>
          <w:tcPr>
            <w:tcW w:w="4535" w:type="dxa"/>
          </w:tcPr>
          <w:p w:rsidR="005B493D" w:rsidRPr="00E253D5" w:rsidRDefault="00594517" w:rsidP="00555AFF">
            <w:pPr>
              <w:pStyle w:val="naisnod"/>
              <w:spacing w:before="0" w:after="0"/>
              <w:ind w:left="57" w:right="57"/>
              <w:jc w:val="left"/>
              <w:rPr>
                <w:b w:val="0"/>
              </w:rPr>
            </w:pPr>
            <w:r w:rsidRPr="00594517">
              <w:rPr>
                <w:b w:val="0"/>
                <w:iCs/>
              </w:rPr>
              <w:t>Projekts šo jomu neskar.</w:t>
            </w:r>
          </w:p>
        </w:tc>
      </w:tr>
      <w:tr w:rsidR="005B493D" w:rsidRPr="00E253D5" w:rsidTr="00C87582">
        <w:trPr>
          <w:trHeight w:val="703"/>
        </w:trPr>
        <w:tc>
          <w:tcPr>
            <w:tcW w:w="567" w:type="dxa"/>
          </w:tcPr>
          <w:p w:rsidR="005B493D" w:rsidRPr="00E253D5" w:rsidRDefault="005B493D" w:rsidP="00555AFF">
            <w:pPr>
              <w:pStyle w:val="naisnod"/>
              <w:spacing w:before="0" w:after="0"/>
              <w:ind w:left="57" w:right="57"/>
              <w:jc w:val="left"/>
              <w:rPr>
                <w:b w:val="0"/>
              </w:rPr>
            </w:pPr>
            <w:r w:rsidRPr="00E253D5">
              <w:rPr>
                <w:b w:val="0"/>
              </w:rPr>
              <w:t>5.</w:t>
            </w:r>
          </w:p>
        </w:tc>
        <w:tc>
          <w:tcPr>
            <w:tcW w:w="3970" w:type="dxa"/>
          </w:tcPr>
          <w:p w:rsidR="005B493D" w:rsidRPr="00E253D5" w:rsidRDefault="005B493D" w:rsidP="00555AFF">
            <w:pPr>
              <w:pStyle w:val="naisf"/>
              <w:spacing w:before="0" w:after="0"/>
              <w:ind w:left="57" w:right="57" w:firstLine="0"/>
              <w:jc w:val="left"/>
            </w:pPr>
            <w:r w:rsidRPr="00E253D5">
              <w:t>Projekta izpildes ietekme uz pārvaldes institucionālo struktūru.</w:t>
            </w:r>
          </w:p>
          <w:p w:rsidR="005B493D" w:rsidRPr="00E253D5" w:rsidRDefault="005B493D" w:rsidP="00555AFF">
            <w:pPr>
              <w:pStyle w:val="naisf"/>
              <w:spacing w:before="0" w:after="0"/>
              <w:ind w:left="57" w:right="57" w:firstLine="0"/>
              <w:jc w:val="left"/>
            </w:pPr>
            <w:r w:rsidRPr="00E253D5">
              <w:t>Esošu institūciju reorganizācija</w:t>
            </w:r>
          </w:p>
        </w:tc>
        <w:tc>
          <w:tcPr>
            <w:tcW w:w="4535" w:type="dxa"/>
          </w:tcPr>
          <w:p w:rsidR="005B493D" w:rsidRPr="00E253D5" w:rsidRDefault="00594517" w:rsidP="00555AFF">
            <w:pPr>
              <w:pStyle w:val="naisnod"/>
              <w:spacing w:before="0" w:after="0"/>
              <w:ind w:left="57" w:right="57"/>
              <w:jc w:val="left"/>
              <w:rPr>
                <w:b w:val="0"/>
              </w:rPr>
            </w:pPr>
            <w:r w:rsidRPr="00594517">
              <w:rPr>
                <w:b w:val="0"/>
                <w:iCs/>
              </w:rPr>
              <w:t>Projekts šo jomu neskar.</w:t>
            </w:r>
          </w:p>
        </w:tc>
      </w:tr>
      <w:tr w:rsidR="005B493D" w:rsidRPr="00E253D5" w:rsidTr="00C87582">
        <w:trPr>
          <w:trHeight w:val="476"/>
        </w:trPr>
        <w:tc>
          <w:tcPr>
            <w:tcW w:w="567" w:type="dxa"/>
          </w:tcPr>
          <w:p w:rsidR="005B493D" w:rsidRPr="00E253D5" w:rsidRDefault="005B493D" w:rsidP="00555AFF">
            <w:pPr>
              <w:pStyle w:val="naiskr"/>
              <w:spacing w:before="0" w:beforeAutospacing="0" w:after="0" w:afterAutospacing="0"/>
              <w:ind w:left="57" w:right="57"/>
            </w:pPr>
            <w:r w:rsidRPr="00E253D5">
              <w:t>6.</w:t>
            </w:r>
          </w:p>
        </w:tc>
        <w:tc>
          <w:tcPr>
            <w:tcW w:w="3970" w:type="dxa"/>
          </w:tcPr>
          <w:p w:rsidR="005B493D" w:rsidRPr="00E253D5" w:rsidRDefault="005B493D" w:rsidP="00555AFF">
            <w:pPr>
              <w:pStyle w:val="naiskr"/>
              <w:spacing w:before="0" w:beforeAutospacing="0" w:after="0" w:afterAutospacing="0"/>
              <w:ind w:left="57" w:right="57"/>
            </w:pPr>
            <w:r w:rsidRPr="00E253D5">
              <w:t>Cita informācija</w:t>
            </w:r>
          </w:p>
        </w:tc>
        <w:tc>
          <w:tcPr>
            <w:tcW w:w="4535" w:type="dxa"/>
          </w:tcPr>
          <w:p w:rsidR="005B493D" w:rsidRPr="00E253D5" w:rsidRDefault="005B493D" w:rsidP="00555AFF">
            <w:pPr>
              <w:pStyle w:val="naiskr"/>
              <w:spacing w:before="0" w:beforeAutospacing="0" w:after="0" w:afterAutospacing="0"/>
              <w:ind w:left="57" w:right="57"/>
            </w:pPr>
            <w:r w:rsidRPr="00E253D5">
              <w:t>Nav.</w:t>
            </w:r>
          </w:p>
        </w:tc>
      </w:tr>
    </w:tbl>
    <w:p w:rsidR="005B493D" w:rsidRPr="00E253D5" w:rsidRDefault="005B493D" w:rsidP="00555AFF">
      <w:pPr>
        <w:pStyle w:val="naisf"/>
        <w:tabs>
          <w:tab w:val="left" w:pos="5760"/>
        </w:tabs>
        <w:spacing w:before="0" w:after="0"/>
        <w:ind w:firstLine="720"/>
      </w:pPr>
    </w:p>
    <w:p w:rsidR="0082475D" w:rsidRDefault="00653199" w:rsidP="00555AFF">
      <w:pPr>
        <w:jc w:val="both"/>
      </w:pPr>
      <w:r w:rsidRPr="00653199">
        <w:t>Anotācijas II, IV, V un IV sadaļas – Projekts šīs jomas neskar.</w:t>
      </w:r>
    </w:p>
    <w:p w:rsidR="00093C51" w:rsidRDefault="00093C51" w:rsidP="00555AFF">
      <w:pPr>
        <w:pStyle w:val="naisf"/>
        <w:spacing w:before="0" w:after="0"/>
        <w:ind w:firstLine="720"/>
        <w:rPr>
          <w:sz w:val="28"/>
          <w:szCs w:val="28"/>
        </w:rPr>
      </w:pPr>
    </w:p>
    <w:p w:rsidR="00F64D71" w:rsidRDefault="00F64D71" w:rsidP="00555AFF">
      <w:pPr>
        <w:pStyle w:val="naisf"/>
        <w:spacing w:before="0" w:after="0"/>
        <w:ind w:firstLine="720"/>
        <w:rPr>
          <w:sz w:val="28"/>
          <w:szCs w:val="28"/>
        </w:rPr>
      </w:pPr>
    </w:p>
    <w:p w:rsidR="0048568D" w:rsidRDefault="0048568D" w:rsidP="0048568D">
      <w:pPr>
        <w:tabs>
          <w:tab w:val="left" w:pos="6804"/>
        </w:tabs>
        <w:ind w:firstLine="720"/>
        <w:jc w:val="both"/>
        <w:rPr>
          <w:sz w:val="28"/>
          <w:szCs w:val="28"/>
        </w:rPr>
      </w:pPr>
      <w:r>
        <w:rPr>
          <w:sz w:val="28"/>
          <w:szCs w:val="28"/>
        </w:rPr>
        <w:t>Satiksmes ministrs</w:t>
      </w:r>
      <w:r>
        <w:rPr>
          <w:sz w:val="28"/>
          <w:szCs w:val="28"/>
        </w:rPr>
        <w:tab/>
      </w:r>
      <w:r>
        <w:rPr>
          <w:sz w:val="28"/>
          <w:szCs w:val="28"/>
        </w:rPr>
        <w:tab/>
        <w:t>A.</w:t>
      </w:r>
      <w:r w:rsidR="001A7D16">
        <w:rPr>
          <w:sz w:val="28"/>
          <w:szCs w:val="28"/>
        </w:rPr>
        <w:t>Matīss</w:t>
      </w:r>
    </w:p>
    <w:p w:rsidR="004F7000" w:rsidRDefault="004F7000" w:rsidP="004F7000">
      <w:pPr>
        <w:ind w:firstLine="720"/>
        <w:jc w:val="both"/>
        <w:rPr>
          <w:sz w:val="28"/>
        </w:rPr>
      </w:pPr>
    </w:p>
    <w:p w:rsidR="005F54B0" w:rsidRDefault="005F54B0" w:rsidP="00555AFF">
      <w:pPr>
        <w:jc w:val="both"/>
        <w:rPr>
          <w:sz w:val="28"/>
          <w:szCs w:val="28"/>
        </w:rPr>
      </w:pPr>
    </w:p>
    <w:p w:rsidR="00CC46A7" w:rsidRDefault="002B2A1C" w:rsidP="00CC46A7">
      <w:pPr>
        <w:ind w:left="720"/>
        <w:jc w:val="both"/>
        <w:rPr>
          <w:sz w:val="28"/>
          <w:szCs w:val="28"/>
          <w:lang w:val="de-DE"/>
        </w:rPr>
      </w:pPr>
      <w:r>
        <w:rPr>
          <w:sz w:val="28"/>
          <w:szCs w:val="28"/>
          <w:lang w:val="de-DE"/>
        </w:rPr>
        <w:t>Viz</w:t>
      </w:r>
      <w:r w:rsidR="00EA6A2E">
        <w:rPr>
          <w:sz w:val="28"/>
          <w:szCs w:val="28"/>
          <w:lang w:val="de-DE"/>
        </w:rPr>
        <w:t>ē</w:t>
      </w:r>
      <w:r>
        <w:rPr>
          <w:sz w:val="28"/>
          <w:szCs w:val="28"/>
          <w:lang w:val="de-DE"/>
        </w:rPr>
        <w:t xml:space="preserve">: </w:t>
      </w:r>
    </w:p>
    <w:p w:rsidR="00CC46A7" w:rsidRDefault="00CC46A7" w:rsidP="00CC46A7">
      <w:pPr>
        <w:ind w:left="720"/>
        <w:jc w:val="both"/>
        <w:rPr>
          <w:sz w:val="28"/>
          <w:szCs w:val="28"/>
        </w:rPr>
      </w:pPr>
      <w:r>
        <w:rPr>
          <w:sz w:val="28"/>
          <w:szCs w:val="28"/>
        </w:rPr>
        <w:t xml:space="preserve">Valsts </w:t>
      </w:r>
      <w:r w:rsidR="001A7D16">
        <w:rPr>
          <w:sz w:val="28"/>
          <w:szCs w:val="28"/>
        </w:rPr>
        <w:t>sekretār</w:t>
      </w:r>
      <w:r w:rsidR="00285910">
        <w:rPr>
          <w:sz w:val="28"/>
          <w:szCs w:val="28"/>
        </w:rPr>
        <w:t>s</w:t>
      </w:r>
      <w:r w:rsidR="00285910">
        <w:rPr>
          <w:sz w:val="28"/>
          <w:szCs w:val="28"/>
        </w:rPr>
        <w:tab/>
      </w:r>
      <w:r>
        <w:rPr>
          <w:sz w:val="28"/>
          <w:szCs w:val="28"/>
        </w:rPr>
        <w:tab/>
      </w:r>
      <w:r>
        <w:rPr>
          <w:sz w:val="28"/>
          <w:szCs w:val="28"/>
        </w:rPr>
        <w:tab/>
      </w:r>
      <w:r>
        <w:rPr>
          <w:sz w:val="28"/>
          <w:szCs w:val="28"/>
        </w:rPr>
        <w:tab/>
      </w:r>
      <w:r>
        <w:rPr>
          <w:sz w:val="28"/>
          <w:szCs w:val="28"/>
        </w:rPr>
        <w:tab/>
      </w:r>
      <w:r w:rsidR="004F7000">
        <w:rPr>
          <w:sz w:val="28"/>
          <w:szCs w:val="28"/>
        </w:rPr>
        <w:tab/>
      </w:r>
      <w:r w:rsidR="004F7000">
        <w:rPr>
          <w:sz w:val="28"/>
          <w:szCs w:val="28"/>
        </w:rPr>
        <w:tab/>
      </w:r>
      <w:r w:rsidR="00285910">
        <w:rPr>
          <w:sz w:val="28"/>
          <w:szCs w:val="28"/>
        </w:rPr>
        <w:t>K.Ozoliņš</w:t>
      </w:r>
    </w:p>
    <w:p w:rsidR="00594517" w:rsidRPr="00E82434" w:rsidRDefault="00594517" w:rsidP="00594517">
      <w:pPr>
        <w:ind w:firstLine="720"/>
        <w:jc w:val="both"/>
        <w:rPr>
          <w:sz w:val="28"/>
        </w:rPr>
      </w:pPr>
    </w:p>
    <w:p w:rsidR="00F64D71" w:rsidRPr="001A7D16" w:rsidRDefault="00F64D71" w:rsidP="001A7D16">
      <w:pPr>
        <w:ind w:firstLine="720"/>
        <w:jc w:val="both"/>
        <w:rPr>
          <w:sz w:val="28"/>
          <w:szCs w:val="28"/>
          <w:lang w:val="de-DE"/>
        </w:rPr>
      </w:pPr>
    </w:p>
    <w:p w:rsidR="00F64D71" w:rsidRDefault="00F64D71" w:rsidP="00555AFF">
      <w:pPr>
        <w:jc w:val="both"/>
      </w:pPr>
    </w:p>
    <w:p w:rsidR="00614C67" w:rsidRPr="00535DB9" w:rsidRDefault="00D15C30" w:rsidP="00614C67">
      <w:pPr>
        <w:jc w:val="both"/>
        <w:rPr>
          <w:sz w:val="20"/>
          <w:szCs w:val="20"/>
        </w:rPr>
      </w:pPr>
      <w:r>
        <w:rPr>
          <w:sz w:val="20"/>
          <w:szCs w:val="20"/>
        </w:rPr>
        <w:t>04</w:t>
      </w:r>
      <w:r w:rsidR="00B325E9" w:rsidRPr="00535DB9">
        <w:rPr>
          <w:sz w:val="20"/>
          <w:szCs w:val="20"/>
        </w:rPr>
        <w:t>.0</w:t>
      </w:r>
      <w:r>
        <w:rPr>
          <w:sz w:val="20"/>
          <w:szCs w:val="20"/>
        </w:rPr>
        <w:t>9</w:t>
      </w:r>
      <w:r w:rsidR="00614C67" w:rsidRPr="00535DB9">
        <w:rPr>
          <w:sz w:val="20"/>
          <w:szCs w:val="20"/>
        </w:rPr>
        <w:t>.2013. 14:30</w:t>
      </w:r>
    </w:p>
    <w:p w:rsidR="00614C67" w:rsidRPr="00614C67" w:rsidRDefault="00C61C27" w:rsidP="00614C67">
      <w:pPr>
        <w:jc w:val="both"/>
        <w:rPr>
          <w:sz w:val="20"/>
          <w:szCs w:val="20"/>
        </w:rPr>
      </w:pPr>
      <w:r w:rsidRPr="00535DB9">
        <w:rPr>
          <w:sz w:val="20"/>
          <w:szCs w:val="20"/>
        </w:rPr>
        <w:t>1</w:t>
      </w:r>
      <w:r w:rsidR="00D15C30">
        <w:rPr>
          <w:sz w:val="20"/>
          <w:szCs w:val="20"/>
        </w:rPr>
        <w:t>1</w:t>
      </w:r>
      <w:r w:rsidR="00285910">
        <w:rPr>
          <w:sz w:val="20"/>
          <w:szCs w:val="20"/>
        </w:rPr>
        <w:t>07</w:t>
      </w:r>
    </w:p>
    <w:p w:rsidR="00614C67" w:rsidRPr="00614C67" w:rsidRDefault="00614C67" w:rsidP="00614C67">
      <w:pPr>
        <w:jc w:val="both"/>
        <w:rPr>
          <w:sz w:val="20"/>
          <w:szCs w:val="20"/>
        </w:rPr>
      </w:pPr>
      <w:r w:rsidRPr="00614C67">
        <w:rPr>
          <w:sz w:val="20"/>
          <w:szCs w:val="20"/>
        </w:rPr>
        <w:t>L.Pūce</w:t>
      </w:r>
    </w:p>
    <w:p w:rsidR="00274FC2" w:rsidRPr="00614C67" w:rsidRDefault="00614C67" w:rsidP="00614C67">
      <w:pPr>
        <w:jc w:val="both"/>
        <w:rPr>
          <w:sz w:val="20"/>
          <w:szCs w:val="20"/>
        </w:rPr>
      </w:pPr>
      <w:r w:rsidRPr="00614C67">
        <w:rPr>
          <w:sz w:val="20"/>
          <w:szCs w:val="20"/>
        </w:rPr>
        <w:t>67028237; Linda.Puce@sam.gov.lv</w:t>
      </w:r>
    </w:p>
    <w:sectPr w:rsidR="00274FC2" w:rsidRPr="00614C67" w:rsidSect="00EB18A9">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33" w:rsidRDefault="00033033">
      <w:r>
        <w:separator/>
      </w:r>
    </w:p>
  </w:endnote>
  <w:endnote w:type="continuationSeparator" w:id="0">
    <w:p w:rsidR="00033033" w:rsidRDefault="0003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01" w:rsidRPr="00614C67" w:rsidRDefault="00614C67" w:rsidP="002F13D0">
    <w:pPr>
      <w:pStyle w:val="Footer"/>
      <w:jc w:val="both"/>
    </w:pPr>
    <w:r w:rsidRPr="00614C67">
      <w:rPr>
        <w:sz w:val="20"/>
        <w:szCs w:val="20"/>
      </w:rPr>
      <w:t>SAManot_</w:t>
    </w:r>
    <w:r w:rsidR="001C60F4">
      <w:rPr>
        <w:sz w:val="20"/>
        <w:szCs w:val="20"/>
      </w:rPr>
      <w:t>0409</w:t>
    </w:r>
    <w:r w:rsidRPr="00614C67">
      <w:rPr>
        <w:sz w:val="20"/>
        <w:szCs w:val="20"/>
      </w:rPr>
      <w:t>13_</w:t>
    </w:r>
    <w:r w:rsidR="002D728A">
      <w:rPr>
        <w:sz w:val="20"/>
        <w:szCs w:val="20"/>
      </w:rPr>
      <w:t>PV</w:t>
    </w:r>
    <w:r w:rsidRPr="00614C67">
      <w:rPr>
        <w:sz w:val="20"/>
        <w:szCs w:val="20"/>
      </w:rPr>
      <w:t>divid; Ministru kabineta rīkojuma projekta „Par valstij dividendēs izmaksājamo akciju sabiedrības „</w:t>
    </w:r>
    <w:r w:rsidR="00535DB9">
      <w:rPr>
        <w:sz w:val="20"/>
        <w:szCs w:val="20"/>
      </w:rPr>
      <w:t>Pasažieru vilciens</w:t>
    </w:r>
    <w:r w:rsidRPr="00614C67">
      <w:rPr>
        <w:sz w:val="20"/>
        <w:szCs w:val="20"/>
      </w:rPr>
      <w:t>” peļņas daļu” sākotnējās ietekmes novērtējuma ziņojums (anotācija</w:t>
    </w:r>
    <w:r w:rsidR="005A7139">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01" w:rsidRPr="00614C67" w:rsidRDefault="00A03601" w:rsidP="005E4D6B">
    <w:pPr>
      <w:pStyle w:val="BodyText"/>
      <w:jc w:val="both"/>
      <w:rPr>
        <w:sz w:val="20"/>
        <w:szCs w:val="20"/>
      </w:rPr>
    </w:pPr>
    <w:r w:rsidRPr="00614C67">
      <w:rPr>
        <w:sz w:val="20"/>
        <w:szCs w:val="20"/>
      </w:rPr>
      <w:t>SAManot_</w:t>
    </w:r>
    <w:r w:rsidR="001C60F4">
      <w:rPr>
        <w:sz w:val="20"/>
        <w:szCs w:val="20"/>
      </w:rPr>
      <w:t>0409</w:t>
    </w:r>
    <w:r w:rsidR="00EA0FFE">
      <w:rPr>
        <w:sz w:val="20"/>
        <w:szCs w:val="20"/>
      </w:rPr>
      <w:t>13</w:t>
    </w:r>
    <w:r w:rsidRPr="00614C67">
      <w:rPr>
        <w:sz w:val="20"/>
        <w:szCs w:val="20"/>
      </w:rPr>
      <w:t>_</w:t>
    </w:r>
    <w:r w:rsidR="00EA0FFE">
      <w:rPr>
        <w:sz w:val="20"/>
        <w:szCs w:val="20"/>
      </w:rPr>
      <w:t>PV</w:t>
    </w:r>
    <w:r w:rsidRPr="00614C67">
      <w:rPr>
        <w:sz w:val="20"/>
        <w:szCs w:val="20"/>
      </w:rPr>
      <w:t>divid; Ministru kabineta rīkojuma projekta „Par valstij dividendēs izmaksājamo akciju sabiedrības „</w:t>
    </w:r>
    <w:r w:rsidR="00EA0FFE">
      <w:rPr>
        <w:sz w:val="20"/>
        <w:szCs w:val="20"/>
      </w:rPr>
      <w:t>Pasažieru vilciens</w:t>
    </w:r>
    <w:r w:rsidRPr="00614C67">
      <w:rPr>
        <w:sz w:val="20"/>
        <w:szCs w:val="20"/>
      </w:rPr>
      <w:t xml:space="preserve">” peļņas daļu” sākotnējās ietekmes novērtējuma </w:t>
    </w:r>
    <w:smartTag w:uri="schemas-tilde-lv/tildestengine" w:element="veidnes">
      <w:smartTagPr>
        <w:attr w:name="id" w:val="-1"/>
        <w:attr w:name="baseform" w:val="ziņojums"/>
        <w:attr w:name="text" w:val="ziņojums"/>
      </w:smartTagPr>
      <w:r w:rsidRPr="00614C67">
        <w:rPr>
          <w:sz w:val="20"/>
          <w:szCs w:val="20"/>
        </w:rPr>
        <w:t>ziņojums</w:t>
      </w:r>
    </w:smartTag>
    <w:r w:rsidRPr="00614C67">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33" w:rsidRDefault="00033033">
      <w:r>
        <w:separator/>
      </w:r>
    </w:p>
  </w:footnote>
  <w:footnote w:type="continuationSeparator" w:id="0">
    <w:p w:rsidR="00033033" w:rsidRDefault="0003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01" w:rsidRDefault="008A11B9" w:rsidP="00B54BB1">
    <w:pPr>
      <w:pStyle w:val="Header"/>
      <w:framePr w:wrap="around" w:vAnchor="text" w:hAnchor="margin" w:xAlign="center" w:y="1"/>
      <w:rPr>
        <w:rStyle w:val="PageNumber"/>
      </w:rPr>
    </w:pPr>
    <w:r>
      <w:rPr>
        <w:rStyle w:val="PageNumber"/>
      </w:rPr>
      <w:fldChar w:fldCharType="begin"/>
    </w:r>
    <w:r w:rsidR="00A03601">
      <w:rPr>
        <w:rStyle w:val="PageNumber"/>
      </w:rPr>
      <w:instrText xml:space="preserve">PAGE  </w:instrText>
    </w:r>
    <w:r>
      <w:rPr>
        <w:rStyle w:val="PageNumber"/>
      </w:rPr>
      <w:fldChar w:fldCharType="end"/>
    </w:r>
  </w:p>
  <w:p w:rsidR="00A03601" w:rsidRDefault="00A03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01" w:rsidRDefault="008A11B9" w:rsidP="00B54BB1">
    <w:pPr>
      <w:pStyle w:val="Header"/>
      <w:framePr w:wrap="around" w:vAnchor="text" w:hAnchor="margin" w:xAlign="center" w:y="1"/>
      <w:rPr>
        <w:rStyle w:val="PageNumber"/>
      </w:rPr>
    </w:pPr>
    <w:r>
      <w:rPr>
        <w:rStyle w:val="PageNumber"/>
      </w:rPr>
      <w:fldChar w:fldCharType="begin"/>
    </w:r>
    <w:r w:rsidR="00A03601">
      <w:rPr>
        <w:rStyle w:val="PageNumber"/>
      </w:rPr>
      <w:instrText xml:space="preserve">PAGE  </w:instrText>
    </w:r>
    <w:r>
      <w:rPr>
        <w:rStyle w:val="PageNumber"/>
      </w:rPr>
      <w:fldChar w:fldCharType="separate"/>
    </w:r>
    <w:r w:rsidR="0012050A">
      <w:rPr>
        <w:rStyle w:val="PageNumber"/>
        <w:noProof/>
      </w:rPr>
      <w:t>2</w:t>
    </w:r>
    <w:r>
      <w:rPr>
        <w:rStyle w:val="PageNumber"/>
      </w:rPr>
      <w:fldChar w:fldCharType="end"/>
    </w:r>
  </w:p>
  <w:p w:rsidR="00A03601" w:rsidRDefault="00A03601"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17405C"/>
    <w:multiLevelType w:val="hybridMultilevel"/>
    <w:tmpl w:val="42E4B62E"/>
    <w:lvl w:ilvl="0" w:tplc="C8B0A3FA">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12365E26"/>
    <w:multiLevelType w:val="hybridMultilevel"/>
    <w:tmpl w:val="48123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787E36"/>
    <w:multiLevelType w:val="hybridMultilevel"/>
    <w:tmpl w:val="2932B048"/>
    <w:lvl w:ilvl="0" w:tplc="AEA8FCF0">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4">
    <w:nsid w:val="2CF87159"/>
    <w:multiLevelType w:val="hybridMultilevel"/>
    <w:tmpl w:val="420885F0"/>
    <w:lvl w:ilvl="0" w:tplc="04260011">
      <w:start w:val="1"/>
      <w:numFmt w:val="decimal"/>
      <w:lvlText w:val="%1)"/>
      <w:lvlJc w:val="left"/>
      <w:pPr>
        <w:ind w:left="720" w:hanging="360"/>
      </w:pPr>
    </w:lvl>
    <w:lvl w:ilvl="1" w:tplc="C1C6625A">
      <w:start w:val="1"/>
      <w:numFmt w:val="decimal"/>
      <w:lvlText w:val="%2."/>
      <w:lvlJc w:val="left"/>
      <w:pPr>
        <w:ind w:left="1440" w:hanging="360"/>
      </w:pPr>
      <w:rPr>
        <w:rFonts w:eastAsia="Calibri"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F62579C"/>
    <w:multiLevelType w:val="hybridMultilevel"/>
    <w:tmpl w:val="646036BC"/>
    <w:lvl w:ilvl="0" w:tplc="AD88E7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8A4AF9"/>
    <w:multiLevelType w:val="hybridMultilevel"/>
    <w:tmpl w:val="1334291C"/>
    <w:lvl w:ilvl="0" w:tplc="AD88E7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abstractNum w:abstractNumId="9">
    <w:nsid w:val="7CF351A4"/>
    <w:multiLevelType w:val="hybridMultilevel"/>
    <w:tmpl w:val="770A4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F4B413C"/>
    <w:multiLevelType w:val="hybridMultilevel"/>
    <w:tmpl w:val="A7782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4"/>
  </w:num>
  <w:num w:numId="6">
    <w:abstractNumId w:val="9"/>
  </w:num>
  <w:num w:numId="7">
    <w:abstractNumId w:val="5"/>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0D38"/>
    <w:rsid w:val="00013219"/>
    <w:rsid w:val="00016584"/>
    <w:rsid w:val="00020EC0"/>
    <w:rsid w:val="00033033"/>
    <w:rsid w:val="00033CC2"/>
    <w:rsid w:val="00041B66"/>
    <w:rsid w:val="00051E98"/>
    <w:rsid w:val="00061B7D"/>
    <w:rsid w:val="000750F6"/>
    <w:rsid w:val="0007626E"/>
    <w:rsid w:val="00077C00"/>
    <w:rsid w:val="00082055"/>
    <w:rsid w:val="0008490C"/>
    <w:rsid w:val="00086EBD"/>
    <w:rsid w:val="00093C51"/>
    <w:rsid w:val="000A51C2"/>
    <w:rsid w:val="000A5C99"/>
    <w:rsid w:val="000B3C65"/>
    <w:rsid w:val="000B7D24"/>
    <w:rsid w:val="000C4ECB"/>
    <w:rsid w:val="000C7567"/>
    <w:rsid w:val="000D186A"/>
    <w:rsid w:val="000D1E75"/>
    <w:rsid w:val="000D5543"/>
    <w:rsid w:val="000D5D73"/>
    <w:rsid w:val="000D6077"/>
    <w:rsid w:val="000E09F1"/>
    <w:rsid w:val="000E12F3"/>
    <w:rsid w:val="000E4AFC"/>
    <w:rsid w:val="000E4EB2"/>
    <w:rsid w:val="000F33CB"/>
    <w:rsid w:val="000F3BF6"/>
    <w:rsid w:val="000F6DAD"/>
    <w:rsid w:val="001012F7"/>
    <w:rsid w:val="001042BD"/>
    <w:rsid w:val="001049A1"/>
    <w:rsid w:val="00106E5D"/>
    <w:rsid w:val="0011482D"/>
    <w:rsid w:val="00117C16"/>
    <w:rsid w:val="0012050A"/>
    <w:rsid w:val="001230EB"/>
    <w:rsid w:val="00124661"/>
    <w:rsid w:val="00125D3D"/>
    <w:rsid w:val="001266F3"/>
    <w:rsid w:val="0012689E"/>
    <w:rsid w:val="001300CA"/>
    <w:rsid w:val="0013074D"/>
    <w:rsid w:val="00143087"/>
    <w:rsid w:val="00143CAC"/>
    <w:rsid w:val="00147453"/>
    <w:rsid w:val="00155BBB"/>
    <w:rsid w:val="00156E1E"/>
    <w:rsid w:val="00161239"/>
    <w:rsid w:val="00170087"/>
    <w:rsid w:val="00173C63"/>
    <w:rsid w:val="00182C64"/>
    <w:rsid w:val="001859D5"/>
    <w:rsid w:val="001875B7"/>
    <w:rsid w:val="0019260B"/>
    <w:rsid w:val="001929F2"/>
    <w:rsid w:val="00193EB8"/>
    <w:rsid w:val="00195337"/>
    <w:rsid w:val="001A0473"/>
    <w:rsid w:val="001A1533"/>
    <w:rsid w:val="001A4E5B"/>
    <w:rsid w:val="001A7D16"/>
    <w:rsid w:val="001B1AF8"/>
    <w:rsid w:val="001C60F4"/>
    <w:rsid w:val="001C69E7"/>
    <w:rsid w:val="001D5135"/>
    <w:rsid w:val="001D7BA8"/>
    <w:rsid w:val="001E17EF"/>
    <w:rsid w:val="001E32EA"/>
    <w:rsid w:val="001E3FDC"/>
    <w:rsid w:val="001E5188"/>
    <w:rsid w:val="001F254A"/>
    <w:rsid w:val="00204637"/>
    <w:rsid w:val="002078B3"/>
    <w:rsid w:val="00207A0C"/>
    <w:rsid w:val="002144C6"/>
    <w:rsid w:val="002202DC"/>
    <w:rsid w:val="00220DE4"/>
    <w:rsid w:val="00221155"/>
    <w:rsid w:val="002234A5"/>
    <w:rsid w:val="00224036"/>
    <w:rsid w:val="00226978"/>
    <w:rsid w:val="00232E00"/>
    <w:rsid w:val="00234018"/>
    <w:rsid w:val="00243960"/>
    <w:rsid w:val="00244716"/>
    <w:rsid w:val="002653B1"/>
    <w:rsid w:val="00273A27"/>
    <w:rsid w:val="00274FC2"/>
    <w:rsid w:val="00285910"/>
    <w:rsid w:val="002901FF"/>
    <w:rsid w:val="00290BF9"/>
    <w:rsid w:val="00293F7E"/>
    <w:rsid w:val="002943A7"/>
    <w:rsid w:val="00294FD9"/>
    <w:rsid w:val="002A02C3"/>
    <w:rsid w:val="002A08BB"/>
    <w:rsid w:val="002A3B66"/>
    <w:rsid w:val="002A6B67"/>
    <w:rsid w:val="002B2A1C"/>
    <w:rsid w:val="002B492E"/>
    <w:rsid w:val="002B53AD"/>
    <w:rsid w:val="002C2D2C"/>
    <w:rsid w:val="002D0F88"/>
    <w:rsid w:val="002D2A67"/>
    <w:rsid w:val="002D728A"/>
    <w:rsid w:val="002E1A2B"/>
    <w:rsid w:val="002E25D5"/>
    <w:rsid w:val="002E6902"/>
    <w:rsid w:val="002F13D0"/>
    <w:rsid w:val="002F5055"/>
    <w:rsid w:val="0030112E"/>
    <w:rsid w:val="00303A73"/>
    <w:rsid w:val="00303FEA"/>
    <w:rsid w:val="00307AAA"/>
    <w:rsid w:val="003123B6"/>
    <w:rsid w:val="00315612"/>
    <w:rsid w:val="00316F95"/>
    <w:rsid w:val="0031742B"/>
    <w:rsid w:val="00321565"/>
    <w:rsid w:val="0032337D"/>
    <w:rsid w:val="003243F7"/>
    <w:rsid w:val="00325A66"/>
    <w:rsid w:val="00326A53"/>
    <w:rsid w:val="00345E32"/>
    <w:rsid w:val="003503AA"/>
    <w:rsid w:val="003507EE"/>
    <w:rsid w:val="0035178D"/>
    <w:rsid w:val="00362AB5"/>
    <w:rsid w:val="00377713"/>
    <w:rsid w:val="003800E6"/>
    <w:rsid w:val="00394D82"/>
    <w:rsid w:val="00395975"/>
    <w:rsid w:val="003A4EAB"/>
    <w:rsid w:val="003A5048"/>
    <w:rsid w:val="003A6B97"/>
    <w:rsid w:val="003B4CF0"/>
    <w:rsid w:val="003C725D"/>
    <w:rsid w:val="003D619F"/>
    <w:rsid w:val="003D69D9"/>
    <w:rsid w:val="003D7B53"/>
    <w:rsid w:val="003E18A7"/>
    <w:rsid w:val="003E2051"/>
    <w:rsid w:val="003E5036"/>
    <w:rsid w:val="003E514C"/>
    <w:rsid w:val="003F5B3A"/>
    <w:rsid w:val="004004DF"/>
    <w:rsid w:val="00400758"/>
    <w:rsid w:val="00410295"/>
    <w:rsid w:val="0042161A"/>
    <w:rsid w:val="0042368A"/>
    <w:rsid w:val="00423855"/>
    <w:rsid w:val="00423F61"/>
    <w:rsid w:val="00433F89"/>
    <w:rsid w:val="00435782"/>
    <w:rsid w:val="004403C4"/>
    <w:rsid w:val="00441872"/>
    <w:rsid w:val="00444F32"/>
    <w:rsid w:val="00454471"/>
    <w:rsid w:val="00455111"/>
    <w:rsid w:val="00457182"/>
    <w:rsid w:val="00471490"/>
    <w:rsid w:val="00476543"/>
    <w:rsid w:val="00481903"/>
    <w:rsid w:val="00482413"/>
    <w:rsid w:val="00485332"/>
    <w:rsid w:val="0048568D"/>
    <w:rsid w:val="00490B60"/>
    <w:rsid w:val="00497894"/>
    <w:rsid w:val="004A233C"/>
    <w:rsid w:val="004B374D"/>
    <w:rsid w:val="004B651E"/>
    <w:rsid w:val="004C0046"/>
    <w:rsid w:val="004C00FF"/>
    <w:rsid w:val="004C0483"/>
    <w:rsid w:val="004E0271"/>
    <w:rsid w:val="004E49BD"/>
    <w:rsid w:val="004E559D"/>
    <w:rsid w:val="004E584A"/>
    <w:rsid w:val="004F2375"/>
    <w:rsid w:val="004F37F7"/>
    <w:rsid w:val="004F476B"/>
    <w:rsid w:val="004F7000"/>
    <w:rsid w:val="00512909"/>
    <w:rsid w:val="00512E4D"/>
    <w:rsid w:val="00517614"/>
    <w:rsid w:val="00523C00"/>
    <w:rsid w:val="005241FD"/>
    <w:rsid w:val="0052620D"/>
    <w:rsid w:val="00526873"/>
    <w:rsid w:val="005322BC"/>
    <w:rsid w:val="005334FF"/>
    <w:rsid w:val="00533A4C"/>
    <w:rsid w:val="00535DB9"/>
    <w:rsid w:val="00537975"/>
    <w:rsid w:val="0054191A"/>
    <w:rsid w:val="00543CAD"/>
    <w:rsid w:val="005455BD"/>
    <w:rsid w:val="00551FD7"/>
    <w:rsid w:val="00553DC2"/>
    <w:rsid w:val="00555AFF"/>
    <w:rsid w:val="005576B6"/>
    <w:rsid w:val="005626F3"/>
    <w:rsid w:val="00564A9A"/>
    <w:rsid w:val="005673FB"/>
    <w:rsid w:val="0057107E"/>
    <w:rsid w:val="00575B6A"/>
    <w:rsid w:val="00581C4A"/>
    <w:rsid w:val="00583AF9"/>
    <w:rsid w:val="00585060"/>
    <w:rsid w:val="00586BF9"/>
    <w:rsid w:val="00594517"/>
    <w:rsid w:val="00594C12"/>
    <w:rsid w:val="00596359"/>
    <w:rsid w:val="00597371"/>
    <w:rsid w:val="00597A97"/>
    <w:rsid w:val="005A5500"/>
    <w:rsid w:val="005A7139"/>
    <w:rsid w:val="005B179C"/>
    <w:rsid w:val="005B36D1"/>
    <w:rsid w:val="005B493D"/>
    <w:rsid w:val="005D3CB0"/>
    <w:rsid w:val="005D5DC7"/>
    <w:rsid w:val="005E1F84"/>
    <w:rsid w:val="005E2596"/>
    <w:rsid w:val="005E293F"/>
    <w:rsid w:val="005E4D6B"/>
    <w:rsid w:val="005E5535"/>
    <w:rsid w:val="005E60A0"/>
    <w:rsid w:val="005E6196"/>
    <w:rsid w:val="005F053D"/>
    <w:rsid w:val="005F54B0"/>
    <w:rsid w:val="005F5F74"/>
    <w:rsid w:val="0061119C"/>
    <w:rsid w:val="00612465"/>
    <w:rsid w:val="00613451"/>
    <w:rsid w:val="00613DDA"/>
    <w:rsid w:val="00614C67"/>
    <w:rsid w:val="00620119"/>
    <w:rsid w:val="00622D1E"/>
    <w:rsid w:val="006337B8"/>
    <w:rsid w:val="0063714D"/>
    <w:rsid w:val="006444EB"/>
    <w:rsid w:val="00644B63"/>
    <w:rsid w:val="00644D49"/>
    <w:rsid w:val="006464CB"/>
    <w:rsid w:val="006466C8"/>
    <w:rsid w:val="00651F66"/>
    <w:rsid w:val="00653199"/>
    <w:rsid w:val="00655B1B"/>
    <w:rsid w:val="00660C2C"/>
    <w:rsid w:val="0066350B"/>
    <w:rsid w:val="00665D2E"/>
    <w:rsid w:val="006716D4"/>
    <w:rsid w:val="006746CD"/>
    <w:rsid w:val="00676910"/>
    <w:rsid w:val="00676EEB"/>
    <w:rsid w:val="006772DA"/>
    <w:rsid w:val="0068303F"/>
    <w:rsid w:val="00684E7A"/>
    <w:rsid w:val="0069118B"/>
    <w:rsid w:val="00697C2A"/>
    <w:rsid w:val="006A554A"/>
    <w:rsid w:val="006B1096"/>
    <w:rsid w:val="006B378E"/>
    <w:rsid w:val="006B6CBD"/>
    <w:rsid w:val="006B7C76"/>
    <w:rsid w:val="006C02C4"/>
    <w:rsid w:val="006C056B"/>
    <w:rsid w:val="006C2318"/>
    <w:rsid w:val="006C4E20"/>
    <w:rsid w:val="006C4F4F"/>
    <w:rsid w:val="006C756B"/>
    <w:rsid w:val="006D0F93"/>
    <w:rsid w:val="006D200B"/>
    <w:rsid w:val="006D58BC"/>
    <w:rsid w:val="006D68A7"/>
    <w:rsid w:val="006E0E43"/>
    <w:rsid w:val="006E1CDD"/>
    <w:rsid w:val="006E3E98"/>
    <w:rsid w:val="006F0DAA"/>
    <w:rsid w:val="006F284A"/>
    <w:rsid w:val="006F2E43"/>
    <w:rsid w:val="006F78E0"/>
    <w:rsid w:val="007012B5"/>
    <w:rsid w:val="0070411E"/>
    <w:rsid w:val="0070538C"/>
    <w:rsid w:val="007101EA"/>
    <w:rsid w:val="00716418"/>
    <w:rsid w:val="007235E0"/>
    <w:rsid w:val="00723B8C"/>
    <w:rsid w:val="00726858"/>
    <w:rsid w:val="00747D67"/>
    <w:rsid w:val="00753471"/>
    <w:rsid w:val="00754486"/>
    <w:rsid w:val="007551BA"/>
    <w:rsid w:val="00767D37"/>
    <w:rsid w:val="00770EA8"/>
    <w:rsid w:val="00770FB3"/>
    <w:rsid w:val="00775219"/>
    <w:rsid w:val="00782D46"/>
    <w:rsid w:val="0078510D"/>
    <w:rsid w:val="00787B01"/>
    <w:rsid w:val="00791C89"/>
    <w:rsid w:val="00795433"/>
    <w:rsid w:val="007A165C"/>
    <w:rsid w:val="007A193D"/>
    <w:rsid w:val="007A43EB"/>
    <w:rsid w:val="007B094D"/>
    <w:rsid w:val="007B308F"/>
    <w:rsid w:val="007C1B98"/>
    <w:rsid w:val="007C288D"/>
    <w:rsid w:val="007C2DD1"/>
    <w:rsid w:val="007D1362"/>
    <w:rsid w:val="007D31DC"/>
    <w:rsid w:val="007D70CC"/>
    <w:rsid w:val="007E2DF6"/>
    <w:rsid w:val="007F2543"/>
    <w:rsid w:val="008012E3"/>
    <w:rsid w:val="008025E7"/>
    <w:rsid w:val="00805E3B"/>
    <w:rsid w:val="00810CAD"/>
    <w:rsid w:val="008127A5"/>
    <w:rsid w:val="00812F1F"/>
    <w:rsid w:val="00813A26"/>
    <w:rsid w:val="0081764E"/>
    <w:rsid w:val="008241AA"/>
    <w:rsid w:val="0082475D"/>
    <w:rsid w:val="00824B7A"/>
    <w:rsid w:val="008252E4"/>
    <w:rsid w:val="00826B5B"/>
    <w:rsid w:val="00826C73"/>
    <w:rsid w:val="008308A3"/>
    <w:rsid w:val="00837E54"/>
    <w:rsid w:val="00850CD4"/>
    <w:rsid w:val="00857624"/>
    <w:rsid w:val="00862673"/>
    <w:rsid w:val="00862EF9"/>
    <w:rsid w:val="00864F1F"/>
    <w:rsid w:val="0087217B"/>
    <w:rsid w:val="00873B5F"/>
    <w:rsid w:val="00877AA6"/>
    <w:rsid w:val="00883E50"/>
    <w:rsid w:val="008A05AD"/>
    <w:rsid w:val="008A11B9"/>
    <w:rsid w:val="008A5555"/>
    <w:rsid w:val="008B6B58"/>
    <w:rsid w:val="008C107A"/>
    <w:rsid w:val="008C32A1"/>
    <w:rsid w:val="008C36C6"/>
    <w:rsid w:val="008C72D6"/>
    <w:rsid w:val="008D78A4"/>
    <w:rsid w:val="008D7B63"/>
    <w:rsid w:val="008E5615"/>
    <w:rsid w:val="008E5688"/>
    <w:rsid w:val="008F28B7"/>
    <w:rsid w:val="008F5302"/>
    <w:rsid w:val="008F71B4"/>
    <w:rsid w:val="0090593D"/>
    <w:rsid w:val="009061CB"/>
    <w:rsid w:val="00906712"/>
    <w:rsid w:val="00907CC6"/>
    <w:rsid w:val="00910716"/>
    <w:rsid w:val="0091358F"/>
    <w:rsid w:val="00915D97"/>
    <w:rsid w:val="00922130"/>
    <w:rsid w:val="00935703"/>
    <w:rsid w:val="00936E09"/>
    <w:rsid w:val="00953513"/>
    <w:rsid w:val="00960638"/>
    <w:rsid w:val="00965E34"/>
    <w:rsid w:val="00967AE5"/>
    <w:rsid w:val="00974363"/>
    <w:rsid w:val="00974F9A"/>
    <w:rsid w:val="00982808"/>
    <w:rsid w:val="009833DA"/>
    <w:rsid w:val="009846FE"/>
    <w:rsid w:val="00984A97"/>
    <w:rsid w:val="009856BF"/>
    <w:rsid w:val="00985F19"/>
    <w:rsid w:val="0098674F"/>
    <w:rsid w:val="0099114A"/>
    <w:rsid w:val="0099161E"/>
    <w:rsid w:val="00993314"/>
    <w:rsid w:val="009A11A9"/>
    <w:rsid w:val="009A13FA"/>
    <w:rsid w:val="009A1C96"/>
    <w:rsid w:val="009A379C"/>
    <w:rsid w:val="009A5C22"/>
    <w:rsid w:val="009A7F38"/>
    <w:rsid w:val="009B4C01"/>
    <w:rsid w:val="009B6192"/>
    <w:rsid w:val="009B67F2"/>
    <w:rsid w:val="009C0DBE"/>
    <w:rsid w:val="009C1DC8"/>
    <w:rsid w:val="009C2A57"/>
    <w:rsid w:val="009C5108"/>
    <w:rsid w:val="009D1502"/>
    <w:rsid w:val="009D2376"/>
    <w:rsid w:val="009D287F"/>
    <w:rsid w:val="009D79F9"/>
    <w:rsid w:val="009E00DC"/>
    <w:rsid w:val="009E72EA"/>
    <w:rsid w:val="009E787E"/>
    <w:rsid w:val="009F16D9"/>
    <w:rsid w:val="00A016ED"/>
    <w:rsid w:val="00A01CAE"/>
    <w:rsid w:val="00A03601"/>
    <w:rsid w:val="00A106EB"/>
    <w:rsid w:val="00A26F40"/>
    <w:rsid w:val="00A35C0E"/>
    <w:rsid w:val="00A41847"/>
    <w:rsid w:val="00A41BE1"/>
    <w:rsid w:val="00A472AE"/>
    <w:rsid w:val="00A567A6"/>
    <w:rsid w:val="00A657C4"/>
    <w:rsid w:val="00A67525"/>
    <w:rsid w:val="00A70166"/>
    <w:rsid w:val="00A911EB"/>
    <w:rsid w:val="00A9268F"/>
    <w:rsid w:val="00A92D54"/>
    <w:rsid w:val="00AA3656"/>
    <w:rsid w:val="00AA489F"/>
    <w:rsid w:val="00AA6104"/>
    <w:rsid w:val="00AB17A2"/>
    <w:rsid w:val="00AB1ACB"/>
    <w:rsid w:val="00AC026B"/>
    <w:rsid w:val="00AC209F"/>
    <w:rsid w:val="00AC377B"/>
    <w:rsid w:val="00AC5619"/>
    <w:rsid w:val="00AD4CCA"/>
    <w:rsid w:val="00AD608E"/>
    <w:rsid w:val="00AF2480"/>
    <w:rsid w:val="00AF50A5"/>
    <w:rsid w:val="00AF7EB0"/>
    <w:rsid w:val="00B0067F"/>
    <w:rsid w:val="00B020F5"/>
    <w:rsid w:val="00B13081"/>
    <w:rsid w:val="00B23BB9"/>
    <w:rsid w:val="00B324C9"/>
    <w:rsid w:val="00B325E9"/>
    <w:rsid w:val="00B377C0"/>
    <w:rsid w:val="00B4656B"/>
    <w:rsid w:val="00B4713A"/>
    <w:rsid w:val="00B502FA"/>
    <w:rsid w:val="00B54BB1"/>
    <w:rsid w:val="00B65E86"/>
    <w:rsid w:val="00B6688D"/>
    <w:rsid w:val="00B66EA8"/>
    <w:rsid w:val="00B678CA"/>
    <w:rsid w:val="00B70236"/>
    <w:rsid w:val="00B75326"/>
    <w:rsid w:val="00B75759"/>
    <w:rsid w:val="00B76253"/>
    <w:rsid w:val="00B77D3D"/>
    <w:rsid w:val="00B80B4B"/>
    <w:rsid w:val="00B80D78"/>
    <w:rsid w:val="00B8464E"/>
    <w:rsid w:val="00B868F7"/>
    <w:rsid w:val="00B90E6D"/>
    <w:rsid w:val="00B917C1"/>
    <w:rsid w:val="00B9260E"/>
    <w:rsid w:val="00BB1A5F"/>
    <w:rsid w:val="00BB4432"/>
    <w:rsid w:val="00BC2457"/>
    <w:rsid w:val="00BD155C"/>
    <w:rsid w:val="00BD5A0E"/>
    <w:rsid w:val="00BE0E8A"/>
    <w:rsid w:val="00BE2F50"/>
    <w:rsid w:val="00BE3117"/>
    <w:rsid w:val="00BE486A"/>
    <w:rsid w:val="00BF11E7"/>
    <w:rsid w:val="00BF7606"/>
    <w:rsid w:val="00BF7650"/>
    <w:rsid w:val="00C0549C"/>
    <w:rsid w:val="00C12405"/>
    <w:rsid w:val="00C14176"/>
    <w:rsid w:val="00C20145"/>
    <w:rsid w:val="00C23DA0"/>
    <w:rsid w:val="00C32E54"/>
    <w:rsid w:val="00C35B49"/>
    <w:rsid w:val="00C35EF7"/>
    <w:rsid w:val="00C3738E"/>
    <w:rsid w:val="00C404EE"/>
    <w:rsid w:val="00C45A05"/>
    <w:rsid w:val="00C50575"/>
    <w:rsid w:val="00C51231"/>
    <w:rsid w:val="00C56E2F"/>
    <w:rsid w:val="00C618C3"/>
    <w:rsid w:val="00C61C27"/>
    <w:rsid w:val="00C61C40"/>
    <w:rsid w:val="00C717CF"/>
    <w:rsid w:val="00C74D40"/>
    <w:rsid w:val="00C80203"/>
    <w:rsid w:val="00C84DDF"/>
    <w:rsid w:val="00C85F86"/>
    <w:rsid w:val="00C87582"/>
    <w:rsid w:val="00C94421"/>
    <w:rsid w:val="00CA4D2C"/>
    <w:rsid w:val="00CA709A"/>
    <w:rsid w:val="00CB0300"/>
    <w:rsid w:val="00CB115E"/>
    <w:rsid w:val="00CB2D8E"/>
    <w:rsid w:val="00CC3D65"/>
    <w:rsid w:val="00CC46A7"/>
    <w:rsid w:val="00CC5EC5"/>
    <w:rsid w:val="00CD0A9E"/>
    <w:rsid w:val="00CD2F35"/>
    <w:rsid w:val="00CD43A9"/>
    <w:rsid w:val="00CE0D73"/>
    <w:rsid w:val="00CF2CE4"/>
    <w:rsid w:val="00CF37C8"/>
    <w:rsid w:val="00CF61EA"/>
    <w:rsid w:val="00CF6640"/>
    <w:rsid w:val="00D0549C"/>
    <w:rsid w:val="00D15C30"/>
    <w:rsid w:val="00D22995"/>
    <w:rsid w:val="00D24017"/>
    <w:rsid w:val="00D417AD"/>
    <w:rsid w:val="00D42A36"/>
    <w:rsid w:val="00D42F7F"/>
    <w:rsid w:val="00D71562"/>
    <w:rsid w:val="00D7357D"/>
    <w:rsid w:val="00D736FA"/>
    <w:rsid w:val="00D82466"/>
    <w:rsid w:val="00D837E0"/>
    <w:rsid w:val="00D90273"/>
    <w:rsid w:val="00D9399E"/>
    <w:rsid w:val="00D93F54"/>
    <w:rsid w:val="00D950F1"/>
    <w:rsid w:val="00DA3165"/>
    <w:rsid w:val="00DC1956"/>
    <w:rsid w:val="00DC5CBF"/>
    <w:rsid w:val="00DD22DC"/>
    <w:rsid w:val="00DD27ED"/>
    <w:rsid w:val="00DE5EA9"/>
    <w:rsid w:val="00DF094E"/>
    <w:rsid w:val="00DF4528"/>
    <w:rsid w:val="00DF653C"/>
    <w:rsid w:val="00E0504C"/>
    <w:rsid w:val="00E25C76"/>
    <w:rsid w:val="00E26E3C"/>
    <w:rsid w:val="00E30171"/>
    <w:rsid w:val="00E30639"/>
    <w:rsid w:val="00E30A3C"/>
    <w:rsid w:val="00E377AA"/>
    <w:rsid w:val="00E37803"/>
    <w:rsid w:val="00E47194"/>
    <w:rsid w:val="00E474E2"/>
    <w:rsid w:val="00E507E2"/>
    <w:rsid w:val="00E52147"/>
    <w:rsid w:val="00E57D07"/>
    <w:rsid w:val="00E637B9"/>
    <w:rsid w:val="00E67893"/>
    <w:rsid w:val="00E74676"/>
    <w:rsid w:val="00E74BED"/>
    <w:rsid w:val="00E85102"/>
    <w:rsid w:val="00E86BB6"/>
    <w:rsid w:val="00E93C46"/>
    <w:rsid w:val="00E97077"/>
    <w:rsid w:val="00EA0FFE"/>
    <w:rsid w:val="00EA1F6E"/>
    <w:rsid w:val="00EA6A2E"/>
    <w:rsid w:val="00EB18A9"/>
    <w:rsid w:val="00EB3E94"/>
    <w:rsid w:val="00EB5D70"/>
    <w:rsid w:val="00EC0BE7"/>
    <w:rsid w:val="00EC6D67"/>
    <w:rsid w:val="00ED0017"/>
    <w:rsid w:val="00ED0580"/>
    <w:rsid w:val="00ED1F78"/>
    <w:rsid w:val="00ED3689"/>
    <w:rsid w:val="00ED4148"/>
    <w:rsid w:val="00ED499F"/>
    <w:rsid w:val="00EE1374"/>
    <w:rsid w:val="00EF14D4"/>
    <w:rsid w:val="00EF201A"/>
    <w:rsid w:val="00F02259"/>
    <w:rsid w:val="00F0353F"/>
    <w:rsid w:val="00F10C2D"/>
    <w:rsid w:val="00F12406"/>
    <w:rsid w:val="00F13D21"/>
    <w:rsid w:val="00F147E9"/>
    <w:rsid w:val="00F14FDF"/>
    <w:rsid w:val="00F1592A"/>
    <w:rsid w:val="00F24D3E"/>
    <w:rsid w:val="00F351BA"/>
    <w:rsid w:val="00F54A8E"/>
    <w:rsid w:val="00F556FF"/>
    <w:rsid w:val="00F55D46"/>
    <w:rsid w:val="00F577CC"/>
    <w:rsid w:val="00F6089F"/>
    <w:rsid w:val="00F6314A"/>
    <w:rsid w:val="00F631B6"/>
    <w:rsid w:val="00F64D71"/>
    <w:rsid w:val="00F715DD"/>
    <w:rsid w:val="00F748FD"/>
    <w:rsid w:val="00F76C69"/>
    <w:rsid w:val="00F92184"/>
    <w:rsid w:val="00F925F0"/>
    <w:rsid w:val="00F976BF"/>
    <w:rsid w:val="00FA1F54"/>
    <w:rsid w:val="00FA3FDB"/>
    <w:rsid w:val="00FA4083"/>
    <w:rsid w:val="00FA4D1F"/>
    <w:rsid w:val="00FA5CF5"/>
    <w:rsid w:val="00FB06F3"/>
    <w:rsid w:val="00FC5333"/>
    <w:rsid w:val="00FC7C16"/>
    <w:rsid w:val="00FD42A8"/>
    <w:rsid w:val="00FE2855"/>
    <w:rsid w:val="00FF2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5B493D"/>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5B493D"/>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akciju sabiedrības „Pasažieru vilciens” peļņas daļu” sākotnējās ietekmes novērtējuma ziņojums (anotācija)</vt:lpstr>
    </vt:vector>
  </TitlesOfParts>
  <Company>Satiksmes ministrija</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akciju sabiedrības „Pasažieru vilciens” peļņas daļu” sākotnējās ietekmes novērtējuma ziņojums (anotācija)</dc:title>
  <dc:subject>anotācija</dc:subject>
  <dc:creator>Pūce</dc:creator>
  <dc:description>67028237;Linda.Puce@sam.gov.lv</dc:description>
  <cp:lastModifiedBy>Linda Pūce</cp:lastModifiedBy>
  <cp:revision>9</cp:revision>
  <cp:lastPrinted>2013-07-25T08:36:00Z</cp:lastPrinted>
  <dcterms:created xsi:type="dcterms:W3CDTF">2013-09-04T12:22:00Z</dcterms:created>
  <dcterms:modified xsi:type="dcterms:W3CDTF">2013-09-10T07:10:00Z</dcterms:modified>
</cp:coreProperties>
</file>