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DE" w:rsidRDefault="004A1FDE" w:rsidP="008E2345">
      <w:pPr>
        <w:pStyle w:val="Heading6"/>
        <w:ind w:right="-109"/>
        <w:rPr>
          <w:b w:val="0"/>
          <w:szCs w:val="28"/>
          <w:lang w:eastAsia="lv-LV"/>
        </w:rPr>
      </w:pPr>
      <w:r w:rsidRPr="00743B80">
        <w:rPr>
          <w:b w:val="0"/>
          <w:bCs/>
          <w:szCs w:val="28"/>
          <w:lang w:eastAsia="lv-LV"/>
        </w:rPr>
        <w:t xml:space="preserve">Ministru kabineta rīkojuma projekta </w:t>
      </w:r>
      <w:r w:rsidRPr="00743B80">
        <w:rPr>
          <w:b w:val="0"/>
        </w:rPr>
        <w:t xml:space="preserve">„Par </w:t>
      </w:r>
      <w:r>
        <w:rPr>
          <w:b w:val="0"/>
        </w:rPr>
        <w:t>nekustamo īpašumu</w:t>
      </w:r>
      <w:r w:rsidRPr="00743B80">
        <w:rPr>
          <w:b w:val="0"/>
        </w:rPr>
        <w:t xml:space="preserve"> ieguldīšanu valsts akciju sabiedrības „</w:t>
      </w:r>
      <w:r>
        <w:rPr>
          <w:b w:val="0"/>
        </w:rPr>
        <w:t>Ceļu satiksmes drošības direkcija</w:t>
      </w:r>
      <w:r w:rsidRPr="00743B80">
        <w:rPr>
          <w:b w:val="0"/>
        </w:rPr>
        <w:t>”  pamatkapitālā</w:t>
      </w:r>
      <w:r w:rsidRPr="00743B80">
        <w:rPr>
          <w:b w:val="0"/>
          <w:szCs w:val="28"/>
        </w:rPr>
        <w:t>”</w:t>
      </w:r>
      <w:r w:rsidRPr="00743B80">
        <w:rPr>
          <w:b w:val="0"/>
          <w:szCs w:val="28"/>
          <w:lang w:eastAsia="lv-LV"/>
        </w:rPr>
        <w:t xml:space="preserve"> sākotnējās ietekmes novērtējuma</w:t>
      </w:r>
    </w:p>
    <w:p w:rsidR="004A1FDE" w:rsidRPr="00743B80" w:rsidRDefault="004A1FDE" w:rsidP="008E2345">
      <w:pPr>
        <w:pStyle w:val="Heading6"/>
        <w:ind w:right="-109"/>
        <w:rPr>
          <w:b w:val="0"/>
          <w:szCs w:val="28"/>
          <w:lang w:eastAsia="lv-LV"/>
        </w:rPr>
      </w:pPr>
      <w:r w:rsidRPr="00743B80">
        <w:rPr>
          <w:b w:val="0"/>
          <w:szCs w:val="28"/>
          <w:lang w:eastAsia="lv-LV"/>
        </w:rPr>
        <w:t>ziņojums (anotācija)</w:t>
      </w:r>
    </w:p>
    <w:p w:rsidR="004A1FDE" w:rsidRPr="00743B80" w:rsidRDefault="004A1FDE" w:rsidP="0063040C"/>
    <w:tbl>
      <w:tblPr>
        <w:tblpPr w:leftFromText="180" w:rightFromText="180" w:vertAnchor="text" w:horzAnchor="margin" w:tblpXSpec="center" w:tblpY="149"/>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40"/>
        <w:gridCol w:w="2345"/>
        <w:gridCol w:w="5570"/>
      </w:tblGrid>
      <w:tr w:rsidR="004A1FDE" w:rsidRPr="00743B80" w:rsidTr="0019005C">
        <w:tc>
          <w:tcPr>
            <w:tcW w:w="8455" w:type="dxa"/>
            <w:gridSpan w:val="3"/>
            <w:vAlign w:val="center"/>
          </w:tcPr>
          <w:p w:rsidR="004A1FDE" w:rsidRPr="00743B80" w:rsidRDefault="004A1FDE" w:rsidP="009671DD">
            <w:pPr>
              <w:pStyle w:val="naisnod"/>
              <w:spacing w:before="0" w:after="0"/>
              <w:jc w:val="left"/>
            </w:pPr>
            <w:r w:rsidRPr="00743B80">
              <w:t>I. Tiesību akta projekta izstrādes nepieciešamība</w:t>
            </w:r>
          </w:p>
          <w:p w:rsidR="004A1FDE" w:rsidRPr="00743B80" w:rsidRDefault="004A1FDE" w:rsidP="009671DD">
            <w:pPr>
              <w:pStyle w:val="naisnod"/>
              <w:spacing w:before="0" w:after="0"/>
              <w:jc w:val="left"/>
            </w:pPr>
          </w:p>
        </w:tc>
      </w:tr>
      <w:tr w:rsidR="004A1FDE" w:rsidRPr="00743B80" w:rsidTr="0063040C">
        <w:trPr>
          <w:trHeight w:val="245"/>
        </w:trPr>
        <w:tc>
          <w:tcPr>
            <w:tcW w:w="540" w:type="dxa"/>
          </w:tcPr>
          <w:p w:rsidR="004A1FDE" w:rsidRPr="00743B80" w:rsidRDefault="004A1FDE" w:rsidP="008E2345">
            <w:pPr>
              <w:pStyle w:val="naiskr"/>
              <w:spacing w:before="0" w:after="0"/>
            </w:pPr>
            <w:r w:rsidRPr="00743B80">
              <w:t>1.</w:t>
            </w:r>
          </w:p>
        </w:tc>
        <w:tc>
          <w:tcPr>
            <w:tcW w:w="2345" w:type="dxa"/>
          </w:tcPr>
          <w:p w:rsidR="004A1FDE" w:rsidRPr="00743B80" w:rsidRDefault="004A1FDE" w:rsidP="008E2345">
            <w:pPr>
              <w:pStyle w:val="naiskr"/>
              <w:spacing w:before="0" w:after="0"/>
              <w:ind w:hanging="10"/>
            </w:pPr>
            <w:r w:rsidRPr="00743B80">
              <w:t>Pamatojums</w:t>
            </w:r>
          </w:p>
        </w:tc>
        <w:tc>
          <w:tcPr>
            <w:tcW w:w="5570" w:type="dxa"/>
          </w:tcPr>
          <w:p w:rsidR="004A1FDE" w:rsidRPr="00743B80" w:rsidRDefault="004A1FDE" w:rsidP="008E2345">
            <w:pPr>
              <w:pStyle w:val="naiskr"/>
              <w:spacing w:before="0" w:after="0"/>
              <w:ind w:hanging="5"/>
            </w:pPr>
            <w:r w:rsidRPr="00743B80">
              <w:t>Nav attiecināms</w:t>
            </w:r>
          </w:p>
          <w:p w:rsidR="004A1FDE" w:rsidRPr="00743B80" w:rsidRDefault="004A1FDE" w:rsidP="008E2345">
            <w:pPr>
              <w:pStyle w:val="naiskr"/>
              <w:spacing w:before="0" w:after="0"/>
              <w:ind w:hanging="5"/>
            </w:pPr>
          </w:p>
        </w:tc>
      </w:tr>
      <w:tr w:rsidR="004A1FDE" w:rsidRPr="00743B80" w:rsidTr="0063040C">
        <w:trPr>
          <w:trHeight w:val="472"/>
        </w:trPr>
        <w:tc>
          <w:tcPr>
            <w:tcW w:w="540" w:type="dxa"/>
          </w:tcPr>
          <w:p w:rsidR="004A1FDE" w:rsidRPr="00743B80" w:rsidRDefault="004A1FDE" w:rsidP="008E2345">
            <w:pPr>
              <w:pStyle w:val="naiskr"/>
              <w:spacing w:before="0" w:after="0"/>
            </w:pPr>
            <w:r w:rsidRPr="00743B80">
              <w:t>2.</w:t>
            </w:r>
          </w:p>
        </w:tc>
        <w:tc>
          <w:tcPr>
            <w:tcW w:w="2345" w:type="dxa"/>
          </w:tcPr>
          <w:p w:rsidR="004A1FDE" w:rsidRPr="00743B80" w:rsidRDefault="004A1FDE" w:rsidP="008E2345">
            <w:pPr>
              <w:pStyle w:val="naiskr"/>
              <w:tabs>
                <w:tab w:val="left" w:pos="170"/>
              </w:tabs>
              <w:spacing w:before="0" w:after="0"/>
            </w:pPr>
            <w:r w:rsidRPr="00743B80">
              <w:t>Pašreizējā situācija un problēmas</w:t>
            </w:r>
          </w:p>
        </w:tc>
        <w:tc>
          <w:tcPr>
            <w:tcW w:w="5570" w:type="dxa"/>
          </w:tcPr>
          <w:p w:rsidR="004A1FDE" w:rsidRPr="00743B80" w:rsidRDefault="004A1FDE" w:rsidP="00AA473E">
            <w:pPr>
              <w:ind w:firstLine="540"/>
              <w:jc w:val="both"/>
            </w:pPr>
            <w:r w:rsidRPr="00743B80">
              <w:t xml:space="preserve">Ministru kabineta rīkojuma projekts sagatavots, pamatojoties uz </w:t>
            </w:r>
            <w:r w:rsidRPr="00442A36">
              <w:t>Publiskas personas mantas atsavināšanas</w:t>
            </w:r>
            <w:r w:rsidRPr="00743B80">
              <w:t xml:space="preserve"> likuma 5.panta pirmo daļu un 40.pantu, kas nosaka, ka lēmumu par valsts mantas ieguldīšanu kapitālsabiedrības pamatkapitālā pieņem Ministru kabinets. Rīkojuma projekts sagatavots ņemot vērā valsts akciju sabiedrības „</w:t>
            </w:r>
            <w:r>
              <w:t>Ceļu satiksmes drošības direkcija</w:t>
            </w:r>
            <w:r w:rsidRPr="00743B80">
              <w:t>” 201</w:t>
            </w:r>
            <w:r>
              <w:t>1</w:t>
            </w:r>
            <w:r w:rsidRPr="00743B80">
              <w:t>.g</w:t>
            </w:r>
            <w:r>
              <w:t>ada 26</w:t>
            </w:r>
            <w:r w:rsidRPr="00743B80">
              <w:t>.</w:t>
            </w:r>
            <w:r>
              <w:t>augusta</w:t>
            </w:r>
            <w:r w:rsidRPr="00743B80">
              <w:t xml:space="preserve"> valdes sēdes lēmum</w:t>
            </w:r>
            <w:r>
              <w:t>u</w:t>
            </w:r>
            <w:r w:rsidRPr="00743B80">
              <w:t xml:space="preserve"> </w:t>
            </w:r>
            <w:r>
              <w:t>ierosināt</w:t>
            </w:r>
            <w:r w:rsidRPr="00743B80">
              <w:t xml:space="preserve"> atsavināt valsts nekustamo mantu, ieguldot to valsts akciju sabiedrības „</w:t>
            </w:r>
            <w:r>
              <w:t>Ceļu satiksmes drošības direkcija</w:t>
            </w:r>
            <w:r w:rsidRPr="00743B80">
              <w:t>” pamatkapitālā.</w:t>
            </w:r>
          </w:p>
          <w:p w:rsidR="004A1FDE" w:rsidRPr="00743B80" w:rsidRDefault="004A1FDE" w:rsidP="00AA473E">
            <w:pPr>
              <w:ind w:firstLine="540"/>
              <w:jc w:val="both"/>
            </w:pPr>
            <w:r w:rsidRPr="00743B80">
              <w:t>Valsts akciju sabiedrības „</w:t>
            </w:r>
            <w:r>
              <w:t>Ceļu satiksmes drošības direkcija</w:t>
            </w:r>
            <w:r w:rsidRPr="00743B80">
              <w:t>” akcionāru sapulcē 201</w:t>
            </w:r>
            <w:r>
              <w:t>1.gada 9</w:t>
            </w:r>
            <w:r w:rsidRPr="00743B80">
              <w:t>.</w:t>
            </w:r>
            <w:r>
              <w:t>septembrī (Protokola nr.7</w:t>
            </w:r>
            <w:r w:rsidRPr="00743B80">
              <w:t xml:space="preserve">, lēmums </w:t>
            </w:r>
            <w:r>
              <w:t>Nr.2</w:t>
            </w:r>
            <w:r w:rsidRPr="00743B80">
              <w:t xml:space="preserve"> „Par </w:t>
            </w:r>
            <w:r>
              <w:t>nekustamo īpašumu</w:t>
            </w:r>
            <w:r w:rsidRPr="00743B80">
              <w:t xml:space="preserve"> ieguldīšanu VAS „</w:t>
            </w:r>
            <w:r>
              <w:t>Ceļu satiksmes drošības direkcija</w:t>
            </w:r>
            <w:r w:rsidRPr="00743B80">
              <w:t>” pamatkapitālā) tika nolemts atbalstīt</w:t>
            </w:r>
            <w:r>
              <w:t xml:space="preserve"> </w:t>
            </w:r>
            <w:r w:rsidRPr="00D1024B">
              <w:t xml:space="preserve">un </w:t>
            </w:r>
            <w:r w:rsidRPr="00D1024B">
              <w:rPr>
                <w:bCs/>
              </w:rPr>
              <w:t xml:space="preserve">pēc Ministru kabineta rīkojuma </w:t>
            </w:r>
            <w:r w:rsidRPr="00D1024B">
              <w:t xml:space="preserve">„Par valsts nekustamo īpašumu ieguldīšanu valsts akciju sabiedrības „Ceļu satiksmes drošības direkcija” pamatkapitālā” pieņemšanas kā mantisko ieguldījumu ieguldīt valsts akciju sabiedrības „Ceļu satiksmes drošības direkcija” pamatkapitālā  </w:t>
            </w:r>
            <w:r w:rsidRPr="00D1024B">
              <w:rPr>
                <w:bCs/>
              </w:rPr>
              <w:t xml:space="preserve">   </w:t>
            </w:r>
            <w:r w:rsidRPr="00D1024B">
              <w:t>valsts nekustamos īpašumus 361 220 vērtībā-</w:t>
            </w:r>
            <w:r>
              <w:t xml:space="preserve"> valstij piederošās</w:t>
            </w:r>
            <w:r w:rsidRPr="00743B80">
              <w:t xml:space="preserve"> zemes vienīb</w:t>
            </w:r>
            <w:r>
              <w:t>as</w:t>
            </w:r>
            <w:r w:rsidRPr="00743B80">
              <w:t>, uz kurām atrodas valsts akciju sabiedrības „</w:t>
            </w:r>
            <w:r>
              <w:t>Ceļu satiksmes drošības direkcija</w:t>
            </w:r>
            <w:r w:rsidRPr="00743B80">
              <w:t>” īpašuma objekti (ēkas un būves), ieguldīšanu valsts akciju sabiedrības „</w:t>
            </w:r>
            <w:r>
              <w:t>Ceļu satiksmes drošības direkcija</w:t>
            </w:r>
            <w:r w:rsidRPr="00743B80">
              <w:t>” pamatkapitālā</w:t>
            </w:r>
            <w:r>
              <w:t xml:space="preserve"> </w:t>
            </w:r>
            <w:r w:rsidRPr="003D452E">
              <w:rPr>
                <w:sz w:val="28"/>
                <w:szCs w:val="28"/>
              </w:rPr>
              <w:t xml:space="preserve"> </w:t>
            </w:r>
            <w:r w:rsidRPr="00743B80">
              <w:t>:</w:t>
            </w:r>
          </w:p>
          <w:p w:rsidR="004A1FDE" w:rsidRPr="00743B80" w:rsidRDefault="004A1FDE" w:rsidP="008E2345">
            <w:pPr>
              <w:jc w:val="both"/>
            </w:pPr>
            <w:r w:rsidRPr="00743B80">
              <w:t xml:space="preserve"> - zemes vienību </w:t>
            </w:r>
            <w:r>
              <w:t xml:space="preserve">S.Eizenšteina </w:t>
            </w:r>
            <w:r w:rsidRPr="00743B80">
              <w:t xml:space="preserve">ielā </w:t>
            </w:r>
            <w:r>
              <w:t>2</w:t>
            </w:r>
            <w:r w:rsidRPr="00743B80">
              <w:t>, Rīgā, kadastra Nr.</w:t>
            </w:r>
            <w:r>
              <w:t xml:space="preserve"> </w:t>
            </w:r>
            <w:r w:rsidRPr="00E46DA6">
              <w:t>0100 122 2080</w:t>
            </w:r>
            <w:r>
              <w:t xml:space="preserve"> </w:t>
            </w:r>
            <w:r w:rsidRPr="004E7152">
              <w:t>6022 m</w:t>
            </w:r>
            <w:r w:rsidRPr="004E7152">
              <w:rPr>
                <w:vertAlign w:val="superscript"/>
              </w:rPr>
              <w:t>2</w:t>
            </w:r>
            <w:r w:rsidRPr="004E7152">
              <w:t xml:space="preserve"> platībā</w:t>
            </w:r>
            <w:r w:rsidRPr="00743B80">
              <w:t>,</w:t>
            </w:r>
          </w:p>
          <w:p w:rsidR="004A1FDE" w:rsidRDefault="004A1FDE" w:rsidP="008E2345">
            <w:pPr>
              <w:jc w:val="both"/>
            </w:pPr>
            <w:r w:rsidRPr="00743B80">
              <w:t xml:space="preserve"> - zemes vienību </w:t>
            </w:r>
            <w:r>
              <w:t>S.Eizenšteina</w:t>
            </w:r>
            <w:r w:rsidRPr="00743B80">
              <w:t xml:space="preserve"> ielā </w:t>
            </w:r>
            <w:r>
              <w:t>2</w:t>
            </w:r>
            <w:r w:rsidRPr="00743B80">
              <w:t xml:space="preserve">, </w:t>
            </w:r>
            <w:r>
              <w:t>Rīgā</w:t>
            </w:r>
            <w:r w:rsidRPr="00743B80">
              <w:t>, kadastra Nr.</w:t>
            </w:r>
            <w:r>
              <w:t xml:space="preserve"> </w:t>
            </w:r>
            <w:r w:rsidRPr="00E46DA6">
              <w:t>0100 122 0320</w:t>
            </w:r>
            <w:r>
              <w:t xml:space="preserve"> </w:t>
            </w:r>
            <w:r w:rsidRPr="004E7152">
              <w:t>47189 m</w:t>
            </w:r>
            <w:r w:rsidRPr="004E7152">
              <w:rPr>
                <w:vertAlign w:val="superscript"/>
              </w:rPr>
              <w:t>2</w:t>
            </w:r>
            <w:r w:rsidRPr="004E7152">
              <w:t xml:space="preserve"> platībā</w:t>
            </w:r>
            <w:r>
              <w:t>.</w:t>
            </w:r>
          </w:p>
          <w:p w:rsidR="004A1FDE" w:rsidRPr="00D1024B" w:rsidRDefault="004A1FDE" w:rsidP="008E2345">
            <w:pPr>
              <w:jc w:val="both"/>
            </w:pPr>
            <w:r w:rsidRPr="00D1024B">
              <w:rPr>
                <w:color w:val="000000"/>
              </w:rPr>
              <w:t>Valsts zemes vienību ieguldīšanas rezultātā palielināsies</w:t>
            </w:r>
            <w:r w:rsidRPr="00D1024B">
              <w:t xml:space="preserve"> valsts akciju sabiedrības „Ceļu satiksmes drošības direkcija” </w:t>
            </w:r>
            <w:r w:rsidRPr="00D1024B">
              <w:rPr>
                <w:color w:val="000000"/>
              </w:rPr>
              <w:t xml:space="preserve">pamatkapitāls un valstij piederošo </w:t>
            </w:r>
            <w:r w:rsidRPr="00D1024B">
              <w:t xml:space="preserve"> valsts akciju sabiedrības „Ceļu satiksmes drošības direkcija” </w:t>
            </w:r>
            <w:r w:rsidRPr="00D1024B">
              <w:rPr>
                <w:color w:val="000000"/>
              </w:rPr>
              <w:t xml:space="preserve"> akciju skaits.</w:t>
            </w:r>
          </w:p>
          <w:p w:rsidR="004A1FDE" w:rsidRDefault="004A1FDE" w:rsidP="00827703">
            <w:pPr>
              <w:jc w:val="both"/>
              <w:rPr>
                <w:bCs/>
              </w:rPr>
            </w:pPr>
            <w:r w:rsidRPr="00743B80">
              <w:t xml:space="preserve"> </w:t>
            </w:r>
            <w:r>
              <w:rPr>
                <w:bCs/>
              </w:rPr>
              <w:t xml:space="preserve">        </w:t>
            </w:r>
            <w:r w:rsidRPr="00743B80">
              <w:rPr>
                <w:bCs/>
              </w:rPr>
              <w:t>201</w:t>
            </w:r>
            <w:r>
              <w:rPr>
                <w:bCs/>
              </w:rPr>
              <w:t>1</w:t>
            </w:r>
            <w:r w:rsidRPr="00743B80">
              <w:rPr>
                <w:bCs/>
              </w:rPr>
              <w:t xml:space="preserve">.gada </w:t>
            </w:r>
            <w:r>
              <w:rPr>
                <w:bCs/>
              </w:rPr>
              <w:t>9</w:t>
            </w:r>
            <w:r w:rsidRPr="00743B80">
              <w:rPr>
                <w:bCs/>
              </w:rPr>
              <w:t>.</w:t>
            </w:r>
            <w:r>
              <w:rPr>
                <w:bCs/>
              </w:rPr>
              <w:t>septembrī</w:t>
            </w:r>
            <w:r w:rsidRPr="00743B80">
              <w:rPr>
                <w:bCs/>
              </w:rPr>
              <w:t xml:space="preserve"> valsts akciju sabiedrības „</w:t>
            </w:r>
            <w:r>
              <w:rPr>
                <w:bCs/>
              </w:rPr>
              <w:t>Ceļu satiksmes drošības direkcija</w:t>
            </w:r>
            <w:r w:rsidRPr="00743B80">
              <w:rPr>
                <w:bCs/>
              </w:rPr>
              <w:t>” akcionāru sapulc</w:t>
            </w:r>
            <w:r>
              <w:rPr>
                <w:bCs/>
              </w:rPr>
              <w:t xml:space="preserve">ē  </w:t>
            </w:r>
            <w:r w:rsidRPr="00743B80">
              <w:rPr>
                <w:bCs/>
              </w:rPr>
              <w:t xml:space="preserve"> izskatot jautājumu par valstij piederošo zemes vienību ieguldīšanu sabiedrības pamatkapitālā par pamatu tika ņemts 201</w:t>
            </w:r>
            <w:r>
              <w:rPr>
                <w:bCs/>
              </w:rPr>
              <w:t>1</w:t>
            </w:r>
            <w:r w:rsidRPr="00743B80">
              <w:rPr>
                <w:bCs/>
              </w:rPr>
              <w:t xml:space="preserve">.gada </w:t>
            </w:r>
            <w:r>
              <w:rPr>
                <w:bCs/>
              </w:rPr>
              <w:t>6</w:t>
            </w:r>
            <w:r w:rsidRPr="00743B80">
              <w:rPr>
                <w:bCs/>
              </w:rPr>
              <w:t>.</w:t>
            </w:r>
            <w:r>
              <w:rPr>
                <w:bCs/>
              </w:rPr>
              <w:t>septembra</w:t>
            </w:r>
            <w:r w:rsidRPr="00743B80">
              <w:rPr>
                <w:bCs/>
              </w:rPr>
              <w:t xml:space="preserve"> SIA „</w:t>
            </w:r>
            <w:r w:rsidRPr="002734D5">
              <w:rPr>
                <w:bCs/>
              </w:rPr>
              <w:t>Arco Real Estate</w:t>
            </w:r>
            <w:r w:rsidRPr="00743B80">
              <w:rPr>
                <w:bCs/>
              </w:rPr>
              <w:t>” nekustamā īpašuma vērtējums.</w:t>
            </w:r>
          </w:p>
          <w:p w:rsidR="004A1FDE" w:rsidRDefault="004A1FDE" w:rsidP="002734D5">
            <w:pPr>
              <w:jc w:val="both"/>
            </w:pPr>
            <w:r>
              <w:rPr>
                <w:bCs/>
              </w:rPr>
              <w:t xml:space="preserve">       S</w:t>
            </w:r>
            <w:r>
              <w:t>askaņā ar Komerclikuma 335.panta otro un piekto daļu, kā arī ar valsts akciju sabiedrības „Ceļu satiksmes drošības direkcija” un valsts akciju sabiedrības „Biķernieku kompleksās sporta bāze” Akcionāru sapulces 2011.gada 17.maija lēmumu tika veikta valsts akciju sabiedrības „Biķernieku kompleksās sporta bāze” un valsts akciju sabiedrības „Ceļu satiksmes drošības direkcija” reorganizācija apvienošanas ceļā, pievienojot valsts akciju sabiedrību „Biķernieku kompleksās sporta bāze” valsts akciju sabiedrībai „Ceļu satiksmes drošības direkcija”.</w:t>
            </w:r>
          </w:p>
          <w:p w:rsidR="004A1FDE" w:rsidRDefault="004A1FDE" w:rsidP="002734D5">
            <w:pPr>
              <w:ind w:firstLine="540"/>
              <w:jc w:val="both"/>
            </w:pPr>
            <w:r>
              <w:t xml:space="preserve">Valsts akciju sabiedrība „Ceļu satiksmes drošības direkcija” pārņēma visus valsts akciju sabiedrības „Biķernieku kompleksās sporta bāze” pamatlīdzekļus un citas materiālās vērtības, t.sk. infrastruktūru un būves. Zeme saskaņā ar 1994.gada 11.janvāra noteikumiem Nr.32 „Par valsts nekustamā īpašuma reģistrāciju un izmantošanu līdz īpašuma tiesību nostiprināšanai zemesgrāmatās” bija valsts īpašumā un savukārt saskaņā ar likuma „Par valsts un pašvaldību zemes īpašuma tiesībām un to nostiprināšanu zemesgrāmatās” 8.panta trešo daļu, zemes, uz kurām izvietotas valsts akciju sabiedrības „Ceļu satiksmes drošības direkcija” (bijušās Biķernieku kompleksās sporta bāzes (turpmāk – Sporta bāze)) īpašumā esošās ēkas un būves ir ierakstītas zemesgrāmatās uz valsts vārda Satiksmes ministrijas personā. </w:t>
            </w:r>
          </w:p>
          <w:p w:rsidR="004A1FDE" w:rsidRDefault="004A1FDE" w:rsidP="002734D5">
            <w:pPr>
              <w:ind w:firstLine="540"/>
              <w:jc w:val="both"/>
            </w:pPr>
            <w:r>
              <w:t>Uz zemes gabaliem atrodas nekustamais īpašums (nekustamā īpašuma kadastra Nr. 0100 592 0160) S.Eizenšteina ielā 2, Rīgā, kas ierakstīts Rīgas pilsētas zemesgrāmatas nodalījumā Nr.31346 uz valsts akciju sabiedrības " Ceļu satiksmes drošības direkcija " vārda;</w:t>
            </w:r>
          </w:p>
          <w:p w:rsidR="004A1FDE" w:rsidRDefault="004A1FDE" w:rsidP="002734D5">
            <w:pPr>
              <w:ind w:firstLine="540"/>
              <w:jc w:val="both"/>
            </w:pPr>
            <w:r>
              <w:t xml:space="preserve"> Nekustamais īpašums, kas atrodas uz minētājām zemes gabaliem sastāv no 25 būvēm – autotrases, ceļi, tuneļi, tribīnes un citas būves un ēkas saistīta ar sporta sacensību organizēšanu un norisi.</w:t>
            </w:r>
          </w:p>
          <w:p w:rsidR="004A1FDE" w:rsidRDefault="004A1FDE" w:rsidP="002734D5">
            <w:pPr>
              <w:ind w:firstLine="540"/>
              <w:jc w:val="both"/>
            </w:pPr>
            <w:r>
              <w:t>Saskaņā ar zemesgrāmatas ierakstiem zemes gabaliem pastāv šādi apgrūtinājumi:</w:t>
            </w:r>
          </w:p>
          <w:p w:rsidR="004A1FDE" w:rsidRDefault="004A1FDE" w:rsidP="002734D5">
            <w:pPr>
              <w:ind w:firstLine="540"/>
              <w:jc w:val="both"/>
            </w:pPr>
            <w:r>
              <w:t xml:space="preserve"> - zemes gabalā izbūvētās telekomunikācijas;</w:t>
            </w:r>
          </w:p>
          <w:p w:rsidR="004A1FDE" w:rsidRDefault="004A1FDE" w:rsidP="002734D5">
            <w:pPr>
              <w:ind w:firstLine="540"/>
              <w:jc w:val="both"/>
            </w:pPr>
            <w:r>
              <w:t>- Biķernieku kompleksās sporta bāzes ēkas un būves.</w:t>
            </w:r>
          </w:p>
          <w:p w:rsidR="004A1FDE" w:rsidRDefault="004A1FDE" w:rsidP="002734D5">
            <w:pPr>
              <w:ind w:firstLine="540"/>
              <w:jc w:val="both"/>
            </w:pPr>
            <w:r>
              <w:t>Par abiem zemes gabaliem noslēgti valsts zemes nomas līgumi.</w:t>
            </w:r>
          </w:p>
          <w:p w:rsidR="004A1FDE" w:rsidRDefault="004A1FDE" w:rsidP="002734D5">
            <w:pPr>
              <w:ind w:firstLine="540"/>
              <w:jc w:val="both"/>
            </w:pPr>
            <w:r>
              <w:t xml:space="preserve">  Veicot Sporta bāzes, kuras sastāvā ietilpst minētie valsts zemesgabali ar kadastra apzīmējumiem 0100 122 2080 un 0100 122 0320, kā arī zemes gabalu, kas satur meža zemes ar kadastra numuru 0100 092 2135 apsaimniekošanu tiek nodrošināta Sporta bāzes pieejamību iedzīvotājiem ar neierobežotu iespēju nodarboties ar skriešanu, velosportu, slēpošanu, kā arī autosportu, motosportu, kartingu un citiem sporta veidiem, kuriem nepieciešama auto vai moto trases izmantošana. </w:t>
            </w:r>
          </w:p>
          <w:p w:rsidR="004A1FDE" w:rsidRDefault="004A1FDE" w:rsidP="002734D5">
            <w:pPr>
              <w:ind w:firstLine="540"/>
              <w:jc w:val="both"/>
            </w:pPr>
            <w:r>
              <w:t xml:space="preserve">Tātad Sporta bāze veic Sporta likuma 12.panta pirmajā daļā paredzēto iedzīvotājiem nepieciešamo pakalpojumu sniegšanu sportā. </w:t>
            </w:r>
          </w:p>
          <w:p w:rsidR="004A1FDE" w:rsidRDefault="004A1FDE" w:rsidP="002734D5">
            <w:pPr>
              <w:ind w:firstLine="540"/>
              <w:jc w:val="both"/>
            </w:pPr>
            <w:r>
              <w:t>Biķernieku kompleksā sporta bāze ir vienīgā šāda veida nacionālā sporta bāze valstī, tā garantē drošības prasībām atbilstošu auto un moto sporta treniņu, sacensību un tehniska rakstura pasākumu (tai skaitā drošības prasībām atbilstošas amatieru ātrumsacīkstes – dragreiss, drifts utt.) rīkošanu un norisi.</w:t>
            </w:r>
          </w:p>
          <w:p w:rsidR="004A1FDE" w:rsidRPr="00D1024B" w:rsidRDefault="004A1FDE" w:rsidP="00574E1C">
            <w:pPr>
              <w:ind w:firstLine="720"/>
              <w:jc w:val="both"/>
            </w:pPr>
            <w:r w:rsidRPr="00D1024B">
              <w:t xml:space="preserve">Biķernieku kompleksai sporta bāzei </w:t>
            </w:r>
            <w:r w:rsidRPr="00D1024B">
              <w:rPr>
                <w:sz w:val="25"/>
                <w:szCs w:val="25"/>
              </w:rPr>
              <w:t>(</w:t>
            </w:r>
            <w:r w:rsidRPr="00D1024B">
              <w:t>t.sk., tām</w:t>
            </w:r>
            <w:r w:rsidRPr="00D1024B">
              <w:rPr>
                <w:sz w:val="25"/>
                <w:szCs w:val="25"/>
              </w:rPr>
              <w:t xml:space="preserve">  </w:t>
            </w:r>
            <w:r w:rsidRPr="00D1024B">
              <w:t>nekustamā īpašuma vienībām, kuras plānots ieguldīt valsts akciju sabiedrības „Ceļu satiksmes drošības direkcija” pamatkapitālā) ir piešķirts nacionālās sporta bāzes statuss (saskaņā ar Ministru kabineta 2010.gada 30.decembra rīkojumu Nr.790 „Par nacionālās sporta bāzes statusa piešķiršanu Biķernieku kompleksajai sporta bāzei” un Ministru kabineta 2011.gada 5.augusta rīkojumu Nr.358 „Par Ministru kabineta 2010.gada 30.decembra rīkojuma Nr.790 „Par nacionālās sporta bāzes statusa piešķiršanu Biķernieku kompleksajai sporta bāzei” atcelšanu daļā”).</w:t>
            </w:r>
          </w:p>
          <w:p w:rsidR="004A1FDE" w:rsidRDefault="004A1FDE" w:rsidP="00574E1C">
            <w:pPr>
              <w:jc w:val="both"/>
            </w:pPr>
            <w:r>
              <w:t xml:space="preserve">Sporta bāzes darbībai ir loma arī satiksmes drošības situācijas uzlabošanai, autotrasi izmantojot transportlīdzekļu vadīšanas iemaņu pilnveidošanai. </w:t>
            </w:r>
          </w:p>
          <w:p w:rsidR="004A1FDE" w:rsidRDefault="004A1FDE" w:rsidP="002734D5">
            <w:pPr>
              <w:ind w:firstLine="540"/>
              <w:jc w:val="both"/>
            </w:pPr>
            <w:r>
              <w:t xml:space="preserve">Ar noslēgtajiem valsts zemes nomas līgumiem uzņemtās finansiālās saistības ir apgrūtinājums Sporta bāzes darbības sekmīgai attīstībai, jo tai piederošais ēku (būvju) īpašums, kura sastāvā ietilpst autotrašu segumi, tiesnešu ēkas, tribīnes un citas ar trases darbību saistītās būves, aizņem ļoti lielu teritoriju, kas veido augstas zemes nomas izmaksas. </w:t>
            </w:r>
          </w:p>
          <w:p w:rsidR="004A1FDE" w:rsidRDefault="004A1FDE" w:rsidP="002734D5">
            <w:pPr>
              <w:ind w:firstLine="540"/>
              <w:jc w:val="both"/>
            </w:pPr>
            <w:r>
              <w:t xml:space="preserve">Pastāvot šādiem apstākļiem, no Sporta bāzes saimnieciskās darbības gūtie ieņēmumi pamatā tiek virzīti zemes nomas samaksai, nevis sporta bāzes attīstībai, esošās infrastruktūras uzturēšanai un uzlabošanai, pakalpojumu sniegšanai sportā. </w:t>
            </w:r>
          </w:p>
          <w:p w:rsidR="004A1FDE" w:rsidRDefault="004A1FDE" w:rsidP="002734D5">
            <w:pPr>
              <w:ind w:firstLine="540"/>
              <w:jc w:val="both"/>
            </w:pPr>
            <w:r>
              <w:t>Dalīts īpašums, kad būvju īpašums pieder Sporta bāzei, bet zeme pieder valstij, ierobežo rīcību ar šo īpašumu un arī tā tālāko attīstību.</w:t>
            </w:r>
          </w:p>
          <w:p w:rsidR="004A1FDE" w:rsidRDefault="004A1FDE" w:rsidP="002734D5">
            <w:pPr>
              <w:ind w:firstLine="540"/>
              <w:jc w:val="both"/>
            </w:pPr>
            <w:r>
              <w:t>Zemesgabalu ieguldīšana valsts akciju sabiedrības  „Ceļu satiksmes drošības direkcija”  pamatkapitālā nepieciešama, lai nodrošinātu stabilu un nepārtrauktu ēku, inženierbūvju, un inženierkomunikāciju tīklu ekspluatāciju, apsaimniekošanu un Sporta bāzes attīstību, saistībā ar ko ir svarīga nekustamo īpašumu (ēku (būvju) un zemes) vienotība.</w:t>
            </w:r>
          </w:p>
          <w:p w:rsidR="004A1FDE" w:rsidRPr="00743B80" w:rsidRDefault="004A1FDE" w:rsidP="00C53430">
            <w:pPr>
              <w:ind w:firstLine="540"/>
              <w:jc w:val="both"/>
            </w:pPr>
            <w:r>
              <w:t xml:space="preserve">Satiksmes ministrija, lai realizētu nekustamā īpašuma vienotību Civillikuma 968.panta izpratnē, un, ņemot vērā, ka valstij piederošā zeme, kas atrodas valsts akciju sabiedrības „Ceļu satiksmes drošības direkcija” valdījumā, ir reģistrēta zemesgrāmatā uz valsts vārda Satiksmes ministrijas personā un uz tās atrodas zemesgrāmatā reģistrētas valsts akciju sabiedrības „Ceļu satiksmes drošības direkcija” ēkas (būves), ir izstrādājusi Ministru kabineta rīkojuma projektu „Par valsts nekustamo īpašumu ieguldīšanu valsts akciju sabiedrības „Ceļu satiksmes drošības direkcija” pamatkapitālā”. Atbilstoši Komerclikuma 154.panta pirmās daļas nosacījumiem, nekustamos īpašumus novērtējis un atzinumu par tiem sniedzis licencēts eksperts, nosakot zemes vienību vērtību ieguldīšanai valsts akciju sabiedrības </w:t>
            </w:r>
            <w:r w:rsidRPr="00C53430">
              <w:t>„Ceļu satiksmes drošības direkcija” pamatkapitālā LVL 361 220 (trīs simti sešdesmit viens tūkstotis divi simti divdesmit latu) apmērā.</w:t>
            </w:r>
          </w:p>
        </w:tc>
      </w:tr>
      <w:tr w:rsidR="004A1FDE" w:rsidRPr="00743B80" w:rsidTr="0063040C">
        <w:trPr>
          <w:trHeight w:val="592"/>
        </w:trPr>
        <w:tc>
          <w:tcPr>
            <w:tcW w:w="540" w:type="dxa"/>
          </w:tcPr>
          <w:p w:rsidR="004A1FDE" w:rsidRPr="00743B80" w:rsidRDefault="004A1FDE" w:rsidP="008E2345">
            <w:pPr>
              <w:pStyle w:val="naiskr"/>
              <w:spacing w:before="0" w:after="0"/>
            </w:pPr>
            <w:r w:rsidRPr="00743B80">
              <w:t>3.</w:t>
            </w:r>
          </w:p>
        </w:tc>
        <w:tc>
          <w:tcPr>
            <w:tcW w:w="2345" w:type="dxa"/>
          </w:tcPr>
          <w:p w:rsidR="004A1FDE" w:rsidRPr="00743B80" w:rsidRDefault="004A1FDE" w:rsidP="008E2345">
            <w:pPr>
              <w:pStyle w:val="naiskr"/>
              <w:spacing w:before="0" w:after="0"/>
            </w:pPr>
            <w:r w:rsidRPr="00743B80">
              <w:t>Saistītie politikas ietekmes novērtējumi un pētījumi</w:t>
            </w:r>
          </w:p>
        </w:tc>
        <w:tc>
          <w:tcPr>
            <w:tcW w:w="5570" w:type="dxa"/>
          </w:tcPr>
          <w:p w:rsidR="004A1FDE" w:rsidRPr="00743B80" w:rsidRDefault="004A1FDE" w:rsidP="008E2345">
            <w:pPr>
              <w:pStyle w:val="FootnoteText"/>
              <w:rPr>
                <w:sz w:val="24"/>
                <w:szCs w:val="24"/>
              </w:rPr>
            </w:pPr>
            <w:r w:rsidRPr="00743B80">
              <w:rPr>
                <w:sz w:val="24"/>
                <w:szCs w:val="24"/>
              </w:rPr>
              <w:t xml:space="preserve">Nav </w:t>
            </w:r>
          </w:p>
        </w:tc>
      </w:tr>
      <w:tr w:rsidR="004A1FDE" w:rsidRPr="00743B80" w:rsidTr="0063040C">
        <w:trPr>
          <w:trHeight w:val="384"/>
        </w:trPr>
        <w:tc>
          <w:tcPr>
            <w:tcW w:w="540" w:type="dxa"/>
          </w:tcPr>
          <w:p w:rsidR="004A1FDE" w:rsidRPr="00743B80" w:rsidRDefault="004A1FDE" w:rsidP="008E2345">
            <w:pPr>
              <w:pStyle w:val="naiskr"/>
              <w:spacing w:before="0" w:after="0"/>
            </w:pPr>
            <w:r w:rsidRPr="00743B80">
              <w:t>4.</w:t>
            </w:r>
          </w:p>
        </w:tc>
        <w:tc>
          <w:tcPr>
            <w:tcW w:w="2345" w:type="dxa"/>
          </w:tcPr>
          <w:p w:rsidR="004A1FDE" w:rsidRPr="00743B80" w:rsidRDefault="004A1FDE" w:rsidP="008E2345">
            <w:pPr>
              <w:pStyle w:val="naiskr"/>
              <w:spacing w:before="0" w:after="0"/>
            </w:pPr>
            <w:r w:rsidRPr="00743B80">
              <w:t>Tiesiskā regulējuma mērķis un būtība</w:t>
            </w:r>
          </w:p>
        </w:tc>
        <w:tc>
          <w:tcPr>
            <w:tcW w:w="5570" w:type="dxa"/>
          </w:tcPr>
          <w:p w:rsidR="004A1FDE" w:rsidRDefault="004A1FDE" w:rsidP="00644A8D">
            <w:pPr>
              <w:tabs>
                <w:tab w:val="center" w:pos="141"/>
              </w:tabs>
              <w:ind w:right="141"/>
              <w:jc w:val="both"/>
            </w:pPr>
            <w:r>
              <w:t>Rīkojuma projekts paredz Satiksmes ministrijai ieguldīt valsts akciju sabiedrības „Ceļu satiksmes drošības direkcija” pamatkapitālā kā mantisko ieguldījumu valsts nekustamos īpašumus:</w:t>
            </w:r>
          </w:p>
          <w:p w:rsidR="004A1FDE" w:rsidRDefault="004A1FDE" w:rsidP="00644A8D">
            <w:pPr>
              <w:tabs>
                <w:tab w:val="center" w:pos="141"/>
              </w:tabs>
              <w:ind w:right="141"/>
              <w:jc w:val="both"/>
            </w:pPr>
            <w:r>
              <w:t>- zemes vienību S.Eizenšteina ielā 2, Rīgā, kadastra Nr. 0100 122 2080 ar platību 6022 m</w:t>
            </w:r>
            <w:r w:rsidRPr="004E7152">
              <w:rPr>
                <w:vertAlign w:val="superscript"/>
              </w:rPr>
              <w:t>2</w:t>
            </w:r>
            <w:r>
              <w:t>.</w:t>
            </w:r>
          </w:p>
          <w:p w:rsidR="004A1FDE" w:rsidRDefault="004A1FDE" w:rsidP="00644A8D">
            <w:pPr>
              <w:tabs>
                <w:tab w:val="center" w:pos="141"/>
              </w:tabs>
              <w:ind w:right="141"/>
              <w:jc w:val="both"/>
            </w:pPr>
            <w:r>
              <w:t>- zeme vienību S.Eizenšteina ielā 2, Rīgā, kadastra Nr. 0100 122 0320 ar platību 47189 m</w:t>
            </w:r>
            <w:r w:rsidRPr="004E7152">
              <w:rPr>
                <w:vertAlign w:val="superscript"/>
              </w:rPr>
              <w:t>2</w:t>
            </w:r>
            <w:r>
              <w:t>.</w:t>
            </w:r>
          </w:p>
          <w:p w:rsidR="004A1FDE" w:rsidRDefault="004A1FDE" w:rsidP="00644A8D">
            <w:pPr>
              <w:tabs>
                <w:tab w:val="center" w:pos="141"/>
              </w:tabs>
              <w:ind w:right="141"/>
              <w:jc w:val="both"/>
            </w:pPr>
          </w:p>
          <w:p w:rsidR="004A1FDE" w:rsidRDefault="004A1FDE" w:rsidP="00644A8D">
            <w:pPr>
              <w:tabs>
                <w:tab w:val="center" w:pos="141"/>
              </w:tabs>
              <w:ind w:right="141"/>
              <w:jc w:val="both"/>
            </w:pPr>
            <w:r>
              <w:t>Minēto zemesgabalu ieguldīšana valsts akciju sabiedrības „Ceļu satiksmes drošības direkcija” pamatkapitālā dotu sekojošu ieguvumu – tiktu veicināta efektīva līdzekļu ieguldīšanu Sporta bāzes attīstībā un ikdienas ekspluatācijā, tiktu atvieglots modernizācijas process, kā arī valsts akciju sabiedrība „Ceļu satiksmes drošības direkcija” iegūtu iespēju efektīvi apsaimniekot teritoriju zem sev īpašumā esošajām ēkām un būvēm un nodrošināt to attīstību.</w:t>
            </w:r>
          </w:p>
          <w:p w:rsidR="004A1FDE" w:rsidRDefault="004A1FDE" w:rsidP="00644A8D">
            <w:pPr>
              <w:tabs>
                <w:tab w:val="center" w:pos="141"/>
              </w:tabs>
              <w:ind w:right="141"/>
              <w:jc w:val="both"/>
            </w:pPr>
            <w:r>
              <w:t xml:space="preserve">Rīkojuma projekts izstrādāts saskaņā ar </w:t>
            </w:r>
            <w:r w:rsidRPr="00734D92">
              <w:t>Publiskas personas</w:t>
            </w:r>
            <w:r>
              <w:t xml:space="preserve"> mantas atsavināšanas likuma 5. un 40. pantu, lai nodrošinātu publiskas personas komercdarbību saskaņā ar Valsts pārvaldes iekārtas likuma 88.panta pirmās daļas 3. un 6.punktu.</w:t>
            </w:r>
          </w:p>
          <w:p w:rsidR="004A1FDE" w:rsidRDefault="004A1FDE" w:rsidP="00644A8D">
            <w:pPr>
              <w:tabs>
                <w:tab w:val="center" w:pos="141"/>
              </w:tabs>
              <w:ind w:right="141"/>
              <w:jc w:val="both"/>
            </w:pPr>
            <w:r>
              <w:t>Valsts akciju sabiedrība „Ceļu satiksmes drošības direkcija” minētās zemes vienības normatīvajos aktos noteiktajā kārtībā ierakstīs zemesgrāmatā uz valsts akciju sabiedrības „Ceļu satiksmes drošības direkcija” vārda.</w:t>
            </w:r>
          </w:p>
          <w:p w:rsidR="004A1FDE" w:rsidRPr="00743B80" w:rsidRDefault="004A1FDE" w:rsidP="00644A8D">
            <w:pPr>
              <w:jc w:val="both"/>
            </w:pPr>
            <w:r>
              <w:t>Izstrādātajam Rīkojuma projektam nav ietekmes uz valsts budžetu, jo papildu līdzekļi no valsts budžeta nav nepieciešami. Nekustamā īpašuma pārņemšana un turpmākā apsaimniekošana tiks segta no valsts akciju sabiedrības „Ceļu satiksmes drošības direkcija “  budžeta līdzekļiem.</w:t>
            </w:r>
          </w:p>
        </w:tc>
      </w:tr>
      <w:tr w:rsidR="004A1FDE" w:rsidRPr="00743B80" w:rsidTr="0063040C">
        <w:trPr>
          <w:trHeight w:val="476"/>
        </w:trPr>
        <w:tc>
          <w:tcPr>
            <w:tcW w:w="540" w:type="dxa"/>
          </w:tcPr>
          <w:p w:rsidR="004A1FDE" w:rsidRPr="00743B80" w:rsidRDefault="004A1FDE" w:rsidP="008E2345">
            <w:pPr>
              <w:pStyle w:val="naiskr"/>
              <w:spacing w:before="0" w:after="0"/>
            </w:pPr>
            <w:r w:rsidRPr="00743B80">
              <w:t>5.</w:t>
            </w:r>
          </w:p>
        </w:tc>
        <w:tc>
          <w:tcPr>
            <w:tcW w:w="2345" w:type="dxa"/>
          </w:tcPr>
          <w:p w:rsidR="004A1FDE" w:rsidRPr="00743B80" w:rsidRDefault="004A1FDE" w:rsidP="008E2345">
            <w:pPr>
              <w:pStyle w:val="naiskr"/>
              <w:spacing w:before="0" w:after="0"/>
            </w:pPr>
            <w:r w:rsidRPr="00743B80">
              <w:t>Projekta izstrādē iesaistītās institūcijas</w:t>
            </w:r>
          </w:p>
          <w:p w:rsidR="004A1FDE" w:rsidRPr="00743B80" w:rsidRDefault="004A1FDE" w:rsidP="008E2345">
            <w:pPr>
              <w:pStyle w:val="naiskr"/>
              <w:spacing w:before="0" w:after="0"/>
            </w:pPr>
          </w:p>
        </w:tc>
        <w:tc>
          <w:tcPr>
            <w:tcW w:w="5570" w:type="dxa"/>
          </w:tcPr>
          <w:p w:rsidR="004A1FDE" w:rsidRPr="00743B80" w:rsidRDefault="004A1FDE" w:rsidP="00734D92">
            <w:pPr>
              <w:pStyle w:val="naiskr"/>
              <w:spacing w:before="0" w:after="0"/>
            </w:pPr>
            <w:r w:rsidRPr="00743B80">
              <w:rPr>
                <w:iCs/>
              </w:rPr>
              <w:t xml:space="preserve">Satiksmes ministrija un </w:t>
            </w:r>
            <w:r w:rsidRPr="00743B80">
              <w:t>valsts akciju sabiedrība „</w:t>
            </w:r>
            <w:r>
              <w:t>Ceļu satiksmes drošības direkcija</w:t>
            </w:r>
            <w:r w:rsidRPr="00743B80">
              <w:t>“.</w:t>
            </w:r>
          </w:p>
        </w:tc>
      </w:tr>
      <w:tr w:rsidR="004A1FDE" w:rsidRPr="00743B80" w:rsidTr="0063040C">
        <w:trPr>
          <w:trHeight w:val="670"/>
        </w:trPr>
        <w:tc>
          <w:tcPr>
            <w:tcW w:w="540" w:type="dxa"/>
          </w:tcPr>
          <w:p w:rsidR="004A1FDE" w:rsidRPr="00743B80" w:rsidRDefault="004A1FDE" w:rsidP="008E2345">
            <w:pPr>
              <w:pStyle w:val="naiskr"/>
              <w:spacing w:before="0" w:after="0"/>
            </w:pPr>
            <w:r w:rsidRPr="00743B80">
              <w:t>6.</w:t>
            </w:r>
          </w:p>
        </w:tc>
        <w:tc>
          <w:tcPr>
            <w:tcW w:w="2345" w:type="dxa"/>
          </w:tcPr>
          <w:p w:rsidR="004A1FDE" w:rsidRPr="00743B80" w:rsidRDefault="004A1FDE" w:rsidP="008E2345">
            <w:pPr>
              <w:pStyle w:val="naiskr"/>
              <w:spacing w:before="0" w:after="0"/>
            </w:pPr>
            <w:r w:rsidRPr="00743B80">
              <w:t>Iemesli, kādēļ netika nodrošināta sabiedrības līdzdalība</w:t>
            </w:r>
          </w:p>
          <w:p w:rsidR="004A1FDE" w:rsidRPr="00743B80" w:rsidRDefault="004A1FDE" w:rsidP="008E2345">
            <w:pPr>
              <w:pStyle w:val="naiskr"/>
              <w:spacing w:before="0" w:after="0"/>
              <w:rPr>
                <w:i/>
                <w:highlight w:val="yellow"/>
              </w:rPr>
            </w:pPr>
          </w:p>
        </w:tc>
        <w:tc>
          <w:tcPr>
            <w:tcW w:w="5570" w:type="dxa"/>
          </w:tcPr>
          <w:p w:rsidR="004A1FDE" w:rsidRPr="00743B80" w:rsidRDefault="004A1FDE" w:rsidP="008E2345">
            <w:pPr>
              <w:pStyle w:val="FootnoteText"/>
              <w:rPr>
                <w:sz w:val="24"/>
                <w:szCs w:val="24"/>
              </w:rPr>
            </w:pPr>
            <w:r w:rsidRPr="00743B80">
              <w:rPr>
                <w:sz w:val="24"/>
                <w:szCs w:val="24"/>
              </w:rPr>
              <w:t>Rīkojuma projekts ir Ministru kabineta iekšējā tiesību akta projekts, kas neskar trešo personu intereses.</w:t>
            </w:r>
          </w:p>
        </w:tc>
      </w:tr>
      <w:tr w:rsidR="004A1FDE" w:rsidRPr="00743B80" w:rsidTr="0063040C">
        <w:tc>
          <w:tcPr>
            <w:tcW w:w="540" w:type="dxa"/>
          </w:tcPr>
          <w:p w:rsidR="004A1FDE" w:rsidRPr="00743B80" w:rsidRDefault="004A1FDE" w:rsidP="008E2345">
            <w:pPr>
              <w:pStyle w:val="naiskr"/>
              <w:spacing w:before="0" w:after="0"/>
            </w:pPr>
            <w:r w:rsidRPr="00743B80">
              <w:t>7.</w:t>
            </w:r>
          </w:p>
        </w:tc>
        <w:tc>
          <w:tcPr>
            <w:tcW w:w="2345" w:type="dxa"/>
          </w:tcPr>
          <w:p w:rsidR="004A1FDE" w:rsidRPr="00743B80" w:rsidRDefault="004A1FDE" w:rsidP="008E2345">
            <w:pPr>
              <w:pStyle w:val="naiskr"/>
              <w:spacing w:before="0" w:after="0"/>
            </w:pPr>
            <w:r w:rsidRPr="00743B80">
              <w:t>Cita informācija</w:t>
            </w:r>
          </w:p>
        </w:tc>
        <w:tc>
          <w:tcPr>
            <w:tcW w:w="5570" w:type="dxa"/>
          </w:tcPr>
          <w:p w:rsidR="004A1FDE" w:rsidRPr="00743B80" w:rsidRDefault="004A1FDE" w:rsidP="00456B4C">
            <w:pPr>
              <w:ind w:firstLine="720"/>
              <w:jc w:val="both"/>
            </w:pPr>
            <w:r>
              <w:t xml:space="preserve">Pēc </w:t>
            </w:r>
            <w:r w:rsidRPr="00456B4C">
              <w:t xml:space="preserve">minēto nekustamo īpašumu ieguldīšanas </w:t>
            </w:r>
            <w:r>
              <w:t xml:space="preserve">valsts akciju sabiedrības „Ceļu satiksmes drošības direkcija “ </w:t>
            </w:r>
            <w:r w:rsidRPr="00456B4C">
              <w:t xml:space="preserve">pamatkapitālā </w:t>
            </w:r>
            <w:r>
              <w:t xml:space="preserve">valsts akciju sabiedrība „Ceļu satiksmes drošības direkcija “  </w:t>
            </w:r>
            <w:r w:rsidRPr="00456B4C">
              <w:t>saskaņā ar likuma „Par nacionālās sporta bāzes statusu” 9.pantu iesniegs Izglītības un zinātnes ministrijā attiecīgu rakstveida paziņojumu.</w:t>
            </w:r>
          </w:p>
        </w:tc>
      </w:tr>
    </w:tbl>
    <w:p w:rsidR="004A1FDE" w:rsidRPr="00743B80" w:rsidRDefault="004A1FDE" w:rsidP="008E2345">
      <w:pPr>
        <w:rPr>
          <w:sz w:val="28"/>
          <w:szCs w:val="28"/>
        </w:rPr>
      </w:pPr>
    </w:p>
    <w:p w:rsidR="004A1FDE" w:rsidRPr="00743B80" w:rsidRDefault="004A1FDE" w:rsidP="008E2345">
      <w:pPr>
        <w:rPr>
          <w:sz w:val="28"/>
          <w:szCs w:val="28"/>
        </w:rPr>
      </w:pPr>
    </w:p>
    <w:p w:rsidR="004A1FDE" w:rsidRPr="00743B80" w:rsidRDefault="004A1FDE" w:rsidP="00C9502D">
      <w:r w:rsidRPr="00743B80">
        <w:t>Rīkojuma projekts neskar anotācijas II, III, IV, V un VI sadaļā   minētos jautājumus.</w:t>
      </w:r>
    </w:p>
    <w:p w:rsidR="004A1FDE" w:rsidRPr="00743B80" w:rsidRDefault="004A1FDE" w:rsidP="008E2345">
      <w:pPr>
        <w:pStyle w:val="naisf"/>
        <w:spacing w:before="0" w:after="0"/>
        <w:rPr>
          <w:sz w:val="28"/>
          <w:szCs w:val="28"/>
        </w:rPr>
      </w:pPr>
    </w:p>
    <w:p w:rsidR="004A1FDE" w:rsidRPr="00743B80" w:rsidRDefault="004A1FDE" w:rsidP="008E2345">
      <w:pPr>
        <w:pStyle w:val="naisf"/>
        <w:spacing w:before="0" w:after="0"/>
        <w:rPr>
          <w:sz w:val="28"/>
          <w:szCs w:val="28"/>
        </w:rPr>
      </w:pPr>
    </w:p>
    <w:tbl>
      <w:tblPr>
        <w:tblW w:w="851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351"/>
        <w:gridCol w:w="4177"/>
        <w:gridCol w:w="3986"/>
      </w:tblGrid>
      <w:tr w:rsidR="004A1FDE" w:rsidRPr="00743B80" w:rsidTr="00C05515">
        <w:tc>
          <w:tcPr>
            <w:tcW w:w="8514" w:type="dxa"/>
            <w:gridSpan w:val="3"/>
          </w:tcPr>
          <w:p w:rsidR="004A1FDE" w:rsidRPr="00743B80" w:rsidRDefault="004A1FDE" w:rsidP="00C9502D">
            <w:pPr>
              <w:pStyle w:val="naisnod"/>
              <w:spacing w:before="0" w:after="0"/>
              <w:ind w:left="57" w:right="57"/>
              <w:jc w:val="left"/>
            </w:pPr>
            <w:r w:rsidRPr="00743B80">
              <w:t>VII. Tiesību akta projekta izpildes nodrošināšana un tās ietekme uz institūcijām</w:t>
            </w:r>
          </w:p>
          <w:p w:rsidR="004A1FDE" w:rsidRPr="00743B80" w:rsidRDefault="004A1FDE" w:rsidP="00C9502D">
            <w:pPr>
              <w:pStyle w:val="naisnod"/>
              <w:spacing w:before="0" w:after="0"/>
              <w:ind w:left="57" w:right="57"/>
              <w:jc w:val="left"/>
            </w:pPr>
          </w:p>
        </w:tc>
      </w:tr>
      <w:tr w:rsidR="004A1FDE" w:rsidRPr="00743B80" w:rsidTr="00C05515">
        <w:trPr>
          <w:trHeight w:val="427"/>
        </w:trPr>
        <w:tc>
          <w:tcPr>
            <w:tcW w:w="351" w:type="dxa"/>
          </w:tcPr>
          <w:p w:rsidR="004A1FDE" w:rsidRPr="00743B80" w:rsidRDefault="004A1FDE" w:rsidP="008E2345">
            <w:pPr>
              <w:pStyle w:val="naisnod"/>
              <w:spacing w:before="0" w:after="0"/>
              <w:ind w:left="57" w:right="57"/>
              <w:jc w:val="left"/>
              <w:rPr>
                <w:b w:val="0"/>
              </w:rPr>
            </w:pPr>
            <w:r w:rsidRPr="00743B80">
              <w:rPr>
                <w:b w:val="0"/>
              </w:rPr>
              <w:t>1.</w:t>
            </w:r>
          </w:p>
        </w:tc>
        <w:tc>
          <w:tcPr>
            <w:tcW w:w="4177" w:type="dxa"/>
          </w:tcPr>
          <w:p w:rsidR="004A1FDE" w:rsidRPr="00743B80" w:rsidRDefault="004A1FDE" w:rsidP="008E2345">
            <w:pPr>
              <w:pStyle w:val="naisf"/>
              <w:spacing w:before="0" w:after="0"/>
              <w:ind w:left="57" w:right="57" w:firstLine="0"/>
              <w:jc w:val="left"/>
            </w:pPr>
            <w:r w:rsidRPr="00743B80">
              <w:t xml:space="preserve">Projekta izpildē iesaistītās institūcijas </w:t>
            </w:r>
          </w:p>
        </w:tc>
        <w:tc>
          <w:tcPr>
            <w:tcW w:w="3986" w:type="dxa"/>
          </w:tcPr>
          <w:p w:rsidR="004A1FDE" w:rsidRPr="00743B80" w:rsidRDefault="004A1FDE" w:rsidP="004E7152">
            <w:pPr>
              <w:pStyle w:val="naisnod"/>
              <w:spacing w:before="0" w:after="0"/>
              <w:ind w:left="57" w:right="57"/>
              <w:jc w:val="left"/>
              <w:rPr>
                <w:b w:val="0"/>
              </w:rPr>
            </w:pPr>
            <w:r w:rsidRPr="00743B80">
              <w:rPr>
                <w:b w:val="0"/>
              </w:rPr>
              <w:t>Tiesību akta projekta izpildi nodrošinās Satiksmes ministrija un valsts akciju sabiedrība „</w:t>
            </w:r>
            <w:r>
              <w:rPr>
                <w:b w:val="0"/>
              </w:rPr>
              <w:t>Ceļu satiksmes drošības direkcija”.</w:t>
            </w:r>
          </w:p>
        </w:tc>
      </w:tr>
      <w:tr w:rsidR="004A1FDE" w:rsidRPr="00743B80" w:rsidTr="00C05515">
        <w:trPr>
          <w:trHeight w:val="463"/>
        </w:trPr>
        <w:tc>
          <w:tcPr>
            <w:tcW w:w="351" w:type="dxa"/>
          </w:tcPr>
          <w:p w:rsidR="004A1FDE" w:rsidRPr="00743B80" w:rsidRDefault="004A1FDE" w:rsidP="008E2345">
            <w:pPr>
              <w:pStyle w:val="naisnod"/>
              <w:spacing w:before="0" w:after="0"/>
              <w:ind w:left="57" w:right="57"/>
              <w:jc w:val="left"/>
              <w:rPr>
                <w:b w:val="0"/>
              </w:rPr>
            </w:pPr>
            <w:r w:rsidRPr="00743B80">
              <w:rPr>
                <w:b w:val="0"/>
              </w:rPr>
              <w:t>2.</w:t>
            </w:r>
          </w:p>
        </w:tc>
        <w:tc>
          <w:tcPr>
            <w:tcW w:w="4177" w:type="dxa"/>
          </w:tcPr>
          <w:p w:rsidR="004A1FDE" w:rsidRPr="00743B80" w:rsidRDefault="004A1FDE" w:rsidP="008E2345">
            <w:pPr>
              <w:pStyle w:val="naisf"/>
              <w:spacing w:before="0" w:after="0"/>
              <w:ind w:left="57" w:right="57" w:firstLine="0"/>
              <w:jc w:val="left"/>
            </w:pPr>
            <w:r w:rsidRPr="00743B80">
              <w:t xml:space="preserve">Projekta izpildes ietekme uz pārvaldes funkcijām </w:t>
            </w:r>
          </w:p>
        </w:tc>
        <w:tc>
          <w:tcPr>
            <w:tcW w:w="3986" w:type="dxa"/>
          </w:tcPr>
          <w:p w:rsidR="004A1FDE" w:rsidRPr="00743B80" w:rsidRDefault="004A1FDE" w:rsidP="008E2345">
            <w:pPr>
              <w:pStyle w:val="naisnod"/>
              <w:spacing w:before="0" w:after="0"/>
              <w:ind w:left="57" w:right="57"/>
              <w:jc w:val="left"/>
              <w:rPr>
                <w:b w:val="0"/>
              </w:rPr>
            </w:pPr>
            <w:r w:rsidRPr="00743B80">
              <w:rPr>
                <w:b w:val="0"/>
              </w:rPr>
              <w:t>Nav.</w:t>
            </w:r>
          </w:p>
        </w:tc>
      </w:tr>
      <w:tr w:rsidR="004A1FDE" w:rsidRPr="00743B80" w:rsidTr="00C05515">
        <w:trPr>
          <w:trHeight w:val="725"/>
        </w:trPr>
        <w:tc>
          <w:tcPr>
            <w:tcW w:w="351" w:type="dxa"/>
          </w:tcPr>
          <w:p w:rsidR="004A1FDE" w:rsidRPr="00743B80" w:rsidRDefault="004A1FDE" w:rsidP="008E2345">
            <w:pPr>
              <w:pStyle w:val="naisnod"/>
              <w:spacing w:before="0" w:after="0"/>
              <w:ind w:left="57" w:right="57"/>
              <w:jc w:val="left"/>
              <w:rPr>
                <w:b w:val="0"/>
              </w:rPr>
            </w:pPr>
            <w:r w:rsidRPr="00743B80">
              <w:rPr>
                <w:b w:val="0"/>
              </w:rPr>
              <w:t>3.</w:t>
            </w:r>
          </w:p>
        </w:tc>
        <w:tc>
          <w:tcPr>
            <w:tcW w:w="4177" w:type="dxa"/>
          </w:tcPr>
          <w:p w:rsidR="004A1FDE" w:rsidRPr="00743B80" w:rsidRDefault="004A1FDE" w:rsidP="008E2345">
            <w:pPr>
              <w:pStyle w:val="naisf"/>
              <w:spacing w:before="0" w:after="0"/>
              <w:ind w:left="57" w:right="57" w:firstLine="0"/>
              <w:jc w:val="left"/>
            </w:pPr>
            <w:r w:rsidRPr="00743B80">
              <w:t>Projekta izpildes ietekme uz pārvaldes institucionālo struktūru.</w:t>
            </w:r>
          </w:p>
          <w:p w:rsidR="004A1FDE" w:rsidRPr="00743B80" w:rsidRDefault="004A1FDE" w:rsidP="008E2345">
            <w:pPr>
              <w:pStyle w:val="naisf"/>
              <w:spacing w:before="0" w:after="0"/>
              <w:ind w:left="57" w:right="57" w:firstLine="0"/>
              <w:jc w:val="left"/>
            </w:pPr>
            <w:r w:rsidRPr="00743B80">
              <w:t>Jaunu institūciju izveide</w:t>
            </w:r>
          </w:p>
        </w:tc>
        <w:tc>
          <w:tcPr>
            <w:tcW w:w="3986" w:type="dxa"/>
          </w:tcPr>
          <w:p w:rsidR="004A1FDE" w:rsidRPr="00743B80" w:rsidRDefault="004A1FDE" w:rsidP="004E7152">
            <w:pPr>
              <w:tabs>
                <w:tab w:val="left" w:pos="3941"/>
              </w:tabs>
              <w:ind w:left="113" w:right="148"/>
              <w:jc w:val="both"/>
            </w:pPr>
            <w:r w:rsidRPr="00743B80">
              <w:t>Jaunas valsts institūcijas netiek izveidotas. Rīkojuma izpildi nodrošina Satiksmes ministrija un valsts akciju sabiedrība „</w:t>
            </w:r>
            <w:r>
              <w:t>Ceļu satiksmes drošības direkcija”</w:t>
            </w:r>
            <w:r w:rsidRPr="00743B80">
              <w:t>.</w:t>
            </w:r>
          </w:p>
        </w:tc>
      </w:tr>
      <w:tr w:rsidR="004A1FDE" w:rsidRPr="00743B80" w:rsidTr="00C05515">
        <w:trPr>
          <w:trHeight w:val="780"/>
        </w:trPr>
        <w:tc>
          <w:tcPr>
            <w:tcW w:w="351" w:type="dxa"/>
          </w:tcPr>
          <w:p w:rsidR="004A1FDE" w:rsidRPr="00743B80" w:rsidRDefault="004A1FDE" w:rsidP="008E2345">
            <w:pPr>
              <w:pStyle w:val="naisnod"/>
              <w:spacing w:before="0" w:after="0"/>
              <w:ind w:left="57" w:right="57"/>
              <w:jc w:val="left"/>
              <w:rPr>
                <w:b w:val="0"/>
              </w:rPr>
            </w:pPr>
            <w:r w:rsidRPr="00743B80">
              <w:rPr>
                <w:b w:val="0"/>
              </w:rPr>
              <w:t>4.</w:t>
            </w:r>
          </w:p>
        </w:tc>
        <w:tc>
          <w:tcPr>
            <w:tcW w:w="4177" w:type="dxa"/>
          </w:tcPr>
          <w:p w:rsidR="004A1FDE" w:rsidRPr="00743B80" w:rsidRDefault="004A1FDE" w:rsidP="008E2345">
            <w:pPr>
              <w:pStyle w:val="naisf"/>
              <w:spacing w:before="0" w:after="0"/>
              <w:ind w:left="57" w:right="57" w:firstLine="0"/>
              <w:jc w:val="left"/>
            </w:pPr>
            <w:r w:rsidRPr="00743B80">
              <w:t>Projekta izpildes ietekme uz pārvaldes institucionālo struktūru.</w:t>
            </w:r>
          </w:p>
          <w:p w:rsidR="004A1FDE" w:rsidRPr="00743B80" w:rsidRDefault="004A1FDE" w:rsidP="008E2345">
            <w:pPr>
              <w:pStyle w:val="naisf"/>
              <w:spacing w:before="0" w:after="0"/>
              <w:ind w:left="57" w:right="57" w:firstLine="0"/>
              <w:jc w:val="left"/>
            </w:pPr>
            <w:r w:rsidRPr="00743B80">
              <w:t>Esošu institūciju likvidācija</w:t>
            </w:r>
          </w:p>
        </w:tc>
        <w:tc>
          <w:tcPr>
            <w:tcW w:w="3986" w:type="dxa"/>
          </w:tcPr>
          <w:p w:rsidR="004A1FDE" w:rsidRPr="00743B80" w:rsidRDefault="004A1FDE" w:rsidP="008E2345">
            <w:pPr>
              <w:pStyle w:val="naisnod"/>
              <w:spacing w:before="0" w:after="0"/>
              <w:ind w:left="57" w:right="57"/>
              <w:jc w:val="left"/>
              <w:rPr>
                <w:b w:val="0"/>
              </w:rPr>
            </w:pPr>
            <w:r w:rsidRPr="00743B80">
              <w:rPr>
                <w:b w:val="0"/>
                <w:iCs/>
              </w:rPr>
              <w:t>Nav.</w:t>
            </w:r>
          </w:p>
        </w:tc>
      </w:tr>
      <w:tr w:rsidR="004A1FDE" w:rsidRPr="00743B80" w:rsidTr="00C05515">
        <w:trPr>
          <w:trHeight w:val="703"/>
        </w:trPr>
        <w:tc>
          <w:tcPr>
            <w:tcW w:w="351" w:type="dxa"/>
          </w:tcPr>
          <w:p w:rsidR="004A1FDE" w:rsidRPr="00743B80" w:rsidRDefault="004A1FDE" w:rsidP="008E2345">
            <w:pPr>
              <w:pStyle w:val="naisnod"/>
              <w:spacing w:before="0" w:after="0"/>
              <w:ind w:left="57" w:right="57"/>
              <w:jc w:val="left"/>
              <w:rPr>
                <w:b w:val="0"/>
              </w:rPr>
            </w:pPr>
            <w:r w:rsidRPr="00743B80">
              <w:rPr>
                <w:b w:val="0"/>
              </w:rPr>
              <w:t>5.</w:t>
            </w:r>
          </w:p>
        </w:tc>
        <w:tc>
          <w:tcPr>
            <w:tcW w:w="4177" w:type="dxa"/>
          </w:tcPr>
          <w:p w:rsidR="004A1FDE" w:rsidRPr="00743B80" w:rsidRDefault="004A1FDE" w:rsidP="008E2345">
            <w:pPr>
              <w:pStyle w:val="naisf"/>
              <w:spacing w:before="0" w:after="0"/>
              <w:ind w:left="57" w:right="57" w:firstLine="0"/>
              <w:jc w:val="left"/>
            </w:pPr>
            <w:r w:rsidRPr="00743B80">
              <w:t>Projekta izpildes ietekme uz pārvaldes institucionālo struktūru.</w:t>
            </w:r>
          </w:p>
          <w:p w:rsidR="004A1FDE" w:rsidRPr="00743B80" w:rsidRDefault="004A1FDE" w:rsidP="008E2345">
            <w:pPr>
              <w:pStyle w:val="naisf"/>
              <w:spacing w:before="0" w:after="0"/>
              <w:ind w:left="57" w:right="57" w:firstLine="0"/>
              <w:jc w:val="left"/>
            </w:pPr>
            <w:r w:rsidRPr="00743B80">
              <w:t>Esošu institūciju reorganizācija</w:t>
            </w:r>
          </w:p>
        </w:tc>
        <w:tc>
          <w:tcPr>
            <w:tcW w:w="3986" w:type="dxa"/>
          </w:tcPr>
          <w:p w:rsidR="004A1FDE" w:rsidRPr="00743B80" w:rsidRDefault="004A1FDE" w:rsidP="008E2345">
            <w:pPr>
              <w:pStyle w:val="naisnod"/>
              <w:spacing w:before="0" w:after="0"/>
              <w:ind w:left="57" w:right="57"/>
              <w:jc w:val="left"/>
              <w:rPr>
                <w:b w:val="0"/>
              </w:rPr>
            </w:pPr>
            <w:r w:rsidRPr="00743B80">
              <w:rPr>
                <w:b w:val="0"/>
                <w:iCs/>
              </w:rPr>
              <w:t>Nav.</w:t>
            </w:r>
          </w:p>
        </w:tc>
      </w:tr>
      <w:tr w:rsidR="004A1FDE" w:rsidRPr="00743B80" w:rsidTr="00C05515">
        <w:trPr>
          <w:trHeight w:val="476"/>
        </w:trPr>
        <w:tc>
          <w:tcPr>
            <w:tcW w:w="351" w:type="dxa"/>
          </w:tcPr>
          <w:p w:rsidR="004A1FDE" w:rsidRPr="00743B80" w:rsidRDefault="004A1FDE" w:rsidP="008E2345">
            <w:pPr>
              <w:pStyle w:val="naiskr"/>
              <w:spacing w:before="0" w:after="0"/>
              <w:ind w:left="57" w:right="57"/>
            </w:pPr>
            <w:r w:rsidRPr="00743B80">
              <w:t>6.</w:t>
            </w:r>
          </w:p>
        </w:tc>
        <w:tc>
          <w:tcPr>
            <w:tcW w:w="4177" w:type="dxa"/>
          </w:tcPr>
          <w:p w:rsidR="004A1FDE" w:rsidRPr="00743B80" w:rsidRDefault="004A1FDE" w:rsidP="008E2345">
            <w:pPr>
              <w:pStyle w:val="naiskr"/>
              <w:spacing w:before="0" w:after="0"/>
              <w:ind w:left="57" w:right="57"/>
            </w:pPr>
            <w:r w:rsidRPr="00743B80">
              <w:t>Cita informācija</w:t>
            </w:r>
          </w:p>
        </w:tc>
        <w:tc>
          <w:tcPr>
            <w:tcW w:w="3986" w:type="dxa"/>
          </w:tcPr>
          <w:p w:rsidR="004A1FDE" w:rsidRPr="00743B80" w:rsidRDefault="004A1FDE" w:rsidP="008E2345">
            <w:pPr>
              <w:pStyle w:val="Heading6"/>
              <w:ind w:right="-109"/>
              <w:jc w:val="left"/>
              <w:rPr>
                <w:b w:val="0"/>
                <w:sz w:val="24"/>
                <w:szCs w:val="24"/>
                <w:lang w:eastAsia="lv-LV"/>
              </w:rPr>
            </w:pPr>
            <w:r w:rsidRPr="00743B80">
              <w:rPr>
                <w:b w:val="0"/>
                <w:sz w:val="24"/>
                <w:szCs w:val="24"/>
              </w:rPr>
              <w:t>Nav.</w:t>
            </w:r>
          </w:p>
        </w:tc>
      </w:tr>
    </w:tbl>
    <w:p w:rsidR="004A1FDE" w:rsidRPr="00743B80" w:rsidRDefault="004A1FDE" w:rsidP="008E2345">
      <w:pPr>
        <w:pStyle w:val="naisf"/>
        <w:tabs>
          <w:tab w:val="left" w:pos="5760"/>
        </w:tabs>
        <w:spacing w:before="0" w:after="0"/>
        <w:ind w:firstLine="720"/>
      </w:pPr>
    </w:p>
    <w:p w:rsidR="004A1FDE" w:rsidRPr="00E74ED5" w:rsidRDefault="004A1FDE" w:rsidP="00DC2116">
      <w:pPr>
        <w:pStyle w:val="naisf"/>
        <w:spacing w:before="0" w:after="0"/>
        <w:ind w:firstLine="684"/>
        <w:rPr>
          <w:sz w:val="28"/>
          <w:szCs w:val="28"/>
        </w:rPr>
      </w:pPr>
      <w:r>
        <w:rPr>
          <w:sz w:val="28"/>
          <w:szCs w:val="28"/>
        </w:rPr>
        <w:t>Satiksmes ministrs</w:t>
      </w:r>
      <w:r w:rsidRPr="00E74ED5">
        <w:rPr>
          <w:sz w:val="28"/>
          <w:szCs w:val="28"/>
        </w:rPr>
        <w:tab/>
      </w:r>
      <w:r w:rsidRPr="00E74ED5">
        <w:rPr>
          <w:sz w:val="28"/>
          <w:szCs w:val="28"/>
        </w:rPr>
        <w:tab/>
      </w:r>
      <w:r w:rsidRPr="00E74ED5">
        <w:rPr>
          <w:sz w:val="28"/>
          <w:szCs w:val="28"/>
        </w:rPr>
        <w:tab/>
      </w:r>
      <w:r w:rsidRPr="00E74ED5">
        <w:rPr>
          <w:sz w:val="28"/>
          <w:szCs w:val="28"/>
        </w:rPr>
        <w:tab/>
      </w:r>
      <w:r>
        <w:rPr>
          <w:sz w:val="28"/>
          <w:szCs w:val="28"/>
        </w:rPr>
        <w:tab/>
      </w:r>
      <w:r>
        <w:rPr>
          <w:sz w:val="28"/>
          <w:szCs w:val="28"/>
        </w:rPr>
        <w:tab/>
        <w:t>U.Augulis</w:t>
      </w:r>
    </w:p>
    <w:p w:rsidR="004A1FDE" w:rsidRDefault="004A1FDE" w:rsidP="004E15E6">
      <w:pPr>
        <w:rPr>
          <w:sz w:val="28"/>
          <w:szCs w:val="28"/>
        </w:rPr>
      </w:pPr>
    </w:p>
    <w:p w:rsidR="004A1FDE" w:rsidRPr="00B97454" w:rsidRDefault="004A1FDE" w:rsidP="004E15E6">
      <w:pPr>
        <w:ind w:firstLine="684"/>
        <w:rPr>
          <w:sz w:val="28"/>
          <w:szCs w:val="28"/>
          <w:lang w:val="de-DE"/>
        </w:rPr>
      </w:pPr>
      <w:r w:rsidRPr="00B97454">
        <w:rPr>
          <w:sz w:val="28"/>
          <w:szCs w:val="28"/>
          <w:lang w:val="de-DE"/>
        </w:rPr>
        <w:t>Viza: Valsts sekretārs</w:t>
      </w:r>
      <w:r w:rsidRPr="00B97454">
        <w:rPr>
          <w:sz w:val="28"/>
          <w:szCs w:val="28"/>
          <w:lang w:val="de-DE"/>
        </w:rPr>
        <w:tab/>
      </w:r>
      <w:r w:rsidRPr="00B97454">
        <w:rPr>
          <w:sz w:val="28"/>
          <w:szCs w:val="28"/>
          <w:lang w:val="de-DE"/>
        </w:rPr>
        <w:tab/>
      </w:r>
      <w:r w:rsidRPr="00B97454">
        <w:rPr>
          <w:sz w:val="28"/>
          <w:szCs w:val="28"/>
          <w:lang w:val="de-DE"/>
        </w:rPr>
        <w:tab/>
      </w:r>
      <w:r w:rsidRPr="00B97454">
        <w:rPr>
          <w:sz w:val="28"/>
          <w:szCs w:val="28"/>
          <w:lang w:val="de-DE"/>
        </w:rPr>
        <w:tab/>
      </w:r>
      <w:r w:rsidRPr="00B97454">
        <w:rPr>
          <w:sz w:val="28"/>
          <w:szCs w:val="28"/>
          <w:lang w:val="de-DE"/>
        </w:rPr>
        <w:tab/>
        <w:t>A.Matīss</w:t>
      </w:r>
    </w:p>
    <w:p w:rsidR="004A1FDE" w:rsidRPr="004E15E6" w:rsidRDefault="004A1FDE" w:rsidP="0019005C">
      <w:pPr>
        <w:jc w:val="both"/>
        <w:rPr>
          <w:lang w:val="de-DE"/>
        </w:rPr>
      </w:pPr>
    </w:p>
    <w:p w:rsidR="004A1FDE" w:rsidRPr="00743B80" w:rsidRDefault="004A1FDE" w:rsidP="0019005C">
      <w:pPr>
        <w:jc w:val="both"/>
        <w:rPr>
          <w:sz w:val="20"/>
          <w:szCs w:val="20"/>
        </w:rPr>
      </w:pPr>
      <w:r w:rsidRPr="00743B80">
        <w:rPr>
          <w:sz w:val="20"/>
          <w:szCs w:val="20"/>
        </w:rPr>
        <w:fldChar w:fldCharType="begin"/>
      </w:r>
      <w:r w:rsidRPr="00743B80">
        <w:rPr>
          <w:sz w:val="20"/>
          <w:szCs w:val="20"/>
        </w:rPr>
        <w:instrText xml:space="preserve"> DATE  \@ "dd.MM.yyyy. H:mm"  \* MERGEFORMAT </w:instrText>
      </w:r>
      <w:r w:rsidRPr="00743B80">
        <w:rPr>
          <w:sz w:val="20"/>
          <w:szCs w:val="20"/>
        </w:rPr>
        <w:fldChar w:fldCharType="separate"/>
      </w:r>
      <w:r>
        <w:rPr>
          <w:noProof/>
          <w:sz w:val="20"/>
          <w:szCs w:val="20"/>
        </w:rPr>
        <w:t>17.10.2011. 15:13</w:t>
      </w:r>
      <w:r w:rsidRPr="00743B80">
        <w:rPr>
          <w:sz w:val="20"/>
          <w:szCs w:val="20"/>
        </w:rPr>
        <w:fldChar w:fldCharType="end"/>
      </w:r>
    </w:p>
    <w:p w:rsidR="004A1FDE" w:rsidRPr="00743B80" w:rsidRDefault="004A1FDE" w:rsidP="0019005C">
      <w:pPr>
        <w:jc w:val="both"/>
        <w:rPr>
          <w:sz w:val="20"/>
          <w:szCs w:val="20"/>
        </w:rPr>
      </w:pPr>
      <w:r>
        <w:rPr>
          <w:sz w:val="20"/>
          <w:szCs w:val="20"/>
        </w:rPr>
        <w:t>1405</w:t>
      </w:r>
    </w:p>
    <w:p w:rsidR="004A1FDE" w:rsidRPr="00743B80" w:rsidRDefault="004A1FDE" w:rsidP="0019005C">
      <w:pPr>
        <w:jc w:val="both"/>
        <w:rPr>
          <w:sz w:val="20"/>
          <w:szCs w:val="20"/>
        </w:rPr>
      </w:pPr>
      <w:r w:rsidRPr="00743B80">
        <w:rPr>
          <w:sz w:val="20"/>
          <w:szCs w:val="20"/>
        </w:rPr>
        <w:t>A.Dundure,</w:t>
      </w:r>
    </w:p>
    <w:p w:rsidR="004A1FDE" w:rsidRPr="00DC2116" w:rsidRDefault="004A1FDE" w:rsidP="00DC2116">
      <w:pPr>
        <w:jc w:val="both"/>
        <w:rPr>
          <w:sz w:val="20"/>
          <w:szCs w:val="20"/>
        </w:rPr>
      </w:pPr>
      <w:r w:rsidRPr="00743B80">
        <w:t>67028249, anda.dundure@sam.gov.lv</w:t>
      </w:r>
    </w:p>
    <w:sectPr w:rsidR="004A1FDE" w:rsidRPr="00DC2116" w:rsidSect="00C05515">
      <w:headerReference w:type="even" r:id="rId6"/>
      <w:headerReference w:type="default" r:id="rId7"/>
      <w:footerReference w:type="default" r:id="rId8"/>
      <w:footerReference w:type="first" r:id="rId9"/>
      <w:pgSz w:w="11906" w:h="16838"/>
      <w:pgMar w:top="1797" w:right="1800" w:bottom="107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FDE" w:rsidRDefault="004A1FDE">
      <w:r>
        <w:separator/>
      </w:r>
    </w:p>
  </w:endnote>
  <w:endnote w:type="continuationSeparator" w:id="0">
    <w:p w:rsidR="004A1FDE" w:rsidRDefault="004A1F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FDE" w:rsidRPr="0019005C" w:rsidRDefault="004A1FDE" w:rsidP="005E5518">
    <w:pPr>
      <w:pStyle w:val="Heading6"/>
      <w:ind w:right="-109"/>
      <w:jc w:val="both"/>
      <w:rPr>
        <w:b w:val="0"/>
        <w:sz w:val="20"/>
        <w:lang w:eastAsia="lv-LV"/>
      </w:rPr>
    </w:pPr>
    <w:r>
      <w:rPr>
        <w:b w:val="0"/>
        <w:bCs/>
        <w:sz w:val="20"/>
        <w:lang w:eastAsia="lv-LV"/>
      </w:rPr>
      <w:t>SAManot_051011</w:t>
    </w:r>
    <w:r w:rsidRPr="0019005C">
      <w:rPr>
        <w:b w:val="0"/>
        <w:bCs/>
        <w:sz w:val="20"/>
        <w:lang w:eastAsia="lv-LV"/>
      </w:rPr>
      <w:t xml:space="preserve">; Ministru kabineta rīkojuma projekta </w:t>
    </w:r>
    <w:r w:rsidRPr="0019005C">
      <w:rPr>
        <w:b w:val="0"/>
        <w:sz w:val="20"/>
      </w:rPr>
      <w:t xml:space="preserve">„Par </w:t>
    </w:r>
    <w:r>
      <w:rPr>
        <w:b w:val="0"/>
        <w:sz w:val="20"/>
      </w:rPr>
      <w:t>nekustamo īpašumu</w:t>
    </w:r>
    <w:bookmarkStart w:id="0" w:name="_GoBack"/>
    <w:bookmarkEnd w:id="0"/>
    <w:r w:rsidRPr="0019005C">
      <w:rPr>
        <w:b w:val="0"/>
        <w:sz w:val="20"/>
      </w:rPr>
      <w:t xml:space="preserve"> ieguldīšanu valsts akciju sabiedrības „</w:t>
    </w:r>
    <w:r>
      <w:rPr>
        <w:b w:val="0"/>
        <w:sz w:val="20"/>
      </w:rPr>
      <w:t>Ceļu satiksmes drošības direkcija</w:t>
    </w:r>
    <w:r w:rsidRPr="0019005C">
      <w:rPr>
        <w:b w:val="0"/>
        <w:sz w:val="20"/>
      </w:rPr>
      <w:t>”  pamatkapitālā”</w:t>
    </w:r>
    <w:r w:rsidRPr="0019005C">
      <w:rPr>
        <w:b w:val="0"/>
        <w:sz w:val="20"/>
        <w:lang w:eastAsia="lv-LV"/>
      </w:rPr>
      <w:t xml:space="preserve"> sākotnējās ietekmes novērtējuma ziņojums (anotācija)</w:t>
    </w:r>
    <w:r>
      <w:rPr>
        <w:b w:val="0"/>
        <w:sz w:val="20"/>
        <w:lang w:eastAsia="lv-LV"/>
      </w:rPr>
      <w:t xml:space="preserve"> (VSS- 1003)</w:t>
    </w:r>
  </w:p>
  <w:p w:rsidR="004A1FDE" w:rsidRDefault="004A1F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FDE" w:rsidRPr="0019005C" w:rsidRDefault="004A1FDE" w:rsidP="00DC2116">
    <w:pPr>
      <w:pStyle w:val="Heading6"/>
      <w:ind w:right="-109"/>
      <w:jc w:val="both"/>
      <w:rPr>
        <w:b w:val="0"/>
        <w:sz w:val="20"/>
        <w:lang w:eastAsia="lv-LV"/>
      </w:rPr>
    </w:pPr>
    <w:r>
      <w:rPr>
        <w:b w:val="0"/>
        <w:bCs/>
        <w:sz w:val="20"/>
        <w:lang w:eastAsia="lv-LV"/>
      </w:rPr>
      <w:t>SAManot_051011</w:t>
    </w:r>
    <w:r w:rsidRPr="0019005C">
      <w:rPr>
        <w:b w:val="0"/>
        <w:bCs/>
        <w:sz w:val="20"/>
        <w:lang w:eastAsia="lv-LV"/>
      </w:rPr>
      <w:t xml:space="preserve">; Ministru kabineta rīkojuma projekta </w:t>
    </w:r>
    <w:r w:rsidRPr="0019005C">
      <w:rPr>
        <w:b w:val="0"/>
        <w:sz w:val="20"/>
      </w:rPr>
      <w:t xml:space="preserve">„Par </w:t>
    </w:r>
    <w:r>
      <w:rPr>
        <w:b w:val="0"/>
        <w:sz w:val="20"/>
      </w:rPr>
      <w:t>nekustamo īpašumu</w:t>
    </w:r>
    <w:r w:rsidRPr="0019005C">
      <w:rPr>
        <w:b w:val="0"/>
        <w:sz w:val="20"/>
      </w:rPr>
      <w:t xml:space="preserve"> ieguldīšanu valsts akciju sabiedrības „</w:t>
    </w:r>
    <w:r>
      <w:rPr>
        <w:b w:val="0"/>
        <w:sz w:val="20"/>
      </w:rPr>
      <w:t>Ceļu satiksmes drošības direkcija</w:t>
    </w:r>
    <w:r w:rsidRPr="0019005C">
      <w:rPr>
        <w:b w:val="0"/>
        <w:sz w:val="20"/>
      </w:rPr>
      <w:t>”  pamatkapitālā”</w:t>
    </w:r>
    <w:r w:rsidRPr="0019005C">
      <w:rPr>
        <w:b w:val="0"/>
        <w:sz w:val="20"/>
        <w:lang w:eastAsia="lv-LV"/>
      </w:rPr>
      <w:t xml:space="preserve"> sākotnējās ietekmes novērtējuma ziņojums (anotācija)</w:t>
    </w:r>
    <w:r>
      <w:rPr>
        <w:b w:val="0"/>
        <w:sz w:val="20"/>
        <w:lang w:eastAsia="lv-LV"/>
      </w:rPr>
      <w:t xml:space="preserve"> (VSS- 1003)</w:t>
    </w:r>
  </w:p>
  <w:p w:rsidR="004A1FDE" w:rsidRDefault="004A1F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FDE" w:rsidRDefault="004A1FDE">
      <w:r>
        <w:separator/>
      </w:r>
    </w:p>
  </w:footnote>
  <w:footnote w:type="continuationSeparator" w:id="0">
    <w:p w:rsidR="004A1FDE" w:rsidRDefault="004A1F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FDE" w:rsidRDefault="004A1FDE" w:rsidP="00A569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1FDE" w:rsidRDefault="004A1F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FDE" w:rsidRDefault="004A1FDE" w:rsidP="00A569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4A1FDE" w:rsidRDefault="004A1F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2345"/>
    <w:rsid w:val="000068D2"/>
    <w:rsid w:val="0001337B"/>
    <w:rsid w:val="00015623"/>
    <w:rsid w:val="00025152"/>
    <w:rsid w:val="00090682"/>
    <w:rsid w:val="000B5DF0"/>
    <w:rsid w:val="00120236"/>
    <w:rsid w:val="00155021"/>
    <w:rsid w:val="00176EC0"/>
    <w:rsid w:val="0019005C"/>
    <w:rsid w:val="001C0D45"/>
    <w:rsid w:val="002008EB"/>
    <w:rsid w:val="00222F01"/>
    <w:rsid w:val="00257E8B"/>
    <w:rsid w:val="002734D5"/>
    <w:rsid w:val="00273C05"/>
    <w:rsid w:val="00285DAF"/>
    <w:rsid w:val="002A3B98"/>
    <w:rsid w:val="002A7C89"/>
    <w:rsid w:val="002B6AA7"/>
    <w:rsid w:val="002C5E20"/>
    <w:rsid w:val="00310ED1"/>
    <w:rsid w:val="003252E6"/>
    <w:rsid w:val="00330359"/>
    <w:rsid w:val="00332279"/>
    <w:rsid w:val="00352A5E"/>
    <w:rsid w:val="003B72C8"/>
    <w:rsid w:val="003D452E"/>
    <w:rsid w:val="00442A36"/>
    <w:rsid w:val="00456B4C"/>
    <w:rsid w:val="00465D3E"/>
    <w:rsid w:val="004A1FDE"/>
    <w:rsid w:val="004E15E6"/>
    <w:rsid w:val="004E7152"/>
    <w:rsid w:val="00513D8B"/>
    <w:rsid w:val="005324CA"/>
    <w:rsid w:val="005327D1"/>
    <w:rsid w:val="00541602"/>
    <w:rsid w:val="00574E1C"/>
    <w:rsid w:val="00583953"/>
    <w:rsid w:val="005839A2"/>
    <w:rsid w:val="0058731A"/>
    <w:rsid w:val="00590A01"/>
    <w:rsid w:val="005D6A8B"/>
    <w:rsid w:val="005E5518"/>
    <w:rsid w:val="005E745D"/>
    <w:rsid w:val="005F2758"/>
    <w:rsid w:val="006032BD"/>
    <w:rsid w:val="0063040C"/>
    <w:rsid w:val="00644A8D"/>
    <w:rsid w:val="00662828"/>
    <w:rsid w:val="00693F0C"/>
    <w:rsid w:val="006E5CC5"/>
    <w:rsid w:val="00702E10"/>
    <w:rsid w:val="0071142B"/>
    <w:rsid w:val="007249A5"/>
    <w:rsid w:val="00727014"/>
    <w:rsid w:val="00733364"/>
    <w:rsid w:val="00734D92"/>
    <w:rsid w:val="0073505E"/>
    <w:rsid w:val="00743B80"/>
    <w:rsid w:val="00745CC9"/>
    <w:rsid w:val="00751276"/>
    <w:rsid w:val="007824F7"/>
    <w:rsid w:val="007826E1"/>
    <w:rsid w:val="00795F54"/>
    <w:rsid w:val="007C3F14"/>
    <w:rsid w:val="00806E6C"/>
    <w:rsid w:val="00827703"/>
    <w:rsid w:val="008500AE"/>
    <w:rsid w:val="00852411"/>
    <w:rsid w:val="008664A3"/>
    <w:rsid w:val="008A1CC8"/>
    <w:rsid w:val="008E2345"/>
    <w:rsid w:val="009245DC"/>
    <w:rsid w:val="00931434"/>
    <w:rsid w:val="009671DD"/>
    <w:rsid w:val="00984989"/>
    <w:rsid w:val="00991806"/>
    <w:rsid w:val="009B7F1D"/>
    <w:rsid w:val="00A43D28"/>
    <w:rsid w:val="00A56905"/>
    <w:rsid w:val="00A81D16"/>
    <w:rsid w:val="00AA473E"/>
    <w:rsid w:val="00AB2190"/>
    <w:rsid w:val="00AB6533"/>
    <w:rsid w:val="00AD75B7"/>
    <w:rsid w:val="00AF1C10"/>
    <w:rsid w:val="00B078CA"/>
    <w:rsid w:val="00B10B67"/>
    <w:rsid w:val="00B169E6"/>
    <w:rsid w:val="00B43B08"/>
    <w:rsid w:val="00B84286"/>
    <w:rsid w:val="00B97454"/>
    <w:rsid w:val="00BB52F3"/>
    <w:rsid w:val="00C05515"/>
    <w:rsid w:val="00C118A6"/>
    <w:rsid w:val="00C26AAB"/>
    <w:rsid w:val="00C53430"/>
    <w:rsid w:val="00C6783F"/>
    <w:rsid w:val="00C9502D"/>
    <w:rsid w:val="00CF295C"/>
    <w:rsid w:val="00CF491B"/>
    <w:rsid w:val="00CF7E05"/>
    <w:rsid w:val="00D1024B"/>
    <w:rsid w:val="00D142B1"/>
    <w:rsid w:val="00D31A18"/>
    <w:rsid w:val="00D533B5"/>
    <w:rsid w:val="00D846E5"/>
    <w:rsid w:val="00DC2116"/>
    <w:rsid w:val="00DC257E"/>
    <w:rsid w:val="00E12AA6"/>
    <w:rsid w:val="00E14FD0"/>
    <w:rsid w:val="00E45502"/>
    <w:rsid w:val="00E46DA6"/>
    <w:rsid w:val="00E603F8"/>
    <w:rsid w:val="00E61013"/>
    <w:rsid w:val="00E74ED5"/>
    <w:rsid w:val="00E7501D"/>
    <w:rsid w:val="00E91D6F"/>
    <w:rsid w:val="00E928A5"/>
    <w:rsid w:val="00EE6675"/>
    <w:rsid w:val="00F11FDB"/>
    <w:rsid w:val="00F17266"/>
    <w:rsid w:val="00F77B35"/>
    <w:rsid w:val="00F95CD6"/>
    <w:rsid w:val="00FD1763"/>
    <w:rsid w:val="00FF3F8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345"/>
    <w:rPr>
      <w:sz w:val="24"/>
      <w:szCs w:val="24"/>
    </w:rPr>
  </w:style>
  <w:style w:type="paragraph" w:styleId="Heading6">
    <w:name w:val="heading 6"/>
    <w:basedOn w:val="Normal"/>
    <w:next w:val="Normal"/>
    <w:link w:val="Heading6Char"/>
    <w:uiPriority w:val="99"/>
    <w:qFormat/>
    <w:rsid w:val="008E2345"/>
    <w:pPr>
      <w:keepNext/>
      <w:jc w:val="center"/>
      <w:outlineLvl w:val="5"/>
    </w:pPr>
    <w:rPr>
      <w:b/>
      <w:sz w:val="28"/>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8E2345"/>
    <w:rPr>
      <w:rFonts w:eastAsia="Times New Roman" w:cs="Times New Roman"/>
      <w:b/>
      <w:sz w:val="28"/>
      <w:lang w:val="lv-LV" w:eastAsia="en-US" w:bidi="ar-SA"/>
    </w:rPr>
  </w:style>
  <w:style w:type="paragraph" w:customStyle="1" w:styleId="naisf">
    <w:name w:val="naisf"/>
    <w:basedOn w:val="Normal"/>
    <w:uiPriority w:val="99"/>
    <w:rsid w:val="008E2345"/>
    <w:pPr>
      <w:spacing w:before="75" w:after="75"/>
      <w:ind w:firstLine="375"/>
      <w:jc w:val="both"/>
    </w:pPr>
  </w:style>
  <w:style w:type="paragraph" w:customStyle="1" w:styleId="naisnod">
    <w:name w:val="naisnod"/>
    <w:basedOn w:val="Normal"/>
    <w:uiPriority w:val="99"/>
    <w:rsid w:val="008E2345"/>
    <w:pPr>
      <w:spacing w:before="150" w:after="150"/>
      <w:jc w:val="center"/>
    </w:pPr>
    <w:rPr>
      <w:b/>
      <w:bCs/>
    </w:rPr>
  </w:style>
  <w:style w:type="paragraph" w:customStyle="1" w:styleId="naiskr">
    <w:name w:val="naiskr"/>
    <w:basedOn w:val="Normal"/>
    <w:uiPriority w:val="99"/>
    <w:rsid w:val="008E2345"/>
    <w:pPr>
      <w:spacing w:before="75" w:after="75"/>
    </w:pPr>
  </w:style>
  <w:style w:type="paragraph" w:styleId="FootnoteText">
    <w:name w:val="footnote text"/>
    <w:basedOn w:val="Normal"/>
    <w:link w:val="FootnoteTextChar"/>
    <w:uiPriority w:val="99"/>
    <w:semiHidden/>
    <w:rsid w:val="008E2345"/>
    <w:rPr>
      <w:sz w:val="20"/>
      <w:szCs w:val="20"/>
    </w:rPr>
  </w:style>
  <w:style w:type="character" w:customStyle="1" w:styleId="FootnoteTextChar">
    <w:name w:val="Footnote Text Char"/>
    <w:basedOn w:val="DefaultParagraphFont"/>
    <w:link w:val="FootnoteText"/>
    <w:uiPriority w:val="99"/>
    <w:semiHidden/>
    <w:locked/>
    <w:rsid w:val="002008EB"/>
    <w:rPr>
      <w:rFonts w:cs="Times New Roman"/>
      <w:sz w:val="20"/>
      <w:szCs w:val="20"/>
    </w:rPr>
  </w:style>
  <w:style w:type="paragraph" w:styleId="BodyTextIndent2">
    <w:name w:val="Body Text Indent 2"/>
    <w:basedOn w:val="Normal"/>
    <w:link w:val="BodyTextIndent2Char"/>
    <w:uiPriority w:val="99"/>
    <w:rsid w:val="008E234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2008EB"/>
    <w:rPr>
      <w:rFonts w:cs="Times New Roman"/>
      <w:sz w:val="24"/>
      <w:szCs w:val="24"/>
    </w:rPr>
  </w:style>
  <w:style w:type="paragraph" w:styleId="Footer">
    <w:name w:val="footer"/>
    <w:basedOn w:val="Normal"/>
    <w:link w:val="FooterChar"/>
    <w:uiPriority w:val="99"/>
    <w:rsid w:val="008E2345"/>
    <w:pPr>
      <w:tabs>
        <w:tab w:val="center" w:pos="4153"/>
        <w:tab w:val="right" w:pos="8306"/>
      </w:tabs>
    </w:pPr>
    <w:rPr>
      <w:rFonts w:ascii="Calibri" w:hAnsi="Calibri"/>
      <w:sz w:val="22"/>
      <w:szCs w:val="22"/>
      <w:lang w:eastAsia="en-US"/>
    </w:rPr>
  </w:style>
  <w:style w:type="character" w:customStyle="1" w:styleId="FooterChar">
    <w:name w:val="Footer Char"/>
    <w:basedOn w:val="DefaultParagraphFont"/>
    <w:link w:val="Footer"/>
    <w:uiPriority w:val="99"/>
    <w:locked/>
    <w:rsid w:val="008E2345"/>
    <w:rPr>
      <w:rFonts w:ascii="Calibri" w:hAnsi="Calibri" w:cs="Times New Roman"/>
      <w:sz w:val="22"/>
      <w:szCs w:val="22"/>
      <w:lang w:val="lv-LV" w:eastAsia="en-US" w:bidi="ar-SA"/>
    </w:rPr>
  </w:style>
  <w:style w:type="paragraph" w:styleId="NormalWeb">
    <w:name w:val="Normal (Web)"/>
    <w:basedOn w:val="Normal"/>
    <w:uiPriority w:val="99"/>
    <w:rsid w:val="00541602"/>
    <w:pPr>
      <w:spacing w:before="100" w:beforeAutospacing="1" w:after="100" w:afterAutospacing="1"/>
    </w:pPr>
    <w:rPr>
      <w:color w:val="000000"/>
      <w:sz w:val="20"/>
      <w:szCs w:val="20"/>
    </w:rPr>
  </w:style>
  <w:style w:type="character" w:styleId="PageNumber">
    <w:name w:val="page number"/>
    <w:basedOn w:val="DefaultParagraphFont"/>
    <w:uiPriority w:val="99"/>
    <w:rsid w:val="00541602"/>
    <w:rPr>
      <w:rFonts w:cs="Times New Roman"/>
    </w:rPr>
  </w:style>
  <w:style w:type="paragraph" w:styleId="DocumentMap">
    <w:name w:val="Document Map"/>
    <w:basedOn w:val="Normal"/>
    <w:link w:val="DocumentMapChar"/>
    <w:uiPriority w:val="99"/>
    <w:semiHidden/>
    <w:rsid w:val="00745CC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008EB"/>
    <w:rPr>
      <w:rFonts w:cs="Times New Roman"/>
      <w:sz w:val="2"/>
    </w:rPr>
  </w:style>
  <w:style w:type="paragraph" w:styleId="Header">
    <w:name w:val="header"/>
    <w:basedOn w:val="Normal"/>
    <w:link w:val="HeaderChar"/>
    <w:uiPriority w:val="99"/>
    <w:rsid w:val="0019005C"/>
    <w:pPr>
      <w:tabs>
        <w:tab w:val="center" w:pos="4153"/>
        <w:tab w:val="right" w:pos="8306"/>
      </w:tabs>
    </w:pPr>
  </w:style>
  <w:style w:type="character" w:customStyle="1" w:styleId="HeaderChar">
    <w:name w:val="Header Char"/>
    <w:basedOn w:val="DefaultParagraphFont"/>
    <w:link w:val="Header"/>
    <w:uiPriority w:val="99"/>
    <w:semiHidden/>
    <w:locked/>
    <w:rsid w:val="002008EB"/>
    <w:rPr>
      <w:rFonts w:cs="Times New Roman"/>
      <w:sz w:val="24"/>
      <w:szCs w:val="24"/>
    </w:rPr>
  </w:style>
  <w:style w:type="paragraph" w:styleId="BalloonText">
    <w:name w:val="Balloon Text"/>
    <w:basedOn w:val="Normal"/>
    <w:link w:val="BalloonTextChar"/>
    <w:uiPriority w:val="99"/>
    <w:rsid w:val="002734D5"/>
    <w:rPr>
      <w:rFonts w:ascii="Tahoma" w:hAnsi="Tahoma" w:cs="Tahoma"/>
      <w:sz w:val="16"/>
      <w:szCs w:val="16"/>
    </w:rPr>
  </w:style>
  <w:style w:type="character" w:customStyle="1" w:styleId="BalloonTextChar">
    <w:name w:val="Balloon Text Char"/>
    <w:basedOn w:val="DefaultParagraphFont"/>
    <w:link w:val="BalloonText"/>
    <w:uiPriority w:val="99"/>
    <w:locked/>
    <w:rsid w:val="002734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1405</Words>
  <Characters>9909</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ieguldīšanu valsts akciju sabiedrības "Ceļu satiksmes drošības direkcija" pamatkapitālā”</dc:title>
  <dc:subject>Anotācija</dc:subject>
  <dc:creator>Anda Dundurte</dc:creator>
  <cp:keywords/>
  <dc:description>A.dundure, 67028249; anda.dundure@sam.gov.lv</dc:description>
  <cp:lastModifiedBy>bsterna</cp:lastModifiedBy>
  <cp:revision>4</cp:revision>
  <cp:lastPrinted>2011-10-13T09:46:00Z</cp:lastPrinted>
  <dcterms:created xsi:type="dcterms:W3CDTF">2011-10-05T13:26:00Z</dcterms:created>
  <dcterms:modified xsi:type="dcterms:W3CDTF">2011-10-17T12:14:00Z</dcterms:modified>
</cp:coreProperties>
</file>