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12" w:rsidRPr="00BC7B9B" w:rsidRDefault="00391812" w:rsidP="00CB5B96">
      <w:pPr>
        <w:tabs>
          <w:tab w:val="left" w:pos="180"/>
        </w:tabs>
        <w:jc w:val="center"/>
        <w:rPr>
          <w:sz w:val="28"/>
          <w:szCs w:val="28"/>
        </w:rPr>
      </w:pPr>
      <w:r w:rsidRPr="00BC7B9B">
        <w:rPr>
          <w:sz w:val="28"/>
          <w:szCs w:val="28"/>
        </w:rPr>
        <w:t>Ministru kabineta noteikumu projekta „Noteikumi par valsts akciju sabiedrības „Starptautiskā lidosta „Rīga”” lidlaukā sniegto pakalpojumu maksu” sākotnējās ietekmes novērtējuma ziņojums (anotācija)</w:t>
      </w:r>
    </w:p>
    <w:tbl>
      <w:tblPr>
        <w:tblpPr w:leftFromText="180" w:rightFromText="180" w:vertAnchor="text" w:horzAnchor="margin" w:tblpXSpec="center" w:tblpY="149"/>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3"/>
        <w:gridCol w:w="1849"/>
        <w:gridCol w:w="7289"/>
        <w:gridCol w:w="20"/>
      </w:tblGrid>
      <w:tr w:rsidR="00391812" w:rsidRPr="00165923" w:rsidTr="00BC7B9B">
        <w:trPr>
          <w:gridAfter w:val="1"/>
          <w:wAfter w:w="20" w:type="dxa"/>
        </w:trPr>
        <w:tc>
          <w:tcPr>
            <w:tcW w:w="9421" w:type="dxa"/>
            <w:gridSpan w:val="3"/>
            <w:vAlign w:val="center"/>
          </w:tcPr>
          <w:p w:rsidR="00391812" w:rsidRPr="00165923" w:rsidRDefault="00391812" w:rsidP="006C4607">
            <w:pPr>
              <w:pStyle w:val="naisnod"/>
              <w:spacing w:before="0" w:after="0"/>
            </w:pPr>
            <w:r w:rsidRPr="00165923">
              <w:t>I. Tiesību akta projekta izstrādes nepieciešamība</w:t>
            </w:r>
          </w:p>
        </w:tc>
      </w:tr>
      <w:tr w:rsidR="00391812" w:rsidRPr="00BC1080" w:rsidTr="00BC7B9B">
        <w:trPr>
          <w:trHeight w:val="630"/>
        </w:trPr>
        <w:tc>
          <w:tcPr>
            <w:tcW w:w="283" w:type="dxa"/>
          </w:tcPr>
          <w:p w:rsidR="00391812" w:rsidRPr="00BC1080" w:rsidRDefault="00391812" w:rsidP="006C4607">
            <w:pPr>
              <w:pStyle w:val="naiskr"/>
              <w:spacing w:before="0" w:after="0"/>
            </w:pPr>
            <w:r w:rsidRPr="00BC1080">
              <w:t>1.</w:t>
            </w:r>
          </w:p>
        </w:tc>
        <w:tc>
          <w:tcPr>
            <w:tcW w:w="1849" w:type="dxa"/>
          </w:tcPr>
          <w:p w:rsidR="00391812" w:rsidRPr="00BC1080" w:rsidRDefault="00391812" w:rsidP="006C4607">
            <w:pPr>
              <w:pStyle w:val="naiskr"/>
              <w:spacing w:before="0" w:after="0"/>
              <w:ind w:hanging="10"/>
            </w:pPr>
            <w:r w:rsidRPr="00BC1080">
              <w:t>Pamatojums</w:t>
            </w:r>
          </w:p>
        </w:tc>
        <w:tc>
          <w:tcPr>
            <w:tcW w:w="7309" w:type="dxa"/>
            <w:gridSpan w:val="2"/>
          </w:tcPr>
          <w:p w:rsidR="00391812" w:rsidRPr="00BC1080" w:rsidRDefault="00391812" w:rsidP="00F55054">
            <w:pPr>
              <w:pStyle w:val="naiskr"/>
              <w:spacing w:before="0" w:after="0"/>
              <w:ind w:hanging="5"/>
              <w:jc w:val="both"/>
            </w:pPr>
            <w:r w:rsidRPr="00BC1080">
              <w:t>Likuma „Par aviāciju”  28.panta trešā daļa.</w:t>
            </w:r>
          </w:p>
          <w:p w:rsidR="00391812" w:rsidRPr="00BC1080" w:rsidRDefault="00391812" w:rsidP="006668DC">
            <w:pPr>
              <w:pStyle w:val="naiskr"/>
              <w:spacing w:before="0" w:after="0"/>
              <w:jc w:val="both"/>
            </w:pPr>
          </w:p>
        </w:tc>
      </w:tr>
      <w:tr w:rsidR="00391812" w:rsidRPr="00BC1080" w:rsidTr="00BC7B9B">
        <w:trPr>
          <w:trHeight w:val="472"/>
        </w:trPr>
        <w:tc>
          <w:tcPr>
            <w:tcW w:w="283" w:type="dxa"/>
          </w:tcPr>
          <w:p w:rsidR="00391812" w:rsidRPr="00BC1080" w:rsidRDefault="00391812" w:rsidP="006C4607">
            <w:pPr>
              <w:pStyle w:val="naiskr"/>
              <w:spacing w:before="0" w:after="0"/>
            </w:pPr>
            <w:r w:rsidRPr="00BC1080">
              <w:t>2.</w:t>
            </w:r>
          </w:p>
        </w:tc>
        <w:tc>
          <w:tcPr>
            <w:tcW w:w="1849" w:type="dxa"/>
          </w:tcPr>
          <w:p w:rsidR="00391812" w:rsidRPr="00BC1080" w:rsidRDefault="00391812" w:rsidP="006C4607">
            <w:pPr>
              <w:pStyle w:val="naiskr"/>
              <w:tabs>
                <w:tab w:val="left" w:pos="170"/>
              </w:tabs>
              <w:spacing w:before="0" w:after="0"/>
            </w:pPr>
            <w:r w:rsidRPr="00BC1080">
              <w:t>Pašreizējā situācija un problēmas</w:t>
            </w:r>
          </w:p>
        </w:tc>
        <w:tc>
          <w:tcPr>
            <w:tcW w:w="7309" w:type="dxa"/>
            <w:gridSpan w:val="2"/>
          </w:tcPr>
          <w:p w:rsidR="00391812" w:rsidRPr="00BC1080" w:rsidRDefault="00391812" w:rsidP="00BA54D6">
            <w:pPr>
              <w:pStyle w:val="naiskr"/>
              <w:spacing w:before="0" w:after="0"/>
              <w:ind w:firstLine="385"/>
              <w:jc w:val="both"/>
              <w:rPr>
                <w:iCs/>
              </w:rPr>
            </w:pPr>
            <w:r w:rsidRPr="00BC1080">
              <w:rPr>
                <w:iCs/>
              </w:rPr>
              <w:t xml:space="preserve">Lidostas maksas ir viens no faktoriem, kas ietekmē aviopārvadātāju lēmumu pieņemšanu attiecībā uz galamērķu plānošanu. </w:t>
            </w:r>
          </w:p>
          <w:p w:rsidR="00391812" w:rsidRPr="00BC1080" w:rsidRDefault="00391812" w:rsidP="00BA54D6">
            <w:pPr>
              <w:pStyle w:val="naiskr"/>
              <w:spacing w:before="0" w:after="0"/>
              <w:ind w:firstLine="385"/>
              <w:jc w:val="both"/>
              <w:rPr>
                <w:iCs/>
              </w:rPr>
            </w:pPr>
            <w:r w:rsidRPr="00BC1080">
              <w:rPr>
                <w:iCs/>
              </w:rPr>
              <w:t xml:space="preserve">Veicot valsts akciju sabiedrības „Starptautiskā lidosta „Rīga”” (turpmāk – lidosta „Rīga”) lidlaukā sniegto pakalpojumu lidostu maksu salīdzināšanu ar ārvalstu lidostām, ir konstatēts, ka lidostas arvien vairāk tiecas samazināt lidostu maksas un piedāvā daudzveidīgus pakalpojumu apmaksas variantus gaisa pārvadātājiem. Arvien izteiktāka tendence lidostās ir palielināt neaviācijas ienākumu īpatsvaru attiecībā pret aviācijas ienākumiem, kuras veicināšanā nozīmīgs ir pasažieru plūsmas pieaugums.  </w:t>
            </w:r>
          </w:p>
          <w:p w:rsidR="00391812" w:rsidRPr="00BC1080" w:rsidRDefault="00391812" w:rsidP="00BA54D6">
            <w:pPr>
              <w:pStyle w:val="naiskr"/>
              <w:spacing w:before="0" w:after="0"/>
              <w:ind w:firstLine="385"/>
              <w:jc w:val="both"/>
            </w:pPr>
            <w:r w:rsidRPr="00BC1080">
              <w:t xml:space="preserve">Lidostas piedāvā atlaides un ievieš zemākas maksas aviopārvadātājiem, kas uzsāk jaunus lidojumus, palielina lidojumu biežumu, uzrāda noteikta apjoma pārvadāto pasažieru skaitu un tā pieaugumu. Tādējādi tiek piesaistīti jauni gaisa pārvadātāji un palielināta pasažieru plūsma. Atlaides tiek piemērotas pasažieru maksām, gaisa kuģu pacelšanās/ nosēšanās un stāvvietu maksām, to apjomam svārstoties no 100 līdz 25 % atkarībā no laika perioda un pārvadāto pasažieru skaita. </w:t>
            </w:r>
          </w:p>
          <w:p w:rsidR="00391812" w:rsidRPr="00BC1080" w:rsidRDefault="00391812" w:rsidP="006340EC">
            <w:pPr>
              <w:pStyle w:val="naiskr"/>
              <w:spacing w:before="0" w:after="0"/>
              <w:ind w:firstLine="385"/>
              <w:jc w:val="both"/>
              <w:rPr>
                <w:color w:val="000000"/>
              </w:rPr>
            </w:pPr>
            <w:r w:rsidRPr="00BC1080">
              <w:t xml:space="preserve">Aviācijas maršrutu attīstīšanas procesā lidosta „Rīga” vairākus gadus saskaras ar aviopārvadātāju interesi saņemt lidostas atbalstu, uzsākot jaunus lidojumu virzienus, palielinot lidojumu biežumu un pārvadāto pasažieru skaitu. </w:t>
            </w:r>
            <w:r w:rsidRPr="00BC1080">
              <w:rPr>
                <w:color w:val="000000"/>
              </w:rPr>
              <w:t>Līdz ar to, lai lidostai „Rīga” piesaistītu jaunus gaisa pārvadātājus, veicinātu esošā maršrutu tīkla paplašināšanu un pasažieru skaita palielināšanu esošajos maršrutos, būtu vēlams ieviest citu starptautisko lidostu praksi - lidostas maksu  diferencēšanu gaisa pārvadātājiem, kas uzsāk lidojumus jaunos lidojumu maršrutos, kā arī tiem, kas katru gadu palielina pārvadāto pasažieru skaitu.</w:t>
            </w:r>
          </w:p>
          <w:p w:rsidR="00391812" w:rsidRPr="00BC1080" w:rsidRDefault="00391812" w:rsidP="006340EC">
            <w:pPr>
              <w:pStyle w:val="naiskr"/>
              <w:spacing w:before="0" w:after="0"/>
              <w:ind w:firstLine="385"/>
              <w:jc w:val="both"/>
            </w:pPr>
            <w:r w:rsidRPr="00BC1080">
              <w:rPr>
                <w:color w:val="000000"/>
              </w:rPr>
              <w:t xml:space="preserve">Pašlaik lidostas „Rīga” sniegto pakalpojumu maksas nosaka Ministru kabineta 2012.gada 3.janvāra noteikumi Nr. 29 </w:t>
            </w:r>
            <w:r w:rsidRPr="00BC1080">
              <w:rPr>
                <w:iCs/>
              </w:rPr>
              <w:t>„Noteikumi par valsts akciju sabiedrības „Starptautiskā lidosta „Rīga””  lidlaukā sniegto pakalpojumu maksu” (turpmāk – Ministru kabineta noteikumi Nr. 29).</w:t>
            </w:r>
          </w:p>
        </w:tc>
      </w:tr>
      <w:tr w:rsidR="00391812" w:rsidRPr="00BC1080" w:rsidTr="00BC7B9B">
        <w:trPr>
          <w:trHeight w:val="1071"/>
        </w:trPr>
        <w:tc>
          <w:tcPr>
            <w:tcW w:w="283" w:type="dxa"/>
          </w:tcPr>
          <w:p w:rsidR="00391812" w:rsidRPr="00BC1080" w:rsidRDefault="00391812" w:rsidP="006C4607">
            <w:pPr>
              <w:pStyle w:val="naiskr"/>
              <w:spacing w:before="0" w:after="0"/>
            </w:pPr>
            <w:r w:rsidRPr="00BC1080">
              <w:t>3.</w:t>
            </w:r>
          </w:p>
        </w:tc>
        <w:tc>
          <w:tcPr>
            <w:tcW w:w="1849" w:type="dxa"/>
          </w:tcPr>
          <w:p w:rsidR="00391812" w:rsidRPr="00BC1080" w:rsidRDefault="00391812" w:rsidP="006C4607">
            <w:pPr>
              <w:pStyle w:val="naiskr"/>
              <w:spacing w:before="0" w:after="0"/>
            </w:pPr>
            <w:r w:rsidRPr="00BC1080">
              <w:t>Saistītie politikas ietekmes novērtējumi un pētījumi</w:t>
            </w:r>
          </w:p>
        </w:tc>
        <w:tc>
          <w:tcPr>
            <w:tcW w:w="7309" w:type="dxa"/>
            <w:gridSpan w:val="2"/>
          </w:tcPr>
          <w:p w:rsidR="00391812" w:rsidRPr="00BC1080" w:rsidRDefault="00391812" w:rsidP="006105DA">
            <w:pPr>
              <w:pStyle w:val="FootnoteText"/>
              <w:jc w:val="both"/>
              <w:rPr>
                <w:sz w:val="24"/>
                <w:szCs w:val="24"/>
              </w:rPr>
            </w:pPr>
            <w:r w:rsidRPr="00BC1080">
              <w:rPr>
                <w:sz w:val="24"/>
                <w:szCs w:val="24"/>
              </w:rPr>
              <w:t>Projekts šo jomu neskar.</w:t>
            </w:r>
          </w:p>
        </w:tc>
      </w:tr>
      <w:tr w:rsidR="00391812" w:rsidRPr="00BC1080" w:rsidTr="00BC7B9B">
        <w:trPr>
          <w:trHeight w:val="384"/>
        </w:trPr>
        <w:tc>
          <w:tcPr>
            <w:tcW w:w="283" w:type="dxa"/>
          </w:tcPr>
          <w:p w:rsidR="00391812" w:rsidRPr="00BC1080" w:rsidRDefault="00391812" w:rsidP="006C4607">
            <w:pPr>
              <w:pStyle w:val="naiskr"/>
              <w:spacing w:before="0" w:after="0"/>
            </w:pPr>
            <w:r w:rsidRPr="00BC1080">
              <w:t>4.</w:t>
            </w:r>
          </w:p>
        </w:tc>
        <w:tc>
          <w:tcPr>
            <w:tcW w:w="1849" w:type="dxa"/>
          </w:tcPr>
          <w:p w:rsidR="00391812" w:rsidRPr="00BC1080" w:rsidRDefault="00391812" w:rsidP="006C4607">
            <w:pPr>
              <w:pStyle w:val="naiskr"/>
              <w:spacing w:before="0" w:after="0"/>
            </w:pPr>
            <w:r w:rsidRPr="00BC1080">
              <w:t>Tiesiskā regulējuma mērķis un būtība</w:t>
            </w:r>
          </w:p>
        </w:tc>
        <w:tc>
          <w:tcPr>
            <w:tcW w:w="7309" w:type="dxa"/>
            <w:gridSpan w:val="2"/>
          </w:tcPr>
          <w:p w:rsidR="00391812" w:rsidRPr="00BC1080" w:rsidRDefault="00391812" w:rsidP="00361C63">
            <w:pPr>
              <w:pStyle w:val="naiskr"/>
              <w:spacing w:before="0" w:after="0"/>
              <w:ind w:firstLine="385"/>
              <w:jc w:val="both"/>
              <w:rPr>
                <w:iCs/>
              </w:rPr>
            </w:pPr>
            <w:r w:rsidRPr="00BC1080">
              <w:rPr>
                <w:iCs/>
              </w:rPr>
              <w:t>Noteikumu projekts paredz izdot jaunus Ministru kabineta noteikumus, kuros tiks noteikta maksa par lidostas „Rīga” lidlaukā sniegtajiem pakalpojumiem, jo Ministru kabineta noteikumu Nr.29 struktūra nedot iespēju izdarīt grozījumus tajos, lai ieviestu diferencētās maksas un to iekasēšanas kārtību.</w:t>
            </w:r>
          </w:p>
          <w:p w:rsidR="00391812" w:rsidRPr="00BC1080" w:rsidRDefault="00391812" w:rsidP="00361C63">
            <w:pPr>
              <w:pStyle w:val="naiskr"/>
              <w:spacing w:before="0" w:after="0"/>
              <w:ind w:firstLine="385"/>
              <w:jc w:val="both"/>
              <w:rPr>
                <w:iCs/>
              </w:rPr>
            </w:pPr>
            <w:r w:rsidRPr="00BC1080">
              <w:rPr>
                <w:iCs/>
              </w:rPr>
              <w:t xml:space="preserve">Noteikumu projektā tiek noteikta maksa par gaisa kuģu pacelšanos un nosēšanos, maksa par gaisa kuģu stāvēšanu gaisa kuģu stāvvietā un maksa par pasažieru un publisko uzgaidāmo telpu </w:t>
            </w:r>
            <w:r w:rsidRPr="00BC1080">
              <w:rPr>
                <w:lang w:eastAsia="ru-RU"/>
              </w:rPr>
              <w:t>un gaiteņu,  kā arī citas pasažieru apkalpošanai nepieciešamās pasažieru termināļu infrastruktūras  izmantošanu, kuru apmērs atbilst</w:t>
            </w:r>
            <w:r w:rsidRPr="00BC1080">
              <w:rPr>
                <w:iCs/>
              </w:rPr>
              <w:t xml:space="preserve"> pašlaik Ministru kabineta noteikumos Nr. 29 noteiktajām maksām.</w:t>
            </w:r>
          </w:p>
          <w:p w:rsidR="00391812" w:rsidRPr="00BC1080" w:rsidRDefault="00391812" w:rsidP="00361C63">
            <w:pPr>
              <w:pStyle w:val="naiskr"/>
              <w:spacing w:before="0" w:after="0"/>
              <w:ind w:firstLine="385"/>
              <w:jc w:val="both"/>
              <w:rPr>
                <w:iCs/>
              </w:rPr>
            </w:pPr>
            <w:r w:rsidRPr="00BC1080">
              <w:rPr>
                <w:iCs/>
              </w:rPr>
              <w:t xml:space="preserve">Tiek saglabāta arī minētās maksas </w:t>
            </w:r>
            <w:r w:rsidRPr="00BC1080">
              <w:t xml:space="preserve">iekasēšanas un izlietošanas kārtība, norādot pakalpojumus, kas ietverti attiecīgajā maksā, un atbrīvojumus no tās. </w:t>
            </w:r>
            <w:r w:rsidRPr="00BC1080">
              <w:rPr>
                <w:iCs/>
              </w:rPr>
              <w:t xml:space="preserve"> </w:t>
            </w:r>
          </w:p>
          <w:p w:rsidR="00391812" w:rsidRPr="00985297" w:rsidRDefault="00391812" w:rsidP="00985297">
            <w:pPr>
              <w:pStyle w:val="naiskr"/>
              <w:spacing w:before="0" w:after="0"/>
              <w:ind w:firstLine="385"/>
              <w:jc w:val="both"/>
              <w:rPr>
                <w:iCs/>
              </w:rPr>
            </w:pPr>
            <w:r w:rsidRPr="00BC1080">
              <w:rPr>
                <w:iCs/>
              </w:rPr>
              <w:t>Atšķirībā no Ministru kabineta noteikumiem Nr.29 noteikumu projekts  paredz arī pakalpojumu maksas par pasažieru apkalpošanu, kā arī gaisa kuģu stāvēšanu diferencēšanu aviopārvadātājiem, kuri uzsāk lidojumus jaunā lidojumu maršrutā, vai arī ir pārvadājuši lielāku izlidojošo pasažieru skaitu attiecībā pret iepriekšējo gadu, ka arī nosaka norēķinu kārtību minētajos gadījumos.</w:t>
            </w:r>
          </w:p>
        </w:tc>
      </w:tr>
      <w:tr w:rsidR="00391812" w:rsidRPr="00BC1080" w:rsidTr="00BC7B9B">
        <w:trPr>
          <w:trHeight w:val="476"/>
        </w:trPr>
        <w:tc>
          <w:tcPr>
            <w:tcW w:w="283" w:type="dxa"/>
          </w:tcPr>
          <w:p w:rsidR="00391812" w:rsidRPr="00BC1080" w:rsidRDefault="00391812" w:rsidP="006C4607">
            <w:pPr>
              <w:pStyle w:val="naiskr"/>
              <w:spacing w:before="0" w:after="0"/>
            </w:pPr>
            <w:r w:rsidRPr="00BC1080">
              <w:t>5.</w:t>
            </w:r>
          </w:p>
        </w:tc>
        <w:tc>
          <w:tcPr>
            <w:tcW w:w="1849" w:type="dxa"/>
          </w:tcPr>
          <w:p w:rsidR="00391812" w:rsidRPr="00BC1080" w:rsidRDefault="00391812" w:rsidP="006C4607">
            <w:pPr>
              <w:pStyle w:val="naiskr"/>
              <w:spacing w:before="0" w:after="0"/>
            </w:pPr>
            <w:r w:rsidRPr="00BC1080">
              <w:t>Projekta izstrādē iesaistītās institūcijas</w:t>
            </w:r>
          </w:p>
        </w:tc>
        <w:tc>
          <w:tcPr>
            <w:tcW w:w="7309" w:type="dxa"/>
            <w:gridSpan w:val="2"/>
          </w:tcPr>
          <w:p w:rsidR="00391812" w:rsidRPr="00BC1080" w:rsidRDefault="00391812" w:rsidP="006C4607">
            <w:pPr>
              <w:pStyle w:val="naiskr"/>
              <w:spacing w:before="0" w:after="0"/>
              <w:rPr>
                <w:iCs/>
              </w:rPr>
            </w:pPr>
            <w:r w:rsidRPr="00BC1080">
              <w:rPr>
                <w:iCs/>
              </w:rPr>
              <w:t>Lidosta „Rīga”, Satiksmes ministrija.</w:t>
            </w:r>
          </w:p>
          <w:p w:rsidR="00391812" w:rsidRPr="00BC1080" w:rsidRDefault="00391812" w:rsidP="006C4607">
            <w:pPr>
              <w:pStyle w:val="naiskr"/>
              <w:spacing w:before="0" w:after="0"/>
            </w:pPr>
          </w:p>
        </w:tc>
      </w:tr>
      <w:tr w:rsidR="00391812" w:rsidRPr="00BC1080" w:rsidTr="00BC7B9B">
        <w:trPr>
          <w:trHeight w:val="825"/>
        </w:trPr>
        <w:tc>
          <w:tcPr>
            <w:tcW w:w="283" w:type="dxa"/>
          </w:tcPr>
          <w:p w:rsidR="00391812" w:rsidRPr="00BC1080" w:rsidRDefault="00391812" w:rsidP="006C4607">
            <w:pPr>
              <w:pStyle w:val="naiskr"/>
              <w:spacing w:before="0" w:after="0"/>
            </w:pPr>
            <w:r w:rsidRPr="00BC1080">
              <w:t>6.</w:t>
            </w:r>
          </w:p>
        </w:tc>
        <w:tc>
          <w:tcPr>
            <w:tcW w:w="1849" w:type="dxa"/>
          </w:tcPr>
          <w:p w:rsidR="00391812" w:rsidRPr="00BC1080" w:rsidRDefault="00391812" w:rsidP="006C4607">
            <w:pPr>
              <w:pStyle w:val="naiskr"/>
              <w:spacing w:before="0" w:after="0"/>
              <w:rPr>
                <w:i/>
                <w:highlight w:val="yellow"/>
              </w:rPr>
            </w:pPr>
            <w:r w:rsidRPr="00BC1080">
              <w:t>Iemesli, kādēļ netika nodrošināta sabiedrības līdzdalība</w:t>
            </w:r>
          </w:p>
        </w:tc>
        <w:tc>
          <w:tcPr>
            <w:tcW w:w="7309" w:type="dxa"/>
            <w:gridSpan w:val="2"/>
          </w:tcPr>
          <w:p w:rsidR="00391812" w:rsidRPr="00BC1080" w:rsidRDefault="00391812" w:rsidP="006105DA">
            <w:pPr>
              <w:pStyle w:val="FootnoteText"/>
              <w:jc w:val="both"/>
              <w:rPr>
                <w:sz w:val="24"/>
                <w:szCs w:val="24"/>
              </w:rPr>
            </w:pPr>
            <w:r w:rsidRPr="00BC1080">
              <w:rPr>
                <w:sz w:val="24"/>
                <w:szCs w:val="24"/>
              </w:rPr>
              <w:t>Projekts šo jomu neskar.</w:t>
            </w:r>
          </w:p>
          <w:p w:rsidR="00391812" w:rsidRPr="00BC1080" w:rsidRDefault="00391812" w:rsidP="00A14277">
            <w:pPr>
              <w:pStyle w:val="FootnoteText"/>
              <w:jc w:val="both"/>
              <w:rPr>
                <w:sz w:val="24"/>
                <w:szCs w:val="24"/>
              </w:rPr>
            </w:pPr>
          </w:p>
        </w:tc>
      </w:tr>
      <w:tr w:rsidR="00391812" w:rsidRPr="00BC1080" w:rsidTr="00BC7B9B">
        <w:tc>
          <w:tcPr>
            <w:tcW w:w="283" w:type="dxa"/>
          </w:tcPr>
          <w:p w:rsidR="00391812" w:rsidRPr="00BC1080" w:rsidRDefault="00391812" w:rsidP="006C4607">
            <w:pPr>
              <w:pStyle w:val="naiskr"/>
              <w:spacing w:before="0" w:after="0"/>
            </w:pPr>
            <w:r w:rsidRPr="00BC1080">
              <w:t>7.</w:t>
            </w:r>
          </w:p>
        </w:tc>
        <w:tc>
          <w:tcPr>
            <w:tcW w:w="1849" w:type="dxa"/>
          </w:tcPr>
          <w:p w:rsidR="00391812" w:rsidRPr="00BC1080" w:rsidRDefault="00391812" w:rsidP="006C4607">
            <w:pPr>
              <w:pStyle w:val="naiskr"/>
              <w:spacing w:before="0" w:after="0"/>
            </w:pPr>
            <w:r w:rsidRPr="00BC1080">
              <w:t>Cita informācija</w:t>
            </w:r>
          </w:p>
        </w:tc>
        <w:tc>
          <w:tcPr>
            <w:tcW w:w="7309" w:type="dxa"/>
            <w:gridSpan w:val="2"/>
          </w:tcPr>
          <w:p w:rsidR="00391812" w:rsidRPr="00452274" w:rsidRDefault="00391812" w:rsidP="0034193A">
            <w:pPr>
              <w:ind w:firstLine="385"/>
              <w:jc w:val="both"/>
              <w:rPr>
                <w:lang w:eastAsia="en-US"/>
              </w:rPr>
            </w:pPr>
            <w:r w:rsidRPr="00452274">
              <w:t>Nosakot diferencētās lidostas pakalpojumu maksas</w:t>
            </w:r>
            <w:r>
              <w:t>,</w:t>
            </w:r>
            <w:r w:rsidRPr="00452274">
              <w:t xml:space="preserve"> </w:t>
            </w:r>
            <w:r>
              <w:t>tiek ievērotas</w:t>
            </w:r>
            <w:r w:rsidRPr="00452274">
              <w:t xml:space="preserve"> Eiropas Parlamenta un Padomes 2009.gada 11.marta direktīvas Nr. 2009/12/EK par lidostu maksām (turpmāk - Direktīv</w:t>
            </w:r>
            <w:r>
              <w:t>a</w:t>
            </w:r>
            <w:r w:rsidRPr="00452274">
              <w:t xml:space="preserve"> Nr. 2009/12/EK), 10. panta par Pakalpojumu diferenciāciju 1. apakšpunkta prasības</w:t>
            </w:r>
            <w:r>
              <w:t>,</w:t>
            </w:r>
            <w:r w:rsidRPr="00452274">
              <w:t xml:space="preserve"> kas </w:t>
            </w:r>
            <w:r>
              <w:t>pārņemtas</w:t>
            </w:r>
            <w:r w:rsidRPr="00452274">
              <w:t xml:space="preserve"> ar likumu „Par aviāciju” un Ministru kabineta 2011.gada 5.jūlija noteikumu Nr. 540 „Lidlaukā sniegto pakalpojumu maksas noteikšanas un mainīšanas kārtība” 8., 9. un 16. punktu</w:t>
            </w:r>
            <w:r>
              <w:t>, un proti</w:t>
            </w:r>
            <w:r w:rsidRPr="00452274">
              <w:t xml:space="preserve">: „Dalībvalstis veic vajadzīgos pasākumus, lai lidostas administrācijai ļautu dažādot konkrētu lidostas pakalpojumu, termināļu vai termināļu daļu kvalitāti un apjomu nolūkā sniegt īpaši pielāgotus pakalpojumus vai īpaši atvēlēt termināli vai termināļa daļu. Lidostas maksu lielumu var diferencēt atbilstīgi šādu pakalpojumu kvalitātei un apjomam, kā arī to izmaksām </w:t>
            </w:r>
            <w:r w:rsidRPr="00BC7B9B">
              <w:rPr>
                <w:i/>
              </w:rPr>
              <w:t>vai citam objektīvam un pārredzamam pamatojumam</w:t>
            </w:r>
            <w:r w:rsidRPr="00452274">
              <w:t>. Neskarot 3. panta prasības, lidostas administrācijas patur tiesības noteikt jebkādas šādas diferencētas lidostas maksas.”.</w:t>
            </w:r>
          </w:p>
          <w:p w:rsidR="00391812" w:rsidRPr="00452274" w:rsidRDefault="00391812" w:rsidP="0034193A">
            <w:pPr>
              <w:pStyle w:val="naiskr"/>
              <w:spacing w:before="0" w:after="0"/>
              <w:ind w:firstLine="536"/>
              <w:jc w:val="both"/>
            </w:pPr>
            <w:r w:rsidRPr="00452274">
              <w:t xml:space="preserve">Lidlaukā sniegto pakalpojumu maksas netiek diferencētas saskaņā ar Direktīvā Nr. 2009/12/EK un Ministru kabineta noteikumos Nr. 540 norādītajiem kvalitātes kritērijiem, bet ar mērķi palielināt apkalpoto pasažieru skaitu lidostā „Rīga”, kas uzskatāms par objektīvu un pārredzamu kritēriju un saskan ar tiesību aktos pieļaujamo pamatojumu maksu diferencēšanai. </w:t>
            </w:r>
          </w:p>
          <w:p w:rsidR="00391812" w:rsidRPr="00452274" w:rsidRDefault="00391812" w:rsidP="0034193A">
            <w:pPr>
              <w:ind w:firstLine="385"/>
              <w:jc w:val="both"/>
            </w:pPr>
            <w:r>
              <w:t>N</w:t>
            </w:r>
            <w:r w:rsidRPr="00452274">
              <w:t>oteikumu projektā lidostas „Rīga” lidlaukā sniegto pakalpojumu diferencētās maksas ir noteiktas atbilstoši Direktīvas Nr. 2009/12/EK 3. panta prasībām pēc skaidri definētiem, noteiktiem kritērijiem, ievērojot nediskriminācijas principu: „Dalībvalstis nodrošina, ka lidostas maksas nav diskriminējošas pret lidostas lietotājiem saskaņā ar Kopienas tiesību aktiem. Tas neizslēdz iespēju sabiedrības un vispārējās interesēs lidostas maksas pielāgot, tostarp saistībā ar vides jautājumiem. Šādai pielāgošanai izmantotie kritēriji ir atbilstīgi, objektīvi un pārredzami.”.</w:t>
            </w:r>
          </w:p>
          <w:p w:rsidR="00391812" w:rsidRPr="00452274" w:rsidRDefault="00391812" w:rsidP="0034193A">
            <w:pPr>
              <w:ind w:firstLine="385"/>
              <w:jc w:val="both"/>
            </w:pPr>
            <w:r w:rsidRPr="00452274">
              <w:t>Ievērotas ir arī Direktīvas Nr. 2009/12/EK 6. panta par Konsultācijām un tiesisko aizsardzību 1. apakšpunkta („Dalībvalstis nodrošina, ka katrā lidostā tiek noteikta obligāta regulāru konsultāciju procedūra starp lidostas administrāciju un lidostas lietotājiem vai to pārstāvjiem vai asociācijām par lidostas maksu sistēmas darbību un lidostas maksu lielumu, kā arī atbilstīgā gadījumā konsultācijām par sniegto pakalpojumu kvalitāti. Šādas konsultācijas notiek ne retāk kā vienu reizi gadā, ja vien iepriekšējās konsultēšanās laikā par to nav panākta cita vienošanās. Ja pastāv lidostas pārvaldības iestādes un lidostu lietotāju daudzgadu vienošanās, tad konsultācijas notiek tā, kā to paredz šī vienošanās. Dalībvalstīm ir tiesības prasīt biežākas konsultācijas.”), kā arī 2. apakšpunkta prasības („Dalībvalstis nodrošina, ka izmaiņas sistēmā vai lidostas maksu lielumā pēc iespējas tiek veiktas, vienojoties lidostas administrācijai un lidostas lietotājiem. Šajā nolūkā lidostas administrācija iesniedz lidostas lietotājiem jebkuru priekšlikumu par izmaiņām sistēmā vai lidostas maksu lielumā ne vēlāk kā četrus mēnešus pirms to stāšanās spēkā, norādot arī ierosināto izmaiņu iemeslus, ja vien nepastāv kādi ārkārtēji apstākļi, kuri jāpamato lidostas lietotājiem. Lidostas administrācija apspriežas ar lidostas lietotājiem par ierosinātajām izmaiņām un pirms lēmuma pieņemšanas ņem vērā viņu viedokli. Lidostas administrācija parasti publicē savu lēmumu vai ieteikumu ne vēlāk kā divus mēnešus pirms tā stāšanās spēkā. Lidostas administrācija pamato savu lēmumu attiecībā uz lidostas lietotāju viedokli, ja par ierosinātajām izmaiņām netiek panākta vienošanās starp lidostas administrāciju un lidostas lietotājiem.” Direktīvas Nr. 2009/12/EK 6.1. un 6.2. apakšpunkt</w:t>
            </w:r>
            <w:r>
              <w:t>a</w:t>
            </w:r>
            <w:r w:rsidRPr="00452274">
              <w:t xml:space="preserve"> prasības pārņemtas ar Ministru kabineta noteikumu Nr. 540 „Lidlaukā sniegto pakalpojumu maksas noteikšanas un mainīšanas kārtība” 9.,12. – 17., 19. un 20. punktu. Lidosta „Rīga” pirms maksu diferencēšanas ir veikusi konsultācijas ar lidostas „Rīga” lietotājiem.  </w:t>
            </w:r>
          </w:p>
          <w:p w:rsidR="00391812" w:rsidRPr="00452274" w:rsidRDefault="00391812" w:rsidP="0034193A">
            <w:pPr>
              <w:tabs>
                <w:tab w:val="left" w:pos="180"/>
              </w:tabs>
              <w:jc w:val="both"/>
              <w:rPr>
                <w:iCs/>
              </w:rPr>
            </w:pPr>
            <w:r w:rsidRPr="00452274">
              <w:rPr>
                <w:iCs/>
              </w:rPr>
              <w:tab/>
            </w:r>
            <w:r w:rsidRPr="00452274">
              <w:rPr>
                <w:iCs/>
              </w:rPr>
              <w:tab/>
              <w:t>Tā kā lidosta „Rīga” neveic izmaiņas lidlaukā sniegto pakalpojumu pamatmaksās, bet gan ierosina tikai to diferencēšanu jaunu lidojumu virzienu uzsākšanas un pasažieru skaita pieauguma gadījumos, konsultācijas ar lidostas lietotājiem ir notikušas vienīgi par diferencētajām maksām un nosacījumiem, pie kādiem maksas diferencējamas.</w:t>
            </w:r>
          </w:p>
          <w:p w:rsidR="00391812" w:rsidRPr="00452274" w:rsidRDefault="00391812" w:rsidP="0034193A">
            <w:pPr>
              <w:ind w:firstLine="720"/>
              <w:jc w:val="both"/>
            </w:pPr>
            <w:r w:rsidRPr="00452274">
              <w:t xml:space="preserve">2012.gada 25.augustā lidosta „Rīga” ir elektroniski nosūtījusi 18 lidostas lietotājiem – aviopārvadātājiem, kas veic lidojumus uz lidostu „Rīga” (Finnair, Lufthansa, LOT Polish Airlines, Turkish Airlines, Uzbekistan Airways, Norwegian Air Shuttle, Ryanair, UT Air, Air Baltic, Belavia, Raf Avia, Simple Jet, Transaero, Smartlynx, Estonian Air, Aeroflot, Czech Airlines, Wizz Air), vēstuli ar izklāstītiem diferencēto maksu ieviešanas priekšlikumiem un aicinājusi uz pirmajām konsultāciju sarunām 2012.gada 28.augustā. </w:t>
            </w:r>
          </w:p>
          <w:p w:rsidR="00391812" w:rsidRPr="00452274" w:rsidRDefault="00391812" w:rsidP="0034193A">
            <w:pPr>
              <w:ind w:firstLine="720"/>
              <w:jc w:val="both"/>
            </w:pPr>
            <w:r w:rsidRPr="00452274">
              <w:t xml:space="preserve">2012.gada 28.augustā notika pirmās konsultācijas, uz kurām bija ieradušies četru aviopārvadātāju pārstāvji (Finnair, Lufthansa, Air Baltic, UT Air). Pārrunās notika diskusijas par piedāvāto maksu diferencēšanu un panākta vienošanās lidostas „Rīga” sākotnēji piedāvāto diferencēto pasažieru maksu lidojumu skaita pieauguma gadījumā attiecināt uz pasažieru skaita pieauguma gadījumiem. </w:t>
            </w:r>
          </w:p>
          <w:p w:rsidR="00391812" w:rsidRPr="00452274" w:rsidRDefault="00391812" w:rsidP="0034193A">
            <w:pPr>
              <w:ind w:firstLine="536"/>
              <w:jc w:val="both"/>
              <w:rPr>
                <w:i/>
                <w:lang w:eastAsia="en-US"/>
              </w:rPr>
            </w:pPr>
            <w:r w:rsidRPr="00452274">
              <w:t xml:space="preserve">2012.gada 6.septembrī notika lidostas lietotāju komitejas sanāksme, kuras laikā notika diferencēto maksu piedāvājuma apspriešana un balsošana par piedāvājuma tālāku virzīšanu apstiprināšanai Ministru kabinetā. Saskaņā ar lidostas lietotāju komitejas statūtiem balsot par lidostas maksām drīkst aviopārvadātāji, kas veic lidojumus uz Rīgu un ir pilnvaroti pārstāvēt sava uzņēmuma viedokli lidostas lietotāju komitejā. 2012.gada septembrī balsstiesīgie aviopārvadātāji bija 10, no kuriem 7 piedalījās lietotāju komitejas sanāksmē un vienbalsīgi atbalstīja diferencēto maksu tālāku virzīšanu apstiprināšanai Ministru kabinetā.” </w:t>
            </w:r>
          </w:p>
          <w:p w:rsidR="00391812" w:rsidRPr="00452274" w:rsidRDefault="00391812" w:rsidP="0034193A">
            <w:pPr>
              <w:pStyle w:val="naiskr"/>
              <w:spacing w:before="0" w:after="0"/>
              <w:ind w:firstLine="536"/>
              <w:jc w:val="both"/>
            </w:pPr>
            <w:r w:rsidRPr="00452274">
              <w:t>Finansiāli atlaides veido nenozīmīgu daļu no kopējiem maksu ieņēmumiem, jo tiek piemērotas tikai konkrētam termiņam un tikai jauniem lidojumiem vai pasažieru skaita pieaugumam, kas abos gadījumos nozīmē papildus pasažierus. Lidostā „Rīga” lielāko daļu no izmaksām veido pastāvīgās izmaksas un mainīgo izmaksu daļa, kas ir tieši saistīta ar lidojumu un pasažieru skaitu, ir salīdzinoši maza. Līdz ar to ieguvumi no papildus pasažieru piesaistīšanas ir lielāki, jo visi pasažieri pilnā apjomā turpina maksāt visas pārējās lidostas maksas: drošības, pacelšanās/ nosēšanās maksas, nekā ieguvumi no pasažieru izlidošanas maksas, kurai tiek piemērotas atlaides. Tāpat katrs papildus pasažieris lidostai „Rīga” dod papildus neaviācijas ieņēmumus, kas ir būtisks finansiālais ieguvums.</w:t>
            </w:r>
          </w:p>
          <w:p w:rsidR="00391812" w:rsidRPr="00452274" w:rsidRDefault="00391812" w:rsidP="00BC7B9B">
            <w:pPr>
              <w:pStyle w:val="naiskr"/>
              <w:spacing w:before="0" w:after="0"/>
              <w:ind w:firstLine="539"/>
              <w:jc w:val="both"/>
            </w:pPr>
            <w:r w:rsidRPr="00452274">
              <w:rPr>
                <w:rStyle w:val="Strong"/>
                <w:b w:val="0"/>
                <w:shd w:val="clear" w:color="auto" w:fill="FFFFFF"/>
              </w:rPr>
              <w:t>2005.gada 5.decembra Kopienas vadlīniju par lidostu finansēšanu un valsts atbalstu darbības uzsākšanai aviosabiedrībām, kas veic lidojumus no reģionālām lidostām</w:t>
            </w:r>
            <w:r w:rsidRPr="00452274">
              <w:rPr>
                <w:shd w:val="clear" w:color="auto" w:fill="FFFFFF"/>
              </w:rPr>
              <w:t xml:space="preserve"> 77. punkts nosaka: „Finansiālais atbalsts darbības uzsākšanai, izņemot, ja valsts iestādes rīkojas kā privātais ieguldītājs, kas darbojas brīvajā tirgū (skatīt sadaļu 3.2.4.), sniedz priekšrocības saņēmēju uzņēmumiem un var radīt tiešus traucējumus starp uzņēmumiem, samazinot saņēmēju darbības izmaksas.”</w:t>
            </w:r>
          </w:p>
          <w:p w:rsidR="00391812" w:rsidRPr="00452274" w:rsidRDefault="00391812" w:rsidP="00BC7B9B">
            <w:pPr>
              <w:pStyle w:val="naiskr"/>
              <w:spacing w:before="0" w:after="0"/>
              <w:ind w:firstLine="539"/>
              <w:jc w:val="both"/>
              <w:rPr>
                <w:shd w:val="clear" w:color="auto" w:fill="FFFFFF"/>
              </w:rPr>
            </w:pPr>
            <w:r w:rsidRPr="00452274">
              <w:rPr>
                <w:shd w:val="clear" w:color="auto" w:fill="FFFFFF"/>
              </w:rPr>
              <w:t>Lidosta „Rīga” atbilstoši biznesa plānam līdz 2020.gadam ir paredzējusi pasažieru skaita pieaugumu, līdz ar to arī ieņēmumu pieaugumu. Lai lidosta „Rīga” veicinātu saimniecisko darbību un palielinātu  ienākumus, lidostai „Rīga” ir nepieciešams piesaistīt jaunus gaisa pārvadātājus, veicināt esošā maršrutu tīkla paplašināšanu. Lidosta „Rīga” minēto mērķu sasniegšanai ir nolēmusi veikt lidostas maksu diferencēšanu gaisa pārvadātājiem, kas uzsāk lidojumus jaunos lidojumu maršrutos, kā arī tiem, kas katru gadu palielina pārvadāto izlidojušo pasažieru skaitu.</w:t>
            </w:r>
            <w:r w:rsidRPr="00452274">
              <w:t xml:space="preserve"> </w:t>
            </w:r>
            <w:r w:rsidRPr="00452274">
              <w:rPr>
                <w:shd w:val="clear" w:color="auto" w:fill="FFFFFF"/>
              </w:rPr>
              <w:t xml:space="preserve">Lidosta „Rīga” paredz maksu diferencēšanu pēc skaidri definētiem un noteiktiem kritērijiem, nekādā veidā nediskriminējot nevienu aviopārvadātāju, jo visiem ir skaidri zināmi kritēriji, kas sniedz vienlīdzīgas iespējas visiem aviopārvadātājiem, kuri izpilda kritērijus – tātad nesniedz priekšrocības kādam konkrētam aviopārvadātājam. </w:t>
            </w:r>
            <w:r w:rsidRPr="00452274">
              <w:t xml:space="preserve">Papildus jāatzīmē, ka pirms diferencēto maksu virzīšanas apstiprināšanai Ministru kabinetā lidosta „Rīga” atbilstoši Direktīvas Nr. 2009/12/EK prasībām ir veikusi konsultācijas ar lidostas lietotājiem un ir saņēmusi tirgus dalībnieku piekrišanu. </w:t>
            </w:r>
          </w:p>
          <w:p w:rsidR="00391812" w:rsidRPr="00452274" w:rsidRDefault="00391812" w:rsidP="00BC7B9B">
            <w:pPr>
              <w:pStyle w:val="naiskr"/>
              <w:spacing w:before="0" w:after="0"/>
              <w:ind w:firstLine="539"/>
              <w:jc w:val="both"/>
            </w:pPr>
            <w:r w:rsidRPr="00452274">
              <w:rPr>
                <w:shd w:val="clear" w:color="auto" w:fill="FFFFFF"/>
              </w:rPr>
              <w:t>Tā kā maksas diferencēšanu lidosta „Rīga” ir tiesīga noteikt brīvi, ievērojot Direktīvā</w:t>
            </w:r>
            <w:r w:rsidRPr="00452274">
              <w:t xml:space="preserve"> Nr. 2009/12/EK</w:t>
            </w:r>
            <w:r w:rsidRPr="00452274">
              <w:rPr>
                <w:shd w:val="clear" w:color="auto" w:fill="FFFFFF"/>
              </w:rPr>
              <w:t xml:space="preserve"> noteikto kārtību, </w:t>
            </w:r>
            <w:r w:rsidRPr="00452274">
              <w:t>lidosta „Rīga”, ieviešot maksu diferencēšanu, darbojas kā privātais ieguldītājs brīvajā tirgū, jo maksu diferencēšana tiek veikta saskaņā ar noteikumiem, kas ir pieņemami privātajam ieguldītājam tirgus ekonomikas apstākļos bez jebkādas valsts iejaukšanās.</w:t>
            </w:r>
            <w:r w:rsidRPr="00452274">
              <w:rPr>
                <w:shd w:val="clear" w:color="auto" w:fill="FFFFFF"/>
              </w:rPr>
              <w:t xml:space="preserve"> Lai arī lidosta „Rīga” ir valsts akciju sabiedrība, tomēr šī fakta dēļ tās rīcība nav kvalificējama kā valsts varas īstenošana. Ņemot vērā, ka lidosta „Rīga” rīkojas saimnieciskās darbības  attīstības ietvaros, maksu diferencēšana nav uzskatāma par valsts ieviestu pasākumu, </w:t>
            </w:r>
            <w:r w:rsidRPr="00452274">
              <w:t>kas jāīsteno lidostai, bet ir lidostas ”Rīga”  iniciatīva, kas ir saskaņota ar tirgus dalībniekiem.</w:t>
            </w:r>
          </w:p>
          <w:p w:rsidR="00391812" w:rsidRPr="00452274" w:rsidRDefault="00391812" w:rsidP="00BC7B9B">
            <w:pPr>
              <w:pStyle w:val="naiskr"/>
              <w:spacing w:before="0" w:after="0"/>
              <w:ind w:firstLine="539"/>
              <w:jc w:val="both"/>
            </w:pPr>
            <w:r w:rsidRPr="00452274">
              <w:t>Līdz ar to Ministru kabineta noteikumu projektā ietvertā maksu diferencēšana neatbilst valsts atbalsta pazīmēm, par ko būtu jāziņo Eiropas Komisijai.</w:t>
            </w:r>
          </w:p>
          <w:p w:rsidR="00391812" w:rsidRPr="00452274" w:rsidRDefault="00391812" w:rsidP="00BC7B9B">
            <w:pPr>
              <w:pStyle w:val="naiskr"/>
              <w:spacing w:before="0" w:after="0"/>
              <w:ind w:firstLine="539"/>
              <w:jc w:val="both"/>
            </w:pPr>
            <w:r w:rsidRPr="00452274">
              <w:t xml:space="preserve">Jautājums par lidostas sniegto pakalpojumu maksas diferencēšanu pirms saskaņošanas ar lidostas lietotāju komiteju tika apspriests ar Konkurences Padomi, kā arī Finanšu </w:t>
            </w:r>
            <w:r>
              <w:t>m</w:t>
            </w:r>
            <w:r w:rsidRPr="00452274">
              <w:t>inistriju.</w:t>
            </w:r>
          </w:p>
          <w:p w:rsidR="00391812" w:rsidRPr="00BC1080" w:rsidRDefault="00391812" w:rsidP="00BC7B9B">
            <w:pPr>
              <w:pStyle w:val="naiskr"/>
              <w:spacing w:before="0" w:after="0"/>
              <w:ind w:firstLine="539"/>
              <w:jc w:val="both"/>
            </w:pPr>
            <w:r>
              <w:t>N</w:t>
            </w:r>
            <w:r w:rsidRPr="00452274">
              <w:t xml:space="preserve">oteikumu projekts </w:t>
            </w:r>
            <w:r>
              <w:t>tika</w:t>
            </w:r>
            <w:r w:rsidRPr="00452274">
              <w:t xml:space="preserve"> izsludināts Valsts sekretāru sanāksmē un ir saskaņots ar visām ieinteresētajām ministrijām un institūcijām.</w:t>
            </w:r>
          </w:p>
        </w:tc>
      </w:tr>
    </w:tbl>
    <w:p w:rsidR="00391812" w:rsidRPr="00BC1080" w:rsidRDefault="00391812" w:rsidP="006C4607">
      <w:pPr>
        <w:pStyle w:val="naisf"/>
        <w:spacing w:before="0" w:after="0"/>
      </w:pP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0"/>
        <w:gridCol w:w="5174"/>
        <w:gridCol w:w="3827"/>
      </w:tblGrid>
      <w:tr w:rsidR="00391812" w:rsidRPr="00BC1080" w:rsidTr="00BC7B9B">
        <w:tc>
          <w:tcPr>
            <w:tcW w:w="9361" w:type="dxa"/>
            <w:gridSpan w:val="3"/>
            <w:vAlign w:val="center"/>
          </w:tcPr>
          <w:p w:rsidR="00391812" w:rsidRPr="00BC1080" w:rsidRDefault="00391812" w:rsidP="006C4607">
            <w:pPr>
              <w:pStyle w:val="naisnod"/>
              <w:spacing w:before="0" w:after="0"/>
            </w:pPr>
            <w:r w:rsidRPr="00BC1080">
              <w:t>II. Tiesību akta projekta ietekme uz sabiedrību</w:t>
            </w:r>
          </w:p>
        </w:tc>
      </w:tr>
      <w:tr w:rsidR="00391812" w:rsidRPr="00BC1080" w:rsidTr="00BC7B9B">
        <w:trPr>
          <w:trHeight w:val="467"/>
        </w:trPr>
        <w:tc>
          <w:tcPr>
            <w:tcW w:w="360" w:type="dxa"/>
          </w:tcPr>
          <w:p w:rsidR="00391812" w:rsidRPr="00BC1080" w:rsidRDefault="00391812" w:rsidP="006C4607">
            <w:pPr>
              <w:pStyle w:val="naiskr"/>
              <w:spacing w:before="0" w:after="0"/>
            </w:pPr>
            <w:r w:rsidRPr="00BC1080">
              <w:t>1.</w:t>
            </w:r>
          </w:p>
        </w:tc>
        <w:tc>
          <w:tcPr>
            <w:tcW w:w="5174" w:type="dxa"/>
          </w:tcPr>
          <w:p w:rsidR="00391812" w:rsidRPr="00BC1080" w:rsidRDefault="00391812" w:rsidP="006C4607">
            <w:pPr>
              <w:pStyle w:val="naiskr"/>
              <w:spacing w:before="0" w:after="0"/>
            </w:pPr>
            <w:r w:rsidRPr="00BC1080">
              <w:t>Sabiedrības mērķgrupa</w:t>
            </w:r>
          </w:p>
        </w:tc>
        <w:tc>
          <w:tcPr>
            <w:tcW w:w="3827" w:type="dxa"/>
          </w:tcPr>
          <w:p w:rsidR="00391812" w:rsidRPr="00BC1080" w:rsidRDefault="00391812" w:rsidP="00BA54D6">
            <w:pPr>
              <w:pStyle w:val="naiskr"/>
              <w:spacing w:before="0" w:after="0"/>
              <w:ind w:hanging="57"/>
            </w:pPr>
            <w:r w:rsidRPr="00BC1080">
              <w:rPr>
                <w:iCs/>
              </w:rPr>
              <w:t> Gaisa pārvadātāji, kas veic lidojumus uz un no lidostas „Rīga”.</w:t>
            </w:r>
          </w:p>
        </w:tc>
      </w:tr>
      <w:tr w:rsidR="00391812" w:rsidRPr="00BC1080" w:rsidTr="00BC7B9B">
        <w:trPr>
          <w:trHeight w:val="523"/>
        </w:trPr>
        <w:tc>
          <w:tcPr>
            <w:tcW w:w="360" w:type="dxa"/>
          </w:tcPr>
          <w:p w:rsidR="00391812" w:rsidRPr="00BC1080" w:rsidRDefault="00391812" w:rsidP="00BA54D6">
            <w:pPr>
              <w:pStyle w:val="naiskr"/>
              <w:spacing w:before="0" w:after="0"/>
              <w:ind w:left="-137"/>
            </w:pPr>
            <w:r w:rsidRPr="00BC1080">
              <w:t>22.</w:t>
            </w:r>
          </w:p>
        </w:tc>
        <w:tc>
          <w:tcPr>
            <w:tcW w:w="5174" w:type="dxa"/>
          </w:tcPr>
          <w:p w:rsidR="00391812" w:rsidRPr="00BC1080" w:rsidRDefault="00391812" w:rsidP="006C4607">
            <w:pPr>
              <w:pStyle w:val="naiskr"/>
              <w:spacing w:before="0" w:after="0"/>
            </w:pPr>
            <w:r w:rsidRPr="00BC1080">
              <w:t>Citas sabiedrības grupas (bez mērķgrupas), kuras tiesiskais regulējums arī ietekmē vai varētu ietekmēt</w:t>
            </w:r>
          </w:p>
        </w:tc>
        <w:tc>
          <w:tcPr>
            <w:tcW w:w="3827" w:type="dxa"/>
          </w:tcPr>
          <w:p w:rsidR="00391812" w:rsidRPr="00BC1080" w:rsidRDefault="00391812" w:rsidP="007972D6">
            <w:pPr>
              <w:pStyle w:val="naiskr"/>
              <w:spacing w:before="0" w:after="0"/>
            </w:pPr>
            <w:r w:rsidRPr="00BC1080">
              <w:t>Projekts šo jomu neskar.</w:t>
            </w:r>
          </w:p>
        </w:tc>
      </w:tr>
      <w:tr w:rsidR="00391812" w:rsidRPr="00BC1080" w:rsidTr="00BC7B9B">
        <w:trPr>
          <w:trHeight w:val="517"/>
        </w:trPr>
        <w:tc>
          <w:tcPr>
            <w:tcW w:w="360" w:type="dxa"/>
          </w:tcPr>
          <w:p w:rsidR="00391812" w:rsidRPr="00BC1080" w:rsidRDefault="00391812" w:rsidP="006C4607">
            <w:pPr>
              <w:pStyle w:val="naiskr"/>
              <w:spacing w:before="0" w:after="0"/>
            </w:pPr>
            <w:r w:rsidRPr="00BC1080">
              <w:t>3.</w:t>
            </w:r>
          </w:p>
        </w:tc>
        <w:tc>
          <w:tcPr>
            <w:tcW w:w="5174" w:type="dxa"/>
          </w:tcPr>
          <w:p w:rsidR="00391812" w:rsidRPr="00BC1080" w:rsidRDefault="00391812" w:rsidP="006C4607">
            <w:pPr>
              <w:pStyle w:val="naiskr"/>
              <w:spacing w:before="0" w:after="0"/>
            </w:pPr>
            <w:r w:rsidRPr="00BC1080">
              <w:t>Tiesiskā regulējuma finansiālā ietekme</w:t>
            </w:r>
          </w:p>
        </w:tc>
        <w:tc>
          <w:tcPr>
            <w:tcW w:w="3827" w:type="dxa"/>
          </w:tcPr>
          <w:p w:rsidR="00391812" w:rsidRPr="00BC1080" w:rsidRDefault="00391812" w:rsidP="006C4607">
            <w:pPr>
              <w:pStyle w:val="naiskr"/>
              <w:spacing w:before="0" w:after="0"/>
            </w:pPr>
            <w:r w:rsidRPr="00BC1080">
              <w:t>Projekts šo jomu neskar.</w:t>
            </w:r>
          </w:p>
        </w:tc>
      </w:tr>
      <w:tr w:rsidR="00391812" w:rsidRPr="00BC1080" w:rsidTr="00BC7B9B">
        <w:trPr>
          <w:trHeight w:val="517"/>
        </w:trPr>
        <w:tc>
          <w:tcPr>
            <w:tcW w:w="360" w:type="dxa"/>
          </w:tcPr>
          <w:p w:rsidR="00391812" w:rsidRPr="00BC1080" w:rsidRDefault="00391812" w:rsidP="006C4607">
            <w:pPr>
              <w:pStyle w:val="naiskr"/>
              <w:spacing w:before="0" w:after="0"/>
            </w:pPr>
            <w:r w:rsidRPr="00BC1080">
              <w:t>4.</w:t>
            </w:r>
          </w:p>
        </w:tc>
        <w:tc>
          <w:tcPr>
            <w:tcW w:w="5174" w:type="dxa"/>
          </w:tcPr>
          <w:p w:rsidR="00391812" w:rsidRPr="00BC1080" w:rsidRDefault="00391812" w:rsidP="006C4607">
            <w:pPr>
              <w:pStyle w:val="naiskr"/>
              <w:spacing w:before="0" w:after="0"/>
            </w:pPr>
            <w:r w:rsidRPr="00BC1080">
              <w:t>Tiesiskā regulējuma nefinansiālā ietekme</w:t>
            </w:r>
          </w:p>
        </w:tc>
        <w:tc>
          <w:tcPr>
            <w:tcW w:w="3827" w:type="dxa"/>
          </w:tcPr>
          <w:p w:rsidR="00391812" w:rsidRPr="00BC1080" w:rsidRDefault="00391812" w:rsidP="006C4607">
            <w:pPr>
              <w:pStyle w:val="naiskr"/>
              <w:spacing w:before="0" w:after="0"/>
            </w:pPr>
            <w:r w:rsidRPr="00BC1080">
              <w:t>Projekts šo jomu neskar.</w:t>
            </w:r>
          </w:p>
        </w:tc>
      </w:tr>
      <w:tr w:rsidR="00391812" w:rsidRPr="00BC1080" w:rsidTr="00BC7B9B">
        <w:trPr>
          <w:trHeight w:val="531"/>
        </w:trPr>
        <w:tc>
          <w:tcPr>
            <w:tcW w:w="360" w:type="dxa"/>
          </w:tcPr>
          <w:p w:rsidR="00391812" w:rsidRPr="00BC1080" w:rsidRDefault="00391812" w:rsidP="006C4607">
            <w:pPr>
              <w:pStyle w:val="naiskr"/>
              <w:spacing w:before="0" w:after="0"/>
            </w:pPr>
            <w:r w:rsidRPr="00BC1080">
              <w:t>5.</w:t>
            </w:r>
          </w:p>
        </w:tc>
        <w:tc>
          <w:tcPr>
            <w:tcW w:w="5174" w:type="dxa"/>
          </w:tcPr>
          <w:p w:rsidR="00391812" w:rsidRPr="00BC1080" w:rsidRDefault="00391812" w:rsidP="006C4607">
            <w:pPr>
              <w:pStyle w:val="naiskr"/>
              <w:spacing w:before="0" w:after="0"/>
            </w:pPr>
            <w:r w:rsidRPr="00BC1080">
              <w:t>Administratīvās procedūras raksturojums</w:t>
            </w:r>
          </w:p>
        </w:tc>
        <w:tc>
          <w:tcPr>
            <w:tcW w:w="3827" w:type="dxa"/>
          </w:tcPr>
          <w:p w:rsidR="00391812" w:rsidRPr="00BC1080" w:rsidRDefault="00391812" w:rsidP="006C4607">
            <w:pPr>
              <w:pStyle w:val="naiskr"/>
              <w:spacing w:before="0" w:after="0"/>
            </w:pPr>
            <w:r w:rsidRPr="00BC1080">
              <w:t>Projekts šo jomu neskar.</w:t>
            </w:r>
          </w:p>
        </w:tc>
      </w:tr>
      <w:tr w:rsidR="00391812" w:rsidRPr="00BC1080" w:rsidTr="00BC7B9B">
        <w:trPr>
          <w:trHeight w:val="357"/>
        </w:trPr>
        <w:tc>
          <w:tcPr>
            <w:tcW w:w="360" w:type="dxa"/>
          </w:tcPr>
          <w:p w:rsidR="00391812" w:rsidRPr="00BC1080" w:rsidRDefault="00391812" w:rsidP="006C4607">
            <w:pPr>
              <w:pStyle w:val="naiskr"/>
              <w:spacing w:before="0" w:after="0"/>
            </w:pPr>
            <w:r w:rsidRPr="00BC1080">
              <w:t>6.</w:t>
            </w:r>
          </w:p>
        </w:tc>
        <w:tc>
          <w:tcPr>
            <w:tcW w:w="5174" w:type="dxa"/>
          </w:tcPr>
          <w:p w:rsidR="00391812" w:rsidRPr="00BC1080" w:rsidRDefault="00391812" w:rsidP="006C4607">
            <w:pPr>
              <w:pStyle w:val="naiskr"/>
              <w:spacing w:before="0" w:after="0"/>
            </w:pPr>
            <w:r w:rsidRPr="00BC1080">
              <w:t>Administratīvo izmaksu monetārs novērtējums</w:t>
            </w:r>
          </w:p>
        </w:tc>
        <w:tc>
          <w:tcPr>
            <w:tcW w:w="3827" w:type="dxa"/>
          </w:tcPr>
          <w:p w:rsidR="00391812" w:rsidRPr="00BC1080" w:rsidRDefault="00391812" w:rsidP="006C4607">
            <w:pPr>
              <w:pStyle w:val="naiskr"/>
              <w:spacing w:before="0" w:after="0"/>
            </w:pPr>
            <w:r w:rsidRPr="00BC1080">
              <w:t>Projekts šo jomu neskar.</w:t>
            </w:r>
          </w:p>
        </w:tc>
      </w:tr>
      <w:tr w:rsidR="00391812" w:rsidRPr="00BC1080" w:rsidTr="00BC7B9B">
        <w:tc>
          <w:tcPr>
            <w:tcW w:w="360" w:type="dxa"/>
          </w:tcPr>
          <w:p w:rsidR="00391812" w:rsidRPr="00BC1080" w:rsidRDefault="00391812" w:rsidP="006C4607">
            <w:pPr>
              <w:pStyle w:val="naiskr"/>
              <w:spacing w:before="0" w:after="0"/>
            </w:pPr>
            <w:r w:rsidRPr="00BC1080">
              <w:t>7.</w:t>
            </w:r>
          </w:p>
        </w:tc>
        <w:tc>
          <w:tcPr>
            <w:tcW w:w="5174" w:type="dxa"/>
          </w:tcPr>
          <w:p w:rsidR="00391812" w:rsidRPr="00BC1080" w:rsidRDefault="00391812" w:rsidP="006C4607">
            <w:pPr>
              <w:pStyle w:val="naiskr"/>
              <w:spacing w:before="0" w:after="0"/>
            </w:pPr>
            <w:r w:rsidRPr="00BC1080">
              <w:t>Cita informācija</w:t>
            </w:r>
          </w:p>
        </w:tc>
        <w:tc>
          <w:tcPr>
            <w:tcW w:w="3827" w:type="dxa"/>
          </w:tcPr>
          <w:p w:rsidR="00391812" w:rsidRPr="00BC1080" w:rsidRDefault="00391812" w:rsidP="006C4607">
            <w:pPr>
              <w:pStyle w:val="naiskr"/>
              <w:spacing w:before="0" w:after="0"/>
            </w:pPr>
            <w:r w:rsidRPr="00BC1080">
              <w:t>Nav</w:t>
            </w:r>
          </w:p>
        </w:tc>
      </w:tr>
    </w:tbl>
    <w:p w:rsidR="00391812" w:rsidRPr="00BC1080" w:rsidRDefault="00391812" w:rsidP="006C4607">
      <w:pPr>
        <w:pStyle w:val="naisf"/>
        <w:spacing w:before="0" w:after="0"/>
        <w:jc w:val="center"/>
        <w:rPr>
          <w:b/>
        </w:rPr>
      </w:pPr>
    </w:p>
    <w:tbl>
      <w:tblPr>
        <w:tblW w:w="9326"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5"/>
        <w:gridCol w:w="2265"/>
        <w:gridCol w:w="6646"/>
      </w:tblGrid>
      <w:tr w:rsidR="00391812" w:rsidRPr="00BC1080" w:rsidTr="00BC7B9B">
        <w:trPr>
          <w:jc w:val="center"/>
        </w:trPr>
        <w:tc>
          <w:tcPr>
            <w:tcW w:w="9326" w:type="dxa"/>
            <w:gridSpan w:val="3"/>
          </w:tcPr>
          <w:p w:rsidR="00391812" w:rsidRPr="00BC1080" w:rsidRDefault="00391812" w:rsidP="007D099D">
            <w:pPr>
              <w:pStyle w:val="naisnod"/>
              <w:spacing w:before="0" w:after="0"/>
              <w:ind w:left="57" w:right="57"/>
            </w:pPr>
            <w:r w:rsidRPr="00BC1080">
              <w:t>VI. Sabiedrības līdzdalība un šīs līdzdalības rezultāti</w:t>
            </w:r>
          </w:p>
        </w:tc>
      </w:tr>
      <w:tr w:rsidR="00391812" w:rsidRPr="00BC1080" w:rsidTr="00BC7B9B">
        <w:trPr>
          <w:trHeight w:val="553"/>
          <w:jc w:val="center"/>
        </w:trPr>
        <w:tc>
          <w:tcPr>
            <w:tcW w:w="415" w:type="dxa"/>
          </w:tcPr>
          <w:p w:rsidR="00391812" w:rsidRPr="00BC1080" w:rsidRDefault="00391812" w:rsidP="007D099D">
            <w:pPr>
              <w:pStyle w:val="naiskr"/>
              <w:spacing w:before="0" w:after="0"/>
              <w:ind w:left="57" w:right="57"/>
              <w:rPr>
                <w:bCs/>
              </w:rPr>
            </w:pPr>
            <w:r w:rsidRPr="00BC1080">
              <w:rPr>
                <w:bCs/>
              </w:rPr>
              <w:t>1.</w:t>
            </w:r>
          </w:p>
        </w:tc>
        <w:tc>
          <w:tcPr>
            <w:tcW w:w="2265" w:type="dxa"/>
          </w:tcPr>
          <w:p w:rsidR="00391812" w:rsidRPr="00BC1080" w:rsidRDefault="00391812" w:rsidP="007D099D">
            <w:pPr>
              <w:pStyle w:val="naiskr"/>
              <w:tabs>
                <w:tab w:val="left" w:pos="170"/>
              </w:tabs>
              <w:spacing w:before="0" w:after="0"/>
              <w:ind w:left="57" w:right="57"/>
            </w:pPr>
            <w:r w:rsidRPr="00BC1080">
              <w:t>Sabiedrības informēšana par projekta izstrādes uzsākšanu</w:t>
            </w:r>
          </w:p>
        </w:tc>
        <w:tc>
          <w:tcPr>
            <w:tcW w:w="6646" w:type="dxa"/>
          </w:tcPr>
          <w:p w:rsidR="00391812" w:rsidRPr="00BC1080" w:rsidRDefault="00391812" w:rsidP="00BE7E39">
            <w:pPr>
              <w:pStyle w:val="naiskr"/>
              <w:spacing w:before="0" w:after="0"/>
              <w:ind w:left="57" w:right="57" w:firstLine="271"/>
              <w:jc w:val="both"/>
              <w:rPr>
                <w:iCs/>
              </w:rPr>
            </w:pPr>
            <w:r w:rsidRPr="00BC1080">
              <w:rPr>
                <w:iCs/>
              </w:rPr>
              <w:t>Saskaņā ar Ministru kabineta 2011.gada 5.jūlija noteikumiem Nr.540 Lidosta „Rīga” ir organizējusi konsultācijas un veikusi plānoto grozījumu saskaņošanu ar Lidostas lietotājiem.</w:t>
            </w:r>
          </w:p>
          <w:p w:rsidR="00391812" w:rsidRPr="00BC1080" w:rsidRDefault="00391812" w:rsidP="00BE7E39">
            <w:pPr>
              <w:pStyle w:val="FootnoteText"/>
              <w:ind w:firstLine="328"/>
              <w:jc w:val="both"/>
              <w:rPr>
                <w:sz w:val="24"/>
                <w:szCs w:val="24"/>
              </w:rPr>
            </w:pPr>
            <w:r w:rsidRPr="00BC1080">
              <w:rPr>
                <w:sz w:val="24"/>
                <w:szCs w:val="24"/>
              </w:rPr>
              <w:t xml:space="preserve">2012.gada 25.augustā lidosta „Rīga” ir elektroniski nosūtījusi 18 lidostas lietotājiem – aviopārvadātājiem, kas veic lidojumus uz lidostu „Rīga” (Finnair, Lufthansa, LOT Polish Airlines, Turkish Airlines, uzbekistan Airways, Norwegian Air Shuttle, Ryanair, UT Air, Air Baltic, Belavia, Raf Avia, Simple Jet, Transaero, Smartlynx, Estonian Air, Aeroflot, Czech Airlines, Wizz Air), vēstuli ar izklāstītiem diferencēto maksu ieviešanas priekšlikumiem un aicinājusi uz pirmajām konsultāciju sarunām 2012.gada 28.augustā. </w:t>
            </w:r>
          </w:p>
          <w:p w:rsidR="00391812" w:rsidRPr="00BC1080" w:rsidRDefault="00391812" w:rsidP="00BE7E39">
            <w:pPr>
              <w:pStyle w:val="FootnoteText"/>
              <w:ind w:firstLine="328"/>
              <w:jc w:val="both"/>
              <w:rPr>
                <w:sz w:val="24"/>
                <w:szCs w:val="24"/>
              </w:rPr>
            </w:pPr>
            <w:r w:rsidRPr="00BC1080">
              <w:rPr>
                <w:sz w:val="24"/>
                <w:szCs w:val="24"/>
              </w:rPr>
              <w:t xml:space="preserve">28.augustā notika pirmās konsultācijas, uz kurām bija ieradušies četru aviopārvadātāju pārstāvji (Finnair, Lufthansa, Air Baltic, UT Air). Pārrunās notika diskusijas par piedāvāto maksu diferencēšanu un  panākta vienošanās lidostas „Rīga” sākotnēji piedāvāto diferencēto pasažieru maksu lidojumu skaita pieauguma gadījumā attiecināt uz pasažieru skaita pieauguma gadījumiem. </w:t>
            </w:r>
          </w:p>
          <w:p w:rsidR="00391812" w:rsidRPr="00BC1080" w:rsidRDefault="00391812" w:rsidP="00BE7E39">
            <w:pPr>
              <w:pStyle w:val="naiskr"/>
              <w:spacing w:before="0" w:after="0"/>
              <w:ind w:left="57" w:right="57" w:firstLine="271"/>
              <w:jc w:val="both"/>
            </w:pPr>
            <w:r w:rsidRPr="00BC1080">
              <w:t>2012.gada 6.septembrī notika lidostas lietotāju komitejas sanāksme, kuras laikā notika diferencēto maksu piedāvājuma apspriešana un balsošana par piedāvājuma tālāku virzīšanu apstiprināšanai Ministru kabinetā. Saskaņā ar lidostas lietotāju komitejas statūtiem balsot par lidostas maksām drīkst aviopārvadātāji, kas veic lidojumus uz Rīgu un ir pilnvaroti pārstāvēt sava uzņēmuma viedokli lidostas lietotāju komitejā. 2012.gada septembrī balsstiesīgie aviopārvadātāji bija 10, no kuriem 7 piedalījās lietotāju komitejas sanāksmē un vienbalsīgi atbalstīja diferencēto maksu tālāku virzīšanu apstiprināšanai Ministru kabinetā.</w:t>
            </w:r>
          </w:p>
        </w:tc>
      </w:tr>
      <w:tr w:rsidR="00391812" w:rsidRPr="00BC1080" w:rsidTr="00BC7B9B">
        <w:trPr>
          <w:trHeight w:val="339"/>
          <w:jc w:val="center"/>
        </w:trPr>
        <w:tc>
          <w:tcPr>
            <w:tcW w:w="415" w:type="dxa"/>
          </w:tcPr>
          <w:p w:rsidR="00391812" w:rsidRPr="00BC1080" w:rsidRDefault="00391812" w:rsidP="007D099D">
            <w:pPr>
              <w:pStyle w:val="naiskr"/>
              <w:spacing w:before="0" w:after="0"/>
              <w:ind w:left="57" w:right="57"/>
              <w:rPr>
                <w:bCs/>
              </w:rPr>
            </w:pPr>
            <w:r w:rsidRPr="00BC1080">
              <w:rPr>
                <w:bCs/>
              </w:rPr>
              <w:t>2.</w:t>
            </w:r>
          </w:p>
        </w:tc>
        <w:tc>
          <w:tcPr>
            <w:tcW w:w="2265" w:type="dxa"/>
          </w:tcPr>
          <w:p w:rsidR="00391812" w:rsidRPr="00BC1080" w:rsidRDefault="00391812" w:rsidP="007D099D">
            <w:pPr>
              <w:pStyle w:val="naiskr"/>
              <w:spacing w:before="0" w:after="0"/>
              <w:ind w:left="57" w:right="57"/>
            </w:pPr>
            <w:r w:rsidRPr="00BC1080">
              <w:t xml:space="preserve">Sabiedrības līdzdalība projekta izstrādē </w:t>
            </w:r>
          </w:p>
        </w:tc>
        <w:tc>
          <w:tcPr>
            <w:tcW w:w="6646" w:type="dxa"/>
          </w:tcPr>
          <w:p w:rsidR="00391812" w:rsidRPr="00BC1080" w:rsidRDefault="00391812" w:rsidP="003B7B72">
            <w:pPr>
              <w:pStyle w:val="naiskr"/>
              <w:spacing w:before="0" w:after="0"/>
              <w:ind w:left="57" w:right="57"/>
              <w:jc w:val="both"/>
            </w:pPr>
            <w:r w:rsidRPr="00BC1080">
              <w:rPr>
                <w:iCs/>
              </w:rPr>
              <w:t>Konsultācijas ir notikušas ar Lidostas lietotājiem un Finanšu ministriju.</w:t>
            </w:r>
          </w:p>
        </w:tc>
      </w:tr>
      <w:tr w:rsidR="00391812" w:rsidRPr="00BC1080" w:rsidTr="00BC7B9B">
        <w:trPr>
          <w:trHeight w:val="375"/>
          <w:jc w:val="center"/>
        </w:trPr>
        <w:tc>
          <w:tcPr>
            <w:tcW w:w="415" w:type="dxa"/>
          </w:tcPr>
          <w:p w:rsidR="00391812" w:rsidRPr="00BC1080" w:rsidRDefault="00391812" w:rsidP="007D099D">
            <w:pPr>
              <w:pStyle w:val="naiskr"/>
              <w:spacing w:before="0" w:after="0"/>
              <w:ind w:left="57" w:right="57"/>
              <w:rPr>
                <w:bCs/>
              </w:rPr>
            </w:pPr>
            <w:r w:rsidRPr="00BC1080">
              <w:rPr>
                <w:bCs/>
              </w:rPr>
              <w:t>3.</w:t>
            </w:r>
          </w:p>
        </w:tc>
        <w:tc>
          <w:tcPr>
            <w:tcW w:w="2265" w:type="dxa"/>
          </w:tcPr>
          <w:p w:rsidR="00391812" w:rsidRPr="00BC1080" w:rsidRDefault="00391812" w:rsidP="007D099D">
            <w:pPr>
              <w:pStyle w:val="naiskr"/>
              <w:spacing w:before="0" w:after="0"/>
              <w:ind w:left="57" w:right="57"/>
            </w:pPr>
            <w:r w:rsidRPr="00BC1080">
              <w:t xml:space="preserve">Sabiedrības līdzdalības rezultāti </w:t>
            </w:r>
          </w:p>
        </w:tc>
        <w:tc>
          <w:tcPr>
            <w:tcW w:w="6646" w:type="dxa"/>
          </w:tcPr>
          <w:p w:rsidR="00391812" w:rsidRPr="00BC1080" w:rsidRDefault="00391812" w:rsidP="003B7B72">
            <w:pPr>
              <w:pStyle w:val="naiskr"/>
              <w:spacing w:before="0" w:after="0"/>
              <w:ind w:left="57" w:right="57"/>
              <w:jc w:val="both"/>
            </w:pPr>
            <w:r w:rsidRPr="00BC1080">
              <w:rPr>
                <w:iCs/>
              </w:rPr>
              <w:t xml:space="preserve">Lidostas lietotāji pilnībā atbalsta grozījumu ieviešanu. </w:t>
            </w:r>
          </w:p>
        </w:tc>
      </w:tr>
      <w:tr w:rsidR="00391812" w:rsidRPr="00BC1080" w:rsidTr="00BC7B9B">
        <w:trPr>
          <w:trHeight w:val="397"/>
          <w:jc w:val="center"/>
        </w:trPr>
        <w:tc>
          <w:tcPr>
            <w:tcW w:w="415" w:type="dxa"/>
          </w:tcPr>
          <w:p w:rsidR="00391812" w:rsidRPr="00BC1080" w:rsidRDefault="00391812" w:rsidP="007D099D">
            <w:pPr>
              <w:pStyle w:val="naiskr"/>
              <w:spacing w:before="0" w:after="0"/>
              <w:ind w:left="57" w:right="57"/>
              <w:rPr>
                <w:bCs/>
              </w:rPr>
            </w:pPr>
            <w:r w:rsidRPr="00BC1080">
              <w:rPr>
                <w:bCs/>
              </w:rPr>
              <w:t>4.</w:t>
            </w:r>
          </w:p>
        </w:tc>
        <w:tc>
          <w:tcPr>
            <w:tcW w:w="2265" w:type="dxa"/>
          </w:tcPr>
          <w:p w:rsidR="00391812" w:rsidRPr="00BC1080" w:rsidRDefault="00391812" w:rsidP="007D099D">
            <w:pPr>
              <w:pStyle w:val="naiskr"/>
              <w:spacing w:before="0" w:after="0"/>
              <w:ind w:left="57" w:right="57"/>
            </w:pPr>
            <w:r w:rsidRPr="00BC1080">
              <w:t>Saeimas un ekspertu līdzdalība</w:t>
            </w:r>
          </w:p>
        </w:tc>
        <w:tc>
          <w:tcPr>
            <w:tcW w:w="6646" w:type="dxa"/>
          </w:tcPr>
          <w:p w:rsidR="00391812" w:rsidRPr="00BC1080" w:rsidRDefault="00391812" w:rsidP="007D099D">
            <w:pPr>
              <w:pStyle w:val="naiskr"/>
              <w:spacing w:before="0" w:after="0"/>
              <w:ind w:left="57" w:right="57"/>
              <w:jc w:val="both"/>
            </w:pPr>
            <w:r w:rsidRPr="00BC1080">
              <w:t>Lidostas lietotāji tiek uzskatīti par nozares ekspertiem.</w:t>
            </w:r>
          </w:p>
        </w:tc>
      </w:tr>
      <w:tr w:rsidR="00391812" w:rsidRPr="00BC1080" w:rsidTr="00BC7B9B">
        <w:trPr>
          <w:trHeight w:val="476"/>
          <w:jc w:val="center"/>
        </w:trPr>
        <w:tc>
          <w:tcPr>
            <w:tcW w:w="415" w:type="dxa"/>
          </w:tcPr>
          <w:p w:rsidR="00391812" w:rsidRPr="00BC1080" w:rsidRDefault="00391812" w:rsidP="007D099D">
            <w:pPr>
              <w:pStyle w:val="naiskr"/>
              <w:spacing w:before="0" w:after="0"/>
              <w:ind w:left="57" w:right="57"/>
              <w:rPr>
                <w:bCs/>
              </w:rPr>
            </w:pPr>
            <w:r w:rsidRPr="00BC1080">
              <w:rPr>
                <w:bCs/>
              </w:rPr>
              <w:t>5.</w:t>
            </w:r>
          </w:p>
        </w:tc>
        <w:tc>
          <w:tcPr>
            <w:tcW w:w="2265" w:type="dxa"/>
          </w:tcPr>
          <w:p w:rsidR="00391812" w:rsidRPr="00BC1080" w:rsidRDefault="00391812" w:rsidP="007D099D">
            <w:pPr>
              <w:pStyle w:val="naiskr"/>
              <w:spacing w:before="0" w:after="0"/>
              <w:ind w:left="57" w:right="57"/>
            </w:pPr>
            <w:r w:rsidRPr="00BC1080">
              <w:t>Cita informācija</w:t>
            </w:r>
          </w:p>
          <w:p w:rsidR="00391812" w:rsidRPr="00BC1080" w:rsidRDefault="00391812" w:rsidP="007D099D">
            <w:pPr>
              <w:pStyle w:val="naiskr"/>
              <w:spacing w:before="0" w:after="0"/>
              <w:ind w:left="57" w:right="57"/>
            </w:pPr>
          </w:p>
        </w:tc>
        <w:tc>
          <w:tcPr>
            <w:tcW w:w="6646" w:type="dxa"/>
          </w:tcPr>
          <w:p w:rsidR="00391812" w:rsidRPr="00BC1080" w:rsidRDefault="00391812" w:rsidP="00452274">
            <w:pPr>
              <w:pStyle w:val="naiskr"/>
              <w:spacing w:before="0" w:after="0"/>
              <w:ind w:left="57" w:right="57"/>
              <w:jc w:val="both"/>
            </w:pPr>
            <w:r>
              <w:t>Nav.</w:t>
            </w:r>
          </w:p>
        </w:tc>
      </w:tr>
    </w:tbl>
    <w:p w:rsidR="00391812" w:rsidRPr="00BC1080" w:rsidRDefault="00391812" w:rsidP="006C4607">
      <w:pPr>
        <w:pStyle w:val="naisf"/>
        <w:spacing w:before="0" w:after="0"/>
      </w:pPr>
    </w:p>
    <w:tbl>
      <w:tblPr>
        <w:tblW w:w="960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1"/>
        <w:gridCol w:w="4207"/>
        <w:gridCol w:w="4923"/>
      </w:tblGrid>
      <w:tr w:rsidR="00391812" w:rsidRPr="00BC1080" w:rsidTr="00BC7B9B">
        <w:tc>
          <w:tcPr>
            <w:tcW w:w="9601" w:type="dxa"/>
            <w:gridSpan w:val="3"/>
          </w:tcPr>
          <w:p w:rsidR="00391812" w:rsidRPr="00BC1080" w:rsidRDefault="00391812" w:rsidP="007D099D">
            <w:pPr>
              <w:pStyle w:val="naisnod"/>
              <w:spacing w:before="0" w:after="0"/>
              <w:ind w:left="57" w:right="57"/>
            </w:pPr>
            <w:r w:rsidRPr="00BC1080">
              <w:t>VII. Tiesību akta projekta izpildes nodrošināšana un tās ietekme uz institūcijām</w:t>
            </w:r>
          </w:p>
        </w:tc>
      </w:tr>
      <w:tr w:rsidR="00391812" w:rsidRPr="00BC1080" w:rsidTr="00BC7B9B">
        <w:trPr>
          <w:trHeight w:val="427"/>
        </w:trPr>
        <w:tc>
          <w:tcPr>
            <w:tcW w:w="471" w:type="dxa"/>
          </w:tcPr>
          <w:p w:rsidR="00391812" w:rsidRPr="00BC1080" w:rsidRDefault="00391812" w:rsidP="007D099D">
            <w:pPr>
              <w:pStyle w:val="naisnod"/>
              <w:spacing w:before="0" w:after="0"/>
              <w:ind w:left="57" w:right="57"/>
              <w:jc w:val="left"/>
              <w:rPr>
                <w:b w:val="0"/>
              </w:rPr>
            </w:pPr>
            <w:r w:rsidRPr="00BC1080">
              <w:rPr>
                <w:b w:val="0"/>
              </w:rPr>
              <w:t>1.</w:t>
            </w:r>
          </w:p>
        </w:tc>
        <w:tc>
          <w:tcPr>
            <w:tcW w:w="4207" w:type="dxa"/>
          </w:tcPr>
          <w:p w:rsidR="00391812" w:rsidRPr="00BC1080" w:rsidRDefault="00391812" w:rsidP="007D099D">
            <w:pPr>
              <w:pStyle w:val="naisf"/>
              <w:spacing w:before="0" w:after="0"/>
              <w:ind w:left="57" w:right="57" w:firstLine="0"/>
              <w:jc w:val="left"/>
            </w:pPr>
            <w:r w:rsidRPr="00BC1080">
              <w:t xml:space="preserve">Projekta izpildē iesaistītās institūcijas </w:t>
            </w:r>
          </w:p>
        </w:tc>
        <w:tc>
          <w:tcPr>
            <w:tcW w:w="4923" w:type="dxa"/>
          </w:tcPr>
          <w:p w:rsidR="00391812" w:rsidRPr="00BC1080" w:rsidRDefault="00391812" w:rsidP="007D099D">
            <w:pPr>
              <w:pStyle w:val="naisnod"/>
              <w:spacing w:before="0" w:after="0"/>
              <w:ind w:left="57" w:right="57"/>
              <w:jc w:val="left"/>
              <w:rPr>
                <w:b w:val="0"/>
              </w:rPr>
            </w:pPr>
            <w:r w:rsidRPr="00BC1080">
              <w:rPr>
                <w:b w:val="0"/>
                <w:iCs/>
              </w:rPr>
              <w:t>Lidosta „Rīga”</w:t>
            </w:r>
          </w:p>
        </w:tc>
      </w:tr>
      <w:tr w:rsidR="00391812" w:rsidRPr="00BC1080" w:rsidTr="00BC7B9B">
        <w:trPr>
          <w:trHeight w:val="463"/>
        </w:trPr>
        <w:tc>
          <w:tcPr>
            <w:tcW w:w="471" w:type="dxa"/>
          </w:tcPr>
          <w:p w:rsidR="00391812" w:rsidRPr="00BC1080" w:rsidRDefault="00391812" w:rsidP="007D099D">
            <w:pPr>
              <w:pStyle w:val="naisnod"/>
              <w:spacing w:before="0" w:after="0"/>
              <w:ind w:left="57" w:right="57"/>
              <w:jc w:val="left"/>
              <w:rPr>
                <w:b w:val="0"/>
              </w:rPr>
            </w:pPr>
            <w:r w:rsidRPr="00BC1080">
              <w:rPr>
                <w:b w:val="0"/>
              </w:rPr>
              <w:t>2.</w:t>
            </w:r>
          </w:p>
        </w:tc>
        <w:tc>
          <w:tcPr>
            <w:tcW w:w="4207" w:type="dxa"/>
          </w:tcPr>
          <w:p w:rsidR="00391812" w:rsidRPr="00BC1080" w:rsidRDefault="00391812" w:rsidP="007D099D">
            <w:pPr>
              <w:pStyle w:val="naisf"/>
              <w:spacing w:before="0" w:after="0"/>
              <w:ind w:left="57" w:right="57" w:firstLine="0"/>
              <w:jc w:val="left"/>
            </w:pPr>
            <w:r w:rsidRPr="00BC1080">
              <w:t xml:space="preserve">Projekta izpildes ietekme uz pārvaldes funkcijām </w:t>
            </w:r>
          </w:p>
        </w:tc>
        <w:tc>
          <w:tcPr>
            <w:tcW w:w="4923" w:type="dxa"/>
          </w:tcPr>
          <w:p w:rsidR="00391812" w:rsidRPr="00BC1080" w:rsidRDefault="00391812" w:rsidP="007D099D">
            <w:pPr>
              <w:pStyle w:val="naisnod"/>
              <w:spacing w:before="0" w:after="0"/>
              <w:ind w:left="57" w:right="57"/>
              <w:jc w:val="left"/>
              <w:rPr>
                <w:b w:val="0"/>
              </w:rPr>
            </w:pPr>
            <w:r w:rsidRPr="00BC1080">
              <w:rPr>
                <w:b w:val="0"/>
                <w:iCs/>
              </w:rPr>
              <w:t>Projekts šo jomu neskar.</w:t>
            </w:r>
          </w:p>
        </w:tc>
      </w:tr>
      <w:tr w:rsidR="00391812" w:rsidRPr="00BC1080" w:rsidTr="00BC7B9B">
        <w:trPr>
          <w:trHeight w:val="725"/>
        </w:trPr>
        <w:tc>
          <w:tcPr>
            <w:tcW w:w="471" w:type="dxa"/>
          </w:tcPr>
          <w:p w:rsidR="00391812" w:rsidRPr="00BC1080" w:rsidRDefault="00391812" w:rsidP="007D099D">
            <w:pPr>
              <w:pStyle w:val="naisnod"/>
              <w:spacing w:before="0" w:after="0"/>
              <w:ind w:left="57" w:right="57"/>
              <w:jc w:val="left"/>
              <w:rPr>
                <w:b w:val="0"/>
              </w:rPr>
            </w:pPr>
            <w:r w:rsidRPr="00BC1080">
              <w:rPr>
                <w:b w:val="0"/>
              </w:rPr>
              <w:t>3.</w:t>
            </w:r>
          </w:p>
        </w:tc>
        <w:tc>
          <w:tcPr>
            <w:tcW w:w="4207" w:type="dxa"/>
          </w:tcPr>
          <w:p w:rsidR="00391812" w:rsidRPr="00BC1080" w:rsidRDefault="00391812" w:rsidP="007D099D">
            <w:pPr>
              <w:pStyle w:val="naisf"/>
              <w:spacing w:before="0" w:after="0"/>
              <w:ind w:left="57" w:right="57" w:firstLine="0"/>
              <w:jc w:val="left"/>
            </w:pPr>
            <w:r w:rsidRPr="00BC1080">
              <w:t>Projekta izpildes ietekme uz pārvaldes institucionālo struktūru.</w:t>
            </w:r>
          </w:p>
          <w:p w:rsidR="00391812" w:rsidRPr="00BC1080" w:rsidRDefault="00391812" w:rsidP="007D099D">
            <w:pPr>
              <w:pStyle w:val="naisf"/>
              <w:spacing w:before="0" w:after="0"/>
              <w:ind w:left="57" w:right="57" w:firstLine="0"/>
              <w:jc w:val="left"/>
            </w:pPr>
            <w:r w:rsidRPr="00BC1080">
              <w:t>Jaunu institūciju izveide</w:t>
            </w:r>
          </w:p>
        </w:tc>
        <w:tc>
          <w:tcPr>
            <w:tcW w:w="4923" w:type="dxa"/>
          </w:tcPr>
          <w:p w:rsidR="00391812" w:rsidRPr="00BC1080" w:rsidRDefault="00391812" w:rsidP="007D099D">
            <w:pPr>
              <w:pStyle w:val="naisnod"/>
              <w:spacing w:before="0" w:after="0"/>
              <w:ind w:left="57" w:right="57"/>
              <w:jc w:val="left"/>
              <w:rPr>
                <w:b w:val="0"/>
              </w:rPr>
            </w:pPr>
            <w:r w:rsidRPr="00BC1080">
              <w:rPr>
                <w:b w:val="0"/>
              </w:rPr>
              <w:t>Projekts šo jomu neskar.</w:t>
            </w:r>
          </w:p>
        </w:tc>
      </w:tr>
      <w:tr w:rsidR="00391812" w:rsidRPr="00BC1080" w:rsidTr="00BC7B9B">
        <w:trPr>
          <w:trHeight w:val="780"/>
        </w:trPr>
        <w:tc>
          <w:tcPr>
            <w:tcW w:w="471" w:type="dxa"/>
          </w:tcPr>
          <w:p w:rsidR="00391812" w:rsidRPr="00BC1080" w:rsidRDefault="00391812" w:rsidP="007D099D">
            <w:pPr>
              <w:pStyle w:val="naisnod"/>
              <w:spacing w:before="0" w:after="0"/>
              <w:ind w:left="57" w:right="57"/>
              <w:jc w:val="left"/>
              <w:rPr>
                <w:b w:val="0"/>
              </w:rPr>
            </w:pPr>
            <w:r w:rsidRPr="00BC1080">
              <w:rPr>
                <w:b w:val="0"/>
              </w:rPr>
              <w:t>4.</w:t>
            </w:r>
          </w:p>
        </w:tc>
        <w:tc>
          <w:tcPr>
            <w:tcW w:w="4207" w:type="dxa"/>
          </w:tcPr>
          <w:p w:rsidR="00391812" w:rsidRPr="00BC1080" w:rsidRDefault="00391812" w:rsidP="007D099D">
            <w:pPr>
              <w:pStyle w:val="naisf"/>
              <w:spacing w:before="0" w:after="0"/>
              <w:ind w:left="57" w:right="57" w:firstLine="0"/>
              <w:jc w:val="left"/>
            </w:pPr>
            <w:r w:rsidRPr="00BC1080">
              <w:t>Projekta izpildes ietekme uz pārvaldes institucionālo struktūru.</w:t>
            </w:r>
          </w:p>
          <w:p w:rsidR="00391812" w:rsidRPr="00BC1080" w:rsidRDefault="00391812" w:rsidP="007D099D">
            <w:pPr>
              <w:pStyle w:val="naisf"/>
              <w:spacing w:before="0" w:after="0"/>
              <w:ind w:left="57" w:right="57" w:firstLine="0"/>
              <w:jc w:val="left"/>
            </w:pPr>
            <w:r w:rsidRPr="00BC1080">
              <w:t>Esošu institūciju likvidācija</w:t>
            </w:r>
          </w:p>
        </w:tc>
        <w:tc>
          <w:tcPr>
            <w:tcW w:w="4923" w:type="dxa"/>
          </w:tcPr>
          <w:p w:rsidR="00391812" w:rsidRPr="00BC1080" w:rsidRDefault="00391812" w:rsidP="007D099D">
            <w:pPr>
              <w:pStyle w:val="naisnod"/>
              <w:spacing w:before="0" w:after="0"/>
              <w:ind w:left="57" w:right="57"/>
              <w:jc w:val="left"/>
              <w:rPr>
                <w:b w:val="0"/>
              </w:rPr>
            </w:pPr>
            <w:r w:rsidRPr="00BC1080">
              <w:rPr>
                <w:b w:val="0"/>
              </w:rPr>
              <w:t>Projekts šo jomu neskar.</w:t>
            </w:r>
          </w:p>
        </w:tc>
      </w:tr>
      <w:tr w:rsidR="00391812" w:rsidRPr="00BC1080" w:rsidTr="00BC7B9B">
        <w:trPr>
          <w:trHeight w:val="703"/>
        </w:trPr>
        <w:tc>
          <w:tcPr>
            <w:tcW w:w="471" w:type="dxa"/>
          </w:tcPr>
          <w:p w:rsidR="00391812" w:rsidRPr="00BC1080" w:rsidRDefault="00391812" w:rsidP="007D099D">
            <w:pPr>
              <w:pStyle w:val="naisnod"/>
              <w:spacing w:before="0" w:after="0"/>
              <w:ind w:left="57" w:right="57"/>
              <w:jc w:val="left"/>
              <w:rPr>
                <w:b w:val="0"/>
              </w:rPr>
            </w:pPr>
            <w:r w:rsidRPr="00BC1080">
              <w:rPr>
                <w:b w:val="0"/>
              </w:rPr>
              <w:t>5.</w:t>
            </w:r>
          </w:p>
        </w:tc>
        <w:tc>
          <w:tcPr>
            <w:tcW w:w="4207" w:type="dxa"/>
          </w:tcPr>
          <w:p w:rsidR="00391812" w:rsidRPr="00BC1080" w:rsidRDefault="00391812" w:rsidP="007D099D">
            <w:pPr>
              <w:pStyle w:val="naisf"/>
              <w:spacing w:before="0" w:after="0"/>
              <w:ind w:left="57" w:right="57" w:firstLine="0"/>
              <w:jc w:val="left"/>
            </w:pPr>
            <w:r w:rsidRPr="00BC1080">
              <w:t>Projekta izpildes ietekme uz pārvaldes institucionālo struktūru.</w:t>
            </w:r>
          </w:p>
          <w:p w:rsidR="00391812" w:rsidRPr="00BC1080" w:rsidRDefault="00391812" w:rsidP="007D099D">
            <w:pPr>
              <w:pStyle w:val="naisf"/>
              <w:spacing w:before="0" w:after="0"/>
              <w:ind w:left="57" w:right="57" w:firstLine="0"/>
              <w:jc w:val="left"/>
            </w:pPr>
            <w:r w:rsidRPr="00BC1080">
              <w:t>Esošu institūciju reorganizācija</w:t>
            </w:r>
          </w:p>
        </w:tc>
        <w:tc>
          <w:tcPr>
            <w:tcW w:w="4923" w:type="dxa"/>
          </w:tcPr>
          <w:p w:rsidR="00391812" w:rsidRPr="00BC1080" w:rsidRDefault="00391812" w:rsidP="007D099D">
            <w:pPr>
              <w:pStyle w:val="naisnod"/>
              <w:spacing w:before="0" w:after="0"/>
              <w:ind w:left="57" w:right="57"/>
              <w:jc w:val="left"/>
              <w:rPr>
                <w:b w:val="0"/>
              </w:rPr>
            </w:pPr>
            <w:r w:rsidRPr="00BC1080">
              <w:rPr>
                <w:b w:val="0"/>
              </w:rPr>
              <w:t>Projekts šo jomu neskar.</w:t>
            </w:r>
          </w:p>
        </w:tc>
      </w:tr>
      <w:tr w:rsidR="00391812" w:rsidRPr="00BC1080" w:rsidTr="00BC7B9B">
        <w:trPr>
          <w:trHeight w:val="476"/>
        </w:trPr>
        <w:tc>
          <w:tcPr>
            <w:tcW w:w="471" w:type="dxa"/>
          </w:tcPr>
          <w:p w:rsidR="00391812" w:rsidRPr="00BC1080" w:rsidRDefault="00391812" w:rsidP="007D099D">
            <w:pPr>
              <w:pStyle w:val="naiskr"/>
              <w:spacing w:before="0" w:after="0"/>
              <w:ind w:left="57" w:right="57"/>
            </w:pPr>
            <w:r w:rsidRPr="00BC1080">
              <w:t>6.</w:t>
            </w:r>
          </w:p>
        </w:tc>
        <w:tc>
          <w:tcPr>
            <w:tcW w:w="4207" w:type="dxa"/>
          </w:tcPr>
          <w:p w:rsidR="00391812" w:rsidRPr="00BC1080" w:rsidRDefault="00391812" w:rsidP="007D099D">
            <w:pPr>
              <w:pStyle w:val="naiskr"/>
              <w:spacing w:before="0" w:after="0"/>
              <w:ind w:left="57" w:right="57"/>
            </w:pPr>
            <w:r w:rsidRPr="00BC1080">
              <w:t>Cita informācija</w:t>
            </w:r>
          </w:p>
        </w:tc>
        <w:tc>
          <w:tcPr>
            <w:tcW w:w="4923" w:type="dxa"/>
          </w:tcPr>
          <w:p w:rsidR="00391812" w:rsidRPr="00BC1080" w:rsidRDefault="00391812" w:rsidP="007D099D">
            <w:pPr>
              <w:pStyle w:val="naiskr"/>
              <w:spacing w:before="0" w:after="0"/>
              <w:ind w:left="57" w:right="57"/>
            </w:pPr>
            <w:r w:rsidRPr="00BC1080">
              <w:t>Nav.</w:t>
            </w:r>
          </w:p>
        </w:tc>
      </w:tr>
    </w:tbl>
    <w:p w:rsidR="00391812" w:rsidRPr="00BC7B9B" w:rsidRDefault="00391812" w:rsidP="00740A73">
      <w:pPr>
        <w:pStyle w:val="naisf"/>
        <w:tabs>
          <w:tab w:val="left" w:pos="5760"/>
        </w:tabs>
        <w:spacing w:before="0" w:after="0"/>
        <w:ind w:firstLine="720"/>
        <w:rPr>
          <w:sz w:val="28"/>
          <w:szCs w:val="28"/>
        </w:rPr>
      </w:pPr>
    </w:p>
    <w:p w:rsidR="00391812" w:rsidRPr="00BC7B9B" w:rsidRDefault="00391812" w:rsidP="00740A73">
      <w:pPr>
        <w:pStyle w:val="naisf"/>
        <w:tabs>
          <w:tab w:val="left" w:pos="6804"/>
        </w:tabs>
        <w:spacing w:before="0" w:after="0"/>
        <w:ind w:firstLine="720"/>
        <w:rPr>
          <w:sz w:val="28"/>
          <w:szCs w:val="28"/>
        </w:rPr>
      </w:pPr>
      <w:r w:rsidRPr="00BC7B9B">
        <w:rPr>
          <w:sz w:val="28"/>
          <w:szCs w:val="28"/>
        </w:rPr>
        <w:t>Anotācijas III, IV, un V  sadaļa – projekts šīs jomas neskar.</w:t>
      </w:r>
    </w:p>
    <w:p w:rsidR="00391812" w:rsidRPr="00BC7B9B" w:rsidRDefault="00391812">
      <w:pPr>
        <w:pStyle w:val="naisf"/>
        <w:tabs>
          <w:tab w:val="left" w:pos="6804"/>
        </w:tabs>
        <w:spacing w:before="0" w:after="0"/>
        <w:ind w:firstLine="720"/>
        <w:rPr>
          <w:sz w:val="28"/>
          <w:szCs w:val="28"/>
        </w:rPr>
      </w:pPr>
    </w:p>
    <w:p w:rsidR="00391812" w:rsidRPr="00740A73" w:rsidRDefault="00391812">
      <w:pPr>
        <w:pStyle w:val="naisf"/>
        <w:tabs>
          <w:tab w:val="left" w:pos="6804"/>
        </w:tabs>
        <w:spacing w:before="0" w:after="0"/>
        <w:ind w:firstLine="0"/>
        <w:rPr>
          <w:sz w:val="28"/>
          <w:szCs w:val="28"/>
        </w:rPr>
      </w:pPr>
    </w:p>
    <w:p w:rsidR="00391812" w:rsidRPr="00740A73" w:rsidRDefault="00391812" w:rsidP="00BC7B9B">
      <w:pPr>
        <w:pStyle w:val="naisf"/>
        <w:tabs>
          <w:tab w:val="left" w:pos="6804"/>
        </w:tabs>
        <w:spacing w:before="0" w:after="0"/>
        <w:rPr>
          <w:sz w:val="28"/>
          <w:szCs w:val="28"/>
        </w:rPr>
      </w:pPr>
      <w:r w:rsidRPr="00740A73">
        <w:rPr>
          <w:sz w:val="28"/>
          <w:szCs w:val="28"/>
        </w:rPr>
        <w:t>Satiksmes ministrs</w:t>
      </w:r>
      <w:r w:rsidRPr="00740A73">
        <w:rPr>
          <w:sz w:val="28"/>
          <w:szCs w:val="28"/>
        </w:rPr>
        <w:tab/>
        <w:t>A.</w:t>
      </w:r>
      <w:r>
        <w:rPr>
          <w:sz w:val="28"/>
          <w:szCs w:val="28"/>
        </w:rPr>
        <w:t>Matīss</w:t>
      </w:r>
      <w:r w:rsidRPr="00740A73">
        <w:rPr>
          <w:sz w:val="28"/>
          <w:szCs w:val="28"/>
        </w:rPr>
        <w:t xml:space="preserve"> </w:t>
      </w:r>
    </w:p>
    <w:p w:rsidR="00391812" w:rsidRDefault="00391812" w:rsidP="00BC7B9B">
      <w:pPr>
        <w:pStyle w:val="naisf"/>
        <w:tabs>
          <w:tab w:val="left" w:pos="6804"/>
        </w:tabs>
        <w:spacing w:before="0" w:after="0"/>
        <w:rPr>
          <w:sz w:val="28"/>
          <w:szCs w:val="28"/>
        </w:rPr>
      </w:pPr>
    </w:p>
    <w:p w:rsidR="00391812" w:rsidRPr="00740A73" w:rsidRDefault="00391812" w:rsidP="00BC7B9B">
      <w:pPr>
        <w:pStyle w:val="naisf"/>
        <w:tabs>
          <w:tab w:val="left" w:pos="6804"/>
        </w:tabs>
        <w:spacing w:before="0" w:after="0"/>
        <w:rPr>
          <w:sz w:val="28"/>
          <w:szCs w:val="28"/>
        </w:rPr>
      </w:pPr>
    </w:p>
    <w:p w:rsidR="00391812" w:rsidRPr="00740A73" w:rsidRDefault="00391812" w:rsidP="00BC7B9B">
      <w:pPr>
        <w:pStyle w:val="naisf"/>
        <w:tabs>
          <w:tab w:val="left" w:pos="6804"/>
        </w:tabs>
        <w:spacing w:before="0" w:after="0"/>
        <w:rPr>
          <w:sz w:val="28"/>
          <w:szCs w:val="28"/>
        </w:rPr>
      </w:pPr>
      <w:r w:rsidRPr="00740A73">
        <w:rPr>
          <w:sz w:val="28"/>
          <w:szCs w:val="28"/>
        </w:rPr>
        <w:t>Vīza: Valsts sekretār</w:t>
      </w:r>
      <w:r>
        <w:rPr>
          <w:sz w:val="28"/>
          <w:szCs w:val="28"/>
        </w:rPr>
        <w:t>a p. i.</w:t>
      </w:r>
      <w:r w:rsidRPr="00740A73">
        <w:rPr>
          <w:sz w:val="28"/>
          <w:szCs w:val="28"/>
        </w:rPr>
        <w:tab/>
      </w:r>
      <w:r>
        <w:rPr>
          <w:sz w:val="28"/>
          <w:szCs w:val="28"/>
        </w:rPr>
        <w:t>Dž.Innusa</w:t>
      </w:r>
    </w:p>
    <w:p w:rsidR="00391812" w:rsidRDefault="00391812" w:rsidP="00BC7B9B">
      <w:pPr>
        <w:pStyle w:val="naisf"/>
        <w:tabs>
          <w:tab w:val="left" w:pos="6804"/>
        </w:tabs>
        <w:spacing w:before="0" w:after="0"/>
      </w:pPr>
    </w:p>
    <w:p w:rsidR="00391812" w:rsidRDefault="00391812" w:rsidP="00BC7B9B">
      <w:pPr>
        <w:pStyle w:val="naisf"/>
        <w:tabs>
          <w:tab w:val="left" w:pos="6804"/>
        </w:tabs>
        <w:spacing w:before="0" w:after="0"/>
      </w:pPr>
    </w:p>
    <w:p w:rsidR="00391812" w:rsidRDefault="00391812" w:rsidP="00BC7B9B">
      <w:pPr>
        <w:pStyle w:val="naisf"/>
        <w:tabs>
          <w:tab w:val="left" w:pos="6804"/>
        </w:tabs>
        <w:spacing w:before="0" w:after="0"/>
      </w:pPr>
    </w:p>
    <w:p w:rsidR="00391812" w:rsidRPr="00BC7B9B" w:rsidRDefault="00391812" w:rsidP="00BC7B9B">
      <w:pPr>
        <w:pStyle w:val="naisf"/>
        <w:tabs>
          <w:tab w:val="left" w:pos="6804"/>
        </w:tabs>
        <w:spacing w:before="0" w:after="0"/>
      </w:pPr>
    </w:p>
    <w:p w:rsidR="00391812" w:rsidRPr="00BC7B9B" w:rsidRDefault="00391812" w:rsidP="00BC7B9B">
      <w:pPr>
        <w:pStyle w:val="naisf"/>
        <w:tabs>
          <w:tab w:val="left" w:pos="6804"/>
        </w:tabs>
        <w:spacing w:before="0" w:after="0"/>
        <w:ind w:firstLine="0"/>
      </w:pPr>
      <w:r w:rsidRPr="00BC7B9B">
        <w:t xml:space="preserve">12.04.2013.  </w:t>
      </w:r>
    </w:p>
    <w:p w:rsidR="00391812" w:rsidRPr="00BC7B9B" w:rsidRDefault="00391812" w:rsidP="00BC7B9B">
      <w:pPr>
        <w:pStyle w:val="naisf"/>
        <w:tabs>
          <w:tab w:val="left" w:pos="6804"/>
        </w:tabs>
        <w:spacing w:before="0" w:after="0"/>
        <w:ind w:firstLine="0"/>
      </w:pPr>
      <w:r w:rsidRPr="00BC7B9B">
        <w:t>2</w:t>
      </w:r>
      <w:r>
        <w:t>087</w:t>
      </w:r>
      <w:bookmarkStart w:id="0" w:name="_GoBack"/>
      <w:bookmarkEnd w:id="0"/>
    </w:p>
    <w:p w:rsidR="00391812" w:rsidRPr="00BC7B9B" w:rsidRDefault="00391812" w:rsidP="00BC7B9B">
      <w:pPr>
        <w:pStyle w:val="naisf"/>
        <w:tabs>
          <w:tab w:val="left" w:pos="6804"/>
        </w:tabs>
        <w:spacing w:before="0" w:after="0"/>
        <w:ind w:firstLine="0"/>
      </w:pPr>
      <w:r w:rsidRPr="00BC7B9B">
        <w:t xml:space="preserve">L.Audariņa </w:t>
      </w:r>
    </w:p>
    <w:p w:rsidR="00391812" w:rsidRPr="00BC7B9B" w:rsidRDefault="00391812" w:rsidP="00BC7B9B">
      <w:pPr>
        <w:pStyle w:val="naisf"/>
        <w:tabs>
          <w:tab w:val="left" w:pos="6804"/>
        </w:tabs>
        <w:spacing w:before="0" w:after="0"/>
        <w:ind w:firstLine="0"/>
        <w:rPr>
          <w:color w:val="000000"/>
        </w:rPr>
      </w:pPr>
      <w:r w:rsidRPr="00BC7B9B">
        <w:rPr>
          <w:color w:val="000000"/>
        </w:rPr>
        <w:t xml:space="preserve">67207695, l.audarina@riga-airport.com </w:t>
      </w:r>
    </w:p>
    <w:p w:rsidR="00391812" w:rsidRPr="00BC7B9B" w:rsidRDefault="00391812" w:rsidP="00BC7B9B">
      <w:pPr>
        <w:pStyle w:val="naisf"/>
        <w:tabs>
          <w:tab w:val="left" w:pos="6804"/>
        </w:tabs>
        <w:spacing w:before="0" w:after="0"/>
        <w:ind w:firstLine="0"/>
      </w:pPr>
      <w:r w:rsidRPr="00BC7B9B">
        <w:t>A. Muižnieks</w:t>
      </w:r>
    </w:p>
    <w:p w:rsidR="00391812" w:rsidRPr="00BC7B9B" w:rsidRDefault="00391812" w:rsidP="00740A73">
      <w:pPr>
        <w:pStyle w:val="naisf"/>
        <w:tabs>
          <w:tab w:val="left" w:pos="6804"/>
        </w:tabs>
        <w:spacing w:before="0" w:after="0"/>
        <w:ind w:firstLine="0"/>
      </w:pPr>
      <w:r w:rsidRPr="00BC7B9B">
        <w:t>67028209, Arnis.Muiznieks@sam.gov.lv</w:t>
      </w:r>
    </w:p>
    <w:sectPr w:rsidR="00391812" w:rsidRPr="00BC7B9B" w:rsidSect="00BC7B9B">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812" w:rsidRDefault="00391812">
      <w:r>
        <w:separator/>
      </w:r>
    </w:p>
  </w:endnote>
  <w:endnote w:type="continuationSeparator" w:id="0">
    <w:p w:rsidR="00391812" w:rsidRDefault="00391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12" w:rsidRPr="00BC7B9B" w:rsidRDefault="00391812" w:rsidP="004702AF">
    <w:pPr>
      <w:tabs>
        <w:tab w:val="left" w:pos="180"/>
      </w:tabs>
      <w:jc w:val="both"/>
      <w:rPr>
        <w:sz w:val="20"/>
        <w:szCs w:val="20"/>
      </w:rPr>
    </w:pPr>
    <w:r w:rsidRPr="00BC7B9B">
      <w:rPr>
        <w:sz w:val="20"/>
        <w:szCs w:val="20"/>
      </w:rPr>
      <w:t>SAManot_120413_maksas; Ministru kabineta noteikumu projekta „Noteikumi par valsts akciju sabiedrības „Starptautiskā lidosta „Rīga”” lidlaukā sniegto pakalpojumu maksu”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12" w:rsidRPr="00BC7B9B" w:rsidRDefault="00391812" w:rsidP="004702AF">
    <w:pPr>
      <w:tabs>
        <w:tab w:val="left" w:pos="180"/>
      </w:tabs>
      <w:jc w:val="both"/>
      <w:rPr>
        <w:sz w:val="20"/>
        <w:szCs w:val="20"/>
      </w:rPr>
    </w:pPr>
    <w:r w:rsidRPr="00BC7B9B">
      <w:rPr>
        <w:sz w:val="20"/>
        <w:szCs w:val="20"/>
      </w:rPr>
      <w:t>SAManot_120413_maksas; Ministru kabineta noteikumu projekta „Noteikumi par valsts akciju sabiedrības „Starptautiskā lidosta „Rīga”” lidlaukā sniegto pakalpojumu maksu”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812" w:rsidRDefault="00391812">
      <w:r>
        <w:separator/>
      </w:r>
    </w:p>
  </w:footnote>
  <w:footnote w:type="continuationSeparator" w:id="0">
    <w:p w:rsidR="00391812" w:rsidRDefault="00391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12" w:rsidRDefault="0039181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812" w:rsidRDefault="003918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12" w:rsidRDefault="0039181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91812" w:rsidRDefault="003918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837DC6"/>
    <w:multiLevelType w:val="multilevel"/>
    <w:tmpl w:val="7DEE7AA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2"/>
  </w:num>
  <w:num w:numId="3">
    <w:abstractNumId w:val="3"/>
  </w:num>
  <w:num w:numId="4">
    <w:abstractNumId w:val="1"/>
  </w:num>
  <w:num w:numId="5">
    <w:abstractNumId w:val="0"/>
  </w:num>
  <w:num w:numId="6">
    <w:abstractNumId w:val="9"/>
  </w:num>
  <w:num w:numId="7">
    <w:abstractNumId w:val="13"/>
  </w:num>
  <w:num w:numId="8">
    <w:abstractNumId w:val="6"/>
  </w:num>
  <w:num w:numId="9">
    <w:abstractNumId w:val="2"/>
  </w:num>
  <w:num w:numId="10">
    <w:abstractNumId w:val="7"/>
  </w:num>
  <w:num w:numId="11">
    <w:abstractNumId w:val="8"/>
  </w:num>
  <w:num w:numId="12">
    <w:abstractNumId w:val="1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649"/>
    <w:rsid w:val="00011D24"/>
    <w:rsid w:val="00013FF4"/>
    <w:rsid w:val="00020FE1"/>
    <w:rsid w:val="00022E13"/>
    <w:rsid w:val="00032388"/>
    <w:rsid w:val="00035789"/>
    <w:rsid w:val="00035CE2"/>
    <w:rsid w:val="00047296"/>
    <w:rsid w:val="0005553B"/>
    <w:rsid w:val="000604D2"/>
    <w:rsid w:val="00071317"/>
    <w:rsid w:val="00072589"/>
    <w:rsid w:val="00077C93"/>
    <w:rsid w:val="0009005E"/>
    <w:rsid w:val="00093471"/>
    <w:rsid w:val="000941C5"/>
    <w:rsid w:val="000A6451"/>
    <w:rsid w:val="000B064E"/>
    <w:rsid w:val="000B1460"/>
    <w:rsid w:val="000B5761"/>
    <w:rsid w:val="000B69CF"/>
    <w:rsid w:val="000C1678"/>
    <w:rsid w:val="000C790C"/>
    <w:rsid w:val="000E3568"/>
    <w:rsid w:val="000E6A39"/>
    <w:rsid w:val="000F061D"/>
    <w:rsid w:val="000F2BBF"/>
    <w:rsid w:val="000F4794"/>
    <w:rsid w:val="000F4C7B"/>
    <w:rsid w:val="00124F12"/>
    <w:rsid w:val="0013092F"/>
    <w:rsid w:val="00144E3A"/>
    <w:rsid w:val="0015060C"/>
    <w:rsid w:val="0016018A"/>
    <w:rsid w:val="00161F0E"/>
    <w:rsid w:val="00165923"/>
    <w:rsid w:val="001674CE"/>
    <w:rsid w:val="00170E2A"/>
    <w:rsid w:val="00177394"/>
    <w:rsid w:val="00182C18"/>
    <w:rsid w:val="00183CC2"/>
    <w:rsid w:val="001900E4"/>
    <w:rsid w:val="00190F88"/>
    <w:rsid w:val="001A4066"/>
    <w:rsid w:val="001A6AE4"/>
    <w:rsid w:val="001B01FD"/>
    <w:rsid w:val="001B4A71"/>
    <w:rsid w:val="001D5B54"/>
    <w:rsid w:val="001E1DBF"/>
    <w:rsid w:val="001E4639"/>
    <w:rsid w:val="001E4A7D"/>
    <w:rsid w:val="001F0B8F"/>
    <w:rsid w:val="001F4209"/>
    <w:rsid w:val="001F43A8"/>
    <w:rsid w:val="001F5CD6"/>
    <w:rsid w:val="0021263D"/>
    <w:rsid w:val="00213F0C"/>
    <w:rsid w:val="00214094"/>
    <w:rsid w:val="0021592D"/>
    <w:rsid w:val="00215B67"/>
    <w:rsid w:val="00222D76"/>
    <w:rsid w:val="00223EB1"/>
    <w:rsid w:val="002270C6"/>
    <w:rsid w:val="00231344"/>
    <w:rsid w:val="0023436E"/>
    <w:rsid w:val="002347C0"/>
    <w:rsid w:val="00241A6C"/>
    <w:rsid w:val="00242D2B"/>
    <w:rsid w:val="00262E2B"/>
    <w:rsid w:val="00270429"/>
    <w:rsid w:val="00270E62"/>
    <w:rsid w:val="002723E9"/>
    <w:rsid w:val="00277929"/>
    <w:rsid w:val="00281B33"/>
    <w:rsid w:val="00283B82"/>
    <w:rsid w:val="002846E9"/>
    <w:rsid w:val="00284C34"/>
    <w:rsid w:val="0029066C"/>
    <w:rsid w:val="002A702D"/>
    <w:rsid w:val="002B50DB"/>
    <w:rsid w:val="002C12AB"/>
    <w:rsid w:val="002C243A"/>
    <w:rsid w:val="002C7CAC"/>
    <w:rsid w:val="002D3306"/>
    <w:rsid w:val="002D48AA"/>
    <w:rsid w:val="002D4E1F"/>
    <w:rsid w:val="002D7BAA"/>
    <w:rsid w:val="002D7F54"/>
    <w:rsid w:val="002E0D5E"/>
    <w:rsid w:val="002E3FF4"/>
    <w:rsid w:val="002F78C8"/>
    <w:rsid w:val="00301CF3"/>
    <w:rsid w:val="0032715C"/>
    <w:rsid w:val="00337CA5"/>
    <w:rsid w:val="0034193A"/>
    <w:rsid w:val="00346FEB"/>
    <w:rsid w:val="00361C63"/>
    <w:rsid w:val="00362478"/>
    <w:rsid w:val="00365764"/>
    <w:rsid w:val="00372F08"/>
    <w:rsid w:val="003759C7"/>
    <w:rsid w:val="00375B25"/>
    <w:rsid w:val="0038132C"/>
    <w:rsid w:val="00387135"/>
    <w:rsid w:val="00391812"/>
    <w:rsid w:val="00396542"/>
    <w:rsid w:val="0039685B"/>
    <w:rsid w:val="003A31A6"/>
    <w:rsid w:val="003A7F0C"/>
    <w:rsid w:val="003A7F79"/>
    <w:rsid w:val="003B6404"/>
    <w:rsid w:val="003B7B72"/>
    <w:rsid w:val="003C449B"/>
    <w:rsid w:val="003D21FF"/>
    <w:rsid w:val="003D30A1"/>
    <w:rsid w:val="003D45A4"/>
    <w:rsid w:val="003F0112"/>
    <w:rsid w:val="003F071A"/>
    <w:rsid w:val="003F0E1D"/>
    <w:rsid w:val="003F160B"/>
    <w:rsid w:val="00400032"/>
    <w:rsid w:val="00400B5B"/>
    <w:rsid w:val="00405A00"/>
    <w:rsid w:val="00420870"/>
    <w:rsid w:val="00432D0C"/>
    <w:rsid w:val="00436604"/>
    <w:rsid w:val="0043791B"/>
    <w:rsid w:val="00440836"/>
    <w:rsid w:val="00441483"/>
    <w:rsid w:val="00441BCB"/>
    <w:rsid w:val="0045176A"/>
    <w:rsid w:val="00452274"/>
    <w:rsid w:val="00456332"/>
    <w:rsid w:val="00461826"/>
    <w:rsid w:val="004702AF"/>
    <w:rsid w:val="004800F9"/>
    <w:rsid w:val="0049134A"/>
    <w:rsid w:val="004A58CB"/>
    <w:rsid w:val="004B1795"/>
    <w:rsid w:val="004B40CD"/>
    <w:rsid w:val="004B56DD"/>
    <w:rsid w:val="004C020F"/>
    <w:rsid w:val="004C1AFD"/>
    <w:rsid w:val="004C558B"/>
    <w:rsid w:val="004F1F88"/>
    <w:rsid w:val="004F5F1B"/>
    <w:rsid w:val="00502374"/>
    <w:rsid w:val="005060A1"/>
    <w:rsid w:val="00516072"/>
    <w:rsid w:val="005332EC"/>
    <w:rsid w:val="00534418"/>
    <w:rsid w:val="005353AB"/>
    <w:rsid w:val="00541D7F"/>
    <w:rsid w:val="00541F3E"/>
    <w:rsid w:val="005454FF"/>
    <w:rsid w:val="005560BC"/>
    <w:rsid w:val="00556D72"/>
    <w:rsid w:val="005573BE"/>
    <w:rsid w:val="00572700"/>
    <w:rsid w:val="005738B5"/>
    <w:rsid w:val="00580468"/>
    <w:rsid w:val="00582231"/>
    <w:rsid w:val="0058603B"/>
    <w:rsid w:val="005871D1"/>
    <w:rsid w:val="005938D9"/>
    <w:rsid w:val="0059431B"/>
    <w:rsid w:val="0059565B"/>
    <w:rsid w:val="005A39CC"/>
    <w:rsid w:val="005B4730"/>
    <w:rsid w:val="005C41CE"/>
    <w:rsid w:val="005D61B7"/>
    <w:rsid w:val="005E05D7"/>
    <w:rsid w:val="005E41E7"/>
    <w:rsid w:val="005E450F"/>
    <w:rsid w:val="005F6497"/>
    <w:rsid w:val="006105DA"/>
    <w:rsid w:val="0062298A"/>
    <w:rsid w:val="00626514"/>
    <w:rsid w:val="00626589"/>
    <w:rsid w:val="006339A0"/>
    <w:rsid w:val="006340EC"/>
    <w:rsid w:val="006413A8"/>
    <w:rsid w:val="00642E56"/>
    <w:rsid w:val="00651E00"/>
    <w:rsid w:val="00665D4C"/>
    <w:rsid w:val="006668DC"/>
    <w:rsid w:val="00674572"/>
    <w:rsid w:val="006804DC"/>
    <w:rsid w:val="00687763"/>
    <w:rsid w:val="00692B0D"/>
    <w:rsid w:val="00693E0E"/>
    <w:rsid w:val="00693E24"/>
    <w:rsid w:val="006A1AE3"/>
    <w:rsid w:val="006A4AD7"/>
    <w:rsid w:val="006A5788"/>
    <w:rsid w:val="006A6454"/>
    <w:rsid w:val="006B68BC"/>
    <w:rsid w:val="006C30E1"/>
    <w:rsid w:val="006C4607"/>
    <w:rsid w:val="006C5B95"/>
    <w:rsid w:val="006D46FD"/>
    <w:rsid w:val="006D48F1"/>
    <w:rsid w:val="006D69DE"/>
    <w:rsid w:val="006D74BE"/>
    <w:rsid w:val="006F45BE"/>
    <w:rsid w:val="007004FC"/>
    <w:rsid w:val="00705EA8"/>
    <w:rsid w:val="00706670"/>
    <w:rsid w:val="00711F59"/>
    <w:rsid w:val="0072417C"/>
    <w:rsid w:val="00725EE5"/>
    <w:rsid w:val="00726530"/>
    <w:rsid w:val="00731914"/>
    <w:rsid w:val="00734450"/>
    <w:rsid w:val="00740A73"/>
    <w:rsid w:val="00745F67"/>
    <w:rsid w:val="0075039E"/>
    <w:rsid w:val="00752D9D"/>
    <w:rsid w:val="00754784"/>
    <w:rsid w:val="00757C6E"/>
    <w:rsid w:val="00762126"/>
    <w:rsid w:val="00762BDA"/>
    <w:rsid w:val="00772E8D"/>
    <w:rsid w:val="007805FD"/>
    <w:rsid w:val="00784422"/>
    <w:rsid w:val="0079050B"/>
    <w:rsid w:val="007972D6"/>
    <w:rsid w:val="007B3B54"/>
    <w:rsid w:val="007B3FA0"/>
    <w:rsid w:val="007C0F2C"/>
    <w:rsid w:val="007C2BCC"/>
    <w:rsid w:val="007C4EF0"/>
    <w:rsid w:val="007D099D"/>
    <w:rsid w:val="007E2664"/>
    <w:rsid w:val="007E3ABF"/>
    <w:rsid w:val="007E5BFA"/>
    <w:rsid w:val="007E6689"/>
    <w:rsid w:val="007E731C"/>
    <w:rsid w:val="007F0A03"/>
    <w:rsid w:val="0080416D"/>
    <w:rsid w:val="008067FF"/>
    <w:rsid w:val="00810040"/>
    <w:rsid w:val="00811FE3"/>
    <w:rsid w:val="0082023A"/>
    <w:rsid w:val="008203D1"/>
    <w:rsid w:val="00821A7A"/>
    <w:rsid w:val="008253F8"/>
    <w:rsid w:val="008325E4"/>
    <w:rsid w:val="00832A2B"/>
    <w:rsid w:val="00840D62"/>
    <w:rsid w:val="00845811"/>
    <w:rsid w:val="008467A4"/>
    <w:rsid w:val="00846994"/>
    <w:rsid w:val="00850139"/>
    <w:rsid w:val="00850451"/>
    <w:rsid w:val="00852042"/>
    <w:rsid w:val="008534C9"/>
    <w:rsid w:val="0085599D"/>
    <w:rsid w:val="0087510C"/>
    <w:rsid w:val="008968D2"/>
    <w:rsid w:val="0089738E"/>
    <w:rsid w:val="008B5FDB"/>
    <w:rsid w:val="008B75C4"/>
    <w:rsid w:val="008C1442"/>
    <w:rsid w:val="008C50F4"/>
    <w:rsid w:val="008C5649"/>
    <w:rsid w:val="008D727B"/>
    <w:rsid w:val="008E44A2"/>
    <w:rsid w:val="008E697D"/>
    <w:rsid w:val="008F690E"/>
    <w:rsid w:val="0090305F"/>
    <w:rsid w:val="00903263"/>
    <w:rsid w:val="00906A21"/>
    <w:rsid w:val="009079C3"/>
    <w:rsid w:val="00910462"/>
    <w:rsid w:val="00912686"/>
    <w:rsid w:val="00915AB1"/>
    <w:rsid w:val="00917532"/>
    <w:rsid w:val="0092036B"/>
    <w:rsid w:val="009235BA"/>
    <w:rsid w:val="00924023"/>
    <w:rsid w:val="00924CE2"/>
    <w:rsid w:val="00925B9F"/>
    <w:rsid w:val="00931AED"/>
    <w:rsid w:val="009365A1"/>
    <w:rsid w:val="009476A3"/>
    <w:rsid w:val="0095334F"/>
    <w:rsid w:val="00965897"/>
    <w:rsid w:val="0096765C"/>
    <w:rsid w:val="009727E4"/>
    <w:rsid w:val="00985297"/>
    <w:rsid w:val="009934C5"/>
    <w:rsid w:val="00994B2D"/>
    <w:rsid w:val="00994C0F"/>
    <w:rsid w:val="009A3372"/>
    <w:rsid w:val="009B22D7"/>
    <w:rsid w:val="009B328F"/>
    <w:rsid w:val="009B4CC2"/>
    <w:rsid w:val="009B72ED"/>
    <w:rsid w:val="009C3B42"/>
    <w:rsid w:val="009C6DEB"/>
    <w:rsid w:val="009D6504"/>
    <w:rsid w:val="009D7854"/>
    <w:rsid w:val="009E12D7"/>
    <w:rsid w:val="009E23C0"/>
    <w:rsid w:val="009E661A"/>
    <w:rsid w:val="00A03C5E"/>
    <w:rsid w:val="00A06781"/>
    <w:rsid w:val="00A074C3"/>
    <w:rsid w:val="00A14277"/>
    <w:rsid w:val="00A1509C"/>
    <w:rsid w:val="00A249B9"/>
    <w:rsid w:val="00A34260"/>
    <w:rsid w:val="00A34682"/>
    <w:rsid w:val="00A57111"/>
    <w:rsid w:val="00A70CFD"/>
    <w:rsid w:val="00A72A0B"/>
    <w:rsid w:val="00A81E42"/>
    <w:rsid w:val="00A864FE"/>
    <w:rsid w:val="00A86F41"/>
    <w:rsid w:val="00A87D04"/>
    <w:rsid w:val="00A950C5"/>
    <w:rsid w:val="00AA1D25"/>
    <w:rsid w:val="00AB2B1A"/>
    <w:rsid w:val="00AB397F"/>
    <w:rsid w:val="00AB5832"/>
    <w:rsid w:val="00AC51F2"/>
    <w:rsid w:val="00AD055E"/>
    <w:rsid w:val="00AD3269"/>
    <w:rsid w:val="00AE0C6C"/>
    <w:rsid w:val="00AE1777"/>
    <w:rsid w:val="00AE5066"/>
    <w:rsid w:val="00AE5E24"/>
    <w:rsid w:val="00AE61B7"/>
    <w:rsid w:val="00AE6CBA"/>
    <w:rsid w:val="00AE79AD"/>
    <w:rsid w:val="00AF35E4"/>
    <w:rsid w:val="00AF5CDE"/>
    <w:rsid w:val="00B047A9"/>
    <w:rsid w:val="00B11A57"/>
    <w:rsid w:val="00B1612D"/>
    <w:rsid w:val="00B211C3"/>
    <w:rsid w:val="00B25597"/>
    <w:rsid w:val="00B267B9"/>
    <w:rsid w:val="00B31B2D"/>
    <w:rsid w:val="00B33E09"/>
    <w:rsid w:val="00B43813"/>
    <w:rsid w:val="00B50708"/>
    <w:rsid w:val="00B50C68"/>
    <w:rsid w:val="00B50C93"/>
    <w:rsid w:val="00B51293"/>
    <w:rsid w:val="00B512CC"/>
    <w:rsid w:val="00B52B1E"/>
    <w:rsid w:val="00B55481"/>
    <w:rsid w:val="00B56C32"/>
    <w:rsid w:val="00B57ACF"/>
    <w:rsid w:val="00B60A36"/>
    <w:rsid w:val="00B64BB1"/>
    <w:rsid w:val="00B73166"/>
    <w:rsid w:val="00B8426C"/>
    <w:rsid w:val="00B857AC"/>
    <w:rsid w:val="00B91B8D"/>
    <w:rsid w:val="00B94E90"/>
    <w:rsid w:val="00B95F7A"/>
    <w:rsid w:val="00BA54D6"/>
    <w:rsid w:val="00BB0A82"/>
    <w:rsid w:val="00BB19CD"/>
    <w:rsid w:val="00BB7C94"/>
    <w:rsid w:val="00BC0A9D"/>
    <w:rsid w:val="00BC1080"/>
    <w:rsid w:val="00BC11B5"/>
    <w:rsid w:val="00BC7B9B"/>
    <w:rsid w:val="00BD2D10"/>
    <w:rsid w:val="00BE29DA"/>
    <w:rsid w:val="00BE60E2"/>
    <w:rsid w:val="00BE7E39"/>
    <w:rsid w:val="00BF40ED"/>
    <w:rsid w:val="00BF5BC2"/>
    <w:rsid w:val="00C00AA6"/>
    <w:rsid w:val="00C03F47"/>
    <w:rsid w:val="00C108C1"/>
    <w:rsid w:val="00C1133D"/>
    <w:rsid w:val="00C16DFF"/>
    <w:rsid w:val="00C17775"/>
    <w:rsid w:val="00C27A08"/>
    <w:rsid w:val="00C31312"/>
    <w:rsid w:val="00C31E36"/>
    <w:rsid w:val="00C326C6"/>
    <w:rsid w:val="00C35295"/>
    <w:rsid w:val="00C36ADD"/>
    <w:rsid w:val="00C36E74"/>
    <w:rsid w:val="00C40595"/>
    <w:rsid w:val="00C41621"/>
    <w:rsid w:val="00C449FA"/>
    <w:rsid w:val="00C5083B"/>
    <w:rsid w:val="00C5384F"/>
    <w:rsid w:val="00C56964"/>
    <w:rsid w:val="00C656D5"/>
    <w:rsid w:val="00C67103"/>
    <w:rsid w:val="00C71BB9"/>
    <w:rsid w:val="00C94C28"/>
    <w:rsid w:val="00C95393"/>
    <w:rsid w:val="00CB0247"/>
    <w:rsid w:val="00CB0534"/>
    <w:rsid w:val="00CB2B11"/>
    <w:rsid w:val="00CB3440"/>
    <w:rsid w:val="00CB5B96"/>
    <w:rsid w:val="00CC1692"/>
    <w:rsid w:val="00CD138B"/>
    <w:rsid w:val="00CD3E31"/>
    <w:rsid w:val="00CD74A3"/>
    <w:rsid w:val="00CE0527"/>
    <w:rsid w:val="00CE47E1"/>
    <w:rsid w:val="00CE4AED"/>
    <w:rsid w:val="00CE5B23"/>
    <w:rsid w:val="00CF70AD"/>
    <w:rsid w:val="00CF7729"/>
    <w:rsid w:val="00D00059"/>
    <w:rsid w:val="00D107FA"/>
    <w:rsid w:val="00D12275"/>
    <w:rsid w:val="00D12766"/>
    <w:rsid w:val="00D20FF4"/>
    <w:rsid w:val="00D24D2C"/>
    <w:rsid w:val="00D26FA0"/>
    <w:rsid w:val="00D35881"/>
    <w:rsid w:val="00D42C22"/>
    <w:rsid w:val="00D4361E"/>
    <w:rsid w:val="00D503A6"/>
    <w:rsid w:val="00D772D8"/>
    <w:rsid w:val="00DA7DA5"/>
    <w:rsid w:val="00DB073B"/>
    <w:rsid w:val="00DB78F0"/>
    <w:rsid w:val="00DC0CEA"/>
    <w:rsid w:val="00DC2B5B"/>
    <w:rsid w:val="00DC2E43"/>
    <w:rsid w:val="00DD095C"/>
    <w:rsid w:val="00DD1020"/>
    <w:rsid w:val="00DD1330"/>
    <w:rsid w:val="00DD180E"/>
    <w:rsid w:val="00DD1D77"/>
    <w:rsid w:val="00DE0B83"/>
    <w:rsid w:val="00DE1A81"/>
    <w:rsid w:val="00DE1C13"/>
    <w:rsid w:val="00DE4E10"/>
    <w:rsid w:val="00E02ABF"/>
    <w:rsid w:val="00E14680"/>
    <w:rsid w:val="00E14995"/>
    <w:rsid w:val="00E179CD"/>
    <w:rsid w:val="00E23E8D"/>
    <w:rsid w:val="00E37F98"/>
    <w:rsid w:val="00E40CEC"/>
    <w:rsid w:val="00E46559"/>
    <w:rsid w:val="00E52794"/>
    <w:rsid w:val="00E6670C"/>
    <w:rsid w:val="00E776E8"/>
    <w:rsid w:val="00E92C1F"/>
    <w:rsid w:val="00E95D4B"/>
    <w:rsid w:val="00EB199F"/>
    <w:rsid w:val="00EB1A37"/>
    <w:rsid w:val="00EC23F7"/>
    <w:rsid w:val="00EC4BD8"/>
    <w:rsid w:val="00EC63EB"/>
    <w:rsid w:val="00ED2756"/>
    <w:rsid w:val="00ED412F"/>
    <w:rsid w:val="00EF3458"/>
    <w:rsid w:val="00EF36B2"/>
    <w:rsid w:val="00EF4E1A"/>
    <w:rsid w:val="00F11687"/>
    <w:rsid w:val="00F1246B"/>
    <w:rsid w:val="00F20167"/>
    <w:rsid w:val="00F201EC"/>
    <w:rsid w:val="00F208A9"/>
    <w:rsid w:val="00F217DD"/>
    <w:rsid w:val="00F27D75"/>
    <w:rsid w:val="00F41D75"/>
    <w:rsid w:val="00F5139D"/>
    <w:rsid w:val="00F55054"/>
    <w:rsid w:val="00F60924"/>
    <w:rsid w:val="00F63DAC"/>
    <w:rsid w:val="00F7454F"/>
    <w:rsid w:val="00F77988"/>
    <w:rsid w:val="00F77F48"/>
    <w:rsid w:val="00F85936"/>
    <w:rsid w:val="00FB2AD2"/>
    <w:rsid w:val="00FB30F1"/>
    <w:rsid w:val="00FB53E7"/>
    <w:rsid w:val="00FD2A8A"/>
    <w:rsid w:val="00FF182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semiHidden/>
    <w:rsid w:val="00206022"/>
    <w:rPr>
      <w:sz w:val="24"/>
      <w:szCs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uiPriority w:val="99"/>
    <w:rsid w:val="008C5649"/>
    <w:rPr>
      <w:b/>
      <w:color w:val="333333"/>
    </w:rPr>
  </w:style>
  <w:style w:type="character" w:styleId="CommentReference">
    <w:name w:val="annotation reference"/>
    <w:basedOn w:val="DefaultParagraphFont"/>
    <w:uiPriority w:val="99"/>
    <w:semiHidden/>
    <w:rsid w:val="008C5649"/>
    <w:rPr>
      <w:rFonts w:cs="Times New Roman"/>
      <w:sz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lang w:val="lv-LV" w:eastAsia="lv-LV"/>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rsid w:val="00206022"/>
    <w:rPr>
      <w:sz w:val="0"/>
      <w:szCs w:val="0"/>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rsid w:val="00206022"/>
    <w:rPr>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rsid w:val="00206022"/>
    <w:rPr>
      <w:b/>
      <w:bCs/>
      <w:sz w:val="20"/>
      <w:szCs w:val="20"/>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locked/>
    <w:rsid w:val="00231344"/>
    <w:rPr>
      <w:sz w:val="24"/>
      <w:lang w:val="lv-LV" w:eastAsia="lv-LV"/>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06022"/>
    <w:rPr>
      <w:sz w:val="0"/>
      <w:szCs w:val="0"/>
    </w:rPr>
  </w:style>
  <w:style w:type="paragraph" w:styleId="ListParagraph">
    <w:name w:val="List Paragraph"/>
    <w:basedOn w:val="Normal"/>
    <w:uiPriority w:val="99"/>
    <w:qFormat/>
    <w:rsid w:val="006B68BC"/>
    <w:pPr>
      <w:ind w:left="720"/>
      <w:contextualSpacing/>
    </w:pPr>
  </w:style>
  <w:style w:type="character" w:styleId="Strong">
    <w:name w:val="Strong"/>
    <w:basedOn w:val="DefaultParagraphFont"/>
    <w:uiPriority w:val="99"/>
    <w:qFormat/>
    <w:rsid w:val="00452274"/>
    <w:rPr>
      <w:rFonts w:cs="Times New Roman"/>
      <w:b/>
      <w:bCs/>
    </w:rPr>
  </w:style>
</w:styles>
</file>

<file path=word/webSettings.xml><?xml version="1.0" encoding="utf-8"?>
<w:webSettings xmlns:r="http://schemas.openxmlformats.org/officeDocument/2006/relationships" xmlns:w="http://schemas.openxmlformats.org/wordprocessingml/2006/main">
  <w:divs>
    <w:div w:id="1043362824">
      <w:marLeft w:val="0"/>
      <w:marRight w:val="0"/>
      <w:marTop w:val="0"/>
      <w:marBottom w:val="0"/>
      <w:divBdr>
        <w:top w:val="none" w:sz="0" w:space="0" w:color="auto"/>
        <w:left w:val="none" w:sz="0" w:space="0" w:color="auto"/>
        <w:bottom w:val="none" w:sz="0" w:space="0" w:color="auto"/>
        <w:right w:val="none" w:sz="0" w:space="0" w:color="auto"/>
      </w:divBdr>
    </w:div>
    <w:div w:id="1043362825">
      <w:marLeft w:val="0"/>
      <w:marRight w:val="0"/>
      <w:marTop w:val="0"/>
      <w:marBottom w:val="0"/>
      <w:divBdr>
        <w:top w:val="none" w:sz="0" w:space="0" w:color="auto"/>
        <w:left w:val="none" w:sz="0" w:space="0" w:color="auto"/>
        <w:bottom w:val="none" w:sz="0" w:space="0" w:color="auto"/>
        <w:right w:val="none" w:sz="0" w:space="0" w:color="auto"/>
      </w:divBdr>
    </w:div>
    <w:div w:id="1043362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6</Pages>
  <Words>2100</Words>
  <Characters>14784</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akciju sabiedrības „Starptautiskā lidosta „Rīga”” lidlaukā sniegto pakalpojumu maksu”</dc:title>
  <dc:subject>anotācija</dc:subject>
  <dc:creator>I.Audariņa; A.Muižnieks</dc:creator>
  <cp:keywords/>
  <dc:description>67207695, L.Audarina@riga-airport.com; Arnis.Muiznieks@sam.gov.lv</dc:description>
  <cp:lastModifiedBy>Baiba Šterna</cp:lastModifiedBy>
  <cp:revision>6</cp:revision>
  <cp:lastPrinted>2013-04-15T10:54:00Z</cp:lastPrinted>
  <dcterms:created xsi:type="dcterms:W3CDTF">2013-04-15T05:28:00Z</dcterms:created>
  <dcterms:modified xsi:type="dcterms:W3CDTF">2013-04-15T13:23:00Z</dcterms:modified>
</cp:coreProperties>
</file>