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7C" w:rsidRDefault="00FA4F7C" w:rsidP="00E02C10">
      <w:pPr>
        <w:pStyle w:val="BodyText"/>
        <w:jc w:val="center"/>
        <w:rPr>
          <w:b/>
          <w:sz w:val="24"/>
          <w:szCs w:val="24"/>
        </w:rPr>
      </w:pPr>
      <w:r w:rsidRPr="00176A1C">
        <w:rPr>
          <w:b/>
          <w:sz w:val="24"/>
          <w:szCs w:val="24"/>
        </w:rPr>
        <w:t>Ministru kabineta rīkojuma projekta</w:t>
      </w:r>
    </w:p>
    <w:p w:rsidR="00FA4F7C" w:rsidRPr="001E5256" w:rsidRDefault="00FA4F7C" w:rsidP="00E02C10">
      <w:pPr>
        <w:jc w:val="center"/>
        <w:rPr>
          <w:b/>
        </w:rPr>
      </w:pPr>
      <w:r w:rsidRPr="001E5256">
        <w:rPr>
          <w:b/>
        </w:rPr>
        <w:t>“Par pretendentu un ierēdņu vērtēšanas komisiju”</w:t>
      </w:r>
    </w:p>
    <w:p w:rsidR="00FA4F7C" w:rsidRPr="00176A1C" w:rsidRDefault="00FA4F7C" w:rsidP="00E02C10">
      <w:pPr>
        <w:jc w:val="center"/>
        <w:rPr>
          <w:b/>
          <w:bCs/>
          <w:lang w:eastAsia="en-US"/>
        </w:rPr>
      </w:pPr>
      <w:r w:rsidRPr="00176A1C">
        <w:rPr>
          <w:b/>
          <w:bCs/>
          <w:lang w:eastAsia="en-US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176A1C">
          <w:rPr>
            <w:b/>
            <w:bCs/>
            <w:lang w:eastAsia="en-US"/>
          </w:rPr>
          <w:t>ziņojums</w:t>
        </w:r>
      </w:smartTag>
      <w:r w:rsidRPr="00176A1C">
        <w:rPr>
          <w:b/>
          <w:bCs/>
          <w:lang w:eastAsia="en-US"/>
        </w:rPr>
        <w:t xml:space="preserve"> (anotācija)</w:t>
      </w:r>
    </w:p>
    <w:p w:rsidR="00FA4F7C" w:rsidRPr="00176A1C" w:rsidRDefault="00FA4F7C" w:rsidP="00E02C10">
      <w:pPr>
        <w:jc w:val="center"/>
        <w:rPr>
          <w:lang w:eastAsia="en-US"/>
        </w:rPr>
      </w:pPr>
      <w:r w:rsidRPr="00176A1C">
        <w:rPr>
          <w:lang w:eastAsia="en-US"/>
        </w:rPr>
        <w:t> </w:t>
      </w:r>
    </w:p>
    <w:tbl>
      <w:tblPr>
        <w:tblW w:w="9972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567"/>
        <w:gridCol w:w="2694"/>
        <w:gridCol w:w="6711"/>
      </w:tblGrid>
      <w:tr w:rsidR="00FA4F7C" w:rsidRPr="00176A1C" w:rsidTr="00F130FD">
        <w:trPr>
          <w:tblCellSpacing w:w="0" w:type="dxa"/>
        </w:trPr>
        <w:tc>
          <w:tcPr>
            <w:tcW w:w="9972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A4F7C" w:rsidRPr="00176A1C" w:rsidRDefault="00FA4F7C" w:rsidP="00F130FD">
            <w:pPr>
              <w:jc w:val="center"/>
              <w:rPr>
                <w:lang w:eastAsia="en-US"/>
              </w:rPr>
            </w:pPr>
            <w:r w:rsidRPr="00176A1C">
              <w:rPr>
                <w:b/>
                <w:bCs/>
                <w:lang w:eastAsia="en-US"/>
              </w:rPr>
              <w:t> I. Tiesību akta projekta izstrādes nepieciešamība</w:t>
            </w:r>
          </w:p>
        </w:tc>
      </w:tr>
      <w:tr w:rsidR="00FA4F7C" w:rsidRPr="00176A1C" w:rsidTr="00F130FD">
        <w:trPr>
          <w:trHeight w:val="630"/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 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Pamatojums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4F7C" w:rsidRPr="0066137B" w:rsidRDefault="00FA4F7C" w:rsidP="007A4E80">
            <w:pPr>
              <w:jc w:val="both"/>
            </w:pPr>
            <w:bookmarkStart w:id="0" w:name="bkm46"/>
            <w:r>
              <w:t xml:space="preserve">Ministru kabineta rīkojums sagatavots, lai saskaņā ar </w:t>
            </w:r>
            <w:r w:rsidRPr="0088449F">
              <w:t>Valsts civildienesta likuma 9.</w:t>
            </w:r>
            <w:r>
              <w:t> </w:t>
            </w:r>
            <w:r w:rsidRPr="0088449F">
              <w:t>panta pirmās daļas 1.</w:t>
            </w:r>
            <w:r>
              <w:t> </w:t>
            </w:r>
            <w:r w:rsidRPr="0088449F">
              <w:t>punkt</w:t>
            </w:r>
            <w:bookmarkEnd w:id="0"/>
            <w:r>
              <w:t>u</w:t>
            </w:r>
            <w:r w:rsidRPr="0088449F">
              <w:t xml:space="preserve"> </w:t>
            </w:r>
            <w:r>
              <w:t>izvērtētu</w:t>
            </w:r>
            <w:r w:rsidRPr="0088449F">
              <w:t xml:space="preserve"> pretendentu atbilstību </w:t>
            </w:r>
            <w:r>
              <w:t>Satiksmes ministrijas valsts sekretāra amatam un Satiksmes ministrijas padotībā esošo iestāžu vadītāju</w:t>
            </w:r>
            <w:r w:rsidRPr="0088449F">
              <w:t xml:space="preserve"> ierēdņa amat</w:t>
            </w:r>
            <w:r>
              <w:t>iem</w:t>
            </w:r>
            <w:r w:rsidRPr="0088449F">
              <w:t xml:space="preserve"> </w:t>
            </w:r>
            <w:r>
              <w:t>un saskaņā ar Valsts civildienesta likuma 35. panta otro daļu novērtētu Satiksmes ministrijas valsts sekretāra un Satiksmes ministrijas padotībā esošo iestāžu vadītāju darbību un tās rezultātus.</w:t>
            </w:r>
            <w:r w:rsidRPr="00182983">
              <w:rPr>
                <w:sz w:val="28"/>
                <w:szCs w:val="28"/>
              </w:rPr>
              <w:t xml:space="preserve"> </w:t>
            </w:r>
          </w:p>
        </w:tc>
      </w:tr>
      <w:tr w:rsidR="00FA4F7C" w:rsidRPr="00176A1C" w:rsidTr="00F130FD">
        <w:trPr>
          <w:trHeight w:val="472"/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 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Pašreizējā situācija un problēmas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4F7C" w:rsidRPr="00220722" w:rsidRDefault="00FA4F7C" w:rsidP="00F130FD">
            <w:pPr>
              <w:jc w:val="both"/>
            </w:pPr>
            <w:r w:rsidRPr="00220722">
              <w:t>Sakarā ar izmaiņām</w:t>
            </w:r>
            <w:r>
              <w:t xml:space="preserve"> komisijas</w:t>
            </w:r>
            <w:r w:rsidRPr="00220722">
              <w:t xml:space="preserve"> sastāvā, iepriekš apstiprinātais komisijas sastā</w:t>
            </w:r>
            <w:r>
              <w:t>vs ir zaudējis aktualitāti, kas</w:t>
            </w:r>
            <w:r w:rsidRPr="00220722">
              <w:t xml:space="preserve"> rada problēmas vērtēšanas komisiju izveidē. Ministru kabineta rīkojuma projektā minētās amatpersonas piekrīt dalībai pretendentu un ierēdņu vērtēšanas komisijā.</w:t>
            </w:r>
          </w:p>
        </w:tc>
      </w:tr>
      <w:tr w:rsidR="00FA4F7C" w:rsidRPr="00176A1C" w:rsidTr="00F130FD">
        <w:trPr>
          <w:trHeight w:val="1071"/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 3.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Saistītie politikas ietekmes novērtējumi un pētījumi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4F7C" w:rsidRPr="0066137B" w:rsidRDefault="00FA4F7C" w:rsidP="007A4E80">
            <w:pPr>
              <w:rPr>
                <w:lang w:eastAsia="en-US"/>
              </w:rPr>
            </w:pPr>
            <w:r>
              <w:rPr>
                <w:lang w:eastAsia="en-US"/>
              </w:rPr>
              <w:t>Nav attiecināms.</w:t>
            </w:r>
          </w:p>
        </w:tc>
      </w:tr>
      <w:tr w:rsidR="00FA4F7C" w:rsidRPr="00176A1C" w:rsidTr="00F130FD">
        <w:trPr>
          <w:trHeight w:val="384"/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 4.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Tiesiskā regulējuma mērķis un būtība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4F7C" w:rsidRPr="0066137B" w:rsidRDefault="00FA4F7C" w:rsidP="007A4E80">
            <w:pPr>
              <w:jc w:val="both"/>
              <w:rPr>
                <w:lang w:eastAsia="en-US"/>
              </w:rPr>
            </w:pPr>
            <w:r>
              <w:t xml:space="preserve">Rīkojuma projekts paredz apstiprināt to amatpersonu sarakstu, kuras var iekļaut pretendentu un ierēdņu vērtēšanas komisijā. Ministru kabineta </w:t>
            </w:r>
            <w:r>
              <w:rPr>
                <w:color w:val="000000"/>
              </w:rPr>
              <w:t>r</w:t>
            </w:r>
            <w:r w:rsidRPr="0066137B">
              <w:rPr>
                <w:color w:val="000000"/>
              </w:rPr>
              <w:t>īkojuma projekts paredz atzīt par spēku zaudējušu</w:t>
            </w:r>
            <w:r>
              <w:t xml:space="preserve"> Ministru kabineta 2012.gada 7. augusta rīkojumu Nr.376 “Par pretendentu un ierēdņu vērtēšanas komisiju” (Latvijas Vēstnesis, 2012,125.nr.). </w:t>
            </w:r>
          </w:p>
        </w:tc>
      </w:tr>
      <w:tr w:rsidR="00FA4F7C" w:rsidRPr="00176A1C" w:rsidTr="00F130FD">
        <w:trPr>
          <w:trHeight w:val="476"/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 5.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Projekta izstrādē iesaistītās institūcijas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4F7C" w:rsidRPr="0066137B" w:rsidRDefault="00FA4F7C" w:rsidP="007A4E8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Nav attiecināms.</w:t>
            </w:r>
          </w:p>
        </w:tc>
      </w:tr>
      <w:tr w:rsidR="00FA4F7C" w:rsidRPr="00176A1C" w:rsidTr="00F130FD">
        <w:trPr>
          <w:trHeight w:val="851"/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 6.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Iemesli, kādēļ netika nodrošināta sabiedrības līdzdalība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4F7C" w:rsidRPr="0066137B" w:rsidRDefault="00FA4F7C" w:rsidP="007A4E80">
            <w:pPr>
              <w:jc w:val="both"/>
              <w:rPr>
                <w:lang w:eastAsia="en-US"/>
              </w:rPr>
            </w:pPr>
            <w:r w:rsidRPr="0066137B">
              <w:t>Sabiedrības līdzdalība nav nodrošināta, jo Ministru kabineta rīkojuma projekts nekādā veidā neierobežo un nesašaurina nevienas personu grupas vai indivīda tiesības.</w:t>
            </w:r>
          </w:p>
        </w:tc>
      </w:tr>
      <w:tr w:rsidR="00FA4F7C" w:rsidRPr="00176A1C" w:rsidTr="00F130F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r w:rsidRPr="00176A1C">
              <w:rPr>
                <w:lang w:eastAsia="en-US"/>
              </w:rPr>
              <w:t> 7.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F7C" w:rsidRPr="00176A1C" w:rsidRDefault="00FA4F7C" w:rsidP="00F130FD">
            <w:pPr>
              <w:rPr>
                <w:lang w:eastAsia="en-US"/>
              </w:rPr>
            </w:pPr>
            <w:bookmarkStart w:id="1" w:name="_GoBack"/>
            <w:bookmarkEnd w:id="1"/>
            <w:r w:rsidRPr="00176A1C">
              <w:rPr>
                <w:lang w:eastAsia="en-US"/>
              </w:rPr>
              <w:t>Cita informācija</w:t>
            </w:r>
          </w:p>
        </w:tc>
        <w:tc>
          <w:tcPr>
            <w:tcW w:w="6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A4F7C" w:rsidRPr="0066137B" w:rsidRDefault="00FA4F7C" w:rsidP="007A4E80">
            <w:pPr>
              <w:rPr>
                <w:lang w:eastAsia="en-US"/>
              </w:rPr>
            </w:pPr>
            <w:r w:rsidRPr="0066137B">
              <w:rPr>
                <w:lang w:eastAsia="en-US"/>
              </w:rPr>
              <w:t>Nav.</w:t>
            </w:r>
          </w:p>
        </w:tc>
      </w:tr>
    </w:tbl>
    <w:p w:rsidR="00FA4F7C" w:rsidRPr="00176A1C" w:rsidRDefault="00FA4F7C" w:rsidP="00E02C10">
      <w:pPr>
        <w:spacing w:before="75" w:after="75"/>
        <w:ind w:firstLine="375"/>
        <w:jc w:val="both"/>
        <w:rPr>
          <w:lang w:eastAsia="en-US"/>
        </w:rPr>
      </w:pPr>
      <w:r w:rsidRPr="00176A1C">
        <w:rPr>
          <w:lang w:eastAsia="en-US"/>
        </w:rPr>
        <w:t> </w:t>
      </w:r>
    </w:p>
    <w:p w:rsidR="00FA4F7C" w:rsidRPr="00B278FF" w:rsidRDefault="00FA4F7C" w:rsidP="00E02C10">
      <w:pPr>
        <w:rPr>
          <w:iCs/>
          <w:sz w:val="28"/>
          <w:szCs w:val="28"/>
          <w:lang w:eastAsia="en-US"/>
        </w:rPr>
      </w:pPr>
      <w:r w:rsidRPr="00B278FF">
        <w:rPr>
          <w:iCs/>
          <w:sz w:val="28"/>
          <w:szCs w:val="28"/>
          <w:lang w:eastAsia="en-US"/>
        </w:rPr>
        <w:t>Anotācijas II, III, IV, V ,VI un-VII.</w:t>
      </w:r>
      <w:r>
        <w:rPr>
          <w:iCs/>
          <w:sz w:val="28"/>
          <w:szCs w:val="28"/>
          <w:lang w:eastAsia="en-US"/>
        </w:rPr>
        <w:t xml:space="preserve"> </w:t>
      </w:r>
      <w:r w:rsidRPr="00B278FF">
        <w:rPr>
          <w:iCs/>
          <w:sz w:val="28"/>
          <w:szCs w:val="28"/>
          <w:lang w:eastAsia="en-US"/>
        </w:rPr>
        <w:t>sadaļa – nav attiecināms.</w:t>
      </w:r>
    </w:p>
    <w:p w:rsidR="00FA4F7C" w:rsidRPr="00B278FF" w:rsidRDefault="00FA4F7C" w:rsidP="00E02C10">
      <w:pPr>
        <w:rPr>
          <w:i/>
          <w:iCs/>
          <w:sz w:val="28"/>
          <w:szCs w:val="28"/>
          <w:lang w:eastAsia="en-US"/>
        </w:rPr>
      </w:pPr>
    </w:p>
    <w:p w:rsidR="00FA4F7C" w:rsidRDefault="00FA4F7C" w:rsidP="00E02C10">
      <w:pPr>
        <w:pStyle w:val="naisf"/>
        <w:spacing w:before="0" w:after="0"/>
        <w:ind w:left="3600" w:right="-58" w:hanging="3600"/>
        <w:jc w:val="left"/>
        <w:rPr>
          <w:sz w:val="28"/>
          <w:szCs w:val="28"/>
        </w:rPr>
      </w:pPr>
    </w:p>
    <w:p w:rsidR="00FA4F7C" w:rsidRPr="00B278FF" w:rsidRDefault="00FA4F7C" w:rsidP="00E02C10">
      <w:pPr>
        <w:pStyle w:val="naisf"/>
        <w:spacing w:before="0" w:after="0"/>
        <w:ind w:left="3600" w:right="-58" w:hanging="3600"/>
        <w:jc w:val="left"/>
        <w:rPr>
          <w:sz w:val="28"/>
          <w:szCs w:val="28"/>
        </w:rPr>
      </w:pPr>
      <w:r w:rsidRPr="00B278FF">
        <w:rPr>
          <w:sz w:val="28"/>
          <w:szCs w:val="28"/>
        </w:rPr>
        <w:t>Satiksmes ministr</w:t>
      </w:r>
      <w:r>
        <w:rPr>
          <w:sz w:val="28"/>
          <w:szCs w:val="28"/>
        </w:rPr>
        <w:t>s</w:t>
      </w:r>
      <w:r w:rsidRPr="00B278FF">
        <w:rPr>
          <w:sz w:val="28"/>
          <w:szCs w:val="28"/>
        </w:rPr>
        <w:tab/>
      </w:r>
      <w:r w:rsidRPr="00B278FF">
        <w:rPr>
          <w:sz w:val="28"/>
          <w:szCs w:val="28"/>
        </w:rPr>
        <w:tab/>
      </w:r>
      <w:r w:rsidRPr="00B278FF">
        <w:rPr>
          <w:sz w:val="28"/>
          <w:szCs w:val="28"/>
        </w:rPr>
        <w:tab/>
      </w:r>
      <w:r w:rsidRPr="00B278F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A. Matīss</w:t>
      </w:r>
    </w:p>
    <w:p w:rsidR="00FA4F7C" w:rsidRPr="00B278FF" w:rsidRDefault="00FA4F7C" w:rsidP="00E02C10">
      <w:pPr>
        <w:pStyle w:val="naisf"/>
        <w:spacing w:before="0" w:after="0"/>
        <w:ind w:right="1286"/>
        <w:jc w:val="left"/>
        <w:rPr>
          <w:sz w:val="28"/>
          <w:szCs w:val="28"/>
        </w:rPr>
      </w:pPr>
    </w:p>
    <w:p w:rsidR="00FA4F7C" w:rsidRDefault="00FA4F7C" w:rsidP="00E02C10">
      <w:pPr>
        <w:pStyle w:val="naisf"/>
        <w:spacing w:before="0" w:after="0"/>
        <w:ind w:right="1286" w:firstLine="0"/>
        <w:jc w:val="left"/>
        <w:rPr>
          <w:sz w:val="28"/>
          <w:szCs w:val="28"/>
        </w:rPr>
      </w:pPr>
    </w:p>
    <w:p w:rsidR="00FA4F7C" w:rsidRPr="00B278FF" w:rsidRDefault="00FA4F7C" w:rsidP="00E02C10">
      <w:pPr>
        <w:pStyle w:val="naisf"/>
        <w:spacing w:before="0" w:after="0"/>
        <w:ind w:right="-142" w:firstLine="0"/>
        <w:jc w:val="left"/>
        <w:rPr>
          <w:sz w:val="28"/>
          <w:szCs w:val="28"/>
        </w:rPr>
      </w:pPr>
      <w:r w:rsidRPr="00B278FF">
        <w:rPr>
          <w:sz w:val="28"/>
          <w:szCs w:val="28"/>
        </w:rPr>
        <w:t xml:space="preserve">Vīza: </w:t>
      </w:r>
      <w:r>
        <w:rPr>
          <w:sz w:val="28"/>
          <w:szCs w:val="28"/>
        </w:rPr>
        <w:t>V</w:t>
      </w:r>
      <w:r w:rsidRPr="00B278FF">
        <w:rPr>
          <w:sz w:val="28"/>
          <w:szCs w:val="28"/>
        </w:rPr>
        <w:t>alsts sekretār</w:t>
      </w:r>
      <w:r>
        <w:rPr>
          <w:sz w:val="28"/>
          <w:szCs w:val="28"/>
        </w:rPr>
        <w:t>a p.i.</w:t>
      </w:r>
      <w:r w:rsidRPr="00B278FF">
        <w:rPr>
          <w:sz w:val="28"/>
          <w:szCs w:val="28"/>
        </w:rPr>
        <w:tab/>
      </w:r>
      <w:r w:rsidRPr="00B278FF">
        <w:rPr>
          <w:sz w:val="28"/>
          <w:szCs w:val="28"/>
        </w:rPr>
        <w:tab/>
      </w:r>
      <w:r w:rsidRPr="00B278FF">
        <w:rPr>
          <w:sz w:val="28"/>
          <w:szCs w:val="28"/>
        </w:rPr>
        <w:tab/>
      </w:r>
      <w:r w:rsidRPr="00B278F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Dž. Innusa </w:t>
      </w:r>
    </w:p>
    <w:p w:rsidR="00FA4F7C" w:rsidRPr="00B278FF" w:rsidRDefault="00FA4F7C" w:rsidP="00E02C10">
      <w:pPr>
        <w:jc w:val="both"/>
        <w:rPr>
          <w:b/>
        </w:rPr>
      </w:pPr>
    </w:p>
    <w:p w:rsidR="00FA4F7C" w:rsidRDefault="00FA4F7C" w:rsidP="00E02C10"/>
    <w:p w:rsidR="00FA4F7C" w:rsidRPr="00B278FF" w:rsidRDefault="00FA4F7C" w:rsidP="00E02C10">
      <w:r>
        <w:t>14</w:t>
      </w:r>
      <w:r w:rsidRPr="00B278FF">
        <w:t>.</w:t>
      </w:r>
      <w:r>
        <w:t>03.2013</w:t>
      </w:r>
      <w:r w:rsidRPr="00B278FF">
        <w:t>. 11:00</w:t>
      </w:r>
    </w:p>
    <w:p w:rsidR="00FA4F7C" w:rsidRPr="00B278FF" w:rsidRDefault="00FA4F7C" w:rsidP="00E02C10">
      <w:r>
        <w:t>237</w:t>
      </w:r>
    </w:p>
    <w:p w:rsidR="00FA4F7C" w:rsidRPr="00B278FF" w:rsidRDefault="00FA4F7C" w:rsidP="00E02C10">
      <w:r>
        <w:t>D.Osmane</w:t>
      </w:r>
    </w:p>
    <w:p w:rsidR="00FA4F7C" w:rsidRPr="00B278FF" w:rsidRDefault="00FA4F7C" w:rsidP="00E02C10">
      <w:r w:rsidRPr="00B278FF">
        <w:t>6702</w:t>
      </w:r>
      <w:r>
        <w:t>8342</w:t>
      </w:r>
      <w:r w:rsidRPr="00B278FF">
        <w:t xml:space="preserve">, </w:t>
      </w:r>
      <w:r>
        <w:t>dana.osmane</w:t>
      </w:r>
      <w:r w:rsidRPr="00B278FF">
        <w:t>@sam.gov.lv</w:t>
      </w:r>
    </w:p>
    <w:p w:rsidR="00FA4F7C" w:rsidRDefault="00FA4F7C"/>
    <w:sectPr w:rsidR="00FA4F7C" w:rsidSect="00B278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7C" w:rsidRDefault="00FA4F7C" w:rsidP="00E02C10">
      <w:r>
        <w:separator/>
      </w:r>
    </w:p>
  </w:endnote>
  <w:endnote w:type="continuationSeparator" w:id="0">
    <w:p w:rsidR="00FA4F7C" w:rsidRDefault="00FA4F7C" w:rsidP="00E02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7C" w:rsidRDefault="00FA4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7C" w:rsidRPr="0066137B" w:rsidRDefault="00FA4F7C" w:rsidP="00682AF6">
    <w:pPr>
      <w:pStyle w:val="Footer"/>
      <w:jc w:val="both"/>
      <w:rPr>
        <w:sz w:val="22"/>
        <w:szCs w:val="22"/>
      </w:rPr>
    </w:pPr>
    <w:r>
      <w:rPr>
        <w:sz w:val="22"/>
        <w:szCs w:val="22"/>
      </w:rPr>
      <w:t>RAPLM</w:t>
    </w:r>
    <w:r w:rsidRPr="0066137B">
      <w:rPr>
        <w:sz w:val="22"/>
        <w:szCs w:val="22"/>
      </w:rPr>
      <w:t>Anot_</w:t>
    </w:r>
    <w:r>
      <w:rPr>
        <w:sz w:val="22"/>
        <w:szCs w:val="22"/>
      </w:rPr>
      <w:t>18</w:t>
    </w:r>
    <w:r w:rsidRPr="0066137B">
      <w:rPr>
        <w:sz w:val="22"/>
        <w:szCs w:val="22"/>
      </w:rPr>
      <w:t>0</w:t>
    </w:r>
    <w:r>
      <w:rPr>
        <w:sz w:val="22"/>
        <w:szCs w:val="22"/>
      </w:rPr>
      <w:t>8</w:t>
    </w:r>
    <w:r w:rsidRPr="0066137B">
      <w:rPr>
        <w:sz w:val="22"/>
        <w:szCs w:val="22"/>
      </w:rPr>
      <w:t>10_MKrik</w:t>
    </w:r>
    <w:r>
      <w:rPr>
        <w:sz w:val="22"/>
        <w:szCs w:val="22"/>
      </w:rPr>
      <w:t xml:space="preserve">; Ministru kabineta rīkojuma projekta </w:t>
    </w:r>
    <w:r w:rsidRPr="0066137B">
      <w:rPr>
        <w:sz w:val="22"/>
        <w:szCs w:val="22"/>
      </w:rPr>
      <w:t>”Par pretendentu un ierēdņu vērtēšanas komisiju”</w:t>
    </w:r>
    <w:r>
      <w:rPr>
        <w:sz w:val="22"/>
        <w:szCs w:val="22"/>
      </w:rPr>
      <w:t xml:space="preserve">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>
        <w:rPr>
          <w:sz w:val="22"/>
          <w:szCs w:val="22"/>
        </w:rPr>
        <w:t>ziņojums</w:t>
      </w:r>
    </w:smartTag>
    <w:r>
      <w:rPr>
        <w:sz w:val="22"/>
        <w:szCs w:val="22"/>
      </w:rPr>
      <w:t xml:space="preserve"> (anotācija)</w:t>
    </w:r>
  </w:p>
  <w:p w:rsidR="00FA4F7C" w:rsidRPr="001E5256" w:rsidRDefault="00FA4F7C" w:rsidP="00682AF6">
    <w:pPr>
      <w:pStyle w:val="Footer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7C" w:rsidRPr="00B278FF" w:rsidRDefault="00FA4F7C" w:rsidP="00B278FF">
    <w:pPr>
      <w:pStyle w:val="Footer"/>
      <w:jc w:val="both"/>
      <w:rPr>
        <w:sz w:val="20"/>
        <w:szCs w:val="20"/>
      </w:rPr>
    </w:pPr>
    <w:r w:rsidRPr="00B278FF">
      <w:rPr>
        <w:sz w:val="20"/>
        <w:szCs w:val="20"/>
      </w:rPr>
      <w:t>SAM</w:t>
    </w:r>
    <w:r>
      <w:rPr>
        <w:sz w:val="20"/>
        <w:szCs w:val="20"/>
      </w:rPr>
      <w:t>a</w:t>
    </w:r>
    <w:r w:rsidRPr="00B278FF">
      <w:rPr>
        <w:sz w:val="20"/>
        <w:szCs w:val="20"/>
      </w:rPr>
      <w:t>not_</w:t>
    </w:r>
    <w:r>
      <w:rPr>
        <w:sz w:val="20"/>
        <w:szCs w:val="20"/>
      </w:rPr>
      <w:t>140313</w:t>
    </w:r>
    <w:r w:rsidRPr="00B278FF">
      <w:rPr>
        <w:sz w:val="20"/>
        <w:szCs w:val="20"/>
      </w:rPr>
      <w:t xml:space="preserve">_vert; Ministru kabineta rīkojuma projekta ”Par pretendentu un ierēdņu vērtēšanas komisiju”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B278FF">
        <w:rPr>
          <w:sz w:val="20"/>
          <w:szCs w:val="20"/>
        </w:rPr>
        <w:t>ziņojums</w:t>
      </w:r>
    </w:smartTag>
    <w:r w:rsidRPr="00B278FF">
      <w:rPr>
        <w:sz w:val="20"/>
        <w:szCs w:val="20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7C" w:rsidRDefault="00FA4F7C" w:rsidP="00E02C10">
      <w:r>
        <w:separator/>
      </w:r>
    </w:p>
  </w:footnote>
  <w:footnote w:type="continuationSeparator" w:id="0">
    <w:p w:rsidR="00FA4F7C" w:rsidRDefault="00FA4F7C" w:rsidP="00E02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7C" w:rsidRDefault="00FA4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7C" w:rsidRDefault="00FA4F7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A4F7C" w:rsidRDefault="00FA4F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F7C" w:rsidRDefault="00FA4F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C10"/>
    <w:rsid w:val="00102D6E"/>
    <w:rsid w:val="00176A1C"/>
    <w:rsid w:val="00182983"/>
    <w:rsid w:val="001925E3"/>
    <w:rsid w:val="001E5256"/>
    <w:rsid w:val="00220722"/>
    <w:rsid w:val="002327C4"/>
    <w:rsid w:val="00250BD7"/>
    <w:rsid w:val="002D5224"/>
    <w:rsid w:val="0066137B"/>
    <w:rsid w:val="00671064"/>
    <w:rsid w:val="00682AF6"/>
    <w:rsid w:val="007A4E80"/>
    <w:rsid w:val="00817B61"/>
    <w:rsid w:val="0088449F"/>
    <w:rsid w:val="009C3F6E"/>
    <w:rsid w:val="00B278FF"/>
    <w:rsid w:val="00E02C10"/>
    <w:rsid w:val="00E47695"/>
    <w:rsid w:val="00F058BB"/>
    <w:rsid w:val="00F130FD"/>
    <w:rsid w:val="00FA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C1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E02C10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02C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02C10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E02C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02C10"/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E02C10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02C10"/>
    <w:rPr>
      <w:rFonts w:eastAsia="Times New Roman" w:cs="Times New Roman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237</Words>
  <Characters>1687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anotācija</dc:subject>
  <dc:creator>Dana.Osmane@sam.gov.lv</dc:creator>
  <cp:keywords/>
  <dc:description>Dana Osmane@sam.gov.lv,tālr.67028342</dc:description>
  <cp:lastModifiedBy>Baiba Šterna</cp:lastModifiedBy>
  <cp:revision>6</cp:revision>
  <dcterms:created xsi:type="dcterms:W3CDTF">2013-03-14T09:46:00Z</dcterms:created>
  <dcterms:modified xsi:type="dcterms:W3CDTF">2013-03-18T12:24:00Z</dcterms:modified>
</cp:coreProperties>
</file>