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1F" w:rsidRPr="00C16498" w:rsidRDefault="00135D1F" w:rsidP="001464AA">
      <w:pPr>
        <w:jc w:val="center"/>
        <w:rPr>
          <w:b/>
          <w:bCs/>
          <w:szCs w:val="28"/>
          <w:lang w:eastAsia="lv-LV"/>
        </w:rPr>
      </w:pPr>
      <w:bookmarkStart w:id="0" w:name="OLE_LINK8"/>
      <w:bookmarkStart w:id="1" w:name="OLE_LINK7"/>
      <w:bookmarkStart w:id="2" w:name="OLE_LINK1"/>
      <w:bookmarkStart w:id="3" w:name="OLE_LINK2"/>
      <w:r w:rsidRPr="00C16498">
        <w:rPr>
          <w:b/>
          <w:szCs w:val="28"/>
        </w:rPr>
        <w:t>Ministru kabineta noteikumu projekta</w:t>
      </w:r>
      <w:r>
        <w:rPr>
          <w:b/>
          <w:szCs w:val="28"/>
        </w:rPr>
        <w:t xml:space="preserve"> </w:t>
      </w:r>
      <w:r w:rsidRPr="00C16498">
        <w:rPr>
          <w:b/>
          <w:szCs w:val="28"/>
        </w:rPr>
        <w:t>„</w:t>
      </w:r>
      <w:r w:rsidRPr="00C16498">
        <w:rPr>
          <w:b/>
          <w:bCs/>
          <w:szCs w:val="28"/>
        </w:rPr>
        <w:t>Grozījumi Ministru kabineta 2010.gada 30.marta noteikumos Nr.311 „Noteikumi par valsts un pašvaldību kapitālsabiedrību valdes locekļu skaitu, padomes un valdes locekļa, pašvaldības kapitāla daļu turētāja pārstāvja un atbildīgā darbinieka atlīdzību”</w:t>
      </w:r>
      <w:r>
        <w:rPr>
          <w:b/>
          <w:bCs/>
          <w:szCs w:val="28"/>
        </w:rPr>
        <w:t xml:space="preserve"> </w:t>
      </w:r>
      <w:r w:rsidRPr="00C16498">
        <w:rPr>
          <w:b/>
          <w:bCs/>
          <w:szCs w:val="28"/>
          <w:lang w:eastAsia="lv-LV"/>
        </w:rPr>
        <w:t>sākotnējās ietekmes novērtējuma ziņojums (anotācija)</w:t>
      </w:r>
      <w:bookmarkEnd w:id="0"/>
      <w:bookmarkEnd w:id="1"/>
    </w:p>
    <w:p w:rsidR="00135D1F" w:rsidRPr="00C16498" w:rsidRDefault="00135D1F" w:rsidP="001464AA">
      <w:pPr>
        <w:jc w:val="center"/>
        <w:rPr>
          <w:szCs w:val="28"/>
          <w:lang w:eastAsia="lv-LV"/>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8"/>
        <w:gridCol w:w="2308"/>
        <w:gridCol w:w="6378"/>
      </w:tblGrid>
      <w:tr w:rsidR="00135D1F" w:rsidRPr="00C16498" w:rsidTr="0061040D">
        <w:trPr>
          <w:tblCellSpacing w:w="0" w:type="dxa"/>
        </w:trPr>
        <w:tc>
          <w:tcPr>
            <w:tcW w:w="9214" w:type="dxa"/>
            <w:gridSpan w:val="3"/>
            <w:tcBorders>
              <w:top w:val="outset" w:sz="6" w:space="0" w:color="auto"/>
              <w:bottom w:val="outset" w:sz="6" w:space="0" w:color="auto"/>
            </w:tcBorders>
            <w:vAlign w:val="center"/>
          </w:tcPr>
          <w:bookmarkEnd w:id="2"/>
          <w:bookmarkEnd w:id="3"/>
          <w:p w:rsidR="00135D1F" w:rsidRPr="00C16498" w:rsidRDefault="00135D1F" w:rsidP="0061040D">
            <w:pPr>
              <w:jc w:val="center"/>
              <w:rPr>
                <w:szCs w:val="28"/>
                <w:lang w:eastAsia="lv-LV"/>
              </w:rPr>
            </w:pPr>
            <w:r w:rsidRPr="00C16498">
              <w:rPr>
                <w:b/>
                <w:bCs/>
                <w:szCs w:val="28"/>
                <w:lang w:eastAsia="lv-LV"/>
              </w:rPr>
              <w:t>I. Tiesību akta projekta izstrādes nepieciešamība</w:t>
            </w:r>
          </w:p>
        </w:tc>
      </w:tr>
      <w:tr w:rsidR="00135D1F" w:rsidRPr="00C16498" w:rsidTr="0061040D">
        <w:trPr>
          <w:tblCellSpacing w:w="0" w:type="dxa"/>
        </w:trPr>
        <w:tc>
          <w:tcPr>
            <w:tcW w:w="528"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1.</w:t>
            </w:r>
          </w:p>
        </w:tc>
        <w:tc>
          <w:tcPr>
            <w:tcW w:w="2308"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Pamatojums</w:t>
            </w:r>
          </w:p>
        </w:tc>
        <w:tc>
          <w:tcPr>
            <w:tcW w:w="6378" w:type="dxa"/>
            <w:tcBorders>
              <w:top w:val="outset" w:sz="6" w:space="0" w:color="auto"/>
              <w:left w:val="outset" w:sz="6" w:space="0" w:color="auto"/>
              <w:bottom w:val="outset" w:sz="6" w:space="0" w:color="auto"/>
            </w:tcBorders>
          </w:tcPr>
          <w:p w:rsidR="00135D1F" w:rsidRPr="00C16498" w:rsidRDefault="00135D1F" w:rsidP="00E70F83">
            <w:pPr>
              <w:pStyle w:val="naiskr"/>
              <w:spacing w:before="0" w:beforeAutospacing="0" w:after="0" w:afterAutospacing="0"/>
              <w:ind w:hanging="6"/>
              <w:jc w:val="both"/>
              <w:rPr>
                <w:sz w:val="28"/>
                <w:szCs w:val="28"/>
              </w:rPr>
            </w:pPr>
            <w:r w:rsidRPr="00C16498">
              <w:rPr>
                <w:sz w:val="28"/>
                <w:szCs w:val="28"/>
              </w:rPr>
              <w:t>Ir pamats secināt, ka valdes locekļu, kas vienlaikus ir arī darbinieku kapitālsabiedrībā, atlīdzības tiesiskais regulējums neatbilst pastāvošajiem darba tirgus principiem, jo nesamērīgi ierobežo tiesības uz atbilstošas un konkurētspējīgas atlīdzības samaksas par savu pienākumu izpildi.</w:t>
            </w:r>
          </w:p>
          <w:p w:rsidR="00135D1F" w:rsidRPr="00C16498" w:rsidRDefault="00135D1F" w:rsidP="00E70F83">
            <w:pPr>
              <w:pStyle w:val="naiskr"/>
              <w:spacing w:before="0" w:beforeAutospacing="0" w:after="0" w:afterAutospacing="0"/>
              <w:ind w:hanging="6"/>
              <w:jc w:val="both"/>
              <w:rPr>
                <w:sz w:val="28"/>
                <w:szCs w:val="28"/>
              </w:rPr>
            </w:pPr>
            <w:r w:rsidRPr="00C16498">
              <w:rPr>
                <w:sz w:val="28"/>
                <w:szCs w:val="28"/>
              </w:rPr>
              <w:t>MK noteikumu projekts sagatavots, jo valsts kapitāla daļu turētāja  rīcībā šobrīd nav pietiekamu instrumentu, lai noteiktu atlīdzību, kura jau tā ir nekonkurētspējīga, salīdzinoši ar tāda paša līmeņa privātiem uzņēmumiem Latvijā, nemaz nerunājot par citu valstu analoģiskiem uzņēmumiem, kas turklāt ir tiešie šo uzņēmumu konkurenti.</w:t>
            </w:r>
          </w:p>
        </w:tc>
      </w:tr>
      <w:tr w:rsidR="00135D1F" w:rsidRPr="00C16498" w:rsidTr="0061040D">
        <w:trPr>
          <w:tblCellSpacing w:w="0" w:type="dxa"/>
        </w:trPr>
        <w:tc>
          <w:tcPr>
            <w:tcW w:w="528"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xml:space="preserve">   2.</w:t>
            </w:r>
          </w:p>
        </w:tc>
        <w:tc>
          <w:tcPr>
            <w:tcW w:w="2308"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ind w:left="25"/>
              <w:rPr>
                <w:szCs w:val="28"/>
                <w:lang w:eastAsia="lv-LV"/>
              </w:rPr>
            </w:pPr>
            <w:r w:rsidRPr="00C16498">
              <w:rPr>
                <w:szCs w:val="28"/>
                <w:lang w:eastAsia="lv-LV"/>
              </w:rPr>
              <w:t>Pašreizējā situācija un    problēmas</w:t>
            </w:r>
          </w:p>
        </w:tc>
        <w:tc>
          <w:tcPr>
            <w:tcW w:w="6378" w:type="dxa"/>
            <w:tcBorders>
              <w:top w:val="outset" w:sz="6" w:space="0" w:color="auto"/>
              <w:left w:val="outset" w:sz="6" w:space="0" w:color="auto"/>
              <w:bottom w:val="outset" w:sz="6" w:space="0" w:color="auto"/>
            </w:tcBorders>
          </w:tcPr>
          <w:p w:rsidR="00135D1F" w:rsidRPr="00C16498" w:rsidRDefault="00135D1F" w:rsidP="0061040D">
            <w:pPr>
              <w:tabs>
                <w:tab w:val="left" w:pos="693"/>
              </w:tabs>
              <w:ind w:right="52"/>
              <w:jc w:val="both"/>
              <w:rPr>
                <w:szCs w:val="28"/>
              </w:rPr>
            </w:pPr>
            <w:r w:rsidRPr="00C16498">
              <w:rPr>
                <w:szCs w:val="28"/>
              </w:rPr>
              <w:t xml:space="preserve">Valsts kapitālsabiedrību valdes locekļiem saskaņā ar likumu Par valsts un pašvaldību kapitāla daļām un kapitālsabiedrībām (61. panta 5. daļa, 94. panta 2. daļa, 97. panta 1. daļa) un likumu Par interešu konflikta novēršanu valsts amatpersonu darbībā (7. panta 5. daļa) ir paredzētas tiesības valdes locekļa amatu apvienot ar darbu gan attiecīgajā kapitālsabiedrībā, gan arī citiem amatiem. Likums Par interešu konflikta novēršanu valsts amatpersonu darbībā (9. panta 1. daļa) paredz, ka Valsts amatpersonai ir atļauts vienlaikus saņemt atalgojumu par valsts amatpersonas amata pienākumu pildīšanu un atalgojumu par tāda amata pienākumu, uzņēmuma līguma vai pilnvarojuma izpildi, kas tai nav aizliegts ar šo likumu vai citiem likumiem, kā arī gūt ienākumus no komercdarbības vai citiem ienākumu avotiem, kas tai nav aizliegti ar šo likumu vai citiem likumiem (izņēmums 9. panta 5. daļa). </w:t>
            </w:r>
          </w:p>
          <w:p w:rsidR="00135D1F" w:rsidRPr="00C16498" w:rsidRDefault="00135D1F" w:rsidP="009B2EE6">
            <w:pPr>
              <w:tabs>
                <w:tab w:val="left" w:pos="693"/>
              </w:tabs>
              <w:ind w:right="52"/>
              <w:jc w:val="both"/>
              <w:rPr>
                <w:szCs w:val="28"/>
              </w:rPr>
            </w:pPr>
            <w:r w:rsidRPr="00C16498">
              <w:rPr>
                <w:szCs w:val="28"/>
              </w:rPr>
              <w:t>Šobrīd kapitālsabiedrības valdes loceklis par darbu valdē un amata pienākumu izpildi kapitālsabiedrībā saņem vienotu atlīdzību, līdz ar to netiek pietiekami atlīdzināts darbinieka, ja reizē tas ir arī valdes loceklis ieguldītais darbs, kas īpaši liela uzņēmuma arī koncerna gadījumā ir saistīts arī ar atbildību lēmuma pieņemšanā.</w:t>
            </w:r>
          </w:p>
        </w:tc>
      </w:tr>
      <w:tr w:rsidR="00135D1F" w:rsidRPr="00C16498" w:rsidTr="0061040D">
        <w:trPr>
          <w:tblCellSpacing w:w="0" w:type="dxa"/>
        </w:trPr>
        <w:tc>
          <w:tcPr>
            <w:tcW w:w="528"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3.</w:t>
            </w:r>
          </w:p>
        </w:tc>
        <w:tc>
          <w:tcPr>
            <w:tcW w:w="2308"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ind w:left="25"/>
              <w:rPr>
                <w:szCs w:val="28"/>
                <w:lang w:eastAsia="lv-LV"/>
              </w:rPr>
            </w:pPr>
            <w:r w:rsidRPr="00C16498">
              <w:rPr>
                <w:szCs w:val="28"/>
                <w:lang w:eastAsia="lv-LV"/>
              </w:rPr>
              <w:t> Saistītie politikas  ietekmes novērtējumi un pētījumi</w:t>
            </w:r>
          </w:p>
        </w:tc>
        <w:tc>
          <w:tcPr>
            <w:tcW w:w="6378" w:type="dxa"/>
            <w:tcBorders>
              <w:top w:val="outset" w:sz="6" w:space="0" w:color="auto"/>
              <w:left w:val="outset" w:sz="6" w:space="0" w:color="auto"/>
              <w:bottom w:val="outset" w:sz="6" w:space="0" w:color="auto"/>
            </w:tcBorders>
          </w:tcPr>
          <w:p w:rsidR="00135D1F" w:rsidRPr="00C16498" w:rsidRDefault="00135D1F" w:rsidP="0061040D">
            <w:pPr>
              <w:ind w:right="52"/>
              <w:jc w:val="both"/>
              <w:rPr>
                <w:szCs w:val="28"/>
                <w:lang w:eastAsia="lv-LV"/>
              </w:rPr>
            </w:pPr>
            <w:r w:rsidRPr="00C16498">
              <w:rPr>
                <w:szCs w:val="28"/>
                <w:lang w:eastAsia="lv-LV"/>
              </w:rPr>
              <w:t>Nav attiecināms</w:t>
            </w:r>
            <w:r w:rsidRPr="00C16498">
              <w:rPr>
                <w:szCs w:val="28"/>
              </w:rPr>
              <w:t xml:space="preserve"> </w:t>
            </w:r>
          </w:p>
        </w:tc>
      </w:tr>
      <w:tr w:rsidR="00135D1F" w:rsidRPr="00C16498" w:rsidTr="0061040D">
        <w:trPr>
          <w:trHeight w:val="2305"/>
          <w:tblCellSpacing w:w="0" w:type="dxa"/>
        </w:trPr>
        <w:tc>
          <w:tcPr>
            <w:tcW w:w="528"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4.</w:t>
            </w:r>
          </w:p>
        </w:tc>
        <w:tc>
          <w:tcPr>
            <w:tcW w:w="2308"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ind w:left="25" w:hanging="25"/>
              <w:rPr>
                <w:szCs w:val="28"/>
                <w:lang w:eastAsia="lv-LV"/>
              </w:rPr>
            </w:pPr>
            <w:r w:rsidRPr="00C16498">
              <w:rPr>
                <w:szCs w:val="28"/>
                <w:lang w:eastAsia="lv-LV"/>
              </w:rPr>
              <w:t> Tiesiskā regulējuma mērķis un būtība</w:t>
            </w:r>
          </w:p>
        </w:tc>
        <w:tc>
          <w:tcPr>
            <w:tcW w:w="6378" w:type="dxa"/>
            <w:tcBorders>
              <w:top w:val="outset" w:sz="6" w:space="0" w:color="auto"/>
              <w:left w:val="outset" w:sz="6" w:space="0" w:color="auto"/>
              <w:bottom w:val="outset" w:sz="6" w:space="0" w:color="auto"/>
            </w:tcBorders>
          </w:tcPr>
          <w:p w:rsidR="00135D1F" w:rsidRPr="00C16498" w:rsidRDefault="00135D1F" w:rsidP="0061040D">
            <w:pPr>
              <w:jc w:val="both"/>
              <w:rPr>
                <w:szCs w:val="28"/>
              </w:rPr>
            </w:pPr>
            <w:r w:rsidRPr="00C16498">
              <w:rPr>
                <w:szCs w:val="28"/>
              </w:rPr>
              <w:t>Projekta mērķis ir uzlabot valsts kapitālsabiedrību konkurētspēju, novēršot valsts kapitālsabiedrību valdes locekļu diskrimināciju salīdzinājumā ar citu kapitālsabiedrību vadītājiem, kuri bez ierobežojumiem atalgojumu saņem atbilstoši ieņemamo amatu skaitam un paveiktajam darbam.</w:t>
            </w:r>
          </w:p>
          <w:p w:rsidR="00135D1F" w:rsidRPr="00C16498" w:rsidRDefault="00135D1F" w:rsidP="00D91A0D">
            <w:pPr>
              <w:jc w:val="both"/>
              <w:rPr>
                <w:szCs w:val="28"/>
              </w:rPr>
            </w:pPr>
            <w:r w:rsidRPr="00C16498">
              <w:rPr>
                <w:szCs w:val="28"/>
              </w:rPr>
              <w:t>Noteikumu projekts papildināts ar 2.punktu, ar kuru paredzēts papildināt MK noteikumus Nr. 311 ar 7.</w:t>
            </w:r>
            <w:r w:rsidRPr="00C16498">
              <w:rPr>
                <w:szCs w:val="28"/>
                <w:vertAlign w:val="superscript"/>
              </w:rPr>
              <w:t>1</w:t>
            </w:r>
            <w:r w:rsidRPr="00C16498">
              <w:rPr>
                <w:szCs w:val="28"/>
              </w:rPr>
              <w:t xml:space="preserve"> punktu, kurā noteikts, ka valdes priekšsēdētājam un valdes loceklim  nepieciešama akcionāru sapulces vai dalībnieku sapulces piekrišana mēnešalgas saņemšanai par amata pienākumu izpildi kapitālsabiedrībā, kurā tas ieņem valdes priekšsēdētāja vai valdes locekļa amatu. Šāda norma nepieciešama, lai nepieļautu situāciju, kad kapitālsabiedrību valdes bez akcionāru vai dalībnieku sapulces saskaņojuma pieņemtu lēmumus par valdes locekļu mēnešalgas saņemšanu par amata pienākumu izpildi kapitālsabiedrībā un, lai nepieļautu, ka valdes loceklis kā valsts amatpersona nonāktu interešu konflikta situācijā, pieņemot lēmumu sava atalgojuma noteikšanai. Šobrīd saskaņā ar likuma „Par valsts un pašvaldību kapitāla daļām un kapitālsabiedrībām” 76.panta trešo daļu (46.panta trešo daļu) akcionāru/dalībnieku sapulce saskaņo sabiedrības darbinieku mēnešalgu maksimālos apmērus.</w:t>
            </w:r>
          </w:p>
          <w:p w:rsidR="00135D1F" w:rsidRPr="00C16498" w:rsidRDefault="00135D1F" w:rsidP="00C16498">
            <w:pPr>
              <w:jc w:val="both"/>
              <w:rPr>
                <w:b/>
                <w:szCs w:val="28"/>
              </w:rPr>
            </w:pPr>
            <w:r w:rsidRPr="00C16498">
              <w:rPr>
                <w:szCs w:val="28"/>
              </w:rPr>
              <w:t xml:space="preserve">Ministru kabinets pieņemot šo noteikumu projektu, novērstu valsts kapitālsabiedrību valdes locekļu diskrimināciju salīdzinājumā ar privāto izpildinstitūciju </w:t>
            </w:r>
            <w:r>
              <w:rPr>
                <w:szCs w:val="28"/>
              </w:rPr>
              <w:t xml:space="preserve">valdes </w:t>
            </w:r>
            <w:r w:rsidRPr="00C16498">
              <w:rPr>
                <w:szCs w:val="28"/>
              </w:rPr>
              <w:t>locekļiem, kuri bez ierobežojumiem atalgojumu saņem atbilstoši ieņemamo amatu skaitam un paveiktajam darbam.</w:t>
            </w:r>
          </w:p>
        </w:tc>
      </w:tr>
      <w:tr w:rsidR="00135D1F" w:rsidRPr="00C16498" w:rsidTr="0061040D">
        <w:trPr>
          <w:tblCellSpacing w:w="0" w:type="dxa"/>
        </w:trPr>
        <w:tc>
          <w:tcPr>
            <w:tcW w:w="528"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5.</w:t>
            </w:r>
          </w:p>
        </w:tc>
        <w:tc>
          <w:tcPr>
            <w:tcW w:w="2308"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Projekta izstrādē iesaistītās institūcijas</w:t>
            </w:r>
          </w:p>
        </w:tc>
        <w:tc>
          <w:tcPr>
            <w:tcW w:w="6378" w:type="dxa"/>
            <w:tcBorders>
              <w:top w:val="outset" w:sz="6" w:space="0" w:color="auto"/>
              <w:left w:val="outset" w:sz="6" w:space="0" w:color="auto"/>
              <w:bottom w:val="outset" w:sz="6" w:space="0" w:color="auto"/>
            </w:tcBorders>
          </w:tcPr>
          <w:p w:rsidR="00135D1F" w:rsidRPr="00C16498" w:rsidRDefault="00135D1F" w:rsidP="0061040D">
            <w:pPr>
              <w:ind w:left="126" w:hanging="126"/>
              <w:rPr>
                <w:szCs w:val="28"/>
                <w:lang w:eastAsia="lv-LV"/>
              </w:rPr>
            </w:pPr>
            <w:r w:rsidRPr="00C16498">
              <w:rPr>
                <w:szCs w:val="28"/>
                <w:lang w:eastAsia="lv-LV"/>
              </w:rPr>
              <w:t xml:space="preserve"> </w:t>
            </w:r>
          </w:p>
          <w:p w:rsidR="00135D1F" w:rsidRPr="00C16498" w:rsidRDefault="00135D1F" w:rsidP="0061040D">
            <w:pPr>
              <w:rPr>
                <w:szCs w:val="28"/>
                <w:lang w:eastAsia="lv-LV"/>
              </w:rPr>
            </w:pPr>
            <w:r w:rsidRPr="00C16498">
              <w:rPr>
                <w:szCs w:val="28"/>
                <w:lang w:eastAsia="lv-LV"/>
              </w:rPr>
              <w:t xml:space="preserve"> Nav attiecināms</w:t>
            </w:r>
          </w:p>
        </w:tc>
      </w:tr>
      <w:tr w:rsidR="00135D1F" w:rsidRPr="00C16498" w:rsidTr="0061040D">
        <w:trPr>
          <w:tblCellSpacing w:w="0" w:type="dxa"/>
        </w:trPr>
        <w:tc>
          <w:tcPr>
            <w:tcW w:w="528"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6.</w:t>
            </w:r>
          </w:p>
        </w:tc>
        <w:tc>
          <w:tcPr>
            <w:tcW w:w="2308"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Iemesli, kādēļ netika nodrošināta sabiedrības līdzdalība</w:t>
            </w:r>
          </w:p>
        </w:tc>
        <w:tc>
          <w:tcPr>
            <w:tcW w:w="6378" w:type="dxa"/>
            <w:tcBorders>
              <w:top w:val="outset" w:sz="6" w:space="0" w:color="auto"/>
              <w:left w:val="outset" w:sz="6" w:space="0" w:color="auto"/>
              <w:bottom w:val="outset" w:sz="6" w:space="0" w:color="auto"/>
            </w:tcBorders>
          </w:tcPr>
          <w:p w:rsidR="00135D1F" w:rsidRPr="00C16498" w:rsidRDefault="00135D1F" w:rsidP="0061040D">
            <w:pPr>
              <w:jc w:val="both"/>
              <w:rPr>
                <w:szCs w:val="28"/>
                <w:lang w:eastAsia="lv-LV"/>
              </w:rPr>
            </w:pPr>
            <w:r w:rsidRPr="00C16498">
              <w:rPr>
                <w:color w:val="000000"/>
                <w:szCs w:val="28"/>
              </w:rPr>
              <w:t xml:space="preserve"> </w:t>
            </w:r>
            <w:r w:rsidRPr="00C16498">
              <w:rPr>
                <w:szCs w:val="28"/>
              </w:rPr>
              <w:t>Projekts šo jomu neskar</w:t>
            </w:r>
          </w:p>
        </w:tc>
      </w:tr>
      <w:tr w:rsidR="00135D1F" w:rsidRPr="00C16498" w:rsidTr="0061040D">
        <w:trPr>
          <w:tblCellSpacing w:w="0" w:type="dxa"/>
        </w:trPr>
        <w:tc>
          <w:tcPr>
            <w:tcW w:w="528"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7.</w:t>
            </w:r>
          </w:p>
        </w:tc>
        <w:tc>
          <w:tcPr>
            <w:tcW w:w="2308"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Cita informācija</w:t>
            </w:r>
          </w:p>
        </w:tc>
        <w:tc>
          <w:tcPr>
            <w:tcW w:w="6378" w:type="dxa"/>
            <w:tcBorders>
              <w:top w:val="outset" w:sz="6" w:space="0" w:color="auto"/>
              <w:left w:val="outset" w:sz="6" w:space="0" w:color="auto"/>
              <w:bottom w:val="outset" w:sz="6" w:space="0" w:color="auto"/>
            </w:tcBorders>
          </w:tcPr>
          <w:p w:rsidR="00135D1F" w:rsidRPr="00C16498" w:rsidRDefault="00135D1F" w:rsidP="0061040D">
            <w:pPr>
              <w:rPr>
                <w:szCs w:val="28"/>
                <w:lang w:eastAsia="lv-LV"/>
              </w:rPr>
            </w:pPr>
            <w:r w:rsidRPr="00C16498">
              <w:rPr>
                <w:szCs w:val="28"/>
                <w:lang w:eastAsia="lv-LV"/>
              </w:rPr>
              <w:t> Nav</w:t>
            </w:r>
          </w:p>
        </w:tc>
      </w:tr>
    </w:tbl>
    <w:tbl>
      <w:tblPr>
        <w:tblpPr w:leftFromText="180" w:rightFromText="180" w:vertAnchor="text" w:horzAnchor="margin" w:tblpX="-127" w:tblpY="371"/>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46"/>
        <w:gridCol w:w="1234"/>
        <w:gridCol w:w="1291"/>
        <w:gridCol w:w="1276"/>
        <w:gridCol w:w="1276"/>
        <w:gridCol w:w="1132"/>
      </w:tblGrid>
      <w:tr w:rsidR="00135D1F" w:rsidRPr="00C16498" w:rsidTr="0061040D">
        <w:trPr>
          <w:trHeight w:val="50"/>
          <w:tblCellSpacing w:w="0" w:type="dxa"/>
        </w:trPr>
        <w:tc>
          <w:tcPr>
            <w:tcW w:w="9255" w:type="dxa"/>
            <w:gridSpan w:val="6"/>
            <w:tcBorders>
              <w:top w:val="outset" w:sz="6" w:space="0" w:color="auto"/>
              <w:bottom w:val="outset" w:sz="6" w:space="0" w:color="auto"/>
            </w:tcBorders>
          </w:tcPr>
          <w:p w:rsidR="00135D1F" w:rsidRPr="00C16498" w:rsidRDefault="00135D1F" w:rsidP="0061040D">
            <w:pPr>
              <w:jc w:val="center"/>
              <w:rPr>
                <w:b/>
                <w:szCs w:val="28"/>
                <w:lang w:eastAsia="lv-LV"/>
              </w:rPr>
            </w:pPr>
            <w:r w:rsidRPr="00C16498">
              <w:rPr>
                <w:b/>
                <w:szCs w:val="28"/>
                <w:lang w:eastAsia="lv-LV"/>
              </w:rPr>
              <w:t>III. Tiesību akta projekta ietekme uz valsts budžetu un pašvaldību budžetiem</w:t>
            </w:r>
          </w:p>
          <w:p w:rsidR="00135D1F" w:rsidRPr="00C16498" w:rsidRDefault="00135D1F" w:rsidP="0061040D">
            <w:pPr>
              <w:jc w:val="center"/>
              <w:rPr>
                <w:b/>
                <w:szCs w:val="28"/>
                <w:lang w:eastAsia="lv-LV"/>
              </w:rPr>
            </w:pPr>
          </w:p>
        </w:tc>
      </w:tr>
      <w:tr w:rsidR="00135D1F" w:rsidRPr="00C16498" w:rsidTr="0061040D">
        <w:trPr>
          <w:tblCellSpacing w:w="0" w:type="dxa"/>
        </w:trPr>
        <w:tc>
          <w:tcPr>
            <w:tcW w:w="3046" w:type="dxa"/>
            <w:vMerge w:val="restart"/>
            <w:tcBorders>
              <w:top w:val="outset" w:sz="6" w:space="0" w:color="auto"/>
              <w:bottom w:val="outset" w:sz="6" w:space="0" w:color="auto"/>
              <w:right w:val="outset" w:sz="6" w:space="0" w:color="auto"/>
            </w:tcBorders>
            <w:vAlign w:val="center"/>
          </w:tcPr>
          <w:p w:rsidR="00135D1F" w:rsidRPr="00C16498" w:rsidRDefault="00135D1F" w:rsidP="0061040D">
            <w:pPr>
              <w:jc w:val="center"/>
              <w:rPr>
                <w:b/>
                <w:bCs/>
                <w:szCs w:val="28"/>
                <w:lang w:eastAsia="lv-LV"/>
              </w:rPr>
            </w:pPr>
            <w:r w:rsidRPr="00C16498">
              <w:rPr>
                <w:b/>
                <w:bCs/>
                <w:szCs w:val="28"/>
                <w:lang w:eastAsia="lv-LV"/>
              </w:rPr>
              <w:t>Rādītāji</w:t>
            </w:r>
          </w:p>
          <w:p w:rsidR="00135D1F" w:rsidRPr="00C16498" w:rsidRDefault="00135D1F" w:rsidP="0061040D">
            <w:pPr>
              <w:jc w:val="center"/>
              <w:rPr>
                <w:b/>
                <w:bCs/>
                <w:szCs w:val="28"/>
                <w:lang w:eastAsia="lv-LV"/>
              </w:rPr>
            </w:pPr>
          </w:p>
          <w:p w:rsidR="00135D1F" w:rsidRPr="00C16498" w:rsidRDefault="00135D1F" w:rsidP="0061040D">
            <w:pPr>
              <w:jc w:val="center"/>
              <w:rPr>
                <w:szCs w:val="28"/>
                <w:lang w:eastAsia="lv-LV"/>
              </w:rPr>
            </w:pPr>
          </w:p>
        </w:tc>
        <w:tc>
          <w:tcPr>
            <w:tcW w:w="2525" w:type="dxa"/>
            <w:gridSpan w:val="2"/>
            <w:vMerge w:val="restart"/>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b/>
                <w:bCs/>
                <w:szCs w:val="28"/>
                <w:lang w:eastAsia="lv-LV"/>
              </w:rPr>
              <w:t>2010</w:t>
            </w:r>
          </w:p>
        </w:tc>
        <w:tc>
          <w:tcPr>
            <w:tcW w:w="3684" w:type="dxa"/>
            <w:gridSpan w:val="3"/>
            <w:tcBorders>
              <w:top w:val="outset" w:sz="6" w:space="0" w:color="auto"/>
              <w:left w:val="outset" w:sz="6" w:space="0" w:color="auto"/>
              <w:bottom w:val="outset" w:sz="6" w:space="0" w:color="auto"/>
            </w:tcBorders>
            <w:vAlign w:val="center"/>
          </w:tcPr>
          <w:p w:rsidR="00135D1F" w:rsidRPr="00C16498" w:rsidRDefault="00135D1F" w:rsidP="0061040D">
            <w:pPr>
              <w:jc w:val="center"/>
              <w:rPr>
                <w:szCs w:val="28"/>
                <w:lang w:eastAsia="lv-LV"/>
              </w:rPr>
            </w:pPr>
            <w:r w:rsidRPr="00C16498">
              <w:rPr>
                <w:szCs w:val="28"/>
                <w:lang w:eastAsia="lv-LV"/>
              </w:rPr>
              <w:t>Turpmākie trīs gadi (tūkst. latu)</w:t>
            </w:r>
          </w:p>
          <w:p w:rsidR="00135D1F" w:rsidRPr="00C16498" w:rsidRDefault="00135D1F" w:rsidP="0061040D">
            <w:pPr>
              <w:jc w:val="center"/>
              <w:rPr>
                <w:szCs w:val="28"/>
                <w:lang w:eastAsia="lv-LV"/>
              </w:rPr>
            </w:pPr>
          </w:p>
        </w:tc>
      </w:tr>
      <w:tr w:rsidR="00135D1F" w:rsidRPr="00C16498" w:rsidTr="0061040D">
        <w:trPr>
          <w:tblCellSpacing w:w="0" w:type="dxa"/>
        </w:trPr>
        <w:tc>
          <w:tcPr>
            <w:tcW w:w="3046" w:type="dxa"/>
            <w:vMerge/>
            <w:tcBorders>
              <w:top w:val="outset" w:sz="6" w:space="0" w:color="auto"/>
              <w:bottom w:val="outset" w:sz="6" w:space="0" w:color="auto"/>
              <w:right w:val="outset" w:sz="6" w:space="0" w:color="auto"/>
            </w:tcBorders>
            <w:vAlign w:val="center"/>
          </w:tcPr>
          <w:p w:rsidR="00135D1F" w:rsidRPr="00C16498" w:rsidRDefault="00135D1F" w:rsidP="0061040D">
            <w:pPr>
              <w:rPr>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rPr>
                <w:szCs w:val="28"/>
                <w:lang w:eastAsia="lv-LV"/>
              </w:rPr>
            </w:pPr>
          </w:p>
        </w:tc>
        <w:tc>
          <w:tcPr>
            <w:tcW w:w="1276"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2011</w:t>
            </w:r>
          </w:p>
        </w:tc>
        <w:tc>
          <w:tcPr>
            <w:tcW w:w="1276"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2012</w:t>
            </w:r>
          </w:p>
        </w:tc>
        <w:tc>
          <w:tcPr>
            <w:tcW w:w="1132" w:type="dxa"/>
            <w:tcBorders>
              <w:top w:val="outset" w:sz="6" w:space="0" w:color="auto"/>
              <w:left w:val="outset" w:sz="6" w:space="0" w:color="auto"/>
              <w:bottom w:val="outset" w:sz="6" w:space="0" w:color="auto"/>
            </w:tcBorders>
            <w:vAlign w:val="center"/>
          </w:tcPr>
          <w:p w:rsidR="00135D1F" w:rsidRPr="00C16498" w:rsidRDefault="00135D1F" w:rsidP="0061040D">
            <w:pPr>
              <w:jc w:val="center"/>
              <w:rPr>
                <w:szCs w:val="28"/>
                <w:lang w:eastAsia="lv-LV"/>
              </w:rPr>
            </w:pPr>
            <w:r w:rsidRPr="00C16498">
              <w:rPr>
                <w:szCs w:val="28"/>
                <w:lang w:eastAsia="lv-LV"/>
              </w:rPr>
              <w:t>2013</w:t>
            </w:r>
          </w:p>
        </w:tc>
      </w:tr>
      <w:tr w:rsidR="00135D1F" w:rsidRPr="00C16498" w:rsidTr="0061040D">
        <w:trPr>
          <w:tblCellSpacing w:w="0" w:type="dxa"/>
        </w:trPr>
        <w:tc>
          <w:tcPr>
            <w:tcW w:w="3046" w:type="dxa"/>
            <w:vMerge/>
            <w:tcBorders>
              <w:top w:val="outset" w:sz="6" w:space="0" w:color="auto"/>
              <w:bottom w:val="outset" w:sz="6" w:space="0" w:color="auto"/>
              <w:right w:val="outset" w:sz="6" w:space="0" w:color="auto"/>
            </w:tcBorders>
            <w:vAlign w:val="center"/>
          </w:tcPr>
          <w:p w:rsidR="00135D1F" w:rsidRPr="00C16498" w:rsidRDefault="00135D1F" w:rsidP="0061040D">
            <w:pPr>
              <w:rPr>
                <w:szCs w:val="28"/>
                <w:lang w:eastAsia="lv-LV"/>
              </w:rPr>
            </w:pPr>
          </w:p>
        </w:tc>
        <w:tc>
          <w:tcPr>
            <w:tcW w:w="1234"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Saskaņā ar valsts budžetu kārtējam gadam</w:t>
            </w:r>
          </w:p>
        </w:tc>
        <w:tc>
          <w:tcPr>
            <w:tcW w:w="1291"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ind w:right="68"/>
              <w:jc w:val="center"/>
              <w:rPr>
                <w:szCs w:val="28"/>
                <w:lang w:eastAsia="lv-LV"/>
              </w:rPr>
            </w:pPr>
            <w:r w:rsidRPr="00C16498">
              <w:rPr>
                <w:szCs w:val="28"/>
                <w:lang w:eastAsia="lv-LV"/>
              </w:rPr>
              <w:t>Izmaiņas kārtējā gadā, salīdzinot ar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ind w:left="43" w:hanging="43"/>
              <w:jc w:val="center"/>
              <w:rPr>
                <w:szCs w:val="28"/>
                <w:lang w:eastAsia="lv-LV"/>
              </w:rPr>
            </w:pPr>
            <w:r w:rsidRPr="00C16498">
              <w:rPr>
                <w:color w:val="000000"/>
                <w:szCs w:val="28"/>
              </w:rPr>
              <w:t>Izmaiņas, salīdzinot ar kārtējo (n) gadu</w:t>
            </w:r>
          </w:p>
        </w:tc>
        <w:tc>
          <w:tcPr>
            <w:tcW w:w="1276"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Izmaiņas, salīdzinot ar kārtējo (n) gadu</w:t>
            </w:r>
          </w:p>
        </w:tc>
        <w:tc>
          <w:tcPr>
            <w:tcW w:w="1132" w:type="dxa"/>
            <w:tcBorders>
              <w:top w:val="outset" w:sz="6" w:space="0" w:color="auto"/>
              <w:left w:val="outset" w:sz="6" w:space="0" w:color="auto"/>
              <w:bottom w:val="outset" w:sz="6" w:space="0" w:color="auto"/>
            </w:tcBorders>
            <w:vAlign w:val="center"/>
          </w:tcPr>
          <w:p w:rsidR="00135D1F" w:rsidRPr="00C16498" w:rsidRDefault="00135D1F" w:rsidP="0061040D">
            <w:pPr>
              <w:jc w:val="center"/>
              <w:rPr>
                <w:szCs w:val="28"/>
                <w:lang w:eastAsia="lv-LV"/>
              </w:rPr>
            </w:pPr>
            <w:r w:rsidRPr="00C16498">
              <w:rPr>
                <w:szCs w:val="28"/>
                <w:lang w:eastAsia="lv-LV"/>
              </w:rPr>
              <w:t>Izmaiņas, salīdzinot ar kārtējo (n) gadu</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1</w:t>
            </w:r>
          </w:p>
        </w:tc>
        <w:tc>
          <w:tcPr>
            <w:tcW w:w="1234"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2</w:t>
            </w:r>
          </w:p>
        </w:tc>
        <w:tc>
          <w:tcPr>
            <w:tcW w:w="1291"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3</w:t>
            </w:r>
          </w:p>
        </w:tc>
        <w:tc>
          <w:tcPr>
            <w:tcW w:w="1276"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4</w:t>
            </w:r>
          </w:p>
        </w:tc>
        <w:tc>
          <w:tcPr>
            <w:tcW w:w="1276"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5</w:t>
            </w:r>
          </w:p>
        </w:tc>
        <w:tc>
          <w:tcPr>
            <w:tcW w:w="1132" w:type="dxa"/>
            <w:tcBorders>
              <w:top w:val="outset" w:sz="6" w:space="0" w:color="auto"/>
              <w:left w:val="outset" w:sz="6" w:space="0" w:color="auto"/>
              <w:bottom w:val="outset" w:sz="6" w:space="0" w:color="auto"/>
            </w:tcBorders>
            <w:vAlign w:val="center"/>
          </w:tcPr>
          <w:p w:rsidR="00135D1F" w:rsidRPr="00C16498" w:rsidRDefault="00135D1F" w:rsidP="0061040D">
            <w:pPr>
              <w:jc w:val="center"/>
              <w:rPr>
                <w:szCs w:val="28"/>
                <w:lang w:eastAsia="lv-LV"/>
              </w:rPr>
            </w:pPr>
            <w:r w:rsidRPr="00C16498">
              <w:rPr>
                <w:szCs w:val="28"/>
                <w:lang w:eastAsia="lv-LV"/>
              </w:rPr>
              <w:t>6</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1. Budžeta ieņēmumi:</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1.1. valsts pamatbudžets, tai skaitā ieņēmumi no maksas pakalpojumiem un citi pašu ieņēmumi</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1.2. valsts speciālais 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1.3. pašvaldību 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2. Budžeta izdevumi:</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2.1. valsts pamatbudžets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2.2. valsts speciālais 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2.3. pašvaldību 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3. Finansiālā ietekme:</w:t>
            </w:r>
          </w:p>
        </w:tc>
        <w:tc>
          <w:tcPr>
            <w:tcW w:w="1234" w:type="dxa"/>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3.1. valsts pamatbudžets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3.2. speciālais 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3.3. pašvaldību budžets</w:t>
            </w:r>
          </w:p>
        </w:tc>
        <w:tc>
          <w:tcPr>
            <w:tcW w:w="1234"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vMerge w:val="restart"/>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4. Finanšu līdzekļi papildu izde</w:t>
            </w:r>
            <w:r w:rsidRPr="00C16498">
              <w:rPr>
                <w:szCs w:val="28"/>
                <w:lang w:eastAsia="lv-LV"/>
              </w:rPr>
              <w:softHyphen/>
              <w:t>vumu finansēšanai (kompensējošu izdevumu samazinājumu norāda ar "+" zīmi) Finanšu ministrijas budžeta ietvaros tiks pārdalīts finansējums no valsts budžeta apakšprogrammas „31.02.00” „Valsts parāda vadība” uz programmu 33.00.00 „Valsts ieņēmumu un muitas politikas nodrošināšana”</w:t>
            </w:r>
          </w:p>
        </w:tc>
        <w:tc>
          <w:tcPr>
            <w:tcW w:w="1234" w:type="dxa"/>
            <w:vMerge w:val="restart"/>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X</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p>
        </w:tc>
      </w:tr>
      <w:tr w:rsidR="00135D1F" w:rsidRPr="00C16498" w:rsidTr="0061040D">
        <w:trPr>
          <w:tblCellSpacing w:w="0" w:type="dxa"/>
        </w:trPr>
        <w:tc>
          <w:tcPr>
            <w:tcW w:w="3046" w:type="dxa"/>
            <w:vMerge/>
            <w:tcBorders>
              <w:top w:val="outset" w:sz="6" w:space="0" w:color="auto"/>
              <w:bottom w:val="outset" w:sz="6" w:space="0" w:color="auto"/>
              <w:right w:val="outset" w:sz="6" w:space="0" w:color="auto"/>
            </w:tcBorders>
            <w:vAlign w:val="center"/>
          </w:tcPr>
          <w:p w:rsidR="00135D1F" w:rsidRPr="00C16498" w:rsidRDefault="00135D1F" w:rsidP="0061040D">
            <w:pPr>
              <w:rPr>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p>
        </w:tc>
      </w:tr>
      <w:tr w:rsidR="00135D1F" w:rsidRPr="00C16498" w:rsidTr="0061040D">
        <w:trPr>
          <w:trHeight w:val="2770"/>
          <w:tblCellSpacing w:w="0" w:type="dxa"/>
        </w:trPr>
        <w:tc>
          <w:tcPr>
            <w:tcW w:w="3046" w:type="dxa"/>
            <w:vMerge/>
            <w:tcBorders>
              <w:top w:val="outset" w:sz="6" w:space="0" w:color="auto"/>
              <w:bottom w:val="outset" w:sz="6" w:space="0" w:color="auto"/>
              <w:right w:val="outset" w:sz="6" w:space="0" w:color="auto"/>
            </w:tcBorders>
            <w:vAlign w:val="center"/>
          </w:tcPr>
          <w:p w:rsidR="00135D1F" w:rsidRPr="00C16498" w:rsidRDefault="00135D1F" w:rsidP="0061040D">
            <w:pPr>
              <w:rPr>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5. Precizēta finansiālā ietekme:</w:t>
            </w:r>
          </w:p>
        </w:tc>
        <w:tc>
          <w:tcPr>
            <w:tcW w:w="1234" w:type="dxa"/>
            <w:vMerge w:val="restart"/>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X</w:t>
            </w: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135D1F" w:rsidRPr="00C16498" w:rsidRDefault="00135D1F" w:rsidP="0061040D">
            <w:pPr>
              <w:jc w:val="center"/>
              <w:rPr>
                <w:szCs w:val="28"/>
                <w:lang w:eastAsia="lv-LV"/>
              </w:rPr>
            </w:pPr>
          </w:p>
        </w:tc>
        <w:tc>
          <w:tcPr>
            <w:tcW w:w="1291"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135D1F" w:rsidRPr="00C16498" w:rsidRDefault="00135D1F" w:rsidP="0061040D">
            <w:pPr>
              <w:jc w:val="center"/>
              <w:rPr>
                <w:szCs w:val="28"/>
                <w:lang w:eastAsia="lv-LV"/>
              </w:rPr>
            </w:pPr>
            <w:r w:rsidRPr="00C16498">
              <w:rPr>
                <w:szCs w:val="28"/>
                <w:lang w:eastAsia="lv-LV"/>
              </w:rPr>
              <w:t>0</w:t>
            </w:r>
          </w:p>
        </w:tc>
        <w:tc>
          <w:tcPr>
            <w:tcW w:w="1132" w:type="dxa"/>
            <w:tcBorders>
              <w:top w:val="outset" w:sz="6" w:space="0" w:color="auto"/>
              <w:left w:val="outset" w:sz="6" w:space="0" w:color="auto"/>
              <w:bottom w:val="outset" w:sz="6" w:space="0" w:color="auto"/>
            </w:tcBorders>
          </w:tcPr>
          <w:p w:rsidR="00135D1F" w:rsidRPr="00C16498" w:rsidRDefault="00135D1F" w:rsidP="0061040D">
            <w:pPr>
              <w:jc w:val="center"/>
              <w:rPr>
                <w:szCs w:val="28"/>
                <w:lang w:eastAsia="lv-LV"/>
              </w:rPr>
            </w:pPr>
            <w:r w:rsidRPr="00C16498">
              <w:rPr>
                <w:szCs w:val="28"/>
                <w:lang w:eastAsia="lv-LV"/>
              </w:rPr>
              <w:t>0</w:t>
            </w:r>
          </w:p>
        </w:tc>
      </w:tr>
      <w:tr w:rsidR="00135D1F" w:rsidRPr="00C16498" w:rsidTr="0061040D">
        <w:trPr>
          <w:trHeight w:val="1319"/>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6. Detalizēts ieņēmumu un izdevu</w:t>
            </w:r>
            <w:r w:rsidRPr="00C16498">
              <w:rPr>
                <w:szCs w:val="28"/>
                <w:lang w:eastAsia="lv-LV"/>
              </w:rPr>
              <w:softHyphen/>
              <w:t>mu aprēķins (ja nepieciešams, detalizētu ieņēmumu un izdevumu aprēķinu var pievienot anotācijas pielikumā):</w:t>
            </w:r>
          </w:p>
        </w:tc>
        <w:tc>
          <w:tcPr>
            <w:tcW w:w="6209" w:type="dxa"/>
            <w:gridSpan w:val="5"/>
            <w:vMerge w:val="restart"/>
            <w:tcBorders>
              <w:top w:val="outset" w:sz="6" w:space="0" w:color="auto"/>
              <w:left w:val="outset" w:sz="6" w:space="0" w:color="auto"/>
              <w:bottom w:val="outset" w:sz="6" w:space="0" w:color="auto"/>
            </w:tcBorders>
            <w:vAlign w:val="center"/>
          </w:tcPr>
          <w:p w:rsidR="00135D1F" w:rsidRPr="00C16498" w:rsidRDefault="00135D1F" w:rsidP="0061040D">
            <w:pPr>
              <w:rPr>
                <w:szCs w:val="28"/>
                <w:lang w:eastAsia="lv-LV"/>
              </w:rPr>
            </w:pPr>
          </w:p>
          <w:p w:rsidR="00135D1F" w:rsidRPr="00C16498" w:rsidRDefault="00135D1F" w:rsidP="0061040D">
            <w:pPr>
              <w:rPr>
                <w:szCs w:val="28"/>
                <w:lang w:eastAsia="lv-LV"/>
              </w:rPr>
            </w:pP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 6.1. detalizēts ieņēmumu  aprēķins</w:t>
            </w:r>
          </w:p>
        </w:tc>
        <w:tc>
          <w:tcPr>
            <w:tcW w:w="6209" w:type="dxa"/>
            <w:gridSpan w:val="5"/>
            <w:vMerge/>
            <w:tcBorders>
              <w:top w:val="outset" w:sz="6" w:space="0" w:color="auto"/>
              <w:left w:val="outset" w:sz="6" w:space="0" w:color="auto"/>
              <w:bottom w:val="outset" w:sz="6" w:space="0" w:color="auto"/>
            </w:tcBorders>
            <w:vAlign w:val="center"/>
          </w:tcPr>
          <w:p w:rsidR="00135D1F" w:rsidRPr="00C16498" w:rsidRDefault="00135D1F" w:rsidP="0061040D">
            <w:pPr>
              <w:rPr>
                <w:szCs w:val="28"/>
                <w:lang w:eastAsia="lv-LV"/>
              </w:rPr>
            </w:pPr>
          </w:p>
        </w:tc>
      </w:tr>
      <w:tr w:rsidR="00135D1F" w:rsidRPr="00C16498" w:rsidTr="0061040D">
        <w:trPr>
          <w:trHeight w:val="525"/>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6.2. detalizēts izdevumu aprēķins</w:t>
            </w:r>
          </w:p>
        </w:tc>
        <w:tc>
          <w:tcPr>
            <w:tcW w:w="6209" w:type="dxa"/>
            <w:gridSpan w:val="5"/>
            <w:tcBorders>
              <w:top w:val="outset" w:sz="6" w:space="0" w:color="auto"/>
              <w:left w:val="outset" w:sz="6" w:space="0" w:color="auto"/>
              <w:bottom w:val="outset" w:sz="6" w:space="0" w:color="auto"/>
            </w:tcBorders>
            <w:vAlign w:val="center"/>
          </w:tcPr>
          <w:p w:rsidR="00135D1F" w:rsidRPr="00C16498" w:rsidRDefault="00135D1F" w:rsidP="0061040D">
            <w:pPr>
              <w:rPr>
                <w:szCs w:val="28"/>
                <w:lang w:eastAsia="lv-LV"/>
              </w:rPr>
            </w:pPr>
          </w:p>
        </w:tc>
      </w:tr>
      <w:tr w:rsidR="00135D1F" w:rsidRPr="00C16498" w:rsidTr="0061040D">
        <w:trPr>
          <w:tblCellSpacing w:w="0" w:type="dxa"/>
        </w:trPr>
        <w:tc>
          <w:tcPr>
            <w:tcW w:w="3046" w:type="dxa"/>
            <w:tcBorders>
              <w:top w:val="outset" w:sz="6" w:space="0" w:color="auto"/>
              <w:bottom w:val="outset" w:sz="6" w:space="0" w:color="auto"/>
              <w:right w:val="outset" w:sz="6" w:space="0" w:color="auto"/>
            </w:tcBorders>
          </w:tcPr>
          <w:p w:rsidR="00135D1F" w:rsidRPr="00C16498" w:rsidRDefault="00135D1F" w:rsidP="0061040D">
            <w:pPr>
              <w:rPr>
                <w:szCs w:val="28"/>
                <w:lang w:eastAsia="lv-LV"/>
              </w:rPr>
            </w:pPr>
            <w:r w:rsidRPr="00C16498">
              <w:rPr>
                <w:szCs w:val="28"/>
                <w:lang w:eastAsia="lv-LV"/>
              </w:rPr>
              <w:t>7. Cita informācija</w:t>
            </w:r>
          </w:p>
        </w:tc>
        <w:tc>
          <w:tcPr>
            <w:tcW w:w="6209" w:type="dxa"/>
            <w:gridSpan w:val="5"/>
            <w:tcBorders>
              <w:top w:val="outset" w:sz="6" w:space="0" w:color="auto"/>
              <w:left w:val="outset" w:sz="6" w:space="0" w:color="auto"/>
              <w:bottom w:val="outset" w:sz="6" w:space="0" w:color="auto"/>
            </w:tcBorders>
          </w:tcPr>
          <w:p w:rsidR="00135D1F" w:rsidRPr="00C16498" w:rsidRDefault="00135D1F" w:rsidP="009B2EE6">
            <w:pPr>
              <w:pStyle w:val="BodyTextIndent"/>
              <w:ind w:firstLine="0"/>
              <w:rPr>
                <w:szCs w:val="28"/>
                <w:lang w:eastAsia="lv-LV"/>
              </w:rPr>
            </w:pPr>
            <w:r w:rsidRPr="00C16498">
              <w:rPr>
                <w:szCs w:val="28"/>
                <w:lang w:eastAsia="lv-LV"/>
              </w:rPr>
              <w:t xml:space="preserve">Ja MK noteikumi tiks pieņemti, valsts budžets palielinātos par nodokļiem, ko attiecīgo kapitālsabiedrību valdes locekļi maksā par saviem ienākumiem un sociālo apdrošināšanu. </w:t>
            </w:r>
          </w:p>
        </w:tc>
      </w:tr>
    </w:tbl>
    <w:p w:rsidR="00135D1F" w:rsidRPr="00C16498" w:rsidRDefault="00135D1F" w:rsidP="001464AA">
      <w:pPr>
        <w:pStyle w:val="BodyTextIndent"/>
        <w:spacing w:before="120"/>
        <w:ind w:firstLine="697"/>
        <w:rPr>
          <w:szCs w:val="28"/>
          <w:lang w:eastAsia="lv-LV"/>
        </w:rPr>
      </w:pPr>
      <w:r w:rsidRPr="00C16498">
        <w:rPr>
          <w:szCs w:val="28"/>
          <w:lang w:eastAsia="lv-LV"/>
        </w:rPr>
        <w:t>Anotācijas II, IV, V, VI, un VII sadaļa – nav attiecināms</w:t>
      </w:r>
    </w:p>
    <w:p w:rsidR="00135D1F" w:rsidRPr="00C16498" w:rsidRDefault="00135D1F" w:rsidP="001464AA">
      <w:pPr>
        <w:tabs>
          <w:tab w:val="left" w:pos="720"/>
          <w:tab w:val="left" w:pos="7560"/>
        </w:tabs>
        <w:spacing w:before="120"/>
        <w:jc w:val="both"/>
        <w:rPr>
          <w:szCs w:val="28"/>
        </w:rPr>
      </w:pPr>
      <w:bookmarkStart w:id="4" w:name="_GoBack"/>
      <w:bookmarkEnd w:id="4"/>
    </w:p>
    <w:p w:rsidR="00135D1F" w:rsidRPr="00C16498" w:rsidRDefault="00135D1F" w:rsidP="001464AA">
      <w:pPr>
        <w:tabs>
          <w:tab w:val="left" w:pos="720"/>
          <w:tab w:val="left" w:pos="7560"/>
        </w:tabs>
        <w:spacing w:before="120"/>
        <w:jc w:val="both"/>
        <w:rPr>
          <w:szCs w:val="28"/>
        </w:rPr>
      </w:pPr>
      <w:r w:rsidRPr="00C16498">
        <w:rPr>
          <w:szCs w:val="28"/>
        </w:rPr>
        <w:t>Satiksmes ministrs</w:t>
      </w:r>
      <w:r w:rsidRPr="00C16498">
        <w:rPr>
          <w:szCs w:val="28"/>
        </w:rPr>
        <w:tab/>
        <w:t>A.Ronis</w:t>
      </w:r>
    </w:p>
    <w:p w:rsidR="00135D1F" w:rsidRPr="00C16498" w:rsidRDefault="00135D1F" w:rsidP="001464AA">
      <w:pPr>
        <w:tabs>
          <w:tab w:val="left" w:pos="720"/>
          <w:tab w:val="left" w:pos="7560"/>
        </w:tabs>
        <w:spacing w:before="120" w:after="120"/>
        <w:jc w:val="both"/>
        <w:rPr>
          <w:szCs w:val="28"/>
        </w:rPr>
      </w:pPr>
    </w:p>
    <w:p w:rsidR="00135D1F" w:rsidRPr="00C16498" w:rsidRDefault="00135D1F" w:rsidP="001464AA">
      <w:pPr>
        <w:tabs>
          <w:tab w:val="left" w:pos="720"/>
          <w:tab w:val="left" w:pos="7560"/>
        </w:tabs>
        <w:jc w:val="both"/>
        <w:rPr>
          <w:szCs w:val="28"/>
        </w:rPr>
      </w:pPr>
      <w:r w:rsidRPr="00C16498">
        <w:rPr>
          <w:szCs w:val="28"/>
        </w:rPr>
        <w:t>Vīza: Valsts sekretārs</w:t>
      </w:r>
      <w:r w:rsidRPr="00C16498">
        <w:rPr>
          <w:szCs w:val="28"/>
        </w:rPr>
        <w:tab/>
        <w:t>A.Matīss</w:t>
      </w:r>
    </w:p>
    <w:p w:rsidR="00135D1F" w:rsidRPr="00C16498" w:rsidRDefault="00135D1F" w:rsidP="001464AA">
      <w:pPr>
        <w:rPr>
          <w:szCs w:val="28"/>
        </w:rPr>
      </w:pPr>
    </w:p>
    <w:p w:rsidR="00135D1F" w:rsidRPr="00C16498" w:rsidRDefault="00135D1F" w:rsidP="009B2EE6">
      <w:pPr>
        <w:rPr>
          <w:sz w:val="20"/>
          <w:szCs w:val="20"/>
          <w:lang w:eastAsia="lv-LV"/>
        </w:rPr>
      </w:pPr>
      <w:r>
        <w:rPr>
          <w:sz w:val="20"/>
          <w:szCs w:val="20"/>
          <w:lang w:eastAsia="lv-LV"/>
        </w:rPr>
        <w:t>22</w:t>
      </w:r>
      <w:r w:rsidRPr="00C16498">
        <w:rPr>
          <w:sz w:val="20"/>
          <w:szCs w:val="20"/>
          <w:lang w:eastAsia="lv-LV"/>
        </w:rPr>
        <w:t>.11.2012. 16:10</w:t>
      </w:r>
    </w:p>
    <w:p w:rsidR="00135D1F" w:rsidRPr="00C16498" w:rsidRDefault="00135D1F" w:rsidP="009B2EE6">
      <w:pPr>
        <w:rPr>
          <w:sz w:val="20"/>
          <w:szCs w:val="20"/>
          <w:lang w:eastAsia="lv-LV"/>
        </w:rPr>
      </w:pPr>
      <w:r>
        <w:rPr>
          <w:sz w:val="20"/>
          <w:szCs w:val="20"/>
          <w:lang w:eastAsia="lv-LV"/>
        </w:rPr>
        <w:t>827</w:t>
      </w:r>
    </w:p>
    <w:p w:rsidR="00135D1F" w:rsidRPr="00C16498" w:rsidRDefault="00135D1F" w:rsidP="009B2EE6">
      <w:pPr>
        <w:rPr>
          <w:sz w:val="20"/>
          <w:szCs w:val="20"/>
          <w:lang w:eastAsia="lv-LV"/>
        </w:rPr>
      </w:pPr>
      <w:r w:rsidRPr="00C16498">
        <w:rPr>
          <w:sz w:val="20"/>
          <w:szCs w:val="20"/>
          <w:lang w:eastAsia="lv-LV"/>
        </w:rPr>
        <w:t>I.Strautmane</w:t>
      </w:r>
    </w:p>
    <w:p w:rsidR="00135D1F" w:rsidRDefault="00135D1F">
      <w:r w:rsidRPr="00C16498">
        <w:rPr>
          <w:sz w:val="20"/>
          <w:szCs w:val="20"/>
          <w:lang w:eastAsia="lv-LV"/>
        </w:rPr>
        <w:t>67028231, inguna.strautmane@sam.gov.lv</w:t>
      </w:r>
    </w:p>
    <w:sectPr w:rsidR="00135D1F" w:rsidSect="00C16498">
      <w:headerReference w:type="default" r:id="rId6"/>
      <w:footerReference w:type="default" r:id="rId7"/>
      <w:footerReference w:type="first" r:id="rId8"/>
      <w:pgSz w:w="11906" w:h="16838"/>
      <w:pgMar w:top="567" w:right="1128" w:bottom="1021" w:left="1588" w:header="709" w:footer="40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1F" w:rsidRDefault="00135D1F" w:rsidP="001464AA">
      <w:r>
        <w:separator/>
      </w:r>
    </w:p>
  </w:endnote>
  <w:endnote w:type="continuationSeparator" w:id="0">
    <w:p w:rsidR="00135D1F" w:rsidRDefault="00135D1F" w:rsidP="0014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1F" w:rsidRPr="00E27D4B" w:rsidRDefault="00135D1F" w:rsidP="0061040D">
    <w:pPr>
      <w:jc w:val="both"/>
      <w:rPr>
        <w:b/>
        <w:sz w:val="20"/>
        <w:szCs w:val="20"/>
        <w:lang w:eastAsia="lv-LV"/>
      </w:rPr>
    </w:pPr>
    <w:r w:rsidRPr="0061040D">
      <w:rPr>
        <w:sz w:val="24"/>
        <w:szCs w:val="24"/>
        <w:lang w:eastAsia="lv-LV"/>
      </w:rPr>
      <w:t>SAManot_</w:t>
    </w:r>
    <w:r>
      <w:rPr>
        <w:sz w:val="24"/>
        <w:szCs w:val="24"/>
        <w:lang w:eastAsia="lv-LV"/>
      </w:rPr>
      <w:t>2</w:t>
    </w:r>
    <w:r w:rsidRPr="0061040D">
      <w:rPr>
        <w:sz w:val="24"/>
        <w:szCs w:val="24"/>
        <w:lang w:eastAsia="lv-LV"/>
      </w:rPr>
      <w:t>21112_atalgvalde.doc</w:t>
    </w:r>
    <w:r w:rsidRPr="00E27D4B">
      <w:rPr>
        <w:sz w:val="24"/>
        <w:szCs w:val="24"/>
        <w:lang w:eastAsia="lv-LV"/>
      </w:rPr>
      <w:t>;</w:t>
    </w:r>
    <w:r>
      <w:rPr>
        <w:sz w:val="20"/>
        <w:szCs w:val="20"/>
        <w:lang w:eastAsia="lv-LV"/>
      </w:rPr>
      <w:t xml:space="preserve"> </w:t>
    </w:r>
    <w:r w:rsidRPr="00E27D4B">
      <w:rPr>
        <w:sz w:val="24"/>
        <w:szCs w:val="24"/>
      </w:rPr>
      <w:t>Par Ministru kabineta noteikumu projekta „</w:t>
    </w:r>
    <w:r w:rsidRPr="00E27D4B">
      <w:rPr>
        <w:bCs/>
        <w:sz w:val="24"/>
        <w:szCs w:val="24"/>
      </w:rPr>
      <w:t xml:space="preserve">Grozījumi Ministru kabineta 2010.gada 30.marta noteikumos Nr.311 „Noteikumi par valsts un pašvaldību kapitālsabiedrību valdes locekļu skaitu, padomes un valdes locekļa, pašvaldības kapitāla daļu turētāja pārstāvja un atbildīgā darbinieka atlīdzību” </w:t>
    </w:r>
    <w:r w:rsidRPr="00E27D4B">
      <w:rPr>
        <w:bCs/>
        <w:sz w:val="24"/>
        <w:szCs w:val="24"/>
        <w:lang w:eastAsia="lv-LV"/>
      </w:rPr>
      <w:t>sākotnējās ietekmes novērtējuma ziņojumu (anotāciju)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1F" w:rsidRPr="00110F15" w:rsidRDefault="00135D1F" w:rsidP="0061040D">
    <w:pPr>
      <w:jc w:val="both"/>
      <w:rPr>
        <w:noProof/>
        <w:sz w:val="24"/>
        <w:szCs w:val="24"/>
      </w:rPr>
    </w:pPr>
    <w:r w:rsidRPr="00716849">
      <w:rPr>
        <w:sz w:val="24"/>
        <w:szCs w:val="24"/>
      </w:rPr>
      <w:fldChar w:fldCharType="begin"/>
    </w:r>
    <w:r w:rsidRPr="00716849">
      <w:rPr>
        <w:sz w:val="24"/>
        <w:szCs w:val="24"/>
      </w:rPr>
      <w:instrText xml:space="preserve"> FILENAME </w:instrText>
    </w:r>
    <w:r w:rsidRPr="00716849">
      <w:rPr>
        <w:sz w:val="24"/>
        <w:szCs w:val="24"/>
      </w:rPr>
      <w:fldChar w:fldCharType="separate"/>
    </w:r>
    <w:r>
      <w:rPr>
        <w:noProof/>
        <w:sz w:val="24"/>
        <w:szCs w:val="24"/>
      </w:rPr>
      <w:t>SAManot_221112_atalgvalde.doc</w:t>
    </w:r>
    <w:r w:rsidRPr="00716849">
      <w:rPr>
        <w:sz w:val="24"/>
        <w:szCs w:val="24"/>
      </w:rPr>
      <w:fldChar w:fldCharType="end"/>
    </w:r>
    <w:r w:rsidRPr="00E27D4B">
      <w:rPr>
        <w:sz w:val="24"/>
        <w:szCs w:val="24"/>
      </w:rPr>
      <w:t>; Par Ministru kabineta noteikumu projekta „</w:t>
    </w:r>
    <w:r w:rsidRPr="00E27D4B">
      <w:rPr>
        <w:bCs/>
        <w:sz w:val="24"/>
        <w:szCs w:val="24"/>
      </w:rPr>
      <w:t xml:space="preserve">Grozījumi Ministru kabineta 2010.gada 30.marta noteikumos Nr.311 „Noteikumi par valsts un pašvaldību kapitālsabiedrību valdes locekļu skaitu, padomes un valdes locekļa, pašvaldības kapitāla daļu turētāja pārstāvja un atbildīgā darbinieka atlīdzību” </w:t>
    </w:r>
    <w:r w:rsidRPr="00E27D4B">
      <w:rPr>
        <w:bCs/>
        <w:sz w:val="24"/>
        <w:szCs w:val="24"/>
        <w:lang w:eastAsia="lv-LV"/>
      </w:rPr>
      <w:t>sākotnējās ietekmes novērtējuma ziņojumu (anotāciju)</w:t>
    </w:r>
  </w:p>
  <w:p w:rsidR="00135D1F" w:rsidRDefault="0013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1F" w:rsidRDefault="00135D1F" w:rsidP="001464AA">
      <w:r>
        <w:separator/>
      </w:r>
    </w:p>
  </w:footnote>
  <w:footnote w:type="continuationSeparator" w:id="0">
    <w:p w:rsidR="00135D1F" w:rsidRDefault="00135D1F" w:rsidP="00146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1F" w:rsidRDefault="00135D1F">
    <w:pPr>
      <w:pStyle w:val="Header"/>
      <w:jc w:val="center"/>
    </w:pPr>
    <w:r w:rsidRPr="009C62E1">
      <w:rPr>
        <w:sz w:val="20"/>
        <w:szCs w:val="20"/>
      </w:rPr>
      <w:fldChar w:fldCharType="begin"/>
    </w:r>
    <w:r w:rsidRPr="009C62E1">
      <w:rPr>
        <w:sz w:val="20"/>
        <w:szCs w:val="20"/>
      </w:rPr>
      <w:instrText xml:space="preserve"> PAGE   \* MERGEFORMAT </w:instrText>
    </w:r>
    <w:r w:rsidRPr="009C62E1">
      <w:rPr>
        <w:sz w:val="20"/>
        <w:szCs w:val="20"/>
      </w:rPr>
      <w:fldChar w:fldCharType="separate"/>
    </w:r>
    <w:r>
      <w:rPr>
        <w:noProof/>
        <w:sz w:val="20"/>
        <w:szCs w:val="20"/>
      </w:rPr>
      <w:t>4</w:t>
    </w:r>
    <w:r w:rsidRPr="009C62E1">
      <w:rP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4AA"/>
    <w:rsid w:val="0000591B"/>
    <w:rsid w:val="00110F15"/>
    <w:rsid w:val="00122C7E"/>
    <w:rsid w:val="00135D1F"/>
    <w:rsid w:val="001464AA"/>
    <w:rsid w:val="00181C41"/>
    <w:rsid w:val="003D0FCF"/>
    <w:rsid w:val="003E36C6"/>
    <w:rsid w:val="0061040D"/>
    <w:rsid w:val="0068337C"/>
    <w:rsid w:val="00716849"/>
    <w:rsid w:val="009B2EE6"/>
    <w:rsid w:val="009C62E1"/>
    <w:rsid w:val="009E2BC1"/>
    <w:rsid w:val="00A56DE1"/>
    <w:rsid w:val="00BB22AC"/>
    <w:rsid w:val="00C11731"/>
    <w:rsid w:val="00C16498"/>
    <w:rsid w:val="00D91A0D"/>
    <w:rsid w:val="00E27D4B"/>
    <w:rsid w:val="00E70F83"/>
    <w:rsid w:val="00F63A8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AA"/>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1464AA"/>
    <w:pPr>
      <w:spacing w:before="100" w:beforeAutospacing="1" w:after="100" w:afterAutospacing="1"/>
    </w:pPr>
    <w:rPr>
      <w:rFonts w:eastAsia="Times New Roman"/>
      <w:sz w:val="24"/>
      <w:szCs w:val="24"/>
      <w:lang w:eastAsia="lv-LV"/>
    </w:rPr>
  </w:style>
  <w:style w:type="paragraph" w:styleId="BodyTextIndent">
    <w:name w:val="Body Text Indent"/>
    <w:basedOn w:val="Normal"/>
    <w:link w:val="BodyTextIndentChar"/>
    <w:uiPriority w:val="99"/>
    <w:rsid w:val="001464AA"/>
    <w:pPr>
      <w:ind w:firstLine="700"/>
      <w:jc w:val="both"/>
    </w:pPr>
    <w:rPr>
      <w:rFonts w:eastAsia="Times New Roman"/>
      <w:szCs w:val="24"/>
    </w:rPr>
  </w:style>
  <w:style w:type="character" w:customStyle="1" w:styleId="BodyTextIndentChar">
    <w:name w:val="Body Text Indent Char"/>
    <w:basedOn w:val="DefaultParagraphFont"/>
    <w:link w:val="BodyTextIndent"/>
    <w:uiPriority w:val="99"/>
    <w:locked/>
    <w:rsid w:val="001464AA"/>
    <w:rPr>
      <w:rFonts w:eastAsia="Times New Roman" w:cs="Times New Roman"/>
      <w:sz w:val="24"/>
      <w:szCs w:val="24"/>
    </w:rPr>
  </w:style>
  <w:style w:type="paragraph" w:styleId="Header">
    <w:name w:val="header"/>
    <w:basedOn w:val="Normal"/>
    <w:link w:val="HeaderChar"/>
    <w:uiPriority w:val="99"/>
    <w:rsid w:val="001464AA"/>
    <w:pPr>
      <w:tabs>
        <w:tab w:val="center" w:pos="4153"/>
        <w:tab w:val="right" w:pos="8306"/>
      </w:tabs>
    </w:pPr>
  </w:style>
  <w:style w:type="character" w:customStyle="1" w:styleId="HeaderChar">
    <w:name w:val="Header Char"/>
    <w:basedOn w:val="DefaultParagraphFont"/>
    <w:link w:val="Header"/>
    <w:uiPriority w:val="99"/>
    <w:locked/>
    <w:rsid w:val="001464AA"/>
    <w:rPr>
      <w:rFonts w:eastAsia="Times New Roman" w:cs="Times New Roman"/>
    </w:rPr>
  </w:style>
  <w:style w:type="paragraph" w:styleId="Footer">
    <w:name w:val="footer"/>
    <w:basedOn w:val="Normal"/>
    <w:link w:val="FooterChar"/>
    <w:uiPriority w:val="99"/>
    <w:rsid w:val="001464AA"/>
    <w:pPr>
      <w:tabs>
        <w:tab w:val="center" w:pos="4153"/>
        <w:tab w:val="right" w:pos="8306"/>
      </w:tabs>
    </w:pPr>
  </w:style>
  <w:style w:type="character" w:customStyle="1" w:styleId="FooterChar">
    <w:name w:val="Footer Char"/>
    <w:basedOn w:val="DefaultParagraphFont"/>
    <w:link w:val="Footer"/>
    <w:uiPriority w:val="99"/>
    <w:locked/>
    <w:rsid w:val="001464AA"/>
    <w:rPr>
      <w:rFonts w:eastAsia="Times New Roman" w:cs="Times New Roman"/>
    </w:rPr>
  </w:style>
  <w:style w:type="paragraph" w:customStyle="1" w:styleId="Default">
    <w:name w:val="Default"/>
    <w:uiPriority w:val="99"/>
    <w:rsid w:val="001464AA"/>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rsid w:val="00C16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4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844</Words>
  <Characters>5267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Nr.311 „Noteikumi par valsts un pašvaldību kapitālsabiedrību valdes locekļu skaitu, padomes un valdes locekļa, pašvaldības kapitāla daļu turētāja pārstāvja un </dc:title>
  <dc:subject>anotācija</dc:subject>
  <dc:creator>Inguna Strautmane</dc:creator>
  <cp:keywords/>
  <dc:description>Inguna Strautmane 67028231, inguna.strautmane@sam.gov.lv</dc:description>
  <cp:lastModifiedBy>Baiba Šterna</cp:lastModifiedBy>
  <cp:revision>4</cp:revision>
  <cp:lastPrinted>2012-11-22T15:01:00Z</cp:lastPrinted>
  <dcterms:created xsi:type="dcterms:W3CDTF">2012-11-22T15:00:00Z</dcterms:created>
  <dcterms:modified xsi:type="dcterms:W3CDTF">2012-11-23T07:22:00Z</dcterms:modified>
</cp:coreProperties>
</file>