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0B" w:rsidRDefault="00DB050B" w:rsidP="00D0022E">
      <w:pPr>
        <w:jc w:val="center"/>
        <w:rPr>
          <w:b/>
          <w:bCs/>
          <w:sz w:val="28"/>
          <w:szCs w:val="28"/>
        </w:rPr>
      </w:pPr>
      <w:bookmarkStart w:id="0" w:name="_GoBack"/>
      <w:bookmarkEnd w:id="0"/>
      <w:r>
        <w:rPr>
          <w:b/>
          <w:bCs/>
          <w:sz w:val="28"/>
          <w:szCs w:val="28"/>
        </w:rPr>
        <w:t>Informatīvais ziņojums</w:t>
      </w:r>
    </w:p>
    <w:p w:rsidR="00DB050B" w:rsidRDefault="00DB050B" w:rsidP="00D0022E">
      <w:pPr>
        <w:jc w:val="center"/>
        <w:rPr>
          <w:b/>
          <w:bCs/>
          <w:sz w:val="28"/>
          <w:szCs w:val="28"/>
        </w:rPr>
      </w:pPr>
      <w:bookmarkStart w:id="1" w:name="OLE_LINK1"/>
      <w:r>
        <w:rPr>
          <w:b/>
          <w:bCs/>
          <w:sz w:val="28"/>
          <w:szCs w:val="28"/>
        </w:rPr>
        <w:t>“Latvijas nacionālās pozīcijas Eiropas Savienības Transporta, telekomunikāciju un enerģētikas Ministru padomes 2013.gada         11.marta sanāksmei”</w:t>
      </w:r>
      <w:bookmarkEnd w:id="1"/>
    </w:p>
    <w:p w:rsidR="00DB050B" w:rsidRDefault="00DB050B" w:rsidP="00D0022E">
      <w:pPr>
        <w:rPr>
          <w:b/>
          <w:bCs/>
          <w:sz w:val="28"/>
          <w:szCs w:val="28"/>
        </w:rPr>
      </w:pPr>
    </w:p>
    <w:p w:rsidR="00DB050B" w:rsidRDefault="00DB050B" w:rsidP="00D0022E">
      <w:pPr>
        <w:rPr>
          <w:b/>
          <w:bCs/>
          <w:sz w:val="28"/>
          <w:szCs w:val="28"/>
        </w:rPr>
      </w:pPr>
    </w:p>
    <w:p w:rsidR="00DB050B" w:rsidRDefault="00DB050B" w:rsidP="00D0022E">
      <w:pPr>
        <w:jc w:val="both"/>
        <w:rPr>
          <w:sz w:val="28"/>
          <w:szCs w:val="28"/>
        </w:rPr>
      </w:pPr>
      <w:r>
        <w:rPr>
          <w:sz w:val="28"/>
          <w:szCs w:val="28"/>
        </w:rPr>
        <w:tab/>
        <w:t xml:space="preserve">2013. gada 11.martā Briselē notiks Eiropas Savienības Transporta, telekomunikāciju un enerģētikas Ministru padomes sanāksme, kuras darba kārtībā ir ietverti šādi Satiksmes ministrijas kompetencē esoši jautājumi, par kuriem </w:t>
      </w:r>
      <w:smartTag w:uri="urn:schemas-tilde-lv/tildestengine" w:element="firmas">
        <w:r>
          <w:rPr>
            <w:sz w:val="28"/>
            <w:szCs w:val="28"/>
          </w:rPr>
          <w:t>Satiksmes ministrija</w:t>
        </w:r>
      </w:smartTag>
      <w:r>
        <w:rPr>
          <w:sz w:val="28"/>
          <w:szCs w:val="28"/>
        </w:rPr>
        <w:t xml:space="preserve"> ir izstrādājusi nacionālās pozīcijas:</w:t>
      </w:r>
    </w:p>
    <w:p w:rsidR="00DB050B" w:rsidRDefault="00DB050B" w:rsidP="00D0022E">
      <w:pPr>
        <w:pStyle w:val="BodyText2"/>
        <w:spacing w:after="0" w:line="240" w:lineRule="auto"/>
        <w:jc w:val="both"/>
        <w:rPr>
          <w:sz w:val="28"/>
          <w:szCs w:val="28"/>
        </w:rPr>
      </w:pPr>
    </w:p>
    <w:p w:rsidR="00DB050B" w:rsidRDefault="00DB050B" w:rsidP="00FE6B9D">
      <w:pPr>
        <w:ind w:firstLine="720"/>
        <w:jc w:val="both"/>
        <w:rPr>
          <w:b/>
          <w:sz w:val="28"/>
          <w:szCs w:val="28"/>
        </w:rPr>
      </w:pPr>
      <w:r w:rsidRPr="00FE6B9D">
        <w:rPr>
          <w:b/>
          <w:noProof/>
          <w:snapToGrid w:val="0"/>
          <w:sz w:val="28"/>
          <w:szCs w:val="28"/>
          <w:lang w:eastAsia="en-GB"/>
        </w:rPr>
        <w:t>1.Priekšlikums Eiropas Parlamenta un Padomes direktīvai par dzelzceļu sistēmas savstarpējo izmantojamību Eiropas Savienībā (pārstrādātā versija)</w:t>
      </w:r>
      <w:r>
        <w:rPr>
          <w:b/>
          <w:noProof/>
          <w:snapToGrid w:val="0"/>
          <w:sz w:val="28"/>
          <w:szCs w:val="28"/>
          <w:lang w:eastAsia="en-GB"/>
        </w:rPr>
        <w:t xml:space="preserve"> </w:t>
      </w:r>
      <w:r w:rsidRPr="00FE6B9D">
        <w:rPr>
          <w:b/>
          <w:sz w:val="28"/>
          <w:szCs w:val="28"/>
        </w:rPr>
        <w:t>-</w:t>
      </w:r>
      <w:r>
        <w:rPr>
          <w:b/>
          <w:sz w:val="28"/>
          <w:szCs w:val="28"/>
        </w:rPr>
        <w:t xml:space="preserve"> </w:t>
      </w:r>
      <w:r w:rsidRPr="00FE6B9D">
        <w:rPr>
          <w:b/>
          <w:sz w:val="28"/>
          <w:szCs w:val="28"/>
        </w:rPr>
        <w:t>Politiskās debates</w:t>
      </w:r>
      <w:r>
        <w:rPr>
          <w:b/>
          <w:sz w:val="28"/>
          <w:szCs w:val="28"/>
        </w:rPr>
        <w:t>.</w:t>
      </w:r>
    </w:p>
    <w:p w:rsidR="00DB050B" w:rsidRDefault="00DB050B" w:rsidP="00FE6B9D">
      <w:pPr>
        <w:ind w:firstLine="720"/>
        <w:jc w:val="both"/>
        <w:rPr>
          <w:noProof/>
          <w:sz w:val="28"/>
          <w:szCs w:val="28"/>
        </w:rPr>
      </w:pPr>
      <w:r w:rsidRPr="00425BC9">
        <w:rPr>
          <w:noProof/>
          <w:sz w:val="28"/>
          <w:szCs w:val="28"/>
        </w:rPr>
        <w:t>Direktīvas projekts ir viens no t.s. Ceturtās dzelzceļa paketes elementiem, kurā galvenā uzmanība pievērsta atlikušo administratīvo un tehnisko šķēršļu novēršanai, jo īpaši, izveidojot kopīgu pieeju drošības un savstarpējas izmantojamības noteikumiem, lai palielinātu apjomradītus ietaupījumus attiecībā uz dzelzceļa pārvadājumu uzņēmumiem, kas darbojas visā Eiropas Savienībā, samazinot administratīvās izmaksas un paātrinot administratīvās procedūras, kā arī novēršot slēptu diskrimināciju.</w:t>
      </w:r>
    </w:p>
    <w:p w:rsidR="00DB050B" w:rsidRDefault="00DB050B" w:rsidP="00FE6B9D">
      <w:pPr>
        <w:ind w:firstLine="720"/>
        <w:jc w:val="both"/>
        <w:rPr>
          <w:noProof/>
          <w:sz w:val="28"/>
          <w:szCs w:val="28"/>
        </w:rPr>
      </w:pPr>
      <w:r w:rsidRPr="003B466B">
        <w:rPr>
          <w:b/>
          <w:noProof/>
          <w:sz w:val="28"/>
          <w:szCs w:val="28"/>
        </w:rPr>
        <w:t>Padomē ir plānotas ministru diskusijas par Īrijas Prezidernūras sagatavotajiem diskusiju jautājumiem</w:t>
      </w:r>
      <w:r>
        <w:rPr>
          <w:noProof/>
          <w:sz w:val="28"/>
          <w:szCs w:val="28"/>
        </w:rPr>
        <w:t>:</w:t>
      </w:r>
    </w:p>
    <w:p w:rsidR="00DB050B" w:rsidRPr="00425BC9" w:rsidRDefault="00DB050B" w:rsidP="00425BC9">
      <w:pPr>
        <w:pStyle w:val="Tiret0"/>
        <w:numPr>
          <w:ilvl w:val="0"/>
          <w:numId w:val="4"/>
        </w:numPr>
        <w:spacing w:before="0" w:after="0"/>
        <w:ind w:left="0" w:firstLine="360"/>
        <w:rPr>
          <w:i/>
          <w:sz w:val="28"/>
          <w:szCs w:val="28"/>
          <w:lang w:eastAsia="lv-LV"/>
        </w:rPr>
      </w:pPr>
      <w:r w:rsidRPr="00425BC9">
        <w:rPr>
          <w:i/>
          <w:sz w:val="28"/>
          <w:szCs w:val="28"/>
          <w:lang w:eastAsia="lv-LV"/>
        </w:rPr>
        <w:t>Kāds būtu optimālais eventuālais kompetenču un atbildību sadalījums ritekļu autorizācijai starp nacionālo drošības iestādi un Eiropas Dzelzceļu aģentūru? Kā varētu efektīvi norisināties līdzena pāreja uz šādu sistēmu?</w:t>
      </w:r>
    </w:p>
    <w:p w:rsidR="00DB050B" w:rsidRPr="00425BC9" w:rsidRDefault="00DB050B" w:rsidP="00425BC9">
      <w:pPr>
        <w:pStyle w:val="ListParagraph"/>
        <w:numPr>
          <w:ilvl w:val="0"/>
          <w:numId w:val="4"/>
        </w:numPr>
        <w:ind w:left="0" w:firstLine="360"/>
        <w:jc w:val="both"/>
        <w:rPr>
          <w:i/>
          <w:noProof/>
          <w:sz w:val="28"/>
          <w:szCs w:val="28"/>
          <w:u w:val="single"/>
        </w:rPr>
      </w:pPr>
      <w:r w:rsidRPr="00425BC9">
        <w:rPr>
          <w:i/>
          <w:iCs/>
          <w:sz w:val="28"/>
          <w:szCs w:val="28"/>
        </w:rPr>
        <w:t xml:space="preserve">Lai sasniegtu pareizu līdzsvaru starp Direktīvas mērķiem un subsidiaritātes, proporcionalitātes un efektivitātes principiem, šīs Direktīvas ietvaros pieņemtajām autorizācijas procedūrām būtu jāņem vērā specifiskie apstākļi, tādi kā izteikti reģionālie vai vietējie tīkli. Šajā kontekstā kāda veida sadarbība starp </w:t>
      </w:r>
      <w:r w:rsidRPr="00425BC9">
        <w:rPr>
          <w:i/>
          <w:sz w:val="28"/>
          <w:szCs w:val="28"/>
        </w:rPr>
        <w:t>nacionālajām drošības iestādēm un Eiropas Dzelzceļu aģentūru varētu tikt paredzēta</w:t>
      </w:r>
      <w:r w:rsidRPr="00425BC9">
        <w:rPr>
          <w:i/>
          <w:noProof/>
          <w:sz w:val="28"/>
          <w:szCs w:val="28"/>
        </w:rPr>
        <w:t>?</w:t>
      </w:r>
    </w:p>
    <w:p w:rsidR="00DB050B" w:rsidRPr="00425BC9" w:rsidRDefault="00DB050B" w:rsidP="00425BC9">
      <w:pPr>
        <w:ind w:firstLine="720"/>
        <w:jc w:val="both"/>
        <w:rPr>
          <w:sz w:val="28"/>
          <w:szCs w:val="28"/>
        </w:rPr>
      </w:pPr>
      <w:r w:rsidRPr="00425BC9">
        <w:rPr>
          <w:sz w:val="28"/>
          <w:szCs w:val="28"/>
        </w:rPr>
        <w:t xml:space="preserve">Latvija kopumā atbalsta Ceturtās dzelzceļa paketes izvirzītos mērķus: sekmēt pārvadājumu tirgus attīstību, veicinot jauno pārvadātāju ieiešanu tajā, samazināt izmaksas un lēmumu pieņemšanas laiku. Tomēr, </w:t>
      </w:r>
      <w:r w:rsidRPr="00425BC9">
        <w:rPr>
          <w:b/>
          <w:sz w:val="28"/>
          <w:szCs w:val="28"/>
        </w:rPr>
        <w:t>Latvija iebilst pret projektos iekļauto risinājumu – nodot Eiropas Dzelzceļa aģentūrai funkcijas izdot dzelzceļa pārvadājumu uzņēmumu (pārvadātāju) drošības sertifikātus, atļaujas ritekļu laišanai tirgū un kustības vadības lauka iekārtu pieņemšanai ekspluatācijā</w:t>
      </w:r>
      <w:r w:rsidRPr="00425BC9">
        <w:rPr>
          <w:sz w:val="28"/>
          <w:szCs w:val="28"/>
        </w:rPr>
        <w:t>, jo diemžēl Latvijas gadījumā netiks sasniegts neviens no plānotajiem mērķiem.</w:t>
      </w:r>
    </w:p>
    <w:p w:rsidR="00DB050B" w:rsidRPr="00425BC9" w:rsidRDefault="00DB050B" w:rsidP="00425BC9">
      <w:pPr>
        <w:spacing w:after="60"/>
        <w:ind w:firstLine="720"/>
        <w:jc w:val="both"/>
        <w:rPr>
          <w:sz w:val="28"/>
          <w:szCs w:val="28"/>
        </w:rPr>
      </w:pPr>
      <w:r w:rsidRPr="00425BC9">
        <w:rPr>
          <w:noProof/>
          <w:snapToGrid w:val="0"/>
          <w:sz w:val="28"/>
          <w:szCs w:val="28"/>
          <w:lang w:eastAsia="en-GB"/>
        </w:rPr>
        <w:t>Atbildot uz</w:t>
      </w:r>
      <w:r w:rsidRPr="00425BC9">
        <w:rPr>
          <w:b/>
          <w:noProof/>
          <w:snapToGrid w:val="0"/>
          <w:sz w:val="28"/>
          <w:szCs w:val="28"/>
          <w:lang w:eastAsia="en-GB"/>
        </w:rPr>
        <w:t xml:space="preserve"> pirmo jautājumu </w:t>
      </w:r>
      <w:r w:rsidRPr="00425BC9">
        <w:rPr>
          <w:sz w:val="28"/>
          <w:szCs w:val="28"/>
        </w:rPr>
        <w:t>Latvija uzskata, ka šīs funkcijas pilnīga nodošana Eiropas Dzelzceļa aģentūrai radīs papildu administratīvo un finansiālo slogu pieteicējam (dzelzceļa pārvadājumu uzņēmumam, ražotājam), kas ir pilnīgi pretēji Komisijas ietekmes novērtējuma ziņojumā definētiem mērķiem, t.i. samazināt pārvadātāju administratīvās izmaksas Tomēr, ņemot vērā Komisijas nospraustos mērķus, šī funkcija ilgtermiņā kā Eiropas Dzelzceļa aģentūras kompetencē esoša varētu pastāvēt, vienlaikus saglabājot esošo sistēmu, kas ļautu pārvadātājiem, atkarībā no viņu paredzamajām aktivitātēm izvēlēties sev izdevīgāko autorizācijas veidu un</w:t>
      </w:r>
      <w:r>
        <w:rPr>
          <w:sz w:val="28"/>
          <w:szCs w:val="28"/>
        </w:rPr>
        <w:t xml:space="preserve"> </w:t>
      </w:r>
      <w:r w:rsidRPr="00425BC9">
        <w:rPr>
          <w:sz w:val="28"/>
          <w:szCs w:val="28"/>
        </w:rPr>
        <w:t xml:space="preserve">šāds variants ļauj sasniegt gan Komisijas nospraustos mērķus, gan novērš arī  Latvijas minētās problēmas. Atbildot uz </w:t>
      </w:r>
      <w:r w:rsidRPr="00425BC9">
        <w:rPr>
          <w:b/>
          <w:sz w:val="28"/>
          <w:szCs w:val="28"/>
        </w:rPr>
        <w:t>otro jautājumu</w:t>
      </w:r>
      <w:r w:rsidRPr="00425BC9">
        <w:rPr>
          <w:sz w:val="28"/>
          <w:szCs w:val="28"/>
        </w:rPr>
        <w:t xml:space="preserve">, </w:t>
      </w:r>
      <w:r w:rsidRPr="00425BC9">
        <w:rPr>
          <w:iCs/>
          <w:sz w:val="28"/>
          <w:szCs w:val="28"/>
        </w:rPr>
        <w:t xml:space="preserve">Latvija uzskata, ka ritekļu autorizācijai šādos gadījumos jānotiek lokāli, jo šie tīkli skar ierobežotu dalībvalstu skaitu. Ilgtermiņa mērķis varētu būt vienotas autorizācijas ieviešana šādu tīklu robežās, un </w:t>
      </w:r>
      <w:r>
        <w:rPr>
          <w:iCs/>
          <w:sz w:val="28"/>
          <w:szCs w:val="28"/>
        </w:rPr>
        <w:t>Eiropas Dzelzceļa a</w:t>
      </w:r>
      <w:r w:rsidRPr="00425BC9">
        <w:rPr>
          <w:iCs/>
          <w:sz w:val="28"/>
          <w:szCs w:val="28"/>
        </w:rPr>
        <w:t>ģentūrai varētu būt lielāka koordinācijas loma, nodrošinot konsekventu pieeju dzelzceļa uzņēmumu sertifikācijai un ritekļu atļauju izdošanai, saglabājot pašu atļauju izdošanu nacionālajā līmenī.</w:t>
      </w:r>
      <w:r w:rsidRPr="00425BC9">
        <w:rPr>
          <w:sz w:val="28"/>
          <w:szCs w:val="28"/>
        </w:rPr>
        <w:t xml:space="preserve"> </w:t>
      </w:r>
    </w:p>
    <w:p w:rsidR="00DB050B" w:rsidRPr="00425BC9" w:rsidRDefault="00DB050B" w:rsidP="00425BC9">
      <w:pPr>
        <w:ind w:firstLine="360"/>
        <w:jc w:val="both"/>
      </w:pPr>
      <w:r w:rsidRPr="00B56DA8">
        <w:tab/>
      </w:r>
    </w:p>
    <w:p w:rsidR="00DB050B" w:rsidRPr="009653E8" w:rsidRDefault="00DB050B" w:rsidP="009653E8">
      <w:pPr>
        <w:pStyle w:val="ListParagraph"/>
        <w:numPr>
          <w:ilvl w:val="0"/>
          <w:numId w:val="5"/>
        </w:numPr>
        <w:autoSpaceDE w:val="0"/>
        <w:autoSpaceDN w:val="0"/>
        <w:adjustRightInd w:val="0"/>
        <w:ind w:left="0" w:firstLine="360"/>
        <w:jc w:val="both"/>
        <w:rPr>
          <w:rFonts w:ascii="TimesNewRoman,Bold" w:hAnsi="TimesNewRoman,Bold" w:cs="TimesNewRoman,Bold"/>
          <w:b/>
          <w:bCs/>
          <w:sz w:val="28"/>
          <w:szCs w:val="28"/>
        </w:rPr>
      </w:pPr>
      <w:r w:rsidRPr="009653E8">
        <w:rPr>
          <w:b/>
          <w:sz w:val="28"/>
          <w:szCs w:val="28"/>
        </w:rPr>
        <w:t xml:space="preserve">Priekšlikums Eiropas Parlamenta un Padomes Regulai </w:t>
      </w:r>
      <w:r w:rsidRPr="009653E8">
        <w:rPr>
          <w:b/>
          <w:noProof/>
          <w:sz w:val="28"/>
          <w:szCs w:val="28"/>
        </w:rPr>
        <w:t xml:space="preserve">attiecībā uz ziņošanu par atgadījumiem civilajā aviācijā, ar ko groza Regulu (ES) Nr. 996/2010 un atceļ Direktīvu 2003/42/EK, </w:t>
      </w:r>
      <w:r w:rsidRPr="009653E8">
        <w:rPr>
          <w:rFonts w:ascii="TimesNewRoman,Bold" w:hAnsi="TimesNewRoman,Bold" w:cs="TimesNewRoman,Bold"/>
          <w:b/>
          <w:bCs/>
          <w:sz w:val="28"/>
          <w:szCs w:val="28"/>
        </w:rPr>
        <w:t xml:space="preserve">Komisijas Regulu (EK) Nr. 1321/2007 un Komisijas Regulu (EK) Nr.1330/2007- Progresa ziņojums. </w:t>
      </w:r>
    </w:p>
    <w:p w:rsidR="00DB050B" w:rsidRDefault="00DB050B" w:rsidP="00425BC9">
      <w:pPr>
        <w:ind w:firstLine="720"/>
        <w:jc w:val="both"/>
        <w:rPr>
          <w:noProof/>
          <w:sz w:val="28"/>
          <w:szCs w:val="28"/>
        </w:rPr>
      </w:pPr>
      <w:r w:rsidRPr="00425BC9">
        <w:rPr>
          <w:noProof/>
          <w:sz w:val="28"/>
          <w:szCs w:val="28"/>
        </w:rPr>
        <w:t xml:space="preserve">Priekšlikuma </w:t>
      </w:r>
      <w:r w:rsidRPr="00425BC9">
        <w:rPr>
          <w:b/>
          <w:noProof/>
          <w:sz w:val="28"/>
          <w:szCs w:val="28"/>
        </w:rPr>
        <w:t>mērķis</w:t>
      </w:r>
      <w:r w:rsidRPr="00425BC9">
        <w:rPr>
          <w:noProof/>
          <w:sz w:val="28"/>
          <w:szCs w:val="28"/>
        </w:rPr>
        <w:t xml:space="preserve"> ir panākt gaisa kuģu nelaimes gadījumu un tajos bojāgājušo skaita samazinājumu, uzlabojot pastāvošās sistēmas gan valstu, gan Eiropas līmenī un izmantojot datus par atgadījumiem civilajā aviācijā, lai novērstu lidojumu drošuma trūkumus un izvairītos no to atkārtošanās.</w:t>
      </w:r>
    </w:p>
    <w:p w:rsidR="00DB050B" w:rsidRPr="00DF1B63" w:rsidRDefault="00DB050B" w:rsidP="00425BC9">
      <w:pPr>
        <w:ind w:firstLine="720"/>
        <w:jc w:val="both"/>
        <w:rPr>
          <w:snapToGrid w:val="0"/>
          <w:sz w:val="28"/>
          <w:szCs w:val="28"/>
          <w:lang w:eastAsia="en-GB"/>
        </w:rPr>
      </w:pPr>
      <w:r w:rsidRPr="00DF1B63">
        <w:rPr>
          <w:b/>
          <w:sz w:val="28"/>
          <w:szCs w:val="28"/>
        </w:rPr>
        <w:t xml:space="preserve">Padomē ir plānots pieņemt zināšanai </w:t>
      </w:r>
      <w:r>
        <w:rPr>
          <w:b/>
          <w:sz w:val="28"/>
          <w:szCs w:val="28"/>
        </w:rPr>
        <w:t xml:space="preserve">Īrijas </w:t>
      </w:r>
      <w:r w:rsidRPr="00DF1B63">
        <w:rPr>
          <w:b/>
          <w:sz w:val="28"/>
          <w:szCs w:val="28"/>
        </w:rPr>
        <w:t>Prezidentūras sagatavoto progresa ziņojumu par panākto progresu darba grupu līmenī.</w:t>
      </w:r>
      <w:r>
        <w:rPr>
          <w:b/>
          <w:snapToGrid w:val="0"/>
          <w:sz w:val="28"/>
          <w:szCs w:val="28"/>
          <w:lang w:eastAsia="en-GB"/>
        </w:rPr>
        <w:t xml:space="preserve"> </w:t>
      </w:r>
      <w:r w:rsidRPr="00DF1B63">
        <w:rPr>
          <w:snapToGrid w:val="0"/>
          <w:sz w:val="28"/>
          <w:szCs w:val="28"/>
          <w:lang w:eastAsia="en-GB"/>
        </w:rPr>
        <w:t>Diskusijas par Regulas projekta būtību nav paredzētas.</w:t>
      </w:r>
    </w:p>
    <w:p w:rsidR="00DB050B" w:rsidRDefault="00DB050B" w:rsidP="00425BC9">
      <w:pPr>
        <w:ind w:firstLine="720"/>
        <w:jc w:val="both"/>
        <w:rPr>
          <w:b/>
          <w:sz w:val="28"/>
          <w:szCs w:val="28"/>
        </w:rPr>
      </w:pPr>
      <w:r w:rsidRPr="00DF1B63">
        <w:rPr>
          <w:b/>
          <w:sz w:val="28"/>
          <w:szCs w:val="28"/>
        </w:rPr>
        <w:t>Latvija pieņem zināšanai progresa ziņojumu.</w:t>
      </w:r>
    </w:p>
    <w:p w:rsidR="00DB050B" w:rsidRPr="00425BC9" w:rsidRDefault="00DB050B" w:rsidP="00425BC9">
      <w:pPr>
        <w:ind w:firstLine="720"/>
        <w:jc w:val="both"/>
        <w:rPr>
          <w:noProof/>
          <w:sz w:val="28"/>
          <w:szCs w:val="28"/>
        </w:rPr>
      </w:pPr>
    </w:p>
    <w:p w:rsidR="00DB050B" w:rsidRDefault="00DB050B" w:rsidP="009653E8">
      <w:pPr>
        <w:pStyle w:val="Titreobjet"/>
        <w:numPr>
          <w:ilvl w:val="0"/>
          <w:numId w:val="5"/>
        </w:numPr>
        <w:spacing w:before="0" w:after="0"/>
        <w:ind w:left="0" w:firstLine="360"/>
        <w:jc w:val="both"/>
        <w:rPr>
          <w:sz w:val="28"/>
          <w:szCs w:val="28"/>
          <w:lang w:eastAsia="lv-LV"/>
        </w:rPr>
      </w:pPr>
      <w:r w:rsidRPr="009653E8">
        <w:rPr>
          <w:bCs/>
          <w:sz w:val="28"/>
          <w:szCs w:val="28"/>
          <w:lang w:eastAsia="lv-LV"/>
        </w:rPr>
        <w:t xml:space="preserve">Iniciatīva „Nepiesārņojoša enerģija transportam” </w:t>
      </w:r>
      <w:r w:rsidRPr="009653E8">
        <w:rPr>
          <w:sz w:val="28"/>
          <w:szCs w:val="28"/>
          <w:lang w:eastAsia="lv-LV"/>
        </w:rPr>
        <w:t>Eiropas Komisijas paziņojums „</w:t>
      </w:r>
      <w:r w:rsidRPr="009653E8">
        <w:rPr>
          <w:bCs/>
          <w:sz w:val="28"/>
          <w:szCs w:val="28"/>
          <w:lang w:eastAsia="lv-LV"/>
        </w:rPr>
        <w:t>Nepiesārņojoša enerģija transportam – Eiropas alternatīvo degvielu stratēģija”</w:t>
      </w:r>
      <w:r>
        <w:rPr>
          <w:bCs/>
          <w:sz w:val="28"/>
          <w:szCs w:val="28"/>
          <w:lang w:eastAsia="lv-LV"/>
        </w:rPr>
        <w:t>;</w:t>
      </w:r>
      <w:r w:rsidRPr="009653E8">
        <w:rPr>
          <w:bCs/>
          <w:sz w:val="28"/>
          <w:szCs w:val="28"/>
          <w:lang w:eastAsia="lv-LV"/>
        </w:rPr>
        <w:t xml:space="preserve"> </w:t>
      </w:r>
      <w:r w:rsidRPr="009653E8">
        <w:rPr>
          <w:sz w:val="28"/>
          <w:szCs w:val="28"/>
          <w:lang w:eastAsia="lv-LV"/>
        </w:rPr>
        <w:t>Priekšlikums Eiropas Parlamenta un Padomes Direktīvai par alternatīvo degvielu infrastruktūras ieviešanu; Komisijas prezentācija; Viedokļu apmaiņa</w:t>
      </w:r>
      <w:r>
        <w:rPr>
          <w:sz w:val="28"/>
          <w:szCs w:val="28"/>
          <w:lang w:eastAsia="lv-LV"/>
        </w:rPr>
        <w:t>.</w:t>
      </w:r>
    </w:p>
    <w:p w:rsidR="00DB050B" w:rsidRDefault="00DB050B" w:rsidP="009653E8">
      <w:pPr>
        <w:autoSpaceDE w:val="0"/>
        <w:autoSpaceDN w:val="0"/>
        <w:adjustRightInd w:val="0"/>
        <w:ind w:firstLine="720"/>
        <w:jc w:val="both"/>
        <w:rPr>
          <w:sz w:val="28"/>
          <w:szCs w:val="28"/>
        </w:rPr>
      </w:pPr>
      <w:r>
        <w:rPr>
          <w:sz w:val="28"/>
          <w:szCs w:val="28"/>
        </w:rPr>
        <w:t>Eiropas Komisija 2013.gada 25.janvārī nāca klajā ar P</w:t>
      </w:r>
      <w:r w:rsidRPr="009653E8">
        <w:rPr>
          <w:sz w:val="28"/>
          <w:szCs w:val="28"/>
        </w:rPr>
        <w:t>aziņojum</w:t>
      </w:r>
      <w:r>
        <w:rPr>
          <w:sz w:val="28"/>
          <w:szCs w:val="28"/>
        </w:rPr>
        <w:t>u, kurā ir</w:t>
      </w:r>
      <w:r w:rsidRPr="009653E8">
        <w:rPr>
          <w:sz w:val="28"/>
          <w:szCs w:val="28"/>
        </w:rPr>
        <w:t xml:space="preserve"> izklāstīta visaptveroša alternatīvās degvielas stratēģija un iespējamie ceļi tās ieviešanai aptverot visus transporta veidus. Tas tiecas noteikt ilgtermiņa politikas ievaru, lai virzītu tehnoloģisko attīstību un investīcijas šo degvielu ieviešanai, kā arī lai pārliecinātu patērētājus. Ņemot vērā minēto P</w:t>
      </w:r>
      <w:r>
        <w:rPr>
          <w:sz w:val="28"/>
          <w:szCs w:val="28"/>
        </w:rPr>
        <w:t>a</w:t>
      </w:r>
      <w:r w:rsidRPr="009653E8">
        <w:rPr>
          <w:sz w:val="28"/>
          <w:szCs w:val="28"/>
        </w:rPr>
        <w:t xml:space="preserve">ziņojumu, Eiropas Komisija ir nākusi klajā ar Direktīvas projektu, kura </w:t>
      </w:r>
      <w:r w:rsidRPr="009653E8">
        <w:rPr>
          <w:b/>
          <w:sz w:val="28"/>
          <w:szCs w:val="28"/>
        </w:rPr>
        <w:t>mērķis</w:t>
      </w:r>
      <w:r w:rsidRPr="009653E8">
        <w:rPr>
          <w:sz w:val="28"/>
          <w:szCs w:val="28"/>
        </w:rPr>
        <w:t xml:space="preserve"> ir nodrošināt alternatīvo degvielu infrastruktūras attīstīšanu un šīs infrastruktūras kopējo tehnisko specifikāciju ieviešanu Eiropas Savienībā. Tā uzdevums ir sekmēt tirgus spēku darbību un ar šo iniciatīvu sniegt ieguldījumu Eiropas ekonomiskajā izaugsmē. Vienlaikus priekšlikums identificē iespējamās Eiropas Savienības darbības, lai stimulētu alternatīvo degvielu izmantošanu un nodrošinātu rūpniecības, sabiedrisko sektoru un patērētājus ar skaidru un saskaņotu redzējumu par alternatīvo degvielu tirgus attīstību. </w:t>
      </w:r>
    </w:p>
    <w:p w:rsidR="00DB050B" w:rsidRDefault="00DB050B" w:rsidP="009653E8">
      <w:pPr>
        <w:autoSpaceDE w:val="0"/>
        <w:autoSpaceDN w:val="0"/>
        <w:adjustRightInd w:val="0"/>
        <w:ind w:firstLine="720"/>
        <w:jc w:val="both"/>
        <w:rPr>
          <w:b/>
          <w:sz w:val="28"/>
          <w:szCs w:val="28"/>
        </w:rPr>
      </w:pPr>
      <w:r w:rsidRPr="009653E8">
        <w:rPr>
          <w:b/>
          <w:sz w:val="28"/>
          <w:szCs w:val="28"/>
        </w:rPr>
        <w:t>Padomē ir plānota Eiropas Komisijas prezentācija par Direktīvas priekšlikumu, kā arī ministru sākotnējā viedokļu apmaiņa par Direktīvas projektu.</w:t>
      </w:r>
    </w:p>
    <w:p w:rsidR="00DB050B" w:rsidRPr="009653E8" w:rsidRDefault="00DB050B" w:rsidP="008C150E">
      <w:pPr>
        <w:autoSpaceDE w:val="0"/>
        <w:autoSpaceDN w:val="0"/>
        <w:adjustRightInd w:val="0"/>
        <w:ind w:firstLine="720"/>
        <w:jc w:val="both"/>
        <w:rPr>
          <w:rFonts w:ascii="TimesNewRoman" w:hAnsi="TimesNewRoman" w:cs="TimesNewRoman"/>
          <w:sz w:val="28"/>
          <w:szCs w:val="28"/>
        </w:rPr>
      </w:pPr>
      <w:r w:rsidRPr="009653E8">
        <w:rPr>
          <w:rFonts w:ascii="TimesNewRoman" w:hAnsi="TimesNewRoman" w:cs="TimesNewRoman"/>
          <w:sz w:val="28"/>
          <w:szCs w:val="28"/>
        </w:rPr>
        <w:t>Latvija atzīst, ka būtu nepieciešams mazināt transporta nozares atkarību no naftas, samazināt siltumnīcefekta radīto gāzu efektu un ilgtermiņā virzīties uz efektīvāku resursu un enerģijas izmantošanu.</w:t>
      </w:r>
      <w:r>
        <w:rPr>
          <w:rFonts w:ascii="TimesNewRoman" w:hAnsi="TimesNewRoman" w:cs="TimesNewRoman"/>
          <w:sz w:val="28"/>
          <w:szCs w:val="28"/>
        </w:rPr>
        <w:t xml:space="preserve"> </w:t>
      </w:r>
      <w:r w:rsidRPr="009653E8">
        <w:rPr>
          <w:rFonts w:ascii="TimesNewRoman" w:hAnsi="TimesNewRoman" w:cs="TimesNewRoman"/>
          <w:sz w:val="28"/>
          <w:szCs w:val="28"/>
        </w:rPr>
        <w:t xml:space="preserve">Lai to panāktu, Latvija piekrīt Eiropas Komisijai, ka nepieciešams veicināt alternatīvo degvielu izmantošanu visā Eiropā, vienlaikus nodrošinot visaptverošas ilgtspējīgas alternatīvās degvielas stratēģijas izstrādāšanu un attiecīgas infrastruktūras attīstīšanu. </w:t>
      </w:r>
      <w:r w:rsidRPr="00F7546B">
        <w:rPr>
          <w:rFonts w:ascii="TimesNewRoman" w:hAnsi="TimesNewRoman" w:cs="TimesNewRoman"/>
          <w:b/>
          <w:sz w:val="28"/>
          <w:szCs w:val="28"/>
        </w:rPr>
        <w:t>Vienlaikus Latvijas  vēlas uzsvērt, ka Direktīvas priekšlikumā definētie mērķi un to sasniegšanas termiņi ir pārāk ambiciozi un rada bažas par to ieviešanu</w:t>
      </w:r>
      <w:r w:rsidRPr="009653E8">
        <w:rPr>
          <w:rFonts w:ascii="TimesNewRoman" w:hAnsi="TimesNewRoman" w:cs="TimesNewRoman"/>
          <w:sz w:val="28"/>
          <w:szCs w:val="28"/>
        </w:rPr>
        <w:t xml:space="preserve">. Latvija iebilst pret prasību līdz 2020.gadam izveidot LNG uzpildes stacijas TEN-T pamattīkla ostās. Šādas prasības pat nav tikušas apspriestas strādājot pie jaunās TEN-T regulas, kas šobrīd jau ir apstiprināšanā Eiropas Parlamentā. </w:t>
      </w:r>
    </w:p>
    <w:p w:rsidR="00DB050B" w:rsidRDefault="00DB050B" w:rsidP="00D0022E">
      <w:pPr>
        <w:jc w:val="both"/>
        <w:rPr>
          <w:b/>
          <w:sz w:val="28"/>
          <w:szCs w:val="28"/>
        </w:rPr>
      </w:pPr>
    </w:p>
    <w:p w:rsidR="00DB050B" w:rsidRDefault="00DB050B" w:rsidP="00D0022E">
      <w:pPr>
        <w:tabs>
          <w:tab w:val="left" w:pos="1080"/>
        </w:tabs>
        <w:autoSpaceDE w:val="0"/>
        <w:autoSpaceDN w:val="0"/>
        <w:adjustRightInd w:val="0"/>
        <w:jc w:val="both"/>
        <w:rPr>
          <w:b/>
          <w:sz w:val="28"/>
          <w:szCs w:val="28"/>
        </w:rPr>
      </w:pPr>
    </w:p>
    <w:p w:rsidR="00DB050B" w:rsidRDefault="00DB050B" w:rsidP="00D0022E">
      <w:pPr>
        <w:tabs>
          <w:tab w:val="left" w:pos="1080"/>
        </w:tabs>
        <w:autoSpaceDE w:val="0"/>
        <w:autoSpaceDN w:val="0"/>
        <w:adjustRightInd w:val="0"/>
        <w:jc w:val="both"/>
        <w:rPr>
          <w:sz w:val="28"/>
          <w:szCs w:val="28"/>
        </w:rPr>
      </w:pPr>
    </w:p>
    <w:p w:rsidR="00DB050B" w:rsidRDefault="00DB050B" w:rsidP="00D0022E">
      <w:pPr>
        <w:pStyle w:val="BodyText2"/>
        <w:spacing w:after="0" w:line="240" w:lineRule="auto"/>
        <w:ind w:firstLine="720"/>
        <w:jc w:val="both"/>
        <w:rPr>
          <w:sz w:val="28"/>
          <w:szCs w:val="28"/>
        </w:rPr>
      </w:pPr>
      <w:r>
        <w:rPr>
          <w:sz w:val="28"/>
          <w:szCs w:val="28"/>
        </w:rPr>
        <w:t>Papildus darba kārtībā sadaļā „Dažādi jautājumi” ir iekļauti šādi jautājumi, par kuriem netiek gatavota nacionālā pozīcija:</w:t>
      </w:r>
    </w:p>
    <w:p w:rsidR="00DB050B" w:rsidRDefault="00DB050B" w:rsidP="00D0022E">
      <w:pPr>
        <w:pStyle w:val="BodyText2"/>
        <w:spacing w:after="0" w:line="240" w:lineRule="auto"/>
        <w:ind w:firstLine="720"/>
        <w:jc w:val="both"/>
        <w:rPr>
          <w:sz w:val="28"/>
          <w:szCs w:val="28"/>
        </w:rPr>
      </w:pPr>
      <w:r>
        <w:rPr>
          <w:sz w:val="28"/>
          <w:szCs w:val="28"/>
        </w:rPr>
        <w:t>1. Emisijas kvotu tirdzniecības sistēma un aviācija- informācija no Eiropas Komisijas;</w:t>
      </w:r>
    </w:p>
    <w:p w:rsidR="00DB050B" w:rsidRDefault="00DB050B" w:rsidP="00D0022E">
      <w:pPr>
        <w:pStyle w:val="BodyText2"/>
        <w:spacing w:after="0" w:line="240" w:lineRule="auto"/>
        <w:ind w:firstLine="720"/>
        <w:jc w:val="both"/>
        <w:rPr>
          <w:sz w:val="28"/>
          <w:szCs w:val="28"/>
        </w:rPr>
      </w:pPr>
      <w:r>
        <w:rPr>
          <w:sz w:val="28"/>
          <w:szCs w:val="28"/>
        </w:rPr>
        <w:t>2. ES-Brazīlijas visaptverošais gaisa satiksmes nolīgums – informācija no Eiropas Komisijas.</w:t>
      </w:r>
    </w:p>
    <w:p w:rsidR="00DB050B" w:rsidRDefault="00DB050B" w:rsidP="00D0022E">
      <w:pPr>
        <w:tabs>
          <w:tab w:val="left" w:pos="1080"/>
        </w:tabs>
        <w:autoSpaceDE w:val="0"/>
        <w:autoSpaceDN w:val="0"/>
        <w:adjustRightInd w:val="0"/>
        <w:jc w:val="both"/>
        <w:rPr>
          <w:sz w:val="28"/>
          <w:szCs w:val="28"/>
        </w:rPr>
      </w:pPr>
    </w:p>
    <w:p w:rsidR="00DB050B" w:rsidRDefault="00DB050B" w:rsidP="00D0022E">
      <w:pPr>
        <w:pStyle w:val="BodyText2"/>
        <w:spacing w:line="240" w:lineRule="auto"/>
        <w:ind w:firstLine="720"/>
        <w:jc w:val="both"/>
        <w:rPr>
          <w:b/>
          <w:bCs/>
          <w:sz w:val="28"/>
          <w:szCs w:val="28"/>
        </w:rPr>
      </w:pPr>
      <w:r>
        <w:rPr>
          <w:sz w:val="28"/>
          <w:szCs w:val="28"/>
        </w:rPr>
        <w:t xml:space="preserve">Latvijas </w:t>
      </w:r>
      <w:r>
        <w:rPr>
          <w:b/>
          <w:sz w:val="28"/>
          <w:szCs w:val="28"/>
        </w:rPr>
        <w:t>delegācijas vadītājs</w:t>
      </w:r>
      <w:r>
        <w:rPr>
          <w:sz w:val="28"/>
          <w:szCs w:val="28"/>
        </w:rPr>
        <w:t xml:space="preserve"> 2013. gada 11.marta sanāksmē par Satiksmes ministrijas kompetencē esošajiem jautājumiem ir Satiksmes ministrijas parlamentārais sekretārs Viktors Valainis.</w:t>
      </w:r>
    </w:p>
    <w:p w:rsidR="00DB050B" w:rsidRDefault="00DB050B" w:rsidP="00D0022E">
      <w:pPr>
        <w:rPr>
          <w:sz w:val="28"/>
          <w:szCs w:val="28"/>
        </w:rPr>
      </w:pPr>
    </w:p>
    <w:p w:rsidR="00DB050B" w:rsidRDefault="00DB050B" w:rsidP="00D0022E">
      <w:pPr>
        <w:pStyle w:val="BodyText2"/>
        <w:spacing w:line="240" w:lineRule="auto"/>
        <w:jc w:val="both"/>
      </w:pPr>
    </w:p>
    <w:p w:rsidR="00DB050B" w:rsidRDefault="00DB050B" w:rsidP="00D0022E">
      <w:pPr>
        <w:rPr>
          <w:sz w:val="28"/>
          <w:szCs w:val="28"/>
        </w:rPr>
      </w:pPr>
      <w:r>
        <w:rPr>
          <w:sz w:val="28"/>
          <w:szCs w:val="28"/>
        </w:rPr>
        <w:t>Iesniedzējs:</w:t>
      </w:r>
    </w:p>
    <w:p w:rsidR="00DB050B" w:rsidRDefault="00DB050B" w:rsidP="00D0022E">
      <w:pPr>
        <w:rPr>
          <w:sz w:val="28"/>
          <w:szCs w:val="28"/>
        </w:rPr>
      </w:pPr>
    </w:p>
    <w:p w:rsidR="00DB050B" w:rsidRDefault="00DB050B" w:rsidP="00D0022E">
      <w:pPr>
        <w:rPr>
          <w:sz w:val="28"/>
          <w:szCs w:val="28"/>
        </w:rPr>
      </w:pPr>
      <w:r>
        <w:rPr>
          <w:sz w:val="28"/>
          <w:szCs w:val="28"/>
        </w:rPr>
        <w:t>Satiksmes ministrs                                                              A.Matīss</w:t>
      </w:r>
    </w:p>
    <w:p w:rsidR="00DB050B" w:rsidRDefault="00DB050B" w:rsidP="00D0022E">
      <w:pPr>
        <w:rPr>
          <w:sz w:val="28"/>
          <w:szCs w:val="28"/>
        </w:rPr>
      </w:pPr>
      <w:r>
        <w:rPr>
          <w:sz w:val="28"/>
          <w:szCs w:val="28"/>
        </w:rPr>
        <w:tab/>
      </w:r>
    </w:p>
    <w:p w:rsidR="00DB050B" w:rsidRDefault="00DB050B" w:rsidP="00D0022E">
      <w:pPr>
        <w:rPr>
          <w:sz w:val="28"/>
          <w:szCs w:val="28"/>
        </w:rPr>
      </w:pPr>
    </w:p>
    <w:p w:rsidR="00DB050B" w:rsidRDefault="00DB050B" w:rsidP="00D0022E">
      <w:pPr>
        <w:rPr>
          <w:sz w:val="28"/>
          <w:szCs w:val="28"/>
        </w:rPr>
      </w:pPr>
    </w:p>
    <w:p w:rsidR="00DB050B" w:rsidRDefault="00DB050B" w:rsidP="00D0022E">
      <w:pPr>
        <w:rPr>
          <w:sz w:val="28"/>
          <w:szCs w:val="28"/>
        </w:rPr>
      </w:pPr>
    </w:p>
    <w:p w:rsidR="00DB050B" w:rsidRDefault="00DB050B" w:rsidP="00D0022E">
      <w:pPr>
        <w:rPr>
          <w:sz w:val="28"/>
          <w:szCs w:val="28"/>
        </w:rPr>
      </w:pPr>
      <w:r>
        <w:rPr>
          <w:sz w:val="28"/>
          <w:szCs w:val="28"/>
        </w:rPr>
        <w:t>Vizē: valsts sekretāra p.i.</w:t>
      </w:r>
      <w:r>
        <w:rPr>
          <w:sz w:val="28"/>
          <w:szCs w:val="28"/>
        </w:rPr>
        <w:tab/>
      </w:r>
      <w:r>
        <w:rPr>
          <w:sz w:val="28"/>
          <w:szCs w:val="28"/>
        </w:rPr>
        <w:tab/>
      </w:r>
      <w:r>
        <w:rPr>
          <w:sz w:val="28"/>
          <w:szCs w:val="28"/>
        </w:rPr>
        <w:tab/>
      </w:r>
      <w:r>
        <w:rPr>
          <w:sz w:val="28"/>
          <w:szCs w:val="28"/>
        </w:rPr>
        <w:tab/>
      </w:r>
      <w:r>
        <w:rPr>
          <w:sz w:val="28"/>
          <w:szCs w:val="28"/>
        </w:rPr>
        <w:tab/>
      </w:r>
      <w:r>
        <w:rPr>
          <w:sz w:val="28"/>
          <w:szCs w:val="28"/>
        </w:rPr>
        <w:tab/>
        <w:t>Dž.Innusa</w:t>
      </w:r>
    </w:p>
    <w:p w:rsidR="00DB050B" w:rsidRDefault="00DB050B" w:rsidP="00D0022E">
      <w:pPr>
        <w:rPr>
          <w:sz w:val="28"/>
          <w:szCs w:val="28"/>
        </w:rPr>
      </w:pPr>
    </w:p>
    <w:p w:rsidR="00DB050B" w:rsidRDefault="00DB050B" w:rsidP="00D0022E">
      <w:pPr>
        <w:rPr>
          <w:sz w:val="28"/>
          <w:szCs w:val="28"/>
        </w:rPr>
      </w:pPr>
    </w:p>
    <w:p w:rsidR="00DB050B" w:rsidRDefault="00DB050B" w:rsidP="00D0022E">
      <w:pPr>
        <w:rPr>
          <w:sz w:val="28"/>
          <w:szCs w:val="28"/>
        </w:rPr>
      </w:pPr>
    </w:p>
    <w:p w:rsidR="00DB050B" w:rsidRDefault="00DB050B" w:rsidP="00D0022E">
      <w:pPr>
        <w:rPr>
          <w:sz w:val="28"/>
          <w:szCs w:val="28"/>
        </w:rPr>
      </w:pPr>
    </w:p>
    <w:p w:rsidR="00DB050B" w:rsidRPr="00786D42" w:rsidRDefault="00DB050B" w:rsidP="00D0022E">
      <w:r w:rsidRPr="00786D42">
        <w:t>04.03.2013. 9:35</w:t>
      </w:r>
    </w:p>
    <w:p w:rsidR="00DB050B" w:rsidRPr="00786D42" w:rsidRDefault="00DB050B" w:rsidP="00D0022E">
      <w:r w:rsidRPr="00786D42">
        <w:t>865 vārdi</w:t>
      </w:r>
    </w:p>
    <w:p w:rsidR="00DB050B" w:rsidRPr="00786D42" w:rsidRDefault="00DB050B" w:rsidP="00D0022E">
      <w:pPr>
        <w:rPr>
          <w:sz w:val="22"/>
          <w:szCs w:val="22"/>
        </w:rPr>
      </w:pPr>
      <w:r w:rsidRPr="00786D42">
        <w:rPr>
          <w:sz w:val="22"/>
          <w:szCs w:val="22"/>
        </w:rPr>
        <w:t>Elīna Šimiņa-Neverovska 67028254</w:t>
      </w:r>
    </w:p>
    <w:p w:rsidR="00DB050B" w:rsidRDefault="00DB050B" w:rsidP="00D0022E">
      <w:pPr>
        <w:rPr>
          <w:sz w:val="22"/>
          <w:szCs w:val="22"/>
        </w:rPr>
      </w:pPr>
      <w:hyperlink r:id="rId7" w:history="1">
        <w:r w:rsidRPr="00786D42">
          <w:rPr>
            <w:rStyle w:val="Hyperlink"/>
            <w:sz w:val="22"/>
            <w:szCs w:val="22"/>
          </w:rPr>
          <w:t>elina.simina@sam.gov.lv</w:t>
        </w:r>
      </w:hyperlink>
      <w:r>
        <w:rPr>
          <w:sz w:val="22"/>
          <w:szCs w:val="22"/>
        </w:rPr>
        <w:t xml:space="preserve"> </w:t>
      </w:r>
    </w:p>
    <w:p w:rsidR="00DB050B" w:rsidRDefault="00DB050B" w:rsidP="00D0022E">
      <w:pPr>
        <w:tabs>
          <w:tab w:val="left" w:pos="3630"/>
        </w:tabs>
      </w:pPr>
    </w:p>
    <w:p w:rsidR="00DB050B" w:rsidRDefault="00DB050B" w:rsidP="00D0022E"/>
    <w:p w:rsidR="00DB050B" w:rsidRDefault="00DB050B"/>
    <w:sectPr w:rsidR="00DB050B" w:rsidSect="007332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0B" w:rsidRDefault="00DB050B" w:rsidP="00F7546B">
      <w:r>
        <w:separator/>
      </w:r>
    </w:p>
  </w:endnote>
  <w:endnote w:type="continuationSeparator" w:id="0">
    <w:p w:rsidR="00DB050B" w:rsidRDefault="00DB050B" w:rsidP="00F7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B" w:rsidRDefault="00DB0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B" w:rsidRPr="00F7546B" w:rsidRDefault="00DB050B" w:rsidP="00F7546B">
    <w:pPr>
      <w:jc w:val="both"/>
      <w:rPr>
        <w:bCs/>
        <w:sz w:val="22"/>
        <w:szCs w:val="22"/>
      </w:rPr>
    </w:pPr>
    <w:r w:rsidRPr="00F7546B">
      <w:rPr>
        <w:sz w:val="22"/>
        <w:szCs w:val="22"/>
      </w:rPr>
      <w:t>S</w:t>
    </w:r>
    <w:smartTag w:uri="urn:schemas-microsoft-com:office:smarttags" w:element="PersonName">
      <w:r w:rsidRPr="00F7546B">
        <w:rPr>
          <w:sz w:val="22"/>
          <w:szCs w:val="22"/>
        </w:rPr>
        <w:t>AM</w:t>
      </w:r>
    </w:smartTag>
    <w:r w:rsidRPr="00F7546B">
      <w:rPr>
        <w:sz w:val="22"/>
        <w:szCs w:val="22"/>
      </w:rPr>
      <w:t xml:space="preserve">poz_041313_TTE; </w:t>
    </w:r>
    <w:r w:rsidRPr="00F7546B">
      <w:rPr>
        <w:bCs/>
        <w:sz w:val="22"/>
        <w:szCs w:val="22"/>
      </w:rPr>
      <w:t>Informatīvais ziņojums “Latvijas nacionālās pozīcijas Eiropas Savienības Transporta, telekomunikāciju un enerģētikas Ministru padomes 2013</w:t>
    </w:r>
    <w:r>
      <w:rPr>
        <w:bCs/>
        <w:sz w:val="22"/>
        <w:szCs w:val="22"/>
      </w:rPr>
      <w:t>.gada</w:t>
    </w:r>
    <w:r w:rsidRPr="00F7546B">
      <w:rPr>
        <w:bCs/>
        <w:sz w:val="22"/>
        <w:szCs w:val="22"/>
      </w:rPr>
      <w:t xml:space="preserve">      11.marta sanāksmei”</w:t>
    </w:r>
  </w:p>
  <w:p w:rsidR="00DB050B" w:rsidRDefault="00DB050B" w:rsidP="00F7546B">
    <w:pPr>
      <w:pStyle w:val="Footer"/>
    </w:pPr>
  </w:p>
  <w:p w:rsidR="00DB050B" w:rsidRDefault="00DB050B">
    <w:pPr>
      <w:pStyle w:val="Footer"/>
      <w:jc w:val="right"/>
    </w:pPr>
    <w:fldSimple w:instr=" PAGE   \* MERGEFORMAT ">
      <w:r>
        <w:rPr>
          <w:noProof/>
        </w:rPr>
        <w:t>2</w:t>
      </w:r>
    </w:fldSimple>
    <w:r>
      <w:rPr>
        <w:noProof/>
      </w:rPr>
      <w:t>-4</w:t>
    </w:r>
  </w:p>
  <w:p w:rsidR="00DB050B" w:rsidRDefault="00DB050B" w:rsidP="00F7546B">
    <w:pPr>
      <w:pStyle w:val="Footer"/>
      <w:jc w:val="center"/>
    </w:pPr>
    <w:r>
      <w:t>NAV KLASIFICĒTS</w:t>
    </w:r>
  </w:p>
  <w:p w:rsidR="00DB050B" w:rsidRDefault="00DB050B" w:rsidP="00F7546B">
    <w:pPr>
      <w:pStyle w:val="Footer"/>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B" w:rsidRDefault="00DB0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0B" w:rsidRDefault="00DB050B" w:rsidP="00F7546B">
      <w:r>
        <w:separator/>
      </w:r>
    </w:p>
  </w:footnote>
  <w:footnote w:type="continuationSeparator" w:id="0">
    <w:p w:rsidR="00DB050B" w:rsidRDefault="00DB050B" w:rsidP="00F75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B" w:rsidRDefault="00DB05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985" o:spid="_x0000_s2049" type="#_x0000_t136" style="position:absolute;margin-left:0;margin-top:0;width:523.85pt;height:61.6pt;rotation:315;z-index:-251658752;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B" w:rsidRDefault="00DB050B" w:rsidP="00F7546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986" o:spid="_x0000_s2050" type="#_x0000_t136" style="position:absolute;left:0;text-align:left;margin-left:0;margin-top:0;width:523.85pt;height:61.6pt;rotation:315;z-index:-251657728;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r>
      <w:t>NAV KLASIFICĒTS</w:t>
    </w:r>
  </w:p>
  <w:p w:rsidR="00DB050B" w:rsidRDefault="00DB050B" w:rsidP="00F7546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B" w:rsidRDefault="00DB05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984" o:spid="_x0000_s2051" type="#_x0000_t136" style="position:absolute;margin-left:0;margin-top:0;width:523.85pt;height:61.6pt;rotation:315;z-index:-251659776;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056"/>
    <w:multiLevelType w:val="hybridMultilevel"/>
    <w:tmpl w:val="ED78D998"/>
    <w:lvl w:ilvl="0" w:tplc="0426000F">
      <w:start w:val="2"/>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97B4220"/>
    <w:multiLevelType w:val="hybridMultilevel"/>
    <w:tmpl w:val="90C69BC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48E0138"/>
    <w:multiLevelType w:val="hybridMultilevel"/>
    <w:tmpl w:val="CB1A1C8E"/>
    <w:lvl w:ilvl="0" w:tplc="021C4498">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7148236D"/>
    <w:multiLevelType w:val="hybridMultilevel"/>
    <w:tmpl w:val="ABEE5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A4F0036"/>
    <w:multiLevelType w:val="hybridMultilevel"/>
    <w:tmpl w:val="4274B09C"/>
    <w:lvl w:ilvl="0" w:tplc="2C2AA2DC">
      <w:start w:val="5"/>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7E8224EA"/>
    <w:multiLevelType w:val="singleLevel"/>
    <w:tmpl w:val="34DEB8CE"/>
    <w:name w:val="LegalNumbering"/>
    <w:lvl w:ilvl="0">
      <w:start w:val="1"/>
      <w:numFmt w:val="bullet"/>
      <w:pStyle w:val="Tiret0"/>
      <w:lvlText w:val="–"/>
      <w:lvlJc w:val="left"/>
      <w:pPr>
        <w:tabs>
          <w:tab w:val="num" w:pos="850"/>
        </w:tabs>
        <w:ind w:left="850" w:hanging="850"/>
      </w:pPr>
    </w:lvl>
  </w:abstractNum>
  <w:num w:numId="1">
    <w:abstractNumId w:val="5"/>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22E"/>
    <w:rsid w:val="00034451"/>
    <w:rsid w:val="00377FF3"/>
    <w:rsid w:val="003B466B"/>
    <w:rsid w:val="00425BC9"/>
    <w:rsid w:val="006D7D55"/>
    <w:rsid w:val="00733211"/>
    <w:rsid w:val="00786D42"/>
    <w:rsid w:val="007F6C24"/>
    <w:rsid w:val="008C150E"/>
    <w:rsid w:val="009653E8"/>
    <w:rsid w:val="009B5D1D"/>
    <w:rsid w:val="00B56DA8"/>
    <w:rsid w:val="00B8769A"/>
    <w:rsid w:val="00B90940"/>
    <w:rsid w:val="00D0022E"/>
    <w:rsid w:val="00DB050B"/>
    <w:rsid w:val="00DF1B63"/>
    <w:rsid w:val="00F25CDE"/>
    <w:rsid w:val="00F7546B"/>
    <w:rsid w:val="00FE6B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2E"/>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0022E"/>
    <w:rPr>
      <w:rFonts w:cs="Times New Roman"/>
      <w:color w:val="0000FF"/>
      <w:u w:val="single"/>
    </w:rPr>
  </w:style>
  <w:style w:type="paragraph" w:styleId="BodyText2">
    <w:name w:val="Body Text 2"/>
    <w:basedOn w:val="Normal"/>
    <w:link w:val="BodyText2Char"/>
    <w:uiPriority w:val="99"/>
    <w:rsid w:val="00D0022E"/>
    <w:pPr>
      <w:spacing w:after="120" w:line="480" w:lineRule="auto"/>
    </w:pPr>
  </w:style>
  <w:style w:type="character" w:customStyle="1" w:styleId="BodyText2Char">
    <w:name w:val="Body Text 2 Char"/>
    <w:basedOn w:val="DefaultParagraphFont"/>
    <w:link w:val="BodyText2"/>
    <w:uiPriority w:val="99"/>
    <w:locked/>
    <w:rsid w:val="00D0022E"/>
    <w:rPr>
      <w:rFonts w:eastAsia="Times New Roman" w:cs="Times New Roman"/>
      <w:sz w:val="24"/>
      <w:szCs w:val="24"/>
      <w:lang w:eastAsia="lv-LV"/>
    </w:rPr>
  </w:style>
  <w:style w:type="paragraph" w:styleId="NoSpacing">
    <w:name w:val="No Spacing"/>
    <w:uiPriority w:val="99"/>
    <w:qFormat/>
    <w:rsid w:val="00D0022E"/>
    <w:rPr>
      <w:rFonts w:eastAsia="Times New Roman"/>
      <w:sz w:val="24"/>
      <w:szCs w:val="24"/>
      <w:lang w:val="en-GB" w:eastAsia="en-US"/>
    </w:rPr>
  </w:style>
  <w:style w:type="paragraph" w:customStyle="1" w:styleId="Text1">
    <w:name w:val="Text 1"/>
    <w:basedOn w:val="Normal"/>
    <w:uiPriority w:val="99"/>
    <w:rsid w:val="00D0022E"/>
    <w:pPr>
      <w:snapToGrid w:val="0"/>
      <w:spacing w:before="120" w:after="120"/>
      <w:ind w:left="850"/>
      <w:jc w:val="both"/>
    </w:pPr>
    <w:rPr>
      <w:lang w:eastAsia="en-GB"/>
    </w:rPr>
  </w:style>
  <w:style w:type="paragraph" w:customStyle="1" w:styleId="Tiret0">
    <w:name w:val="Tiret 0"/>
    <w:basedOn w:val="Normal"/>
    <w:uiPriority w:val="99"/>
    <w:rsid w:val="00D0022E"/>
    <w:pPr>
      <w:numPr>
        <w:numId w:val="1"/>
      </w:numPr>
      <w:spacing w:before="120" w:after="120"/>
      <w:jc w:val="both"/>
    </w:pPr>
    <w:rPr>
      <w:lang w:eastAsia="en-US"/>
    </w:rPr>
  </w:style>
  <w:style w:type="paragraph" w:styleId="ListParagraph">
    <w:name w:val="List Paragraph"/>
    <w:basedOn w:val="Normal"/>
    <w:uiPriority w:val="99"/>
    <w:qFormat/>
    <w:rsid w:val="00FE6B9D"/>
    <w:pPr>
      <w:ind w:left="720"/>
      <w:contextualSpacing/>
    </w:pPr>
  </w:style>
  <w:style w:type="paragraph" w:customStyle="1" w:styleId="Titreobjet">
    <w:name w:val="Titre objet"/>
    <w:basedOn w:val="Normal"/>
    <w:next w:val="Normal"/>
    <w:uiPriority w:val="99"/>
    <w:rsid w:val="009653E8"/>
    <w:pPr>
      <w:spacing w:before="360" w:after="360"/>
      <w:jc w:val="center"/>
    </w:pPr>
    <w:rPr>
      <w:b/>
      <w:lang w:eastAsia="en-US"/>
    </w:rPr>
  </w:style>
  <w:style w:type="paragraph" w:styleId="Header">
    <w:name w:val="header"/>
    <w:basedOn w:val="Normal"/>
    <w:link w:val="HeaderChar"/>
    <w:uiPriority w:val="99"/>
    <w:rsid w:val="00F7546B"/>
    <w:pPr>
      <w:tabs>
        <w:tab w:val="center" w:pos="4153"/>
        <w:tab w:val="right" w:pos="8306"/>
      </w:tabs>
    </w:pPr>
  </w:style>
  <w:style w:type="character" w:customStyle="1" w:styleId="HeaderChar">
    <w:name w:val="Header Char"/>
    <w:basedOn w:val="DefaultParagraphFont"/>
    <w:link w:val="Header"/>
    <w:uiPriority w:val="99"/>
    <w:locked/>
    <w:rsid w:val="00F7546B"/>
    <w:rPr>
      <w:rFonts w:eastAsia="Times New Roman" w:cs="Times New Roman"/>
      <w:sz w:val="24"/>
      <w:szCs w:val="24"/>
      <w:lang w:eastAsia="lv-LV"/>
    </w:rPr>
  </w:style>
  <w:style w:type="paragraph" w:styleId="Footer">
    <w:name w:val="footer"/>
    <w:basedOn w:val="Normal"/>
    <w:link w:val="FooterChar"/>
    <w:uiPriority w:val="99"/>
    <w:rsid w:val="00F7546B"/>
    <w:pPr>
      <w:tabs>
        <w:tab w:val="center" w:pos="4153"/>
        <w:tab w:val="right" w:pos="8306"/>
      </w:tabs>
    </w:pPr>
  </w:style>
  <w:style w:type="character" w:customStyle="1" w:styleId="FooterChar">
    <w:name w:val="Footer Char"/>
    <w:basedOn w:val="DefaultParagraphFont"/>
    <w:link w:val="Footer"/>
    <w:uiPriority w:val="99"/>
    <w:locked/>
    <w:rsid w:val="00F7546B"/>
    <w:rPr>
      <w:rFonts w:eastAsia="Times New Roman" w:cs="Times New Roman"/>
      <w:sz w:val="24"/>
      <w:szCs w:val="24"/>
      <w:lang w:eastAsia="lv-LV"/>
    </w:rPr>
  </w:style>
  <w:style w:type="paragraph" w:styleId="BalloonText">
    <w:name w:val="Balloon Text"/>
    <w:basedOn w:val="Normal"/>
    <w:link w:val="BalloonTextChar"/>
    <w:uiPriority w:val="99"/>
    <w:semiHidden/>
    <w:rsid w:val="00F75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46B"/>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019433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gita@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4</Pages>
  <Words>881</Words>
  <Characters>6550</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pozīcijas Eiropas Savienības Transporta, telekomunikāciju un enerģētikas Ministru padomes 2013.gada 11.marta sanāksmei</dc:title>
  <dc:subject>Informatīvais ziņojums</dc:subject>
  <dc:creator>Elīna Šimina-Neverovska</dc:creator>
  <cp:keywords/>
  <dc:description>elina.simina@sam.gov.lv, 67028254satiksmes ministrija</dc:description>
  <cp:lastModifiedBy>Baiba Šterna</cp:lastModifiedBy>
  <cp:revision>7</cp:revision>
  <dcterms:created xsi:type="dcterms:W3CDTF">2013-03-01T11:48:00Z</dcterms:created>
  <dcterms:modified xsi:type="dcterms:W3CDTF">2013-03-04T13:22:00Z</dcterms:modified>
</cp:coreProperties>
</file>