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DB" w:rsidRPr="00ED18E1" w:rsidRDefault="000253DB" w:rsidP="000253DB">
      <w:pPr>
        <w:pStyle w:val="NoSpacing"/>
        <w:ind w:firstLine="357"/>
        <w:jc w:val="center"/>
        <w:rPr>
          <w:rFonts w:ascii="Times New Roman" w:hAnsi="Times New Roman"/>
          <w:sz w:val="28"/>
          <w:szCs w:val="28"/>
        </w:rPr>
      </w:pPr>
      <w:r w:rsidRPr="00ED18E1">
        <w:rPr>
          <w:rFonts w:ascii="Times New Roman" w:hAnsi="Times New Roman"/>
          <w:sz w:val="28"/>
          <w:szCs w:val="28"/>
        </w:rPr>
        <w:t>Informatīvais ziņojums</w:t>
      </w:r>
      <w:r w:rsidRPr="00ED18E1">
        <w:rPr>
          <w:rFonts w:ascii="Times New Roman" w:hAnsi="Times New Roman"/>
          <w:sz w:val="28"/>
          <w:szCs w:val="28"/>
        </w:rPr>
        <w:t xml:space="preserve"> </w:t>
      </w:r>
    </w:p>
    <w:p w:rsidR="003F7959" w:rsidRPr="00ED18E1" w:rsidRDefault="000253DB" w:rsidP="000253DB">
      <w:pPr>
        <w:pStyle w:val="NoSpacing"/>
        <w:ind w:firstLine="357"/>
        <w:jc w:val="center"/>
        <w:rPr>
          <w:rFonts w:ascii="Times New Roman" w:hAnsi="Times New Roman"/>
          <w:sz w:val="28"/>
          <w:szCs w:val="28"/>
        </w:rPr>
      </w:pPr>
      <w:r w:rsidRPr="00ED18E1">
        <w:rPr>
          <w:rFonts w:ascii="Times New Roman" w:hAnsi="Times New Roman"/>
          <w:sz w:val="28"/>
          <w:szCs w:val="28"/>
        </w:rPr>
        <w:t>p</w:t>
      </w:r>
      <w:r w:rsidR="00271BE5" w:rsidRPr="00ED18E1">
        <w:rPr>
          <w:rFonts w:ascii="Times New Roman" w:hAnsi="Times New Roman"/>
          <w:sz w:val="28"/>
          <w:szCs w:val="28"/>
        </w:rPr>
        <w:t xml:space="preserve">ar </w:t>
      </w:r>
      <w:r w:rsidR="003F7959" w:rsidRPr="00ED18E1">
        <w:rPr>
          <w:rFonts w:ascii="Times New Roman" w:hAnsi="Times New Roman"/>
          <w:sz w:val="28"/>
          <w:szCs w:val="28"/>
        </w:rPr>
        <w:t xml:space="preserve">AS „Pasažieru vilciens” ritošā sastāva </w:t>
      </w:r>
      <w:r w:rsidR="00271BE5" w:rsidRPr="00ED18E1">
        <w:rPr>
          <w:rFonts w:ascii="Times New Roman" w:hAnsi="Times New Roman"/>
          <w:sz w:val="28"/>
          <w:szCs w:val="28"/>
        </w:rPr>
        <w:t>modernizāciju</w:t>
      </w:r>
    </w:p>
    <w:p w:rsidR="003F7959" w:rsidRDefault="003F7959" w:rsidP="001E2D27">
      <w:pPr>
        <w:jc w:val="center"/>
        <w:rPr>
          <w:b/>
        </w:rPr>
      </w:pPr>
    </w:p>
    <w:p w:rsidR="003F7959" w:rsidRPr="00096AC8" w:rsidRDefault="003F7959" w:rsidP="00096AC8">
      <w:pPr>
        <w:numPr>
          <w:ilvl w:val="0"/>
          <w:numId w:val="8"/>
        </w:numPr>
        <w:spacing w:after="120"/>
        <w:ind w:left="0" w:firstLine="357"/>
        <w:jc w:val="both"/>
        <w:rPr>
          <w:b/>
          <w:sz w:val="28"/>
          <w:szCs w:val="28"/>
        </w:rPr>
      </w:pPr>
      <w:r w:rsidRPr="00096AC8">
        <w:rPr>
          <w:b/>
          <w:sz w:val="28"/>
          <w:szCs w:val="28"/>
        </w:rPr>
        <w:t>TRANSPORTA POLITIKAS PAMATPRINCIPI</w:t>
      </w:r>
      <w:r w:rsidR="00297833" w:rsidRPr="00096AC8">
        <w:rPr>
          <w:b/>
          <w:sz w:val="28"/>
          <w:szCs w:val="28"/>
        </w:rPr>
        <w:t xml:space="preserve"> UN TIESISKAIS REGULĒJUMS</w:t>
      </w:r>
    </w:p>
    <w:p w:rsidR="003F7959" w:rsidRPr="00096AC8" w:rsidRDefault="003F7959" w:rsidP="00776913">
      <w:pPr>
        <w:ind w:firstLine="684"/>
        <w:jc w:val="both"/>
        <w:rPr>
          <w:sz w:val="28"/>
          <w:szCs w:val="28"/>
        </w:rPr>
      </w:pPr>
      <w:r w:rsidRPr="00096AC8">
        <w:rPr>
          <w:sz w:val="28"/>
          <w:szCs w:val="28"/>
        </w:rPr>
        <w:t xml:space="preserve">Atbilstoši </w:t>
      </w:r>
      <w:r w:rsidRPr="00096AC8">
        <w:rPr>
          <w:bCs/>
          <w:sz w:val="28"/>
          <w:szCs w:val="28"/>
        </w:rPr>
        <w:t>Nacionālajā attīstības plānā 2014.-2020.gadam</w:t>
      </w:r>
      <w:r w:rsidRPr="00096AC8">
        <w:rPr>
          <w:sz w:val="28"/>
          <w:szCs w:val="28"/>
        </w:rPr>
        <w:t xml:space="preserve"> noteiktajam transporta politikas mērķis ir konkurētspējīga, ilgtspējīga, komodāla transporta sistēma, kas nodrošina augstas kvalitātes mobilitāti, efektīvi izmantojot resursus, t.sk. Eiropas Savienības fondus.</w:t>
      </w:r>
    </w:p>
    <w:p w:rsidR="003F7959" w:rsidRPr="00096AC8" w:rsidRDefault="003F7959" w:rsidP="00776913">
      <w:pPr>
        <w:ind w:firstLine="684"/>
        <w:jc w:val="both"/>
        <w:rPr>
          <w:bCs/>
          <w:sz w:val="28"/>
          <w:szCs w:val="28"/>
        </w:rPr>
      </w:pPr>
      <w:r w:rsidRPr="00096AC8">
        <w:rPr>
          <w:bCs/>
          <w:sz w:val="28"/>
          <w:szCs w:val="28"/>
        </w:rPr>
        <w:t xml:space="preserve">Ilgtspējīgas pasažieru pārvadāšanas pa dzelzceļu </w:t>
      </w:r>
      <w:r w:rsidRPr="00096AC8">
        <w:rPr>
          <w:b/>
          <w:bCs/>
          <w:sz w:val="28"/>
          <w:szCs w:val="28"/>
        </w:rPr>
        <w:t>vīzija</w:t>
      </w:r>
      <w:r w:rsidRPr="00096AC8">
        <w:rPr>
          <w:bCs/>
          <w:sz w:val="28"/>
          <w:szCs w:val="28"/>
        </w:rPr>
        <w:t xml:space="preserve">: </w:t>
      </w:r>
    </w:p>
    <w:p w:rsidR="003F7959" w:rsidRPr="00096AC8" w:rsidRDefault="003F7959" w:rsidP="00776913">
      <w:pPr>
        <w:numPr>
          <w:ilvl w:val="0"/>
          <w:numId w:val="6"/>
        </w:numPr>
        <w:tabs>
          <w:tab w:val="clear" w:pos="1458"/>
          <w:tab w:val="num" w:pos="1140"/>
        </w:tabs>
        <w:ind w:left="0" w:firstLine="855"/>
        <w:jc w:val="both"/>
        <w:rPr>
          <w:sz w:val="28"/>
          <w:szCs w:val="28"/>
        </w:rPr>
      </w:pPr>
      <w:r w:rsidRPr="00096AC8">
        <w:rPr>
          <w:bCs/>
          <w:sz w:val="28"/>
          <w:szCs w:val="28"/>
        </w:rPr>
        <w:t xml:space="preserve">kvalitatīva dzelzceļa infrastruktūra (elektrificēts dzelzceļš, ērta </w:t>
      </w:r>
      <w:r w:rsidRPr="00096AC8">
        <w:rPr>
          <w:sz w:val="28"/>
          <w:szCs w:val="28"/>
        </w:rPr>
        <w:t>Eiropas transporta tīkla</w:t>
      </w:r>
      <w:r w:rsidRPr="00096AC8">
        <w:rPr>
          <w:bCs/>
          <w:sz w:val="28"/>
          <w:szCs w:val="28"/>
        </w:rPr>
        <w:t xml:space="preserve"> sasaiste ar pilsētām, modernizēti staciju peroni); </w:t>
      </w:r>
    </w:p>
    <w:p w:rsidR="003F7959" w:rsidRPr="00096AC8" w:rsidRDefault="003F7959" w:rsidP="00776913">
      <w:pPr>
        <w:numPr>
          <w:ilvl w:val="0"/>
          <w:numId w:val="6"/>
        </w:numPr>
        <w:tabs>
          <w:tab w:val="clear" w:pos="1458"/>
          <w:tab w:val="num" w:pos="1140"/>
        </w:tabs>
        <w:ind w:left="0" w:firstLine="855"/>
        <w:jc w:val="both"/>
        <w:rPr>
          <w:sz w:val="28"/>
          <w:szCs w:val="28"/>
        </w:rPr>
      </w:pPr>
      <w:r w:rsidRPr="00096AC8">
        <w:rPr>
          <w:sz w:val="28"/>
          <w:szCs w:val="28"/>
        </w:rPr>
        <w:t xml:space="preserve">augsts satiksmes drošības līmenis, </w:t>
      </w:r>
    </w:p>
    <w:p w:rsidR="003F7959" w:rsidRPr="00096AC8" w:rsidRDefault="003F7959" w:rsidP="00776913">
      <w:pPr>
        <w:numPr>
          <w:ilvl w:val="0"/>
          <w:numId w:val="6"/>
        </w:numPr>
        <w:tabs>
          <w:tab w:val="clear" w:pos="1458"/>
          <w:tab w:val="num" w:pos="1140"/>
        </w:tabs>
        <w:ind w:left="0" w:firstLine="855"/>
        <w:jc w:val="both"/>
        <w:rPr>
          <w:sz w:val="28"/>
          <w:szCs w:val="28"/>
        </w:rPr>
      </w:pPr>
      <w:r w:rsidRPr="00096AC8">
        <w:rPr>
          <w:sz w:val="28"/>
          <w:szCs w:val="28"/>
        </w:rPr>
        <w:t xml:space="preserve">visiem Latvijas iedzīvotājiem pieejams sabiedriskais transports, kas nodrošina sasniedzamību visā Latvijas teritorijā (ērta, vienota sabiedriskā transporta sistēma, panākot autobusu un dzelzceļa pārvadājumu savstarpēju saskaņotību, kurā dzelzceļa pārvadājumi būtu sabiedriskā transporta „mugurkauls”). </w:t>
      </w:r>
      <w:r w:rsidRPr="00096AC8">
        <w:rPr>
          <w:color w:val="000000"/>
          <w:sz w:val="28"/>
          <w:szCs w:val="28"/>
        </w:rPr>
        <w:t>Atbilstoši Sabiedriskā transporta pakalpojumu likumam</w:t>
      </w:r>
      <w:r w:rsidRPr="00096AC8">
        <w:rPr>
          <w:rStyle w:val="FootnoteReference"/>
          <w:color w:val="000000"/>
          <w:sz w:val="28"/>
          <w:szCs w:val="28"/>
        </w:rPr>
        <w:footnoteReference w:id="1"/>
      </w:r>
      <w:r w:rsidRPr="00096AC8">
        <w:rPr>
          <w:color w:val="000000"/>
          <w:sz w:val="28"/>
          <w:szCs w:val="28"/>
        </w:rPr>
        <w:t>, plānojot reģionālo starppilsētu nozīmes maršrutu tīkla maršrutus ar lielu pasažieru plūsmu, vispirms jāizveido maršruti pa sliežu ceļiem.</w:t>
      </w:r>
    </w:p>
    <w:p w:rsidR="003F7959" w:rsidRPr="00096AC8" w:rsidRDefault="003F7959" w:rsidP="00776913">
      <w:pPr>
        <w:shd w:val="clear" w:color="auto" w:fill="FFFFFF"/>
        <w:tabs>
          <w:tab w:val="left" w:pos="355"/>
        </w:tabs>
        <w:jc w:val="both"/>
        <w:outlineLvl w:val="0"/>
        <w:rPr>
          <w:sz w:val="28"/>
          <w:szCs w:val="28"/>
        </w:rPr>
      </w:pPr>
      <w:r w:rsidRPr="00096AC8">
        <w:rPr>
          <w:sz w:val="28"/>
          <w:szCs w:val="28"/>
        </w:rPr>
        <w:tab/>
        <w:t>Atbilstoši AS „Pasažieru vilciens” darbības stratēģijai uzņēmumam ir jānodrošina pieejamus, drošus un augstas kvalitātes iekšzemes dzelzceļa pasažieru pārvadājumus. Viens no būtiskiem transporta politikas mērķiem ir palielināt dzelzceļa pasažieru pārvadājumus, atslogojot pārējo satiksmes tīklu noslodzi, vienlaikus samazinot apkārtējās vides piesārņojumu, ko rada autotransports, un vides piesārņojumu risku, kas var rasties satiksmes negadījumu rezultātā.</w:t>
      </w:r>
    </w:p>
    <w:p w:rsidR="003F7959" w:rsidRPr="00096AC8" w:rsidRDefault="003F7959" w:rsidP="00776913">
      <w:pPr>
        <w:pStyle w:val="naisf"/>
        <w:spacing w:before="0" w:after="0"/>
        <w:ind w:firstLine="720"/>
        <w:outlineLvl w:val="0"/>
        <w:rPr>
          <w:sz w:val="28"/>
          <w:szCs w:val="28"/>
          <w:lang w:val="lv-LV"/>
        </w:rPr>
      </w:pPr>
      <w:r w:rsidRPr="00096AC8">
        <w:rPr>
          <w:sz w:val="28"/>
          <w:szCs w:val="28"/>
          <w:lang w:val="lv-LV"/>
        </w:rPr>
        <w:t>AS „Pasažieru vilciens” rīcības virzieni politikas mērķu un rezultātu sasniegšanai ir ritošā sastāva modernizēšana, iegādājoties jaunu ritošo sastāvu, un sabiedriskā transporta pakalpojumu organizēšana vienotā maršrutu tīklā valsts un reģionālajos vietējās nozīmes autobusu un vilcienu maršrutos.</w:t>
      </w:r>
    </w:p>
    <w:p w:rsidR="003F7959" w:rsidRPr="00096AC8" w:rsidRDefault="003F7959" w:rsidP="00776913">
      <w:pPr>
        <w:pStyle w:val="naisf"/>
        <w:spacing w:before="0" w:after="0"/>
        <w:outlineLvl w:val="0"/>
        <w:rPr>
          <w:sz w:val="28"/>
          <w:szCs w:val="28"/>
          <w:lang w:val="lv-LV"/>
        </w:rPr>
      </w:pPr>
      <w:r w:rsidRPr="00096AC8">
        <w:rPr>
          <w:sz w:val="28"/>
          <w:szCs w:val="28"/>
          <w:lang w:val="lv-LV"/>
        </w:rPr>
        <w:t>Sasniedzamais politikas rezultāts pasažieru pārvadājumos pa dzelzceļu ir palielināts pasažieru pārvadājumu pa sliežu ceļiem īpatsvars kopējā pasažieru pārvadājumu apjomā un īstenojamās darbības ir jauna ritošā sastāva iegāde.</w:t>
      </w:r>
    </w:p>
    <w:p w:rsidR="003F7959" w:rsidRPr="00096AC8" w:rsidRDefault="003F7959" w:rsidP="00776913">
      <w:pPr>
        <w:pStyle w:val="naisf"/>
        <w:spacing w:before="0" w:after="0"/>
        <w:outlineLvl w:val="0"/>
        <w:rPr>
          <w:sz w:val="28"/>
          <w:szCs w:val="28"/>
          <w:lang w:val="lv-LV"/>
        </w:rPr>
      </w:pPr>
    </w:p>
    <w:p w:rsidR="003F7959" w:rsidRPr="00096AC8" w:rsidRDefault="003F7959" w:rsidP="005E0041">
      <w:pPr>
        <w:pStyle w:val="ListParagraph"/>
        <w:spacing w:after="120" w:line="240" w:lineRule="auto"/>
        <w:ind w:left="0" w:right="0" w:firstLine="420"/>
        <w:jc w:val="both"/>
        <w:outlineLvl w:val="0"/>
        <w:rPr>
          <w:rFonts w:ascii="Times New Roman" w:hAnsi="Times New Roman"/>
          <w:b/>
          <w:sz w:val="28"/>
          <w:szCs w:val="28"/>
          <w:lang w:eastAsia="lv-LV"/>
        </w:rPr>
      </w:pPr>
      <w:r w:rsidRPr="00096AC8">
        <w:rPr>
          <w:rFonts w:ascii="Times New Roman" w:hAnsi="Times New Roman"/>
          <w:b/>
          <w:sz w:val="28"/>
          <w:szCs w:val="28"/>
          <w:lang w:eastAsia="lv-LV"/>
        </w:rPr>
        <w:t xml:space="preserve">2.ESOŠĀS SITUĀCIJAS RAKSTUROJUMS PASAŽIERU PĀRVADĀJUMOS PA DZELZCEĻU </w:t>
      </w:r>
    </w:p>
    <w:p w:rsidR="003F7959" w:rsidRPr="00096AC8" w:rsidRDefault="00271BE5" w:rsidP="00776913">
      <w:pPr>
        <w:pStyle w:val="ListParagraph"/>
        <w:spacing w:line="240" w:lineRule="auto"/>
        <w:ind w:left="0" w:right="0"/>
        <w:jc w:val="both"/>
        <w:outlineLvl w:val="0"/>
        <w:rPr>
          <w:rFonts w:ascii="Times New Roman" w:hAnsi="Times New Roman"/>
          <w:sz w:val="28"/>
          <w:szCs w:val="28"/>
        </w:rPr>
      </w:pPr>
      <w:r w:rsidRPr="00096AC8">
        <w:rPr>
          <w:rFonts w:ascii="Times New Roman" w:hAnsi="Times New Roman"/>
          <w:b/>
          <w:sz w:val="28"/>
          <w:szCs w:val="28"/>
          <w:lang w:eastAsia="lv-LV"/>
        </w:rPr>
        <w:tab/>
      </w:r>
      <w:r w:rsidR="003F7959" w:rsidRPr="00096AC8">
        <w:rPr>
          <w:rFonts w:ascii="Times New Roman" w:hAnsi="Times New Roman"/>
          <w:sz w:val="28"/>
          <w:szCs w:val="28"/>
        </w:rPr>
        <w:t>Esošais AS „Pasažieru vilciens” ritošais sastāvs ir gan tehniski, gan arī morāli novecojis. Tas uzņēmumam liedz īstenot tā darbības stratēģiju. Tāpat tas uzņēmumam liedz būtiski palielināt pārvadājumu intensitāti un vilcienu ietilpību, jo trūkst tehniskā kārtībā esošo vagonu un resursu to remontam. Līdz ar to esošā ritošā sastāva nomaiņa</w:t>
      </w:r>
      <w:r w:rsidRPr="00096AC8">
        <w:rPr>
          <w:rFonts w:ascii="Times New Roman" w:hAnsi="Times New Roman"/>
          <w:sz w:val="28"/>
          <w:szCs w:val="28"/>
        </w:rPr>
        <w:t xml:space="preserve"> vai modernizācija</w:t>
      </w:r>
      <w:r w:rsidR="003F7959" w:rsidRPr="00096AC8">
        <w:rPr>
          <w:rFonts w:ascii="Times New Roman" w:hAnsi="Times New Roman"/>
          <w:sz w:val="28"/>
          <w:szCs w:val="28"/>
        </w:rPr>
        <w:t xml:space="preserve"> ir priekšnosacījums AS „Pasažieru vilciens” turpmākai darbībai un priekšnosacījums būtiska transporta politikas mērķa sasniegšanai.</w:t>
      </w:r>
    </w:p>
    <w:p w:rsidR="003F7959" w:rsidRPr="00096AC8" w:rsidRDefault="003F7959" w:rsidP="00776913">
      <w:pPr>
        <w:ind w:firstLine="720"/>
        <w:jc w:val="both"/>
        <w:rPr>
          <w:sz w:val="28"/>
          <w:szCs w:val="28"/>
        </w:rPr>
      </w:pPr>
      <w:r w:rsidRPr="00096AC8">
        <w:rPr>
          <w:sz w:val="28"/>
          <w:szCs w:val="28"/>
        </w:rPr>
        <w:t xml:space="preserve">AS „Pasažieru vilciens” pašreiz pasažieru pārvadājumu nodrošināšanai izmanto morāli un tehniski nolietotu ritošo sastāvu, kura dzīves cikls </w:t>
      </w:r>
      <w:r w:rsidRPr="00096AC8">
        <w:rPr>
          <w:sz w:val="28"/>
          <w:szCs w:val="28"/>
        </w:rPr>
        <w:lastRenderedPageBreak/>
        <w:t>elektrovilcieniem ir 28 gadi un dīzeļvilcieniem  26 gadi. Pašreiz vidējais ritošā sastāva vecums pārsniedz 25 gadus.</w:t>
      </w:r>
    </w:p>
    <w:p w:rsidR="003F7959" w:rsidRPr="00096AC8" w:rsidRDefault="003F7959" w:rsidP="00776913">
      <w:pPr>
        <w:ind w:firstLine="720"/>
        <w:jc w:val="both"/>
        <w:rPr>
          <w:bCs/>
          <w:iCs/>
          <w:color w:val="000000"/>
          <w:sz w:val="28"/>
          <w:szCs w:val="28"/>
          <w:highlight w:val="yellow"/>
        </w:rPr>
      </w:pPr>
      <w:r w:rsidRPr="00096AC8">
        <w:rPr>
          <w:bCs/>
          <w:iCs/>
          <w:color w:val="000000"/>
          <w:sz w:val="28"/>
          <w:szCs w:val="28"/>
        </w:rPr>
        <w:t>Pamatojoties uz 2011.gada 1.decembra AS „Pasažieru vilciens” ritošā sastāva parka tehniskā stāvokļa novērtējumu, ko veicis SIA „Baltijas Testēšanas Centrs”, secinām, ka 22 elektrovilcienu vagoniem lietderīgais kalpošanas termiņš beidzas 2015.gadā un 36 vagoniem noteiktais lietderīgais kalpošanas termiņš beidzas 2016.gadā. Savukārt dīzeļvilcienu 28 vagoniem lietderīgais kalpošanas termiņš  beidzas 2015.gadā.</w:t>
      </w:r>
    </w:p>
    <w:p w:rsidR="004F304C" w:rsidRPr="00096AC8" w:rsidRDefault="003F7959" w:rsidP="00645B5F">
      <w:pPr>
        <w:ind w:firstLine="720"/>
        <w:jc w:val="both"/>
        <w:rPr>
          <w:sz w:val="28"/>
          <w:szCs w:val="28"/>
        </w:rPr>
      </w:pPr>
      <w:r w:rsidRPr="00096AC8">
        <w:rPr>
          <w:sz w:val="28"/>
          <w:szCs w:val="28"/>
        </w:rPr>
        <w:t>Bez tam esošais ritošais sastāvs neatbilst ES vides aizsardzības prasībām, jo veic vides piesārņojumu paaugstinātā līmeni – bremžu kluču izmantošanas rezultātā radītais piesārņojums; dīzeļdzinēja radītais piesārņojums (neatbilst ES normām par izmešiem); transmisijas sistēmā eļļu noplūdes rezultātā radītais piesārņojums; ritošais sastāvs nav aprīkots ar ekoloģiskajām tualetēm; utt. Esošais ritošais sastāvs nenodrošina ES regulas izpildi attiecībā uz pārvadājumu nodrošināšanu pasažieriem ar ierobežotām pārvietošanās spējām, kas ir ne tikai invalīdi, bet arī veci cilvēki, mātes ar bērnu ratiņiem.</w:t>
      </w:r>
      <w:r w:rsidR="00645B5F" w:rsidRPr="00096AC8">
        <w:rPr>
          <w:sz w:val="28"/>
          <w:szCs w:val="28"/>
        </w:rPr>
        <w:t xml:space="preserve"> </w:t>
      </w:r>
      <w:r w:rsidRPr="00096AC8">
        <w:rPr>
          <w:sz w:val="28"/>
          <w:szCs w:val="28"/>
        </w:rPr>
        <w:t>Esošajam ritošajam sastāvam salīdzinoši ar mūsdienīgiem vilcieniem, kas tiek izmantoti citās Eiropas valstīs, ir ļoti zems pasažieru komforta līmenis, kas izpaužas, piemēram, temperatūras režīma ievērošana salonā (tas attiecas gan uz ziemu, kad salonos bieži nevar nodrošināt pienākošos siltumu, gan arī vasarā, ka</w:t>
      </w:r>
      <w:r w:rsidR="00AA1C1D" w:rsidRPr="00096AC8">
        <w:rPr>
          <w:sz w:val="28"/>
          <w:szCs w:val="28"/>
        </w:rPr>
        <w:t>d</w:t>
      </w:r>
      <w:r w:rsidRPr="00096AC8">
        <w:rPr>
          <w:sz w:val="28"/>
          <w:szCs w:val="28"/>
        </w:rPr>
        <w:t xml:space="preserve"> salonos ir ļoti karsts, jo vilcieni nav aprīkoti ar kondicionēšanas sistēmu); troksnis salonos (zems skaņas izolācijas līmenis); vibrācija brauciena laikā (rodas strādājot vecajiem zemvagona agregātiem); saraustīta vilciena gaita; utt. Pašlaik nav iespēja operatīvi mainīt vilciena garumu atkarībā no pieprasītā noslogojuma.</w:t>
      </w:r>
    </w:p>
    <w:p w:rsidR="003F7959" w:rsidRPr="00096AC8" w:rsidRDefault="003F7959" w:rsidP="00776913">
      <w:pPr>
        <w:ind w:firstLine="720"/>
        <w:jc w:val="both"/>
        <w:rPr>
          <w:sz w:val="28"/>
          <w:szCs w:val="28"/>
        </w:rPr>
      </w:pPr>
      <w:r w:rsidRPr="00096AC8">
        <w:rPr>
          <w:sz w:val="28"/>
          <w:szCs w:val="28"/>
        </w:rPr>
        <w:t xml:space="preserve">Pašreizējos 22 elektrovilcienos kopā ir 8928 sēdvietas, lai nomainot ritošo sastāvu nodrošinātu esošo sēdvietu skaitu, ir nepieciešamas </w:t>
      </w:r>
      <w:r w:rsidR="00C273DE" w:rsidRPr="00096AC8">
        <w:rPr>
          <w:sz w:val="28"/>
          <w:szCs w:val="28"/>
        </w:rPr>
        <w:t>no 25 līdz 45</w:t>
      </w:r>
      <w:r w:rsidRPr="00096AC8">
        <w:rPr>
          <w:sz w:val="28"/>
          <w:szCs w:val="28"/>
        </w:rPr>
        <w:t xml:space="preserve"> elektrovilcienu v</w:t>
      </w:r>
      <w:r w:rsidR="00C273DE" w:rsidRPr="00096AC8">
        <w:rPr>
          <w:sz w:val="28"/>
          <w:szCs w:val="28"/>
        </w:rPr>
        <w:t>ienībām, kur katrā būtu līdz 270 sēdvietām</w:t>
      </w:r>
      <w:r w:rsidRPr="00096AC8">
        <w:rPr>
          <w:sz w:val="28"/>
          <w:szCs w:val="28"/>
        </w:rPr>
        <w:t>.</w:t>
      </w:r>
      <w:r w:rsidR="00271BE5" w:rsidRPr="00096AC8">
        <w:rPr>
          <w:sz w:val="28"/>
          <w:szCs w:val="28"/>
        </w:rPr>
        <w:t xml:space="preserve"> Lai nodrošinātu esošo elektrovilcienu kustības grafiku, optimāli būtu iegādāties 32 elektrovilcienu vienības.</w:t>
      </w:r>
      <w:r w:rsidRPr="00096AC8">
        <w:rPr>
          <w:sz w:val="28"/>
          <w:szCs w:val="28"/>
        </w:rPr>
        <w:t xml:space="preserve"> Ritošā sastāva atjaunošanas plāns paredz, ka</w:t>
      </w:r>
      <w:r w:rsidR="00645B5F" w:rsidRPr="00096AC8">
        <w:rPr>
          <w:sz w:val="28"/>
          <w:szCs w:val="28"/>
        </w:rPr>
        <w:t xml:space="preserve"> </w:t>
      </w:r>
      <w:r w:rsidR="00742CEC" w:rsidRPr="00096AC8">
        <w:rPr>
          <w:sz w:val="28"/>
          <w:szCs w:val="28"/>
        </w:rPr>
        <w:t>elektrovilcienu parku ir plānots pakāpeniski nomainīt līdz 2017.</w:t>
      </w:r>
      <w:r w:rsidR="00A21861" w:rsidRPr="00096AC8">
        <w:rPr>
          <w:sz w:val="28"/>
          <w:szCs w:val="28"/>
        </w:rPr>
        <w:t>g</w:t>
      </w:r>
      <w:r w:rsidR="00742CEC" w:rsidRPr="00096AC8">
        <w:rPr>
          <w:sz w:val="28"/>
          <w:szCs w:val="28"/>
        </w:rPr>
        <w:t>adam</w:t>
      </w:r>
      <w:r w:rsidR="006825AD" w:rsidRPr="00096AC8">
        <w:rPr>
          <w:sz w:val="28"/>
          <w:szCs w:val="28"/>
        </w:rPr>
        <w:t>, kas nodrošinās elektrovilcienu nomaiņu, kas ir kapitāli jāremontē, līdz ar to ietaupot kapitālā remonta izmaksas</w:t>
      </w:r>
      <w:r w:rsidR="00742CEC" w:rsidRPr="00096AC8">
        <w:rPr>
          <w:sz w:val="28"/>
          <w:szCs w:val="28"/>
        </w:rPr>
        <w:t xml:space="preserve">. </w:t>
      </w:r>
      <w:r w:rsidR="00C273DE" w:rsidRPr="00096AC8">
        <w:rPr>
          <w:sz w:val="28"/>
          <w:szCs w:val="28"/>
        </w:rPr>
        <w:t xml:space="preserve">Paralēli jaunā elektrovilcienu ieviešanai ekspluatācijā darbosies uzņēmumam visefektīvākais un saimnieciski visizdevīgākais esošo un pieejamo elektrovilcienu apkalpošanas modelis.   </w:t>
      </w:r>
    </w:p>
    <w:p w:rsidR="003F7959" w:rsidRPr="00096AC8" w:rsidRDefault="003F7959" w:rsidP="00776913">
      <w:pPr>
        <w:ind w:firstLine="494"/>
        <w:rPr>
          <w:sz w:val="28"/>
          <w:szCs w:val="28"/>
        </w:rPr>
      </w:pPr>
      <w:r w:rsidRPr="00096AC8">
        <w:rPr>
          <w:sz w:val="28"/>
          <w:szCs w:val="28"/>
        </w:rPr>
        <w:t xml:space="preserve">Nomainot </w:t>
      </w:r>
      <w:r w:rsidR="00271BE5" w:rsidRPr="00096AC8">
        <w:rPr>
          <w:sz w:val="28"/>
          <w:szCs w:val="28"/>
        </w:rPr>
        <w:t>elektrovilcienu</w:t>
      </w:r>
      <w:r w:rsidRPr="00096AC8">
        <w:rPr>
          <w:sz w:val="28"/>
          <w:szCs w:val="28"/>
        </w:rPr>
        <w:t xml:space="preserve"> ritošo sastāvu tiks nodrošināt</w:t>
      </w:r>
      <w:r w:rsidR="00330E25" w:rsidRPr="00096AC8">
        <w:rPr>
          <w:sz w:val="28"/>
          <w:szCs w:val="28"/>
        </w:rPr>
        <w:t>a</w:t>
      </w:r>
      <w:r w:rsidRPr="00096AC8">
        <w:rPr>
          <w:sz w:val="28"/>
          <w:szCs w:val="28"/>
        </w:rPr>
        <w:t>:</w:t>
      </w:r>
    </w:p>
    <w:p w:rsidR="003F7959" w:rsidRPr="00096AC8" w:rsidRDefault="003F7959" w:rsidP="00776913">
      <w:pPr>
        <w:pStyle w:val="Normalbullets"/>
        <w:tabs>
          <w:tab w:val="clear" w:pos="360"/>
        </w:tabs>
        <w:spacing w:before="0"/>
        <w:ind w:left="851" w:hanging="357"/>
        <w:rPr>
          <w:sz w:val="28"/>
          <w:szCs w:val="28"/>
        </w:rPr>
      </w:pPr>
      <w:r w:rsidRPr="00096AC8">
        <w:rPr>
          <w:sz w:val="28"/>
          <w:szCs w:val="28"/>
        </w:rPr>
        <w:t>paaugstināta transporta mobilitāte Rīgā un Pierīgā, nodrošinot nepieciešamo reisu skaitu atbilstoši iedzīvotājiem pieņemamiem kvalitātes standartiem;</w:t>
      </w:r>
    </w:p>
    <w:p w:rsidR="003F7959" w:rsidRPr="00096AC8" w:rsidRDefault="003F7959" w:rsidP="00776913">
      <w:pPr>
        <w:pStyle w:val="Normalbullets"/>
        <w:tabs>
          <w:tab w:val="clear" w:pos="360"/>
        </w:tabs>
        <w:spacing w:before="0"/>
        <w:ind w:left="851" w:hanging="357"/>
        <w:rPr>
          <w:sz w:val="28"/>
          <w:szCs w:val="28"/>
        </w:rPr>
      </w:pPr>
      <w:r w:rsidRPr="00096AC8">
        <w:rPr>
          <w:sz w:val="28"/>
          <w:szCs w:val="28"/>
        </w:rPr>
        <w:t>paaugstināta vilcienu pieejamība pasažieriem ar ierobežotām piekļuves iespējām (pasažieriem ar bērnu ratiņiem, pasažieriem ar velosipēdiem, invalīdiem, vecāka gadagājuma pasažieriem);</w:t>
      </w:r>
    </w:p>
    <w:p w:rsidR="003F7959" w:rsidRPr="00096AC8" w:rsidRDefault="003F7959" w:rsidP="00776913">
      <w:pPr>
        <w:pStyle w:val="Normalbullets"/>
        <w:tabs>
          <w:tab w:val="clear" w:pos="360"/>
        </w:tabs>
        <w:spacing w:before="0"/>
        <w:ind w:left="851" w:hanging="357"/>
        <w:rPr>
          <w:sz w:val="28"/>
          <w:szCs w:val="28"/>
        </w:rPr>
      </w:pPr>
      <w:r w:rsidRPr="00096AC8">
        <w:rPr>
          <w:sz w:val="28"/>
          <w:szCs w:val="28"/>
        </w:rPr>
        <w:t>paaugstināta vilcienu satiksmes un pasažieru drošību;</w:t>
      </w:r>
    </w:p>
    <w:p w:rsidR="003F7959" w:rsidRPr="00096AC8" w:rsidRDefault="003F7959" w:rsidP="00776913">
      <w:pPr>
        <w:pStyle w:val="Normalbullets"/>
        <w:tabs>
          <w:tab w:val="clear" w:pos="360"/>
        </w:tabs>
        <w:spacing w:before="0"/>
        <w:ind w:left="851" w:hanging="357"/>
        <w:rPr>
          <w:sz w:val="28"/>
          <w:szCs w:val="28"/>
        </w:rPr>
      </w:pPr>
      <w:r w:rsidRPr="00096AC8">
        <w:rPr>
          <w:sz w:val="28"/>
          <w:szCs w:val="28"/>
        </w:rPr>
        <w:t>nodrošināta dzelzceļa pasažieru pārvadājumu pakalpojumu pieejamību un nepārtrauktību saskaņā ar LR normatīvajiem aktiem. Veicot veco vilcienu tikai kārtējos un kapitālos remontus, pakalpojumu kvalitāte un pieejamība ar katru gadu pasliktināsies līdz pasažieru pārvadājumi pa dzelzceļu tiks pārtraukti pavisam.</w:t>
      </w:r>
    </w:p>
    <w:p w:rsidR="003F7959" w:rsidRPr="00096AC8" w:rsidRDefault="003F7959" w:rsidP="00776913">
      <w:pPr>
        <w:pStyle w:val="Normalbullets"/>
        <w:tabs>
          <w:tab w:val="clear" w:pos="360"/>
        </w:tabs>
        <w:spacing w:before="0"/>
        <w:ind w:left="851" w:hanging="357"/>
        <w:rPr>
          <w:sz w:val="28"/>
          <w:szCs w:val="28"/>
        </w:rPr>
      </w:pPr>
      <w:r w:rsidRPr="00096AC8">
        <w:rPr>
          <w:sz w:val="28"/>
          <w:szCs w:val="28"/>
        </w:rPr>
        <w:t>Sasniedzamība un pieejamība, jo neatkarīgi no cilvēka ienākumiem, tiks apmierināts iedzīvotāju pieprasījum</w:t>
      </w:r>
      <w:r w:rsidR="00330E25" w:rsidRPr="00096AC8">
        <w:rPr>
          <w:sz w:val="28"/>
          <w:szCs w:val="28"/>
        </w:rPr>
        <w:t>s</w:t>
      </w:r>
      <w:r w:rsidRPr="00096AC8">
        <w:rPr>
          <w:sz w:val="28"/>
          <w:szCs w:val="28"/>
        </w:rPr>
        <w:t xml:space="preserve"> pēc sabiedriskā transporta pakalpojumiem </w:t>
      </w:r>
      <w:r w:rsidR="00330E25" w:rsidRPr="00096AC8">
        <w:rPr>
          <w:sz w:val="28"/>
          <w:szCs w:val="28"/>
        </w:rPr>
        <w:t xml:space="preserve">ar </w:t>
      </w:r>
      <w:r w:rsidRPr="00096AC8">
        <w:rPr>
          <w:sz w:val="28"/>
          <w:szCs w:val="28"/>
        </w:rPr>
        <w:t xml:space="preserve">nodrošinātu </w:t>
      </w:r>
      <w:r w:rsidR="00330E25" w:rsidRPr="00096AC8">
        <w:rPr>
          <w:sz w:val="28"/>
          <w:szCs w:val="28"/>
        </w:rPr>
        <w:t xml:space="preserve">iespēju </w:t>
      </w:r>
      <w:r w:rsidRPr="00096AC8">
        <w:rPr>
          <w:sz w:val="28"/>
          <w:szCs w:val="28"/>
        </w:rPr>
        <w:t>maršrutu tīklā apmeklēt izglītības iestādes, ārstniecības iestādes, darbavietas, valsts un pašvaldību institūcijas.</w:t>
      </w:r>
    </w:p>
    <w:p w:rsidR="003F7959" w:rsidRPr="00096AC8" w:rsidRDefault="003F7959" w:rsidP="00776913">
      <w:pPr>
        <w:ind w:firstLine="720"/>
        <w:jc w:val="both"/>
        <w:rPr>
          <w:sz w:val="28"/>
          <w:szCs w:val="28"/>
        </w:rPr>
      </w:pPr>
      <w:r w:rsidRPr="00096AC8">
        <w:rPr>
          <w:sz w:val="28"/>
          <w:szCs w:val="28"/>
        </w:rPr>
        <w:t xml:space="preserve">Nomainot veco ritošo sastāvu tiks samazinātas ritošā sastāva uzturēšanas un ekspluatācijas izmaksas, kas nākotnē nepalielinās valsts budžeta izmaksas dotācijām pasažieru pārvadājumiem zaudējumu kompensācijai. </w:t>
      </w:r>
    </w:p>
    <w:p w:rsidR="003F7959" w:rsidRPr="00096AC8" w:rsidRDefault="003F7959" w:rsidP="005E0041">
      <w:pPr>
        <w:ind w:firstLine="720"/>
        <w:jc w:val="both"/>
        <w:rPr>
          <w:sz w:val="28"/>
          <w:szCs w:val="28"/>
        </w:rPr>
      </w:pPr>
      <w:r w:rsidRPr="00096AC8">
        <w:rPr>
          <w:sz w:val="28"/>
          <w:szCs w:val="28"/>
        </w:rPr>
        <w:t>Ritošā sastāva ekspluatācijas izmaksas galvenokārt veido energoresursu (degviela un elektroenerģija) izmaksas un kapitālo remontu un uzturēšanas izmaksas.</w:t>
      </w:r>
    </w:p>
    <w:p w:rsidR="003F7959" w:rsidRPr="00096AC8" w:rsidRDefault="003F7959" w:rsidP="005E0041">
      <w:pPr>
        <w:jc w:val="both"/>
        <w:rPr>
          <w:sz w:val="28"/>
          <w:szCs w:val="28"/>
        </w:rPr>
      </w:pPr>
      <w:r w:rsidRPr="00096AC8">
        <w:rPr>
          <w:sz w:val="28"/>
          <w:szCs w:val="28"/>
        </w:rPr>
        <w:t>Iegādājoties jaunu ritošo sastāvu , paredzami sekojoši ieguvumi:</w:t>
      </w:r>
    </w:p>
    <w:p w:rsidR="003F7959" w:rsidRPr="00096AC8" w:rsidRDefault="003F7959" w:rsidP="005E0041">
      <w:pPr>
        <w:pStyle w:val="ListParagraph"/>
        <w:numPr>
          <w:ilvl w:val="0"/>
          <w:numId w:val="16"/>
        </w:numPr>
        <w:spacing w:line="240" w:lineRule="auto"/>
        <w:ind w:right="0"/>
        <w:jc w:val="both"/>
        <w:rPr>
          <w:rFonts w:ascii="Times New Roman" w:hAnsi="Times New Roman"/>
          <w:sz w:val="28"/>
          <w:szCs w:val="28"/>
        </w:rPr>
      </w:pPr>
      <w:r w:rsidRPr="00096AC8">
        <w:rPr>
          <w:rFonts w:ascii="Times New Roman" w:hAnsi="Times New Roman"/>
          <w:sz w:val="28"/>
          <w:szCs w:val="28"/>
        </w:rPr>
        <w:t xml:space="preserve">Samazināts energoresursu patēriņš, kas </w:t>
      </w:r>
      <w:bookmarkStart w:id="0" w:name="_GoBack"/>
      <w:bookmarkEnd w:id="0"/>
      <w:r w:rsidRPr="00096AC8">
        <w:rPr>
          <w:rFonts w:ascii="Times New Roman" w:hAnsi="Times New Roman"/>
          <w:sz w:val="28"/>
          <w:szCs w:val="28"/>
        </w:rPr>
        <w:t>saistīts ar efektīvāku jaunā ritošā sastāva darbību, prognozētā ekonomija varētu sastādīt 15</w:t>
      </w:r>
      <w:r w:rsidR="001B5F88" w:rsidRPr="00096AC8">
        <w:rPr>
          <w:rFonts w:ascii="Times New Roman" w:hAnsi="Times New Roman"/>
          <w:sz w:val="28"/>
          <w:szCs w:val="28"/>
        </w:rPr>
        <w:t>%</w:t>
      </w:r>
      <w:r w:rsidRPr="00096AC8">
        <w:rPr>
          <w:rFonts w:ascii="Times New Roman" w:hAnsi="Times New Roman"/>
          <w:sz w:val="28"/>
          <w:szCs w:val="28"/>
        </w:rPr>
        <w:t>;</w:t>
      </w:r>
    </w:p>
    <w:p w:rsidR="003F7959" w:rsidRPr="00096AC8" w:rsidRDefault="003F7959" w:rsidP="005E0041">
      <w:pPr>
        <w:pStyle w:val="ListParagraph"/>
        <w:numPr>
          <w:ilvl w:val="0"/>
          <w:numId w:val="16"/>
        </w:numPr>
        <w:spacing w:line="240" w:lineRule="auto"/>
        <w:ind w:right="0"/>
        <w:jc w:val="both"/>
        <w:rPr>
          <w:rFonts w:ascii="Times New Roman" w:hAnsi="Times New Roman"/>
          <w:sz w:val="28"/>
          <w:szCs w:val="28"/>
        </w:rPr>
      </w:pPr>
      <w:r w:rsidRPr="00096AC8">
        <w:rPr>
          <w:rFonts w:ascii="Times New Roman" w:hAnsi="Times New Roman"/>
          <w:sz w:val="28"/>
          <w:szCs w:val="28"/>
        </w:rPr>
        <w:t>Samazināts energoresursu patēriņš, kas saistīts ar optimālāku ritošā sastāva darbību – šobrīd visu dienu kursē gan 4 vagonu</w:t>
      </w:r>
      <w:r w:rsidR="00330E25" w:rsidRPr="00096AC8">
        <w:rPr>
          <w:rFonts w:ascii="Times New Roman" w:hAnsi="Times New Roman"/>
          <w:sz w:val="28"/>
          <w:szCs w:val="28"/>
        </w:rPr>
        <w:t>,</w:t>
      </w:r>
      <w:r w:rsidRPr="00096AC8">
        <w:rPr>
          <w:rFonts w:ascii="Times New Roman" w:hAnsi="Times New Roman"/>
          <w:sz w:val="28"/>
          <w:szCs w:val="28"/>
        </w:rPr>
        <w:t xml:space="preserve"> gan 6 vagonu </w:t>
      </w:r>
      <w:r w:rsidR="00330E25" w:rsidRPr="00096AC8">
        <w:rPr>
          <w:rFonts w:ascii="Times New Roman" w:hAnsi="Times New Roman"/>
          <w:sz w:val="28"/>
          <w:szCs w:val="28"/>
        </w:rPr>
        <w:t xml:space="preserve">vilcienu </w:t>
      </w:r>
      <w:r w:rsidRPr="00096AC8">
        <w:rPr>
          <w:rFonts w:ascii="Times New Roman" w:hAnsi="Times New Roman"/>
          <w:sz w:val="28"/>
          <w:szCs w:val="28"/>
        </w:rPr>
        <w:t>sastāvi, savukārt jaunajiem vilcieniem maksimumstundās kursētu 2 sapārotas vienības, bet laika ar mazāku pasažieru plūsmu tikai viena vienība;</w:t>
      </w:r>
    </w:p>
    <w:p w:rsidR="003F7959" w:rsidRPr="00096AC8" w:rsidRDefault="003F7959" w:rsidP="005E0041">
      <w:pPr>
        <w:pStyle w:val="ListParagraph"/>
        <w:numPr>
          <w:ilvl w:val="0"/>
          <w:numId w:val="16"/>
        </w:numPr>
        <w:spacing w:line="240" w:lineRule="auto"/>
        <w:ind w:right="0"/>
        <w:jc w:val="both"/>
        <w:rPr>
          <w:rFonts w:ascii="Times New Roman" w:hAnsi="Times New Roman"/>
          <w:sz w:val="28"/>
          <w:szCs w:val="28"/>
        </w:rPr>
      </w:pPr>
      <w:r w:rsidRPr="00096AC8">
        <w:rPr>
          <w:rFonts w:ascii="Times New Roman" w:hAnsi="Times New Roman"/>
          <w:sz w:val="28"/>
          <w:szCs w:val="28"/>
        </w:rPr>
        <w:t>Samazināt</w:t>
      </w:r>
      <w:r w:rsidR="00330E25" w:rsidRPr="00096AC8">
        <w:rPr>
          <w:rFonts w:ascii="Times New Roman" w:hAnsi="Times New Roman"/>
          <w:sz w:val="28"/>
          <w:szCs w:val="28"/>
        </w:rPr>
        <w:t>a</w:t>
      </w:r>
      <w:r w:rsidRPr="00096AC8">
        <w:rPr>
          <w:rFonts w:ascii="Times New Roman" w:hAnsi="Times New Roman"/>
          <w:sz w:val="28"/>
          <w:szCs w:val="28"/>
        </w:rPr>
        <w:t>s uzturēšanas izmaksas, prognozētā ekonomija 20% gadā;</w:t>
      </w:r>
    </w:p>
    <w:p w:rsidR="003F7959" w:rsidRPr="00096AC8" w:rsidRDefault="003F7959" w:rsidP="005E0041">
      <w:pPr>
        <w:pStyle w:val="ListParagraph"/>
        <w:numPr>
          <w:ilvl w:val="0"/>
          <w:numId w:val="16"/>
        </w:numPr>
        <w:spacing w:line="240" w:lineRule="auto"/>
        <w:ind w:right="0"/>
        <w:jc w:val="both"/>
        <w:rPr>
          <w:rFonts w:ascii="Times New Roman" w:hAnsi="Times New Roman"/>
          <w:sz w:val="28"/>
          <w:szCs w:val="28"/>
        </w:rPr>
      </w:pPr>
      <w:r w:rsidRPr="00096AC8">
        <w:rPr>
          <w:rFonts w:ascii="Times New Roman" w:hAnsi="Times New Roman"/>
          <w:sz w:val="28"/>
          <w:szCs w:val="28"/>
        </w:rPr>
        <w:t>Nebūs nepieciešams nepārtraukti veikt esošā ritošā sastāva kapitālos remontus;</w:t>
      </w:r>
    </w:p>
    <w:p w:rsidR="003F7959" w:rsidRPr="00096AC8" w:rsidRDefault="003F7959" w:rsidP="005E0041">
      <w:pPr>
        <w:pStyle w:val="ListParagraph"/>
        <w:numPr>
          <w:ilvl w:val="0"/>
          <w:numId w:val="16"/>
        </w:numPr>
        <w:spacing w:line="240" w:lineRule="auto"/>
        <w:ind w:right="0"/>
        <w:jc w:val="both"/>
        <w:rPr>
          <w:rFonts w:ascii="Times New Roman" w:hAnsi="Times New Roman"/>
          <w:sz w:val="28"/>
          <w:szCs w:val="28"/>
        </w:rPr>
      </w:pPr>
      <w:r w:rsidRPr="00096AC8">
        <w:rPr>
          <w:rFonts w:ascii="Times New Roman" w:hAnsi="Times New Roman"/>
          <w:sz w:val="28"/>
          <w:szCs w:val="28"/>
        </w:rPr>
        <w:t>Optimāli izmantojot vienību skaitu maksimumstundās un dienas vidū, iespējams samazināt personāla izmaksas;</w:t>
      </w:r>
    </w:p>
    <w:p w:rsidR="003F7959" w:rsidRPr="00096AC8" w:rsidRDefault="003F7959" w:rsidP="005E0041">
      <w:pPr>
        <w:pStyle w:val="ListParagraph"/>
        <w:numPr>
          <w:ilvl w:val="0"/>
          <w:numId w:val="16"/>
        </w:numPr>
        <w:spacing w:line="240" w:lineRule="auto"/>
        <w:ind w:right="0"/>
        <w:jc w:val="both"/>
        <w:rPr>
          <w:rFonts w:ascii="Times New Roman" w:hAnsi="Times New Roman"/>
          <w:sz w:val="28"/>
          <w:szCs w:val="28"/>
        </w:rPr>
      </w:pPr>
      <w:r w:rsidRPr="00096AC8">
        <w:rPr>
          <w:rFonts w:ascii="Times New Roman" w:hAnsi="Times New Roman"/>
          <w:sz w:val="28"/>
          <w:szCs w:val="28"/>
        </w:rPr>
        <w:t>Pateicoties jaunam, ērtākam, komfortablākam ritošajam sastāvam, iespējams pasažieru plūsmas pieaugums līdz pat 20%, kas dotu papildus ieņēmumus.</w:t>
      </w:r>
    </w:p>
    <w:p w:rsidR="004F304C" w:rsidRPr="00096AC8" w:rsidRDefault="004F304C" w:rsidP="004F304C">
      <w:pPr>
        <w:ind w:firstLine="720"/>
        <w:jc w:val="both"/>
        <w:rPr>
          <w:sz w:val="28"/>
          <w:szCs w:val="28"/>
        </w:rPr>
      </w:pPr>
      <w:r w:rsidRPr="00096AC8">
        <w:rPr>
          <w:sz w:val="28"/>
          <w:szCs w:val="28"/>
        </w:rPr>
        <w:t xml:space="preserve">Lai nodrošinātu valsts pasūtījuma pasažieru pārvadājumiem izpildi, pastāvīgā darba kārtībā tiek uzturēti </w:t>
      </w:r>
      <w:r w:rsidR="00873003" w:rsidRPr="00096AC8">
        <w:rPr>
          <w:sz w:val="28"/>
          <w:szCs w:val="28"/>
        </w:rPr>
        <w:t>17</w:t>
      </w:r>
      <w:r w:rsidRPr="00096AC8">
        <w:rPr>
          <w:b/>
          <w:sz w:val="28"/>
          <w:szCs w:val="28"/>
        </w:rPr>
        <w:t xml:space="preserve"> </w:t>
      </w:r>
      <w:r w:rsidRPr="00096AC8">
        <w:rPr>
          <w:sz w:val="28"/>
          <w:szCs w:val="28"/>
        </w:rPr>
        <w:t xml:space="preserve">dīzeļvilcienu </w:t>
      </w:r>
      <w:r w:rsidR="00873003" w:rsidRPr="00096AC8">
        <w:rPr>
          <w:sz w:val="28"/>
          <w:szCs w:val="28"/>
        </w:rPr>
        <w:t>sastāvi kopskaitā ar 5226 sēdvietām</w:t>
      </w:r>
      <w:r w:rsidRPr="00096AC8">
        <w:rPr>
          <w:sz w:val="28"/>
          <w:szCs w:val="28"/>
        </w:rPr>
        <w:t>. Esošajam ritošajam sastāvam, salīdzinot ar mūsdienu prasībām atbilstošiem vilcieniem, kas tiek izmantoti citās Eiropas valstīs, ir ļoti zems pasažieru komforta līmenis, kas izpaužas, piemēram, kā temperatūras režīma ievērošana salonā (tas attiecas gan uz ziemu, kad salonos bieži nevar nodrošināt pienākošos siltumu, gan arī vasaru, kas salonos ir ļoti karsts, jo vilcieni nav aprīkoti ar kondicionēšanas sistēmu); troksnis salonos (zems skaņas izolācijas līmenis); vibrācija brauciena laikā (rodas, strādājot vecajiem zemvagona agregātiem); saraustīta vilciena gaita utt. Pašlaik nav iespēju operatīvi mainīt vilciena garumu atkarībā no pieprasītā noslogojuma.</w:t>
      </w:r>
    </w:p>
    <w:p w:rsidR="003B2E28" w:rsidRPr="00096AC8" w:rsidRDefault="004F304C" w:rsidP="004F304C">
      <w:pPr>
        <w:ind w:firstLine="540"/>
        <w:jc w:val="both"/>
        <w:rPr>
          <w:sz w:val="28"/>
          <w:szCs w:val="28"/>
        </w:rPr>
      </w:pPr>
      <w:r w:rsidRPr="00096AC8">
        <w:rPr>
          <w:sz w:val="28"/>
          <w:szCs w:val="28"/>
        </w:rPr>
        <w:t>Atbilstoši ritošā sastāva ražotāja tehniskajiem noteikumiem dīzeļvilcienu derīgās kalpošanas laiks ir 26 gadi, savukārt pašreiz vidējais dīzeļvilcienu vecums ir 23,3 gadi. Saskaņā ar dzelzceļa nozares tehniskajiem noteikumiem ir iespēja atjaunot ritošo sastāvu pēc derīgā kalpošanas laika beigšanās. To var pagarināt  pēc atbilstošu kapitālo remontu veikšanas un speciālas komisijas pārbaudes. Vecais, bet darbaspējīgais ritošais sastāvs pārstāj pievilināt pasažierus un pazemina kopējo dzelzceļa transporta imidžu, tajā pat laikā prasot lielus izdevumus tā ekspluatācijai. Tādā veidā nemodernizētā ritošā sastāva komerciāli lietderīgais un tehniskais kalpošanas laiks kļūst neatbilstoši viens otram.</w:t>
      </w:r>
    </w:p>
    <w:p w:rsidR="004F304C" w:rsidRPr="00096AC8" w:rsidRDefault="004F304C" w:rsidP="004F304C">
      <w:pPr>
        <w:ind w:firstLine="540"/>
        <w:jc w:val="both"/>
        <w:rPr>
          <w:sz w:val="28"/>
          <w:szCs w:val="28"/>
        </w:rPr>
      </w:pPr>
      <w:r w:rsidRPr="00096AC8">
        <w:rPr>
          <w:sz w:val="28"/>
          <w:szCs w:val="28"/>
        </w:rPr>
        <w:t>Gadījumā, ja  ritošais sastāvs netiek atjaunots, pasažieru pārvadājumu nodrošināšanai laika periodā līdz 2016.gadam kapitālie remonti būs jāveic 14 dīzeļvilcienu vagoniem, bet, turpinot esošā sastāva ekspluatāciju un ievērojot esošo remontu sistēmu, izdevumi šo vagonu uzturēšanai un kapitālajiem remontiem sastāda aptuveni 4,6 miljonus Ls gadā par ritošā sastāva uzturēšanu un 5,4 miljonus</w:t>
      </w:r>
      <w:r w:rsidR="00873003" w:rsidRPr="00096AC8">
        <w:rPr>
          <w:sz w:val="28"/>
          <w:szCs w:val="28"/>
        </w:rPr>
        <w:t xml:space="preserve"> </w:t>
      </w:r>
      <w:r w:rsidRPr="00096AC8">
        <w:rPr>
          <w:sz w:val="28"/>
          <w:szCs w:val="28"/>
        </w:rPr>
        <w:t>Ls gadā par ritošā sastāva kapitālajiem remontiem. Savukārt periodā līdz 2020.gadam kapitālie remonti būs jāveic 65 dīzeļvilcienu vagoniem.</w:t>
      </w:r>
    </w:p>
    <w:p w:rsidR="009346FC" w:rsidRPr="00096AC8" w:rsidRDefault="009346FC" w:rsidP="009346FC">
      <w:pPr>
        <w:ind w:firstLine="540"/>
        <w:jc w:val="both"/>
        <w:rPr>
          <w:sz w:val="28"/>
          <w:szCs w:val="28"/>
        </w:rPr>
      </w:pPr>
      <w:r w:rsidRPr="00096AC8">
        <w:rPr>
          <w:sz w:val="28"/>
          <w:szCs w:val="28"/>
        </w:rPr>
        <w:t>Piesaistot Kohēzijas fonda līdzfinansējumu paredzēts modernizēt 5 trīsvagonu sastāvus un 1 četrvagonu sastāvu. Dīzeļvilcienu modernizācijas koncepcija paredz, ka modernizācijas rezultātā tiks paaugstināts pasažieru komforta līmenis, iekāpšanas un izkāpšanas drošība, uzlaboti apkalpojošā personāla darba apstākļi, kā arī uzlabota vides aizsardzības prasību ievērošana un energoresursu ekonomija.</w:t>
      </w:r>
    </w:p>
    <w:p w:rsidR="009346FC" w:rsidRPr="00096AC8" w:rsidRDefault="009346FC" w:rsidP="009346FC">
      <w:pPr>
        <w:ind w:firstLine="540"/>
        <w:jc w:val="both"/>
        <w:rPr>
          <w:sz w:val="28"/>
          <w:szCs w:val="28"/>
        </w:rPr>
      </w:pPr>
      <w:r w:rsidRPr="00096AC8">
        <w:rPr>
          <w:sz w:val="28"/>
          <w:szCs w:val="28"/>
        </w:rPr>
        <w:t>Modernizācijas darbus ir paredzēts apvienot ar kārtējo atjaunošanas remontu galvenā vai vidējā remonta apjomā ar kalpošanas laika pagarināšanu. Pēc modernizācijas darbu izpildes vagonu kalpošanas termiņ</w:t>
      </w:r>
      <w:r w:rsidR="00604E32" w:rsidRPr="00096AC8">
        <w:rPr>
          <w:sz w:val="28"/>
          <w:szCs w:val="28"/>
        </w:rPr>
        <w:t>a</w:t>
      </w:r>
      <w:r w:rsidRPr="00096AC8">
        <w:rPr>
          <w:sz w:val="28"/>
          <w:szCs w:val="28"/>
        </w:rPr>
        <w:t xml:space="preserve">m jābūt ne mazākam par 20 gadiem. </w:t>
      </w:r>
    </w:p>
    <w:p w:rsidR="009346FC" w:rsidRPr="00096AC8" w:rsidRDefault="009346FC" w:rsidP="009346FC">
      <w:pPr>
        <w:ind w:firstLine="540"/>
        <w:jc w:val="both"/>
        <w:rPr>
          <w:sz w:val="28"/>
          <w:szCs w:val="28"/>
        </w:rPr>
      </w:pPr>
      <w:r w:rsidRPr="00096AC8">
        <w:rPr>
          <w:sz w:val="28"/>
          <w:szCs w:val="28"/>
        </w:rPr>
        <w:t xml:space="preserve">Ņemot vērā iepriekšējo gadu pieredzi, kad laika periodā no 1997. līdz 1998. gadam tika veikta dīzeļvilcienu vagonu modernizācija, kuras laikā dīzeļvilcienu motorvagoni tika aprīkoti ar MTU firmas dīzeļdzinējiem un VOITH firmas hidrauliskajiem pārvadiem, kā arī tika pārveidotas vilcienu vadības elektriskās shēmas, ir jāparedz iespēja tagad modernizējamos dīzeļvilcienu vagonus savienot ar jau esošajiem vilcieniem. </w:t>
      </w:r>
    </w:p>
    <w:p w:rsidR="009346FC" w:rsidRPr="00096AC8" w:rsidRDefault="009346FC" w:rsidP="009346FC">
      <w:pPr>
        <w:ind w:firstLine="540"/>
        <w:jc w:val="both"/>
        <w:rPr>
          <w:sz w:val="28"/>
          <w:szCs w:val="28"/>
        </w:rPr>
      </w:pPr>
      <w:r w:rsidRPr="00096AC8">
        <w:rPr>
          <w:sz w:val="28"/>
          <w:szCs w:val="28"/>
        </w:rPr>
        <w:t>Izstrādājot modernizācijas tehniskās specifikācijas, tiks paredzēti šādu mezglu un iekārtu uzlabojumi:</w:t>
      </w:r>
    </w:p>
    <w:p w:rsidR="009346FC" w:rsidRPr="005E0041" w:rsidRDefault="009346FC" w:rsidP="005E0041">
      <w:pPr>
        <w:pStyle w:val="ListParagraph"/>
        <w:numPr>
          <w:ilvl w:val="0"/>
          <w:numId w:val="25"/>
        </w:numPr>
        <w:jc w:val="both"/>
        <w:rPr>
          <w:rFonts w:ascii="Times New Roman" w:hAnsi="Times New Roman"/>
          <w:sz w:val="28"/>
          <w:szCs w:val="28"/>
        </w:rPr>
      </w:pPr>
      <w:r w:rsidRPr="005E0041">
        <w:rPr>
          <w:rFonts w:ascii="Times New Roman" w:hAnsi="Times New Roman"/>
          <w:sz w:val="28"/>
          <w:szCs w:val="28"/>
        </w:rPr>
        <w:t>Virsbūve;</w:t>
      </w:r>
    </w:p>
    <w:p w:rsidR="009346FC" w:rsidRPr="005E0041" w:rsidRDefault="009346FC" w:rsidP="005E0041">
      <w:pPr>
        <w:pStyle w:val="ListParagraph"/>
        <w:numPr>
          <w:ilvl w:val="0"/>
          <w:numId w:val="25"/>
        </w:numPr>
        <w:jc w:val="both"/>
        <w:rPr>
          <w:rFonts w:ascii="Times New Roman" w:hAnsi="Times New Roman"/>
          <w:sz w:val="28"/>
          <w:szCs w:val="28"/>
        </w:rPr>
      </w:pPr>
      <w:r w:rsidRPr="005E0041">
        <w:rPr>
          <w:rFonts w:ascii="Times New Roman" w:hAnsi="Times New Roman"/>
          <w:sz w:val="28"/>
          <w:szCs w:val="28"/>
        </w:rPr>
        <w:t>Vadības kabīne;</w:t>
      </w:r>
    </w:p>
    <w:p w:rsidR="009346FC" w:rsidRPr="005E0041" w:rsidRDefault="009346FC" w:rsidP="005E0041">
      <w:pPr>
        <w:pStyle w:val="ListParagraph"/>
        <w:numPr>
          <w:ilvl w:val="0"/>
          <w:numId w:val="25"/>
        </w:numPr>
        <w:jc w:val="both"/>
        <w:rPr>
          <w:rFonts w:ascii="Times New Roman" w:hAnsi="Times New Roman"/>
          <w:sz w:val="28"/>
          <w:szCs w:val="28"/>
        </w:rPr>
      </w:pPr>
      <w:r w:rsidRPr="005E0041">
        <w:rPr>
          <w:rFonts w:ascii="Times New Roman" w:hAnsi="Times New Roman"/>
          <w:sz w:val="28"/>
          <w:szCs w:val="28"/>
        </w:rPr>
        <w:t>Spēka iekārta;</w:t>
      </w:r>
    </w:p>
    <w:p w:rsidR="009346FC" w:rsidRPr="005E0041" w:rsidRDefault="009346FC" w:rsidP="005E0041">
      <w:pPr>
        <w:pStyle w:val="ListParagraph"/>
        <w:numPr>
          <w:ilvl w:val="0"/>
          <w:numId w:val="25"/>
        </w:numPr>
        <w:jc w:val="both"/>
        <w:rPr>
          <w:rFonts w:ascii="Times New Roman" w:hAnsi="Times New Roman"/>
          <w:sz w:val="28"/>
          <w:szCs w:val="28"/>
        </w:rPr>
      </w:pPr>
      <w:r w:rsidRPr="005E0041">
        <w:rPr>
          <w:rFonts w:ascii="Times New Roman" w:hAnsi="Times New Roman"/>
          <w:sz w:val="28"/>
          <w:szCs w:val="28"/>
        </w:rPr>
        <w:t>Ekipāžas daļa;</w:t>
      </w:r>
    </w:p>
    <w:p w:rsidR="009346FC" w:rsidRPr="005E0041" w:rsidRDefault="009346FC" w:rsidP="005E0041">
      <w:pPr>
        <w:pStyle w:val="ListParagraph"/>
        <w:numPr>
          <w:ilvl w:val="0"/>
          <w:numId w:val="25"/>
        </w:numPr>
        <w:jc w:val="both"/>
        <w:rPr>
          <w:rFonts w:ascii="Times New Roman" w:hAnsi="Times New Roman"/>
          <w:sz w:val="28"/>
          <w:szCs w:val="28"/>
        </w:rPr>
      </w:pPr>
      <w:r w:rsidRPr="005E0041">
        <w:rPr>
          <w:rFonts w:ascii="Times New Roman" w:hAnsi="Times New Roman"/>
          <w:sz w:val="28"/>
          <w:szCs w:val="28"/>
        </w:rPr>
        <w:t>Elektriskā iekārta un apgaismojums;</w:t>
      </w:r>
    </w:p>
    <w:p w:rsidR="009346FC" w:rsidRPr="005E0041" w:rsidRDefault="009346FC" w:rsidP="005E0041">
      <w:pPr>
        <w:pStyle w:val="ListParagraph"/>
        <w:numPr>
          <w:ilvl w:val="0"/>
          <w:numId w:val="25"/>
        </w:numPr>
        <w:jc w:val="both"/>
        <w:rPr>
          <w:rFonts w:ascii="Times New Roman" w:hAnsi="Times New Roman"/>
          <w:sz w:val="28"/>
          <w:szCs w:val="28"/>
        </w:rPr>
      </w:pPr>
      <w:r w:rsidRPr="005E0041">
        <w:rPr>
          <w:rFonts w:ascii="Times New Roman" w:hAnsi="Times New Roman"/>
          <w:sz w:val="28"/>
          <w:szCs w:val="28"/>
        </w:rPr>
        <w:t>Bremžu un pneimatiskās iekārtas;</w:t>
      </w:r>
    </w:p>
    <w:p w:rsidR="009346FC" w:rsidRPr="005E0041" w:rsidRDefault="009346FC" w:rsidP="005E0041">
      <w:pPr>
        <w:pStyle w:val="ListParagraph"/>
        <w:numPr>
          <w:ilvl w:val="0"/>
          <w:numId w:val="25"/>
        </w:numPr>
        <w:jc w:val="both"/>
        <w:rPr>
          <w:rFonts w:ascii="Times New Roman" w:hAnsi="Times New Roman"/>
          <w:sz w:val="28"/>
          <w:szCs w:val="28"/>
        </w:rPr>
      </w:pPr>
      <w:r w:rsidRPr="005E0041">
        <w:rPr>
          <w:rFonts w:ascii="Times New Roman" w:hAnsi="Times New Roman"/>
          <w:sz w:val="28"/>
          <w:szCs w:val="28"/>
        </w:rPr>
        <w:t>Pasažieru iekāpšanas-izkāpšanas durvis;</w:t>
      </w:r>
    </w:p>
    <w:p w:rsidR="00E24233" w:rsidRPr="005E0041" w:rsidRDefault="009346FC" w:rsidP="005E0041">
      <w:pPr>
        <w:pStyle w:val="ListParagraph"/>
        <w:numPr>
          <w:ilvl w:val="0"/>
          <w:numId w:val="25"/>
        </w:numPr>
        <w:jc w:val="both"/>
        <w:rPr>
          <w:rFonts w:ascii="Times New Roman" w:hAnsi="Times New Roman"/>
          <w:sz w:val="28"/>
          <w:szCs w:val="28"/>
        </w:rPr>
      </w:pPr>
      <w:r w:rsidRPr="005E0041">
        <w:rPr>
          <w:rFonts w:ascii="Times New Roman" w:hAnsi="Times New Roman"/>
          <w:sz w:val="28"/>
          <w:szCs w:val="28"/>
        </w:rPr>
        <w:t>Iekšējās iekārtas un interjers</w:t>
      </w:r>
      <w:r w:rsidR="00E24233" w:rsidRPr="005E0041">
        <w:rPr>
          <w:rFonts w:ascii="Times New Roman" w:hAnsi="Times New Roman"/>
          <w:sz w:val="28"/>
          <w:szCs w:val="28"/>
        </w:rPr>
        <w:t>;</w:t>
      </w:r>
    </w:p>
    <w:p w:rsidR="00E24233" w:rsidRPr="005E0041" w:rsidRDefault="009346FC" w:rsidP="005E0041">
      <w:pPr>
        <w:pStyle w:val="ListParagraph"/>
        <w:numPr>
          <w:ilvl w:val="0"/>
          <w:numId w:val="25"/>
        </w:numPr>
        <w:jc w:val="both"/>
        <w:rPr>
          <w:rFonts w:ascii="Times New Roman" w:hAnsi="Times New Roman"/>
          <w:sz w:val="28"/>
          <w:szCs w:val="28"/>
        </w:rPr>
      </w:pPr>
      <w:r w:rsidRPr="005E0041">
        <w:rPr>
          <w:rFonts w:ascii="Times New Roman" w:hAnsi="Times New Roman"/>
          <w:sz w:val="28"/>
          <w:szCs w:val="28"/>
        </w:rPr>
        <w:t>Paaugstināta komforta salons</w:t>
      </w:r>
      <w:r w:rsidR="00E24233" w:rsidRPr="005E0041">
        <w:rPr>
          <w:rFonts w:ascii="Times New Roman" w:hAnsi="Times New Roman"/>
          <w:sz w:val="28"/>
          <w:szCs w:val="28"/>
        </w:rPr>
        <w:t>;</w:t>
      </w:r>
    </w:p>
    <w:p w:rsidR="00E24233" w:rsidRPr="005E0041" w:rsidRDefault="009346FC" w:rsidP="005E0041">
      <w:pPr>
        <w:pStyle w:val="ListParagraph"/>
        <w:numPr>
          <w:ilvl w:val="0"/>
          <w:numId w:val="25"/>
        </w:numPr>
        <w:jc w:val="both"/>
        <w:rPr>
          <w:rFonts w:ascii="Times New Roman" w:hAnsi="Times New Roman"/>
          <w:sz w:val="28"/>
          <w:szCs w:val="28"/>
        </w:rPr>
      </w:pPr>
      <w:r w:rsidRPr="005E0041">
        <w:rPr>
          <w:rFonts w:ascii="Times New Roman" w:hAnsi="Times New Roman"/>
          <w:sz w:val="28"/>
          <w:szCs w:val="28"/>
        </w:rPr>
        <w:t>Ventilācija un apkures sistēma</w:t>
      </w:r>
      <w:r w:rsidR="00E24233" w:rsidRPr="005E0041">
        <w:rPr>
          <w:rFonts w:ascii="Times New Roman" w:hAnsi="Times New Roman"/>
          <w:sz w:val="28"/>
          <w:szCs w:val="28"/>
        </w:rPr>
        <w:t>;</w:t>
      </w:r>
    </w:p>
    <w:p w:rsidR="00E24233" w:rsidRPr="005E0041" w:rsidRDefault="009346FC" w:rsidP="005E0041">
      <w:pPr>
        <w:pStyle w:val="ListParagraph"/>
        <w:numPr>
          <w:ilvl w:val="0"/>
          <w:numId w:val="25"/>
        </w:numPr>
        <w:jc w:val="both"/>
        <w:rPr>
          <w:rFonts w:ascii="Times New Roman" w:hAnsi="Times New Roman"/>
          <w:sz w:val="28"/>
          <w:szCs w:val="28"/>
        </w:rPr>
      </w:pPr>
      <w:r w:rsidRPr="005E0041">
        <w:rPr>
          <w:rFonts w:ascii="Times New Roman" w:hAnsi="Times New Roman"/>
          <w:sz w:val="28"/>
          <w:szCs w:val="28"/>
        </w:rPr>
        <w:t>Sanitāra telpa</w:t>
      </w:r>
      <w:r w:rsidR="00E24233" w:rsidRPr="005E0041">
        <w:rPr>
          <w:rFonts w:ascii="Times New Roman" w:hAnsi="Times New Roman"/>
          <w:sz w:val="28"/>
          <w:szCs w:val="28"/>
        </w:rPr>
        <w:t>;</w:t>
      </w:r>
    </w:p>
    <w:p w:rsidR="00E24233" w:rsidRPr="005E0041" w:rsidRDefault="009346FC" w:rsidP="005E0041">
      <w:pPr>
        <w:pStyle w:val="ListParagraph"/>
        <w:numPr>
          <w:ilvl w:val="0"/>
          <w:numId w:val="25"/>
        </w:numPr>
        <w:jc w:val="both"/>
        <w:rPr>
          <w:rFonts w:ascii="Times New Roman" w:hAnsi="Times New Roman"/>
          <w:sz w:val="28"/>
          <w:szCs w:val="28"/>
        </w:rPr>
      </w:pPr>
      <w:r w:rsidRPr="005E0041">
        <w:rPr>
          <w:rFonts w:ascii="Times New Roman" w:hAnsi="Times New Roman"/>
          <w:sz w:val="28"/>
          <w:szCs w:val="28"/>
        </w:rPr>
        <w:t>Pasažieru informācijas sistēma</w:t>
      </w:r>
      <w:r w:rsidR="00E24233" w:rsidRPr="005E0041">
        <w:rPr>
          <w:rFonts w:ascii="Times New Roman" w:hAnsi="Times New Roman"/>
          <w:sz w:val="28"/>
          <w:szCs w:val="28"/>
        </w:rPr>
        <w:t>;</w:t>
      </w:r>
    </w:p>
    <w:p w:rsidR="009346FC" w:rsidRPr="005E0041" w:rsidRDefault="009346FC" w:rsidP="005E0041">
      <w:pPr>
        <w:pStyle w:val="ListParagraph"/>
        <w:numPr>
          <w:ilvl w:val="0"/>
          <w:numId w:val="25"/>
        </w:numPr>
        <w:jc w:val="both"/>
        <w:rPr>
          <w:rFonts w:ascii="Times New Roman" w:hAnsi="Times New Roman"/>
          <w:sz w:val="28"/>
          <w:szCs w:val="28"/>
        </w:rPr>
      </w:pPr>
      <w:r w:rsidRPr="005E0041">
        <w:rPr>
          <w:rFonts w:ascii="Times New Roman" w:hAnsi="Times New Roman"/>
          <w:sz w:val="28"/>
          <w:szCs w:val="28"/>
        </w:rPr>
        <w:t>Ugunsdzēsības sistēma un ugunsgrēka signalizācija.</w:t>
      </w:r>
    </w:p>
    <w:p w:rsidR="00E24233" w:rsidRPr="00096AC8" w:rsidRDefault="00E24233" w:rsidP="00E24233">
      <w:pPr>
        <w:jc w:val="both"/>
        <w:rPr>
          <w:sz w:val="28"/>
          <w:szCs w:val="28"/>
        </w:rPr>
      </w:pPr>
    </w:p>
    <w:p w:rsidR="003B2E28" w:rsidRPr="00096AC8" w:rsidRDefault="009346FC" w:rsidP="009346FC">
      <w:pPr>
        <w:ind w:firstLine="540"/>
        <w:jc w:val="both"/>
        <w:rPr>
          <w:sz w:val="28"/>
          <w:szCs w:val="28"/>
        </w:rPr>
      </w:pPr>
      <w:r w:rsidRPr="00096AC8">
        <w:rPr>
          <w:sz w:val="28"/>
          <w:szCs w:val="28"/>
        </w:rPr>
        <w:t>Paredzēts, ka dīzeļvilcienu tehniskie parametri pēc modernizācijas nemainīsies.</w:t>
      </w:r>
    </w:p>
    <w:p w:rsidR="00BD0F6F" w:rsidRPr="00096AC8" w:rsidRDefault="00BD0F6F" w:rsidP="00BD0F6F">
      <w:pPr>
        <w:jc w:val="both"/>
        <w:rPr>
          <w:sz w:val="28"/>
          <w:szCs w:val="28"/>
        </w:rPr>
      </w:pPr>
      <w:r w:rsidRPr="00096AC8">
        <w:rPr>
          <w:sz w:val="28"/>
          <w:szCs w:val="28"/>
        </w:rPr>
        <w:tab/>
        <w:t xml:space="preserve">Modernizējot dīzeļvilcienu ritošo sastāvu, galvenais ieguvums būs pasažieru pieaugums 5-10% robežās. </w:t>
      </w:r>
      <w:r w:rsidR="00604E32" w:rsidRPr="00096AC8">
        <w:rPr>
          <w:sz w:val="28"/>
          <w:szCs w:val="28"/>
        </w:rPr>
        <w:t>D</w:t>
      </w:r>
      <w:r w:rsidRPr="00096AC8">
        <w:rPr>
          <w:sz w:val="28"/>
          <w:szCs w:val="28"/>
        </w:rPr>
        <w:t xml:space="preserve">aļa pasažieru </w:t>
      </w:r>
      <w:r w:rsidR="00604E32" w:rsidRPr="00096AC8">
        <w:rPr>
          <w:sz w:val="28"/>
          <w:szCs w:val="28"/>
        </w:rPr>
        <w:t xml:space="preserve">vairāk sāks izmantot dzelzceļa pasažieru pārvadājumus </w:t>
      </w:r>
      <w:r w:rsidRPr="00096AC8">
        <w:rPr>
          <w:sz w:val="28"/>
          <w:szCs w:val="28"/>
        </w:rPr>
        <w:t xml:space="preserve"> </w:t>
      </w:r>
      <w:r w:rsidR="00604E32" w:rsidRPr="00096AC8">
        <w:rPr>
          <w:sz w:val="28"/>
          <w:szCs w:val="28"/>
        </w:rPr>
        <w:t>, minētais</w:t>
      </w:r>
      <w:r w:rsidRPr="00096AC8">
        <w:rPr>
          <w:sz w:val="28"/>
          <w:szCs w:val="28"/>
        </w:rPr>
        <w:t xml:space="preserve"> dos pozit</w:t>
      </w:r>
      <w:r w:rsidR="000253DB" w:rsidRPr="00096AC8">
        <w:rPr>
          <w:sz w:val="28"/>
          <w:szCs w:val="28"/>
        </w:rPr>
        <w:t>ī</w:t>
      </w:r>
      <w:r w:rsidRPr="00096AC8">
        <w:rPr>
          <w:sz w:val="28"/>
          <w:szCs w:val="28"/>
        </w:rPr>
        <w:t>v</w:t>
      </w:r>
      <w:r w:rsidR="00604E32" w:rsidRPr="00096AC8">
        <w:rPr>
          <w:sz w:val="28"/>
          <w:szCs w:val="28"/>
        </w:rPr>
        <w:t>u</w:t>
      </w:r>
      <w:r w:rsidRPr="00096AC8">
        <w:rPr>
          <w:sz w:val="28"/>
          <w:szCs w:val="28"/>
        </w:rPr>
        <w:t xml:space="preserve"> sociālekonomisko efektu – samazināsies ceļu satiksmes negadījumu skaits, samazināsies autotransporta uzturēšanas izmaksas. </w:t>
      </w:r>
    </w:p>
    <w:p w:rsidR="003F7959" w:rsidRPr="00096AC8" w:rsidRDefault="003F7959" w:rsidP="00776913">
      <w:pPr>
        <w:ind w:firstLine="540"/>
        <w:jc w:val="both"/>
        <w:rPr>
          <w:sz w:val="28"/>
          <w:szCs w:val="28"/>
        </w:rPr>
      </w:pPr>
      <w:r w:rsidRPr="00096AC8">
        <w:rPr>
          <w:sz w:val="28"/>
          <w:szCs w:val="28"/>
        </w:rPr>
        <w:t>AS „Pasažieru vilciens” prognozē turpmāku uzņēmuma attīstību un pasažieru skaita pieaugumu, ja pasažieriem tiks piedāvāts atbilstoša līmeņa pakalpojums. Pasažieri novērtē vilcienu satiksmes ātrumu, precizitāti un drošību, kas ir galvenās pasažieru prasības pārvietojoties ikdienā. Uzlabojot komfortu vilcien</w:t>
      </w:r>
      <w:r w:rsidR="00604E32" w:rsidRPr="00096AC8">
        <w:rPr>
          <w:sz w:val="28"/>
          <w:szCs w:val="28"/>
        </w:rPr>
        <w:t>u vagonos</w:t>
      </w:r>
      <w:r w:rsidRPr="00096AC8">
        <w:rPr>
          <w:sz w:val="28"/>
          <w:szCs w:val="28"/>
        </w:rPr>
        <w:t xml:space="preserve"> un popularizējot vilcienu satiksmes priekšrocības arī nākotnē ir iespējams piesaistīt arvien vairāk pasažierus vilcienu satiksmei Rīgas pilsētas un tās aglomerācijas ietvaros. </w:t>
      </w:r>
    </w:p>
    <w:p w:rsidR="003F7959" w:rsidRPr="00096AC8" w:rsidRDefault="003F7959" w:rsidP="00776913">
      <w:pPr>
        <w:ind w:firstLine="540"/>
        <w:jc w:val="both"/>
        <w:rPr>
          <w:sz w:val="28"/>
          <w:szCs w:val="28"/>
        </w:rPr>
      </w:pPr>
    </w:p>
    <w:p w:rsidR="003F7959" w:rsidRPr="00096AC8" w:rsidRDefault="003F7959" w:rsidP="00096AC8">
      <w:pPr>
        <w:ind w:firstLine="720"/>
        <w:jc w:val="both"/>
        <w:rPr>
          <w:sz w:val="28"/>
          <w:szCs w:val="28"/>
        </w:rPr>
      </w:pPr>
      <w:r w:rsidRPr="00096AC8">
        <w:rPr>
          <w:b/>
          <w:sz w:val="28"/>
          <w:szCs w:val="28"/>
        </w:rPr>
        <w:t>3</w:t>
      </w:r>
      <w:r w:rsidRPr="00096AC8">
        <w:rPr>
          <w:sz w:val="28"/>
          <w:szCs w:val="28"/>
        </w:rPr>
        <w:t>.</w:t>
      </w:r>
      <w:r w:rsidRPr="00096AC8">
        <w:rPr>
          <w:b/>
          <w:sz w:val="28"/>
          <w:szCs w:val="28"/>
        </w:rPr>
        <w:t xml:space="preserve">UZŅĒMUMA IZVĒRTĒJUMS NO IESPĒJAMO RISKU VIEDOKĻA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36"/>
      </w:tblGrid>
      <w:tr w:rsidR="003F7959" w:rsidRPr="00096AC8" w:rsidTr="00096AC8">
        <w:tc>
          <w:tcPr>
            <w:tcW w:w="4678" w:type="dxa"/>
          </w:tcPr>
          <w:p w:rsidR="003F7959" w:rsidRPr="00096AC8" w:rsidRDefault="003F7959" w:rsidP="00E70C25">
            <w:pPr>
              <w:rPr>
                <w:b/>
                <w:sz w:val="28"/>
                <w:szCs w:val="28"/>
              </w:rPr>
            </w:pPr>
            <w:bookmarkStart w:id="1" w:name="OLE_LINK1"/>
            <w:r w:rsidRPr="00096AC8">
              <w:rPr>
                <w:b/>
                <w:sz w:val="28"/>
                <w:szCs w:val="28"/>
              </w:rPr>
              <w:t>Uzņēmuma</w:t>
            </w:r>
            <w:bookmarkEnd w:id="1"/>
            <w:r w:rsidRPr="00096AC8">
              <w:rPr>
                <w:b/>
                <w:sz w:val="28"/>
                <w:szCs w:val="28"/>
              </w:rPr>
              <w:t xml:space="preserve"> stiprās puses</w:t>
            </w:r>
          </w:p>
        </w:tc>
        <w:tc>
          <w:tcPr>
            <w:tcW w:w="4536" w:type="dxa"/>
          </w:tcPr>
          <w:p w:rsidR="003F7959" w:rsidRPr="00096AC8" w:rsidRDefault="003F7959" w:rsidP="00E70C25">
            <w:pPr>
              <w:rPr>
                <w:b/>
                <w:sz w:val="28"/>
                <w:szCs w:val="28"/>
              </w:rPr>
            </w:pPr>
            <w:r w:rsidRPr="00096AC8">
              <w:rPr>
                <w:b/>
                <w:sz w:val="28"/>
                <w:szCs w:val="28"/>
              </w:rPr>
              <w:t>Iespējas ārējā vidē</w:t>
            </w:r>
          </w:p>
        </w:tc>
      </w:tr>
      <w:tr w:rsidR="003F7959" w:rsidRPr="00096AC8" w:rsidTr="00096AC8">
        <w:tc>
          <w:tcPr>
            <w:tcW w:w="4678" w:type="dxa"/>
          </w:tcPr>
          <w:p w:rsidR="003F7959" w:rsidRPr="00096AC8" w:rsidRDefault="003F7959" w:rsidP="008138A7">
            <w:pPr>
              <w:numPr>
                <w:ilvl w:val="0"/>
                <w:numId w:val="9"/>
              </w:numPr>
              <w:tabs>
                <w:tab w:val="clear" w:pos="720"/>
                <w:tab w:val="num" w:pos="360"/>
              </w:tabs>
              <w:ind w:left="360"/>
              <w:rPr>
                <w:sz w:val="28"/>
                <w:szCs w:val="28"/>
              </w:rPr>
            </w:pPr>
            <w:r w:rsidRPr="00096AC8">
              <w:rPr>
                <w:sz w:val="28"/>
                <w:szCs w:val="28"/>
              </w:rPr>
              <w:t>Pasažieru pārvadājumi pa dzelzceļu pēc statistikas ir drošākais un videi draudzīgākais pārvadājumu veids.</w:t>
            </w:r>
          </w:p>
          <w:p w:rsidR="003F7959" w:rsidRPr="00096AC8" w:rsidRDefault="003F7959" w:rsidP="008138A7">
            <w:pPr>
              <w:numPr>
                <w:ilvl w:val="0"/>
                <w:numId w:val="9"/>
              </w:numPr>
              <w:tabs>
                <w:tab w:val="clear" w:pos="720"/>
                <w:tab w:val="num" w:pos="360"/>
              </w:tabs>
              <w:ind w:left="360"/>
              <w:rPr>
                <w:sz w:val="28"/>
                <w:szCs w:val="28"/>
              </w:rPr>
            </w:pPr>
            <w:r w:rsidRPr="00096AC8">
              <w:rPr>
                <w:sz w:val="28"/>
                <w:szCs w:val="28"/>
              </w:rPr>
              <w:t>Dzelzceļa satiksme spēj nodrošināt pārvietošanās ātrumu un precizitāti.</w:t>
            </w:r>
          </w:p>
          <w:p w:rsidR="003F7959" w:rsidRPr="00096AC8" w:rsidRDefault="003F7959" w:rsidP="008138A7">
            <w:pPr>
              <w:numPr>
                <w:ilvl w:val="0"/>
                <w:numId w:val="9"/>
              </w:numPr>
              <w:tabs>
                <w:tab w:val="clear" w:pos="720"/>
                <w:tab w:val="num" w:pos="360"/>
              </w:tabs>
              <w:ind w:left="360"/>
              <w:rPr>
                <w:sz w:val="28"/>
                <w:szCs w:val="28"/>
              </w:rPr>
            </w:pPr>
            <w:r w:rsidRPr="00096AC8">
              <w:rPr>
                <w:sz w:val="28"/>
                <w:szCs w:val="28"/>
              </w:rPr>
              <w:t>Kvalificētais uzņēmuma personāls.</w:t>
            </w:r>
          </w:p>
          <w:p w:rsidR="003F7959" w:rsidRPr="00096AC8" w:rsidRDefault="003F7959" w:rsidP="008138A7">
            <w:pPr>
              <w:numPr>
                <w:ilvl w:val="0"/>
                <w:numId w:val="9"/>
              </w:numPr>
              <w:tabs>
                <w:tab w:val="clear" w:pos="720"/>
                <w:tab w:val="num" w:pos="360"/>
              </w:tabs>
              <w:ind w:left="360"/>
              <w:rPr>
                <w:sz w:val="28"/>
                <w:szCs w:val="28"/>
              </w:rPr>
            </w:pPr>
            <w:r w:rsidRPr="00096AC8">
              <w:rPr>
                <w:sz w:val="28"/>
                <w:szCs w:val="28"/>
              </w:rPr>
              <w:t>Definēta ilgtermiņa stratēģija valsts sabiedriskā transporta un dzelzceļa nozarē.</w:t>
            </w:r>
          </w:p>
        </w:tc>
        <w:tc>
          <w:tcPr>
            <w:tcW w:w="4536" w:type="dxa"/>
          </w:tcPr>
          <w:p w:rsidR="003F7959" w:rsidRPr="00096AC8" w:rsidRDefault="003F7959" w:rsidP="008138A7">
            <w:pPr>
              <w:numPr>
                <w:ilvl w:val="0"/>
                <w:numId w:val="9"/>
              </w:numPr>
              <w:tabs>
                <w:tab w:val="clear" w:pos="720"/>
                <w:tab w:val="num" w:pos="360"/>
              </w:tabs>
              <w:ind w:left="360"/>
              <w:rPr>
                <w:sz w:val="28"/>
                <w:szCs w:val="28"/>
              </w:rPr>
            </w:pPr>
            <w:r w:rsidRPr="00096AC8">
              <w:rPr>
                <w:sz w:val="28"/>
                <w:szCs w:val="28"/>
              </w:rPr>
              <w:t>Turpināt kāpināt pārvadāto pasažieru skaita pieaugumu.</w:t>
            </w:r>
          </w:p>
          <w:p w:rsidR="003F7959" w:rsidRPr="00096AC8" w:rsidRDefault="003F7959" w:rsidP="008138A7">
            <w:pPr>
              <w:numPr>
                <w:ilvl w:val="0"/>
                <w:numId w:val="9"/>
              </w:numPr>
              <w:tabs>
                <w:tab w:val="clear" w:pos="720"/>
                <w:tab w:val="num" w:pos="360"/>
              </w:tabs>
              <w:ind w:left="360"/>
              <w:rPr>
                <w:sz w:val="28"/>
                <w:szCs w:val="28"/>
              </w:rPr>
            </w:pPr>
            <w:r w:rsidRPr="00096AC8">
              <w:rPr>
                <w:sz w:val="28"/>
                <w:szCs w:val="28"/>
              </w:rPr>
              <w:t>Uzlabot pasažieru apkalpošanas kvalitāti.</w:t>
            </w:r>
          </w:p>
          <w:p w:rsidR="003F7959" w:rsidRPr="00096AC8" w:rsidRDefault="003F7959" w:rsidP="008138A7">
            <w:pPr>
              <w:numPr>
                <w:ilvl w:val="0"/>
                <w:numId w:val="9"/>
              </w:numPr>
              <w:tabs>
                <w:tab w:val="clear" w:pos="720"/>
                <w:tab w:val="num" w:pos="360"/>
              </w:tabs>
              <w:ind w:left="360"/>
              <w:rPr>
                <w:sz w:val="28"/>
                <w:szCs w:val="28"/>
              </w:rPr>
            </w:pPr>
            <w:r w:rsidRPr="00096AC8">
              <w:rPr>
                <w:sz w:val="28"/>
                <w:szCs w:val="28"/>
              </w:rPr>
              <w:t>Iespējas optimizēt uzņēmuma mainīgās izmaksas, it īpaši remontu jomā.</w:t>
            </w:r>
          </w:p>
          <w:p w:rsidR="003F7959" w:rsidRPr="00096AC8" w:rsidRDefault="003F7959" w:rsidP="008138A7">
            <w:pPr>
              <w:numPr>
                <w:ilvl w:val="0"/>
                <w:numId w:val="9"/>
              </w:numPr>
              <w:tabs>
                <w:tab w:val="clear" w:pos="720"/>
                <w:tab w:val="num" w:pos="360"/>
              </w:tabs>
              <w:ind w:left="360"/>
              <w:rPr>
                <w:sz w:val="28"/>
                <w:szCs w:val="28"/>
              </w:rPr>
            </w:pPr>
            <w:r w:rsidRPr="00096AC8">
              <w:rPr>
                <w:sz w:val="28"/>
                <w:szCs w:val="28"/>
              </w:rPr>
              <w:t>Apliecināt savu nepieciešamību kopējā Latvijas sabiedriskā transporta sistēmā.</w:t>
            </w:r>
          </w:p>
        </w:tc>
      </w:tr>
      <w:tr w:rsidR="003F7959" w:rsidRPr="00096AC8" w:rsidTr="00096AC8">
        <w:tc>
          <w:tcPr>
            <w:tcW w:w="4678" w:type="dxa"/>
          </w:tcPr>
          <w:p w:rsidR="003F7959" w:rsidRPr="00096AC8" w:rsidRDefault="003F7959" w:rsidP="00E70C25">
            <w:pPr>
              <w:rPr>
                <w:b/>
                <w:sz w:val="28"/>
                <w:szCs w:val="28"/>
              </w:rPr>
            </w:pPr>
            <w:r w:rsidRPr="00096AC8">
              <w:rPr>
                <w:b/>
                <w:sz w:val="28"/>
                <w:szCs w:val="28"/>
              </w:rPr>
              <w:t>Uzņēmuma vājās puses</w:t>
            </w:r>
          </w:p>
        </w:tc>
        <w:tc>
          <w:tcPr>
            <w:tcW w:w="4536" w:type="dxa"/>
          </w:tcPr>
          <w:p w:rsidR="003F7959" w:rsidRPr="00096AC8" w:rsidRDefault="00DD533E" w:rsidP="00E70C25">
            <w:pPr>
              <w:rPr>
                <w:b/>
                <w:sz w:val="28"/>
                <w:szCs w:val="28"/>
              </w:rPr>
            </w:pPr>
            <w:r w:rsidRPr="00096AC8">
              <w:rPr>
                <w:b/>
                <w:sz w:val="28"/>
                <w:szCs w:val="28"/>
              </w:rPr>
              <w:t>Riski</w:t>
            </w:r>
            <w:r w:rsidR="003F7959" w:rsidRPr="00096AC8">
              <w:rPr>
                <w:b/>
                <w:sz w:val="28"/>
                <w:szCs w:val="28"/>
              </w:rPr>
              <w:t xml:space="preserve"> ārējā vidē</w:t>
            </w:r>
          </w:p>
        </w:tc>
      </w:tr>
      <w:tr w:rsidR="003F7959" w:rsidRPr="00096AC8" w:rsidTr="00096AC8">
        <w:tc>
          <w:tcPr>
            <w:tcW w:w="4678" w:type="dxa"/>
          </w:tcPr>
          <w:p w:rsidR="003F7959" w:rsidRPr="00096AC8" w:rsidRDefault="003F7959" w:rsidP="008138A7">
            <w:pPr>
              <w:numPr>
                <w:ilvl w:val="0"/>
                <w:numId w:val="9"/>
              </w:numPr>
              <w:tabs>
                <w:tab w:val="clear" w:pos="720"/>
                <w:tab w:val="num" w:pos="360"/>
              </w:tabs>
              <w:ind w:left="360"/>
              <w:rPr>
                <w:sz w:val="28"/>
                <w:szCs w:val="28"/>
              </w:rPr>
            </w:pPr>
            <w:r w:rsidRPr="00096AC8">
              <w:rPr>
                <w:sz w:val="28"/>
                <w:szCs w:val="28"/>
              </w:rPr>
              <w:t>Uzņēmuma vājā konkurētspēja atveroties vienotam Eiropas dzelzceļa tīklam un tirgus liberalizācijai.</w:t>
            </w:r>
          </w:p>
          <w:p w:rsidR="003F7959" w:rsidRPr="00096AC8" w:rsidRDefault="003F7959" w:rsidP="008138A7">
            <w:pPr>
              <w:numPr>
                <w:ilvl w:val="0"/>
                <w:numId w:val="9"/>
              </w:numPr>
              <w:tabs>
                <w:tab w:val="clear" w:pos="720"/>
                <w:tab w:val="num" w:pos="360"/>
              </w:tabs>
              <w:ind w:left="360"/>
              <w:rPr>
                <w:sz w:val="28"/>
                <w:szCs w:val="28"/>
              </w:rPr>
            </w:pPr>
            <w:r w:rsidRPr="00096AC8">
              <w:rPr>
                <w:sz w:val="28"/>
                <w:szCs w:val="28"/>
              </w:rPr>
              <w:t>Pieaugošās infrastruktūras izmaksas</w:t>
            </w:r>
          </w:p>
          <w:p w:rsidR="003F7959" w:rsidRPr="00096AC8" w:rsidRDefault="003F7959" w:rsidP="008138A7">
            <w:pPr>
              <w:numPr>
                <w:ilvl w:val="0"/>
                <w:numId w:val="9"/>
              </w:numPr>
              <w:tabs>
                <w:tab w:val="clear" w:pos="720"/>
                <w:tab w:val="num" w:pos="360"/>
              </w:tabs>
              <w:ind w:left="360"/>
              <w:rPr>
                <w:sz w:val="28"/>
                <w:szCs w:val="28"/>
              </w:rPr>
            </w:pPr>
            <w:r w:rsidRPr="00096AC8">
              <w:rPr>
                <w:sz w:val="28"/>
                <w:szCs w:val="28"/>
              </w:rPr>
              <w:t>Elektrifikācija (pāreja no līdzstrāvas uz maiņstrāvu).</w:t>
            </w:r>
          </w:p>
          <w:p w:rsidR="003F7959" w:rsidRPr="00096AC8" w:rsidRDefault="003F7959" w:rsidP="008138A7">
            <w:pPr>
              <w:numPr>
                <w:ilvl w:val="0"/>
                <w:numId w:val="9"/>
              </w:numPr>
              <w:tabs>
                <w:tab w:val="clear" w:pos="720"/>
                <w:tab w:val="num" w:pos="360"/>
              </w:tabs>
              <w:ind w:left="360"/>
              <w:rPr>
                <w:sz w:val="28"/>
                <w:szCs w:val="28"/>
              </w:rPr>
            </w:pPr>
            <w:r w:rsidRPr="00096AC8">
              <w:rPr>
                <w:sz w:val="28"/>
                <w:szCs w:val="28"/>
              </w:rPr>
              <w:t>Nepietiekama sabiedriskā transporta savstarpējā koordinācija, gan Rīgas pilsētā, gan republikas teritorijā.</w:t>
            </w:r>
          </w:p>
        </w:tc>
        <w:tc>
          <w:tcPr>
            <w:tcW w:w="4536" w:type="dxa"/>
          </w:tcPr>
          <w:p w:rsidR="003F7959" w:rsidRPr="00096AC8" w:rsidRDefault="003F7959" w:rsidP="008138A7">
            <w:pPr>
              <w:numPr>
                <w:ilvl w:val="0"/>
                <w:numId w:val="9"/>
              </w:numPr>
              <w:tabs>
                <w:tab w:val="clear" w:pos="720"/>
                <w:tab w:val="num" w:pos="360"/>
              </w:tabs>
              <w:ind w:left="360"/>
              <w:rPr>
                <w:sz w:val="28"/>
                <w:szCs w:val="28"/>
              </w:rPr>
            </w:pPr>
            <w:r w:rsidRPr="00096AC8">
              <w:rPr>
                <w:sz w:val="28"/>
                <w:szCs w:val="28"/>
              </w:rPr>
              <w:t>Ritošā sastāva fiziskais un morālais nolietojums.</w:t>
            </w:r>
          </w:p>
          <w:p w:rsidR="003F7959" w:rsidRPr="00096AC8" w:rsidRDefault="003F7959" w:rsidP="008138A7">
            <w:pPr>
              <w:numPr>
                <w:ilvl w:val="0"/>
                <w:numId w:val="9"/>
              </w:numPr>
              <w:tabs>
                <w:tab w:val="clear" w:pos="720"/>
                <w:tab w:val="num" w:pos="360"/>
              </w:tabs>
              <w:ind w:left="360"/>
              <w:rPr>
                <w:sz w:val="28"/>
                <w:szCs w:val="28"/>
              </w:rPr>
            </w:pPr>
            <w:r w:rsidRPr="00096AC8">
              <w:rPr>
                <w:sz w:val="28"/>
                <w:szCs w:val="28"/>
              </w:rPr>
              <w:t>Uzņēmuma nepietiekamais kredītreitings</w:t>
            </w:r>
          </w:p>
          <w:p w:rsidR="003F7959" w:rsidRPr="00096AC8" w:rsidRDefault="003F7959" w:rsidP="008138A7">
            <w:pPr>
              <w:numPr>
                <w:ilvl w:val="0"/>
                <w:numId w:val="9"/>
              </w:numPr>
              <w:tabs>
                <w:tab w:val="clear" w:pos="720"/>
                <w:tab w:val="num" w:pos="360"/>
              </w:tabs>
              <w:ind w:left="360"/>
              <w:rPr>
                <w:sz w:val="28"/>
                <w:szCs w:val="28"/>
              </w:rPr>
            </w:pPr>
            <w:r w:rsidRPr="00096AC8">
              <w:rPr>
                <w:sz w:val="28"/>
                <w:szCs w:val="28"/>
              </w:rPr>
              <w:t>Jaunas iepirkuma procedūras izsludināšanas neiespējamība, kamēr nav beigusies tiesvedība ar CAF</w:t>
            </w:r>
          </w:p>
          <w:p w:rsidR="003F7959" w:rsidRPr="00096AC8" w:rsidRDefault="003F7959" w:rsidP="006A3915">
            <w:pPr>
              <w:numPr>
                <w:ilvl w:val="0"/>
                <w:numId w:val="9"/>
              </w:numPr>
              <w:tabs>
                <w:tab w:val="clear" w:pos="720"/>
                <w:tab w:val="num" w:pos="360"/>
              </w:tabs>
              <w:ind w:left="360"/>
              <w:rPr>
                <w:sz w:val="28"/>
                <w:szCs w:val="28"/>
              </w:rPr>
            </w:pPr>
            <w:r w:rsidRPr="00096AC8">
              <w:rPr>
                <w:sz w:val="28"/>
                <w:szCs w:val="28"/>
              </w:rPr>
              <w:t>Valsts pasūt</w:t>
            </w:r>
            <w:r w:rsidR="00C66D6B" w:rsidRPr="00096AC8">
              <w:rPr>
                <w:sz w:val="28"/>
                <w:szCs w:val="28"/>
              </w:rPr>
              <w:t>ījuma neesamība ilgtermiņā</w:t>
            </w:r>
            <w:r w:rsidRPr="00096AC8">
              <w:rPr>
                <w:sz w:val="28"/>
                <w:szCs w:val="28"/>
              </w:rPr>
              <w:t>.</w:t>
            </w:r>
          </w:p>
        </w:tc>
      </w:tr>
    </w:tbl>
    <w:p w:rsidR="003F7959" w:rsidRPr="00096AC8" w:rsidRDefault="003F7959" w:rsidP="008138A7">
      <w:pPr>
        <w:spacing w:before="120"/>
        <w:ind w:firstLine="540"/>
        <w:jc w:val="both"/>
        <w:rPr>
          <w:sz w:val="28"/>
          <w:szCs w:val="28"/>
        </w:rPr>
      </w:pPr>
      <w:r w:rsidRPr="00096AC8">
        <w:rPr>
          <w:b/>
          <w:sz w:val="28"/>
          <w:szCs w:val="28"/>
        </w:rPr>
        <w:t>Uzņēmuma stiprās puses</w:t>
      </w:r>
      <w:r w:rsidRPr="00096AC8">
        <w:rPr>
          <w:sz w:val="28"/>
          <w:szCs w:val="28"/>
        </w:rPr>
        <w:t xml:space="preserve"> – dzelzceļa pasažieru pārvadājumu galvenās priekšrocības atklājas, kad pārvadājumu veidus salīdzina nevis tieši, ņemot vērā finan</w:t>
      </w:r>
      <w:r w:rsidR="00604E32" w:rsidRPr="00096AC8">
        <w:rPr>
          <w:sz w:val="28"/>
          <w:szCs w:val="28"/>
        </w:rPr>
        <w:t>š</w:t>
      </w:r>
      <w:r w:rsidRPr="00096AC8">
        <w:rPr>
          <w:sz w:val="28"/>
          <w:szCs w:val="28"/>
        </w:rPr>
        <w:t xml:space="preserve">u rādītājus, bet ievērojot arī ārējās izmaksas – kaitējumu dabai un sabiedrībai. Salīdzinot ar autotransportu, dzelzceļš ir ekoloģiski tīrāks, mazāk piesārņo dabu, ir drošāks, ja salīdzina cietušo un ievainoto cilvēku skaitu un ņem vērā izdevumus autoavārijās ievainoto cilvēku ārstēšanai. Eiropas Savienības valstīs transporta ārējās izmaksas sniedzas miljardos </w:t>
      </w:r>
      <w:proofErr w:type="spellStart"/>
      <w:r w:rsidRPr="00096AC8">
        <w:rPr>
          <w:sz w:val="28"/>
          <w:szCs w:val="28"/>
        </w:rPr>
        <w:t>e</w:t>
      </w:r>
      <w:r w:rsidR="00604E32" w:rsidRPr="00096AC8">
        <w:rPr>
          <w:sz w:val="28"/>
          <w:szCs w:val="28"/>
        </w:rPr>
        <w:t>u</w:t>
      </w:r>
      <w:r w:rsidRPr="00096AC8">
        <w:rPr>
          <w:sz w:val="28"/>
          <w:szCs w:val="28"/>
        </w:rPr>
        <w:t>ro</w:t>
      </w:r>
      <w:proofErr w:type="spellEnd"/>
      <w:r w:rsidRPr="00096AC8">
        <w:rPr>
          <w:sz w:val="28"/>
          <w:szCs w:val="28"/>
        </w:rPr>
        <w:t>. Kā vēl viena stiprā puse jāmin tas, ka dzelzceļa satiksme spēj nodrošināt pārvietošanās ātrumu un precizitāti, kas pasažieriem atvieglo viņu laika plānošanu, jo nav jāparedz situācijas, kad transports varētu nokļūt sastrēgumā, tas saistīts ar dzelzceļa transporta augsto caurlaides spēju. Tieši šī iemesla dēļ lielākā nozīme būtu jāpiešķir dzelzceļa transporta integrācijai pilsētas sabiedriskā transporta sistēmā.</w:t>
      </w:r>
    </w:p>
    <w:p w:rsidR="002A0B3F" w:rsidRPr="00096AC8" w:rsidRDefault="003F7959" w:rsidP="008138A7">
      <w:pPr>
        <w:spacing w:before="120"/>
        <w:ind w:firstLine="540"/>
        <w:jc w:val="both"/>
        <w:rPr>
          <w:bCs/>
          <w:iCs/>
          <w:color w:val="000000"/>
          <w:sz w:val="28"/>
          <w:szCs w:val="28"/>
        </w:rPr>
      </w:pPr>
      <w:r w:rsidRPr="00096AC8">
        <w:rPr>
          <w:b/>
          <w:sz w:val="28"/>
          <w:szCs w:val="28"/>
        </w:rPr>
        <w:t>Uzņēmuma vājās puses</w:t>
      </w:r>
      <w:r w:rsidRPr="00096AC8">
        <w:rPr>
          <w:sz w:val="28"/>
          <w:szCs w:val="28"/>
        </w:rPr>
        <w:t xml:space="preserve"> – uzņēmuma vājā konkurētspēja atveroties vienotam Eiropas dzelzceļa tīklam un sākoties dzelzceļa pasažieru pārvadājumu tirgus liberalizācijai. Nenoliedzami, šis trūkums ir cieši saistīts ar uzņēmuma rīcībā esošo resursu neatbilstību mūsdienu pasažieru prasībām. Turpinot esošā sastāva ekspluatāciju un ievērojot esošo remontu sistēmu, izdevumi, šo vagonu uzturēšanai un kapitālajiem remontiem, sastāda aptuveni 10 miljoni latu gadā. Neskaidrs ir jautājumus arī par turpmāko dzelzceļa infrastruktūras attīstību nākotnē un iespējamiem termiņiem, kad varētu notikt pašreizējo elektrovilcienu vilcei izmantojamās līdzstrāvas nomaiņa pret maiņstrāvu, katrā iecirknī atsevišķi un visā tīklā kopumā. </w:t>
      </w:r>
      <w:r w:rsidRPr="00096AC8">
        <w:rPr>
          <w:bCs/>
          <w:iCs/>
          <w:color w:val="000000"/>
          <w:sz w:val="28"/>
          <w:szCs w:val="28"/>
        </w:rPr>
        <w:t xml:space="preserve">Gadījumā, ja notiek elektrifikācija līdz 2020.gadam, tad pilnībā jānomaina elektrovilcienu sastāvs. Saistībā ar 2012.gada 2.aprīlī </w:t>
      </w:r>
      <w:r w:rsidR="003C08A5" w:rsidRPr="00096AC8">
        <w:rPr>
          <w:bCs/>
          <w:iCs/>
          <w:color w:val="000000"/>
          <w:sz w:val="28"/>
          <w:szCs w:val="28"/>
        </w:rPr>
        <w:t xml:space="preserve">parakstīto </w:t>
      </w:r>
      <w:r w:rsidRPr="00096AC8">
        <w:rPr>
          <w:bCs/>
          <w:iCs/>
          <w:color w:val="000000"/>
          <w:sz w:val="28"/>
          <w:szCs w:val="28"/>
        </w:rPr>
        <w:t xml:space="preserve">piegādes un uzturēšanas līgumu Nr.PV43-12 (turpmāk –Līgums) ar </w:t>
      </w:r>
      <w:r w:rsidRPr="00096AC8">
        <w:rPr>
          <w:sz w:val="28"/>
          <w:szCs w:val="28"/>
        </w:rPr>
        <w:t xml:space="preserve">CONSTRUCCIONES Y AUXILAR DE FERROCARRILES, S.A. (turpmāk-CAF) </w:t>
      </w:r>
      <w:r w:rsidRPr="00096AC8">
        <w:rPr>
          <w:bCs/>
          <w:iCs/>
          <w:color w:val="000000"/>
          <w:sz w:val="28"/>
          <w:szCs w:val="28"/>
        </w:rPr>
        <w:t xml:space="preserve"> </w:t>
      </w:r>
      <w:r w:rsidR="002A0B3F" w:rsidRPr="00096AC8">
        <w:rPr>
          <w:bCs/>
          <w:iCs/>
          <w:color w:val="000000"/>
          <w:sz w:val="28"/>
          <w:szCs w:val="28"/>
        </w:rPr>
        <w:t>iespējams risks</w:t>
      </w:r>
      <w:r w:rsidRPr="00096AC8">
        <w:rPr>
          <w:bCs/>
          <w:iCs/>
          <w:color w:val="000000"/>
          <w:sz w:val="28"/>
          <w:szCs w:val="28"/>
        </w:rPr>
        <w:t xml:space="preserve"> tiesvedība</w:t>
      </w:r>
      <w:r w:rsidR="002A0B3F" w:rsidRPr="00096AC8">
        <w:rPr>
          <w:bCs/>
          <w:iCs/>
          <w:color w:val="000000"/>
          <w:sz w:val="28"/>
          <w:szCs w:val="28"/>
        </w:rPr>
        <w:t>i</w:t>
      </w:r>
      <w:r w:rsidRPr="00096AC8">
        <w:rPr>
          <w:bCs/>
          <w:iCs/>
          <w:color w:val="000000"/>
          <w:sz w:val="28"/>
          <w:szCs w:val="28"/>
        </w:rPr>
        <w:t xml:space="preserve"> par </w:t>
      </w:r>
      <w:r w:rsidR="007119F8" w:rsidRPr="00096AC8">
        <w:rPr>
          <w:bCs/>
          <w:iCs/>
          <w:color w:val="000000"/>
          <w:sz w:val="28"/>
          <w:szCs w:val="28"/>
        </w:rPr>
        <w:t xml:space="preserve">analoģiska </w:t>
      </w:r>
      <w:r w:rsidRPr="00096AC8">
        <w:rPr>
          <w:bCs/>
          <w:iCs/>
          <w:color w:val="000000"/>
          <w:sz w:val="28"/>
          <w:szCs w:val="28"/>
        </w:rPr>
        <w:t>Līguma izpildi</w:t>
      </w:r>
      <w:r w:rsidR="007119F8" w:rsidRPr="00096AC8">
        <w:rPr>
          <w:bCs/>
          <w:iCs/>
          <w:color w:val="000000"/>
          <w:sz w:val="28"/>
          <w:szCs w:val="28"/>
        </w:rPr>
        <w:t>, kas</w:t>
      </w:r>
      <w:r w:rsidRPr="00096AC8">
        <w:rPr>
          <w:bCs/>
          <w:iCs/>
          <w:color w:val="000000"/>
          <w:sz w:val="28"/>
          <w:szCs w:val="28"/>
        </w:rPr>
        <w:t xml:space="preserve"> </w:t>
      </w:r>
      <w:r w:rsidR="003C08A5" w:rsidRPr="00096AC8">
        <w:rPr>
          <w:bCs/>
          <w:iCs/>
          <w:color w:val="000000"/>
          <w:sz w:val="28"/>
          <w:szCs w:val="28"/>
        </w:rPr>
        <w:t>var radīt papildus izmaksas</w:t>
      </w:r>
      <w:r w:rsidR="007119F8" w:rsidRPr="00096AC8">
        <w:rPr>
          <w:bCs/>
          <w:iCs/>
          <w:color w:val="000000"/>
          <w:sz w:val="28"/>
          <w:szCs w:val="28"/>
        </w:rPr>
        <w:t>.</w:t>
      </w:r>
    </w:p>
    <w:p w:rsidR="003F7959" w:rsidRPr="00096AC8" w:rsidRDefault="003F7959" w:rsidP="008138A7">
      <w:pPr>
        <w:spacing w:before="120"/>
        <w:ind w:firstLine="540"/>
        <w:jc w:val="both"/>
        <w:rPr>
          <w:sz w:val="28"/>
          <w:szCs w:val="28"/>
        </w:rPr>
      </w:pPr>
      <w:r w:rsidRPr="00096AC8">
        <w:rPr>
          <w:b/>
          <w:sz w:val="28"/>
          <w:szCs w:val="28"/>
        </w:rPr>
        <w:t>Iespējas ārējā vidē</w:t>
      </w:r>
      <w:r w:rsidRPr="00096AC8">
        <w:rPr>
          <w:sz w:val="28"/>
          <w:szCs w:val="28"/>
        </w:rPr>
        <w:t xml:space="preserve"> – uzņēmuma vadība pēc pēdējo trīs gadu darba rezultātiem redz arī turpmāku uzņēmuma attīstību un pasažieru skaita pieaugumu, ja pasažieriem tiks piedāvāts atbilstoša līmeņa pakalpojums. Pasažieri novērtē vilcienu satiksmes ātrumu, precizitāti un drošību, kas ir galvenās pasažieru prasības pārvietojoties ikdienā uz darbu un no darba. Uzlabojot komfortu vilcienos un popularizējot vilcienu satiksmes priekšrocības arī nākotnē ir iespējams piesaistīt arvien vairāk pasažierus vilcienu satiksmei Rīgas pilsētas un tās aglomerācijas ietvaros. Modernizējot esošos vilcienus ir iespējams panākt uzņēmuma līdzekļu ekonomiju, kas netieši saistīts arī ar valsts budžeta izdevumu posteņiem, jo modernizācijas rezultātā ir iespējams panākt elektroenerģijas ietaupījumus, samazināt ārpuskārtas remontu izmaksas, uzlabot mašīnistu darba apstākļus un mazināt trokšņu līmeni vilciena salonā un apkārtējā vidē.</w:t>
      </w:r>
    </w:p>
    <w:p w:rsidR="003F7959" w:rsidRPr="00096AC8" w:rsidRDefault="003F7959" w:rsidP="008138A7">
      <w:pPr>
        <w:ind w:firstLine="540"/>
        <w:jc w:val="both"/>
        <w:rPr>
          <w:sz w:val="28"/>
          <w:szCs w:val="28"/>
          <w:highlight w:val="yellow"/>
        </w:rPr>
      </w:pPr>
    </w:p>
    <w:p w:rsidR="003F7959" w:rsidRPr="00096AC8" w:rsidRDefault="002A0B3F" w:rsidP="00C85B76">
      <w:pPr>
        <w:spacing w:after="120"/>
        <w:ind w:firstLine="539"/>
        <w:jc w:val="both"/>
        <w:rPr>
          <w:sz w:val="28"/>
          <w:szCs w:val="28"/>
        </w:rPr>
      </w:pPr>
      <w:r w:rsidRPr="00096AC8">
        <w:rPr>
          <w:b/>
          <w:sz w:val="28"/>
          <w:szCs w:val="28"/>
        </w:rPr>
        <w:t>Riski</w:t>
      </w:r>
      <w:r w:rsidR="003F7959" w:rsidRPr="00096AC8">
        <w:rPr>
          <w:b/>
          <w:sz w:val="28"/>
          <w:szCs w:val="28"/>
        </w:rPr>
        <w:t xml:space="preserve"> ārējā vidē</w:t>
      </w:r>
      <w:r w:rsidR="003F7959" w:rsidRPr="00096AC8">
        <w:rPr>
          <w:sz w:val="28"/>
          <w:szCs w:val="28"/>
        </w:rPr>
        <w:t xml:space="preserve"> – Iespējamie </w:t>
      </w:r>
      <w:r w:rsidRPr="00096AC8">
        <w:rPr>
          <w:sz w:val="28"/>
          <w:szCs w:val="28"/>
        </w:rPr>
        <w:t>riski (</w:t>
      </w:r>
      <w:r w:rsidR="003F7959" w:rsidRPr="00096AC8">
        <w:rPr>
          <w:sz w:val="28"/>
          <w:szCs w:val="28"/>
        </w:rPr>
        <w:t>draudi</w:t>
      </w:r>
      <w:r w:rsidRPr="00096AC8">
        <w:rPr>
          <w:sz w:val="28"/>
          <w:szCs w:val="28"/>
        </w:rPr>
        <w:t>)</w:t>
      </w:r>
      <w:r w:rsidR="003F7959" w:rsidRPr="00096AC8">
        <w:rPr>
          <w:sz w:val="28"/>
          <w:szCs w:val="28"/>
        </w:rPr>
        <w:t xml:space="preserve"> finansējuma piesaistīšanā no kredītiestādēm. Analizējot iespēju ņemt aizņēmumu kredītiestādēs, nākas secināt, ka AS „Pasažieru vilciens” darbības un finanšu rādītāji neatbilst kritērijiem, lai piesaistītu lielus kredītresursus n</w:t>
      </w:r>
      <w:r w:rsidRPr="00096AC8">
        <w:rPr>
          <w:sz w:val="28"/>
          <w:szCs w:val="28"/>
        </w:rPr>
        <w:t>o ārpuses, sevišķi gadījumā, ja</w:t>
      </w:r>
      <w:r w:rsidR="00C85B76">
        <w:rPr>
          <w:sz w:val="28"/>
          <w:szCs w:val="28"/>
        </w:rPr>
        <w:t xml:space="preserve"> </w:t>
      </w:r>
      <w:r w:rsidR="003F7959" w:rsidRPr="00096AC8">
        <w:rPr>
          <w:sz w:val="28"/>
          <w:szCs w:val="28"/>
        </w:rPr>
        <w:t>notiks tiesvedība ar CAF.</w:t>
      </w:r>
    </w:p>
    <w:p w:rsidR="003F7959" w:rsidRPr="00096AC8" w:rsidRDefault="003F7959" w:rsidP="008138A7">
      <w:pPr>
        <w:ind w:firstLine="540"/>
        <w:jc w:val="both"/>
        <w:rPr>
          <w:sz w:val="28"/>
          <w:szCs w:val="28"/>
        </w:rPr>
      </w:pPr>
      <w:r w:rsidRPr="00096AC8">
        <w:rPr>
          <w:b/>
          <w:sz w:val="28"/>
          <w:szCs w:val="28"/>
        </w:rPr>
        <w:t>SVID analīzes kopsavilkums</w:t>
      </w:r>
      <w:r w:rsidRPr="00096AC8">
        <w:rPr>
          <w:sz w:val="28"/>
          <w:szCs w:val="28"/>
        </w:rPr>
        <w:t xml:space="preserve"> – Ņemot vērā apstākli, ka pakāpeniski tiek sakārtots pasažieru pārvadājumu tirgus un pārvadātāju attiecības ar valsti, kā pasūtītāju, atbilstoši Eiropas Savienības prasībām, un nākotnē ir redzams finansiālais segums ritošā sastāva modernizācijas programmai, ir jāsāk pakāpeniska ritošā sastāva atjaunošana, t.i. esošo vilcienu vagonu modernizāciju īstermiņā un jaunu sastāvu iegāde ilgtermiņā.</w:t>
      </w:r>
    </w:p>
    <w:p w:rsidR="003F7959" w:rsidRPr="00096AC8" w:rsidRDefault="003F7959" w:rsidP="008138A7">
      <w:pPr>
        <w:ind w:firstLine="540"/>
        <w:jc w:val="both"/>
        <w:rPr>
          <w:sz w:val="28"/>
          <w:szCs w:val="28"/>
        </w:rPr>
      </w:pPr>
      <w:r w:rsidRPr="00096AC8">
        <w:rPr>
          <w:sz w:val="28"/>
          <w:szCs w:val="28"/>
        </w:rPr>
        <w:t xml:space="preserve"> Lai nodrošinātu valsts pasūtījuma pasažieru pārvadājumiem izpildi pastāvīgā darba kārtībā tiek uzturēti 141 elektrovilcienu vagon</w:t>
      </w:r>
      <w:r w:rsidR="00756CEE" w:rsidRPr="00096AC8">
        <w:rPr>
          <w:sz w:val="28"/>
          <w:szCs w:val="28"/>
        </w:rPr>
        <w:t xml:space="preserve">s </w:t>
      </w:r>
      <w:r w:rsidRPr="00096AC8">
        <w:rPr>
          <w:sz w:val="28"/>
          <w:szCs w:val="28"/>
        </w:rPr>
        <w:t>un 59 dīzeļvilcienu vagoni. Gadījumā, ja netiek iegādāti jauni vilcieni, pasažieru pārvadājumu nodrošināšanai laika periodā līdz 2015.gadam, kapitālie remonti būs jāveic 86 elektrovilcienu un 16 dīzeļvilcienu vagoniem, bet turpinot esošā sastāva ekspluatāciju un ievērojot esošo remontu sistēmu izdevumi šo vagonu uzturēšanai un kapitālajiem remontiem sastāda aptuveni 10 000 000 Ls gadā.</w:t>
      </w:r>
    </w:p>
    <w:p w:rsidR="003F7959" w:rsidRPr="00096AC8" w:rsidRDefault="003F7959" w:rsidP="008138A7">
      <w:pPr>
        <w:ind w:firstLine="540"/>
        <w:jc w:val="both"/>
        <w:rPr>
          <w:sz w:val="28"/>
          <w:szCs w:val="28"/>
        </w:rPr>
      </w:pPr>
      <w:r w:rsidRPr="00096AC8">
        <w:rPr>
          <w:sz w:val="28"/>
          <w:szCs w:val="28"/>
        </w:rPr>
        <w:t>Atbilstoši SVID analīzei, dzelzceļa pasažieru pārvadājumiem Rīgas piepilsētā ir paredzams arī turpmāks pozitīvs pieprasījums un pozitīva tirgus izaugsme, tomēr, lai saglabātu šos pozitīvos pieauguma rādītājus ir jānodrošina mūsdienu prasībām atbilstoša pakalpojuma kvalitāte, respektīvi, piedāvātais pakalpojums jāpadara klientam pievilcīgāks un konkurētspējīgāks salīdzinājumā ar citiem transporta veidiem.</w:t>
      </w:r>
    </w:p>
    <w:p w:rsidR="003F7959" w:rsidRPr="00096AC8" w:rsidRDefault="003F7959" w:rsidP="008138A7">
      <w:pPr>
        <w:ind w:firstLine="540"/>
        <w:jc w:val="both"/>
        <w:rPr>
          <w:sz w:val="28"/>
          <w:szCs w:val="28"/>
        </w:rPr>
      </w:pPr>
      <w:r w:rsidRPr="00096AC8">
        <w:rPr>
          <w:sz w:val="28"/>
          <w:szCs w:val="28"/>
        </w:rPr>
        <w:t xml:space="preserve">Ja elektrifikācija notiek saskaņā ar Latvijas dzelzceļa tīkla elektrifikācijas tehniski-ekonomiskā pamatojuma izstrādes gala ziņojumā noteikto, ka līdz 2020.gadam tiek veikta esošā pasažieru satiksmes līdzstrāvas tīkla modernizācija Rīgā un Pierīgā un tiek elektrificēta dzelzceļa līnija Rīga-Daugavpils. Tad vienīgi  maršrutos Rīga-Liepāja, Rīga-Gulbene,  Rīga-Lugaži būs nepieciešami dīzeļvilcieni.  </w:t>
      </w:r>
    </w:p>
    <w:p w:rsidR="00096AC8" w:rsidRDefault="00096AC8" w:rsidP="006A3915">
      <w:pPr>
        <w:rPr>
          <w:b/>
          <w:sz w:val="28"/>
          <w:szCs w:val="28"/>
        </w:rPr>
      </w:pPr>
    </w:p>
    <w:p w:rsidR="003F7959" w:rsidRPr="00096AC8" w:rsidRDefault="003F7959" w:rsidP="00096AC8">
      <w:pPr>
        <w:spacing w:after="120"/>
        <w:ind w:firstLine="539"/>
        <w:rPr>
          <w:b/>
          <w:sz w:val="28"/>
          <w:szCs w:val="28"/>
        </w:rPr>
      </w:pPr>
      <w:r w:rsidRPr="00096AC8">
        <w:rPr>
          <w:b/>
          <w:sz w:val="28"/>
          <w:szCs w:val="28"/>
        </w:rPr>
        <w:t xml:space="preserve">4. RITOŠĀ SASTĀVA IESPĒJAMIE FINANSĒŠANAS MODEĻI </w:t>
      </w:r>
    </w:p>
    <w:p w:rsidR="006A3915" w:rsidRPr="00096AC8" w:rsidRDefault="006A3915" w:rsidP="006A3915">
      <w:pPr>
        <w:jc w:val="both"/>
        <w:rPr>
          <w:sz w:val="28"/>
          <w:szCs w:val="28"/>
        </w:rPr>
      </w:pPr>
      <w:r w:rsidRPr="00096AC8">
        <w:rPr>
          <w:sz w:val="28"/>
          <w:szCs w:val="28"/>
        </w:rPr>
        <w:tab/>
      </w:r>
      <w:r w:rsidR="00BD0F6F" w:rsidRPr="00096AC8">
        <w:rPr>
          <w:sz w:val="28"/>
          <w:szCs w:val="28"/>
        </w:rPr>
        <w:t>Elektrovilcienu ritošā sastāva atjaunošanai t</w:t>
      </w:r>
      <w:r w:rsidRPr="00096AC8">
        <w:rPr>
          <w:sz w:val="28"/>
          <w:szCs w:val="28"/>
        </w:rPr>
        <w:t>ika izskatīti sekojoši jauno vilcienu iegādes finansēšanas modeļi:</w:t>
      </w:r>
    </w:p>
    <w:p w:rsidR="006A3915" w:rsidRPr="00096AC8" w:rsidRDefault="006A3915" w:rsidP="006A3915">
      <w:pPr>
        <w:pStyle w:val="ListParagraph"/>
        <w:numPr>
          <w:ilvl w:val="0"/>
          <w:numId w:val="11"/>
        </w:numPr>
        <w:spacing w:line="240" w:lineRule="auto"/>
        <w:ind w:right="0"/>
        <w:jc w:val="both"/>
        <w:rPr>
          <w:rFonts w:ascii="Times New Roman" w:hAnsi="Times New Roman"/>
          <w:sz w:val="28"/>
          <w:szCs w:val="28"/>
        </w:rPr>
      </w:pPr>
      <w:r w:rsidRPr="00096AC8">
        <w:rPr>
          <w:rFonts w:ascii="Times New Roman" w:hAnsi="Times New Roman"/>
          <w:sz w:val="28"/>
          <w:szCs w:val="28"/>
        </w:rPr>
        <w:t>Ilgtermiņa kredīts uz 30 gadiem;</w:t>
      </w:r>
    </w:p>
    <w:p w:rsidR="00D7212D" w:rsidRPr="00096AC8" w:rsidRDefault="00D7212D" w:rsidP="006A3915">
      <w:pPr>
        <w:pStyle w:val="ListParagraph"/>
        <w:numPr>
          <w:ilvl w:val="0"/>
          <w:numId w:val="11"/>
        </w:numPr>
        <w:spacing w:line="240" w:lineRule="auto"/>
        <w:ind w:right="0"/>
        <w:jc w:val="both"/>
        <w:rPr>
          <w:rFonts w:ascii="Times New Roman" w:hAnsi="Times New Roman"/>
          <w:sz w:val="28"/>
          <w:szCs w:val="28"/>
        </w:rPr>
      </w:pPr>
      <w:r w:rsidRPr="00096AC8">
        <w:rPr>
          <w:rFonts w:ascii="Times New Roman" w:hAnsi="Times New Roman"/>
          <w:sz w:val="28"/>
          <w:szCs w:val="28"/>
        </w:rPr>
        <w:t>Ilgtermiņa kredīts uz 20 gadiem;</w:t>
      </w:r>
    </w:p>
    <w:p w:rsidR="006A3915" w:rsidRPr="00096AC8" w:rsidRDefault="006A3915" w:rsidP="006A3915">
      <w:pPr>
        <w:pStyle w:val="ListParagraph"/>
        <w:numPr>
          <w:ilvl w:val="0"/>
          <w:numId w:val="11"/>
        </w:numPr>
        <w:spacing w:line="240" w:lineRule="auto"/>
        <w:ind w:right="0"/>
        <w:jc w:val="both"/>
        <w:rPr>
          <w:rFonts w:ascii="Times New Roman" w:hAnsi="Times New Roman"/>
          <w:sz w:val="28"/>
          <w:szCs w:val="28"/>
        </w:rPr>
      </w:pPr>
      <w:r w:rsidRPr="00096AC8">
        <w:rPr>
          <w:rFonts w:ascii="Times New Roman" w:hAnsi="Times New Roman"/>
          <w:sz w:val="28"/>
          <w:szCs w:val="28"/>
        </w:rPr>
        <w:t xml:space="preserve">Ilgtermiņa noma uz 15 gadiem ar atlikušo vērtību </w:t>
      </w:r>
      <w:r w:rsidR="00AD2E98" w:rsidRPr="00096AC8">
        <w:rPr>
          <w:rFonts w:ascii="Times New Roman" w:hAnsi="Times New Roman"/>
          <w:sz w:val="28"/>
          <w:szCs w:val="28"/>
        </w:rPr>
        <w:t>20</w:t>
      </w:r>
      <w:r w:rsidRPr="00096AC8">
        <w:rPr>
          <w:rFonts w:ascii="Times New Roman" w:hAnsi="Times New Roman"/>
          <w:sz w:val="28"/>
          <w:szCs w:val="28"/>
        </w:rPr>
        <w:t>% nomas perioda beigās</w:t>
      </w:r>
      <w:r w:rsidR="00D7212D" w:rsidRPr="00096AC8">
        <w:rPr>
          <w:rFonts w:ascii="Times New Roman" w:hAnsi="Times New Roman"/>
          <w:sz w:val="28"/>
          <w:szCs w:val="28"/>
        </w:rPr>
        <w:t xml:space="preserve"> un jaunā ritošā sastāva izpirkumu</w:t>
      </w:r>
      <w:r w:rsidRPr="00096AC8">
        <w:rPr>
          <w:rFonts w:ascii="Times New Roman" w:hAnsi="Times New Roman"/>
          <w:sz w:val="28"/>
          <w:szCs w:val="28"/>
        </w:rPr>
        <w:t>.</w:t>
      </w:r>
    </w:p>
    <w:p w:rsidR="0077443E" w:rsidRPr="00096AC8" w:rsidRDefault="0077443E" w:rsidP="0077443E">
      <w:pPr>
        <w:jc w:val="both"/>
        <w:rPr>
          <w:rFonts w:ascii="TimesNewRomanPSMT" w:hAnsi="TimesNewRomanPSMT" w:cs="TimesNewRomanPSMT"/>
          <w:sz w:val="28"/>
          <w:szCs w:val="28"/>
        </w:rPr>
      </w:pPr>
      <w:r w:rsidRPr="00096AC8">
        <w:rPr>
          <w:rFonts w:ascii="TimesNewRomanPSMT" w:hAnsi="TimesNewRomanPSMT" w:cs="TimesNewRomanPSMT"/>
          <w:sz w:val="28"/>
          <w:szCs w:val="28"/>
        </w:rPr>
        <w:t>Lai atrastu atbilstošāko risinājumu tika izvērtēti četri iespējamie scenāriji</w:t>
      </w:r>
    </w:p>
    <w:p w:rsidR="0077443E" w:rsidRPr="00096AC8" w:rsidRDefault="0077443E" w:rsidP="0077443E">
      <w:pPr>
        <w:pStyle w:val="ListParagraph"/>
        <w:numPr>
          <w:ilvl w:val="0"/>
          <w:numId w:val="17"/>
        </w:numPr>
        <w:spacing w:line="240" w:lineRule="auto"/>
        <w:ind w:right="0"/>
        <w:jc w:val="both"/>
        <w:rPr>
          <w:rFonts w:ascii="TimesNewRomanPSMT" w:hAnsi="TimesNewRomanPSMT" w:cs="TimesNewRomanPSMT"/>
          <w:sz w:val="28"/>
          <w:szCs w:val="28"/>
        </w:rPr>
      </w:pPr>
      <w:r w:rsidRPr="00096AC8">
        <w:rPr>
          <w:rFonts w:ascii="TimesNewRomanPSMT" w:hAnsi="TimesNewRomanPSMT" w:cs="TimesNewRomanPSMT"/>
          <w:sz w:val="28"/>
          <w:szCs w:val="28"/>
        </w:rPr>
        <w:t>Ilgtermiņa kredīts uz 30 gadiem;</w:t>
      </w:r>
    </w:p>
    <w:p w:rsidR="0077443E" w:rsidRPr="00096AC8" w:rsidRDefault="0077443E" w:rsidP="0077443E">
      <w:pPr>
        <w:pStyle w:val="ListParagraph"/>
        <w:numPr>
          <w:ilvl w:val="0"/>
          <w:numId w:val="17"/>
        </w:numPr>
        <w:spacing w:line="240" w:lineRule="auto"/>
        <w:ind w:right="0"/>
        <w:jc w:val="both"/>
        <w:rPr>
          <w:rFonts w:ascii="TimesNewRomanPSMT" w:hAnsi="TimesNewRomanPSMT" w:cs="TimesNewRomanPSMT"/>
          <w:sz w:val="28"/>
          <w:szCs w:val="28"/>
        </w:rPr>
      </w:pPr>
      <w:r w:rsidRPr="00096AC8">
        <w:rPr>
          <w:rFonts w:ascii="TimesNewRomanPSMT" w:hAnsi="TimesNewRomanPSMT" w:cs="TimesNewRomanPSMT"/>
          <w:sz w:val="28"/>
          <w:szCs w:val="28"/>
        </w:rPr>
        <w:t>Ilgtermiņa kredīts uz 20 gadiem;</w:t>
      </w:r>
    </w:p>
    <w:p w:rsidR="0077443E" w:rsidRPr="00096AC8" w:rsidRDefault="0077443E" w:rsidP="0077443E">
      <w:pPr>
        <w:pStyle w:val="ListParagraph"/>
        <w:numPr>
          <w:ilvl w:val="0"/>
          <w:numId w:val="17"/>
        </w:numPr>
        <w:spacing w:line="240" w:lineRule="auto"/>
        <w:ind w:right="0"/>
        <w:jc w:val="both"/>
        <w:rPr>
          <w:rFonts w:ascii="TimesNewRomanPSMT" w:hAnsi="TimesNewRomanPSMT" w:cs="TimesNewRomanPSMT"/>
          <w:sz w:val="28"/>
          <w:szCs w:val="28"/>
        </w:rPr>
      </w:pPr>
      <w:r w:rsidRPr="00096AC8">
        <w:rPr>
          <w:rFonts w:ascii="TimesNewRomanPSMT" w:hAnsi="TimesNewRomanPSMT" w:cs="TimesNewRomanPSMT"/>
          <w:sz w:val="28"/>
          <w:szCs w:val="28"/>
        </w:rPr>
        <w:t xml:space="preserve">Ilgtermiņa noma uz 15 gadiem </w:t>
      </w:r>
      <w:r w:rsidRPr="00096AC8">
        <w:rPr>
          <w:rFonts w:ascii="Times New Roman" w:hAnsi="Times New Roman"/>
          <w:sz w:val="28"/>
          <w:szCs w:val="28"/>
        </w:rPr>
        <w:t>ar atlikušo vērtību 20% nomas perioda beigās;</w:t>
      </w:r>
    </w:p>
    <w:p w:rsidR="0077443E" w:rsidRPr="00096AC8" w:rsidRDefault="0077443E" w:rsidP="0077443E">
      <w:pPr>
        <w:numPr>
          <w:ilvl w:val="0"/>
          <w:numId w:val="17"/>
        </w:numPr>
        <w:jc w:val="both"/>
        <w:rPr>
          <w:rFonts w:ascii="TimesNewRomanPSMT" w:hAnsi="TimesNewRomanPSMT" w:cs="TimesNewRomanPSMT"/>
          <w:sz w:val="28"/>
          <w:szCs w:val="28"/>
        </w:rPr>
      </w:pPr>
      <w:r w:rsidRPr="00096AC8">
        <w:rPr>
          <w:rFonts w:ascii="TimesNewRomanPSMT" w:hAnsi="TimesNewRomanPSMT" w:cs="TimesNewRomanPSMT"/>
          <w:sz w:val="28"/>
          <w:szCs w:val="28"/>
        </w:rPr>
        <w:t>„Nulles” scenārijs – tiek ekspluatēts esošais ritošais sastāvs.</w:t>
      </w:r>
    </w:p>
    <w:p w:rsidR="00902B87" w:rsidRPr="00096AC8" w:rsidRDefault="00902B87" w:rsidP="00902B87">
      <w:pPr>
        <w:jc w:val="both"/>
        <w:rPr>
          <w:rFonts w:ascii="TimesNewRomanPSMT" w:hAnsi="TimesNewRomanPSMT" w:cs="TimesNewRomanPSMT"/>
          <w:sz w:val="28"/>
          <w:szCs w:val="28"/>
        </w:rPr>
      </w:pPr>
    </w:p>
    <w:p w:rsidR="0077443E" w:rsidRPr="00096AC8" w:rsidRDefault="00BD0F6F" w:rsidP="0077443E">
      <w:pPr>
        <w:jc w:val="both"/>
        <w:rPr>
          <w:sz w:val="28"/>
          <w:szCs w:val="28"/>
        </w:rPr>
      </w:pPr>
      <w:r w:rsidRPr="00096AC8">
        <w:rPr>
          <w:sz w:val="28"/>
          <w:szCs w:val="28"/>
        </w:rPr>
        <w:tab/>
        <w:t>Ņemot vērā to, ka dīzeļvilcienu ritošā sastāva modernizācijai ir pieejams Kohēzijas fonda līdzfinansējums ar likmi līdz pat 85%, tika pieņemts lēmums izstrādāt un iesniegt projekta iesniegu</w:t>
      </w:r>
      <w:r w:rsidR="00902B87" w:rsidRPr="00096AC8">
        <w:rPr>
          <w:sz w:val="28"/>
          <w:szCs w:val="28"/>
        </w:rPr>
        <w:t>mu dīzeļvilcienu modernizācijai.</w:t>
      </w:r>
    </w:p>
    <w:p w:rsidR="00902B87" w:rsidRPr="00096AC8" w:rsidRDefault="00902B87" w:rsidP="0077443E">
      <w:pPr>
        <w:jc w:val="both"/>
        <w:rPr>
          <w:sz w:val="28"/>
          <w:szCs w:val="28"/>
        </w:rPr>
      </w:pPr>
    </w:p>
    <w:p w:rsidR="0077443E" w:rsidRPr="00096AC8" w:rsidRDefault="00902B87" w:rsidP="0077443E">
      <w:pPr>
        <w:jc w:val="both"/>
        <w:rPr>
          <w:sz w:val="28"/>
          <w:szCs w:val="28"/>
        </w:rPr>
      </w:pPr>
      <w:r w:rsidRPr="00096AC8">
        <w:rPr>
          <w:sz w:val="28"/>
          <w:szCs w:val="28"/>
        </w:rPr>
        <w:t>Elektrovilcienu parka atjaunošanas a</w:t>
      </w:r>
      <w:r w:rsidR="0077443E" w:rsidRPr="00096AC8">
        <w:rPr>
          <w:sz w:val="28"/>
          <w:szCs w:val="28"/>
        </w:rPr>
        <w:t>prēķinos</w:t>
      </w:r>
      <w:r w:rsidRPr="00096AC8">
        <w:rPr>
          <w:sz w:val="28"/>
          <w:szCs w:val="28"/>
        </w:rPr>
        <w:t xml:space="preserve"> tika</w:t>
      </w:r>
      <w:r w:rsidR="0077443E" w:rsidRPr="00096AC8">
        <w:rPr>
          <w:sz w:val="28"/>
          <w:szCs w:val="28"/>
        </w:rPr>
        <w:t xml:space="preserve"> izmantoti sekojoši pieņēmumi:</w:t>
      </w:r>
    </w:p>
    <w:p w:rsidR="0077443E" w:rsidRPr="00096AC8" w:rsidRDefault="0077443E" w:rsidP="0077443E">
      <w:pPr>
        <w:pStyle w:val="ListParagraph"/>
        <w:numPr>
          <w:ilvl w:val="0"/>
          <w:numId w:val="18"/>
        </w:numPr>
        <w:spacing w:line="240" w:lineRule="auto"/>
        <w:ind w:right="0"/>
        <w:jc w:val="both"/>
        <w:rPr>
          <w:rFonts w:ascii="Times New Roman" w:hAnsi="Times New Roman"/>
          <w:sz w:val="28"/>
          <w:szCs w:val="28"/>
        </w:rPr>
      </w:pPr>
      <w:r w:rsidRPr="00096AC8">
        <w:rPr>
          <w:rFonts w:ascii="Times New Roman" w:hAnsi="Times New Roman"/>
          <w:sz w:val="28"/>
          <w:szCs w:val="28"/>
        </w:rPr>
        <w:t>Sabiedrība turpina veikt pasažieru pārvadājumus pa dzelzceļu vismaz līdz 2045.gadam;</w:t>
      </w:r>
    </w:p>
    <w:p w:rsidR="0077443E" w:rsidRPr="00096AC8" w:rsidRDefault="0077443E" w:rsidP="0077443E">
      <w:pPr>
        <w:pStyle w:val="ListParagraph"/>
        <w:numPr>
          <w:ilvl w:val="0"/>
          <w:numId w:val="18"/>
        </w:numPr>
        <w:spacing w:line="240" w:lineRule="auto"/>
        <w:ind w:right="0"/>
        <w:jc w:val="both"/>
        <w:rPr>
          <w:rFonts w:ascii="Times New Roman" w:hAnsi="Times New Roman"/>
          <w:sz w:val="28"/>
          <w:szCs w:val="28"/>
        </w:rPr>
      </w:pPr>
      <w:r w:rsidRPr="00096AC8">
        <w:rPr>
          <w:rFonts w:ascii="Times New Roman" w:hAnsi="Times New Roman"/>
          <w:sz w:val="28"/>
          <w:szCs w:val="28"/>
        </w:rPr>
        <w:t>Vienas vienības iegādes cena 4.8 milj. EUR jeb 3.4 milj. LVL;</w:t>
      </w:r>
    </w:p>
    <w:p w:rsidR="0077443E" w:rsidRPr="00096AC8" w:rsidRDefault="0077443E" w:rsidP="0077443E">
      <w:pPr>
        <w:pStyle w:val="ListParagraph"/>
        <w:numPr>
          <w:ilvl w:val="0"/>
          <w:numId w:val="18"/>
        </w:numPr>
        <w:spacing w:line="240" w:lineRule="auto"/>
        <w:ind w:right="0"/>
        <w:jc w:val="both"/>
        <w:rPr>
          <w:rFonts w:ascii="Times New Roman" w:hAnsi="Times New Roman"/>
          <w:sz w:val="28"/>
          <w:szCs w:val="28"/>
        </w:rPr>
      </w:pPr>
      <w:r w:rsidRPr="00096AC8">
        <w:rPr>
          <w:rFonts w:ascii="Times New Roman" w:hAnsi="Times New Roman"/>
          <w:sz w:val="28"/>
          <w:szCs w:val="28"/>
        </w:rPr>
        <w:t>Kopējā līguma summa 153.6 milj. EUR jeb 108 milj. LVL;</w:t>
      </w:r>
    </w:p>
    <w:p w:rsidR="0077443E" w:rsidRPr="00096AC8" w:rsidRDefault="0077443E" w:rsidP="0077443E">
      <w:pPr>
        <w:pStyle w:val="ListParagraph"/>
        <w:numPr>
          <w:ilvl w:val="0"/>
          <w:numId w:val="18"/>
        </w:numPr>
        <w:spacing w:line="240" w:lineRule="auto"/>
        <w:ind w:right="0"/>
        <w:jc w:val="both"/>
        <w:rPr>
          <w:rFonts w:ascii="Times New Roman" w:hAnsi="Times New Roman"/>
          <w:sz w:val="28"/>
          <w:szCs w:val="28"/>
        </w:rPr>
      </w:pPr>
      <w:r w:rsidRPr="00096AC8">
        <w:rPr>
          <w:rFonts w:ascii="Times New Roman" w:hAnsi="Times New Roman"/>
          <w:sz w:val="28"/>
          <w:szCs w:val="28"/>
        </w:rPr>
        <w:t>Gada procentu likme</w:t>
      </w:r>
      <w:r w:rsidR="00342D58" w:rsidRPr="00096AC8">
        <w:rPr>
          <w:rFonts w:ascii="Times New Roman" w:hAnsi="Times New Roman"/>
          <w:sz w:val="28"/>
          <w:szCs w:val="28"/>
        </w:rPr>
        <w:t xml:space="preserve"> nomai</w:t>
      </w:r>
      <w:r w:rsidRPr="00096AC8">
        <w:rPr>
          <w:rFonts w:ascii="Times New Roman" w:hAnsi="Times New Roman"/>
          <w:sz w:val="28"/>
          <w:szCs w:val="28"/>
        </w:rPr>
        <w:t xml:space="preserve"> 3%</w:t>
      </w:r>
      <w:r w:rsidR="00342D58" w:rsidRPr="00096AC8">
        <w:rPr>
          <w:rFonts w:ascii="Times New Roman" w:hAnsi="Times New Roman"/>
          <w:sz w:val="28"/>
          <w:szCs w:val="28"/>
        </w:rPr>
        <w:t>, ilgtermiņa kredītam – 2.7%</w:t>
      </w:r>
      <w:r w:rsidRPr="00096AC8">
        <w:rPr>
          <w:rFonts w:ascii="Times New Roman" w:hAnsi="Times New Roman"/>
          <w:sz w:val="28"/>
          <w:szCs w:val="28"/>
        </w:rPr>
        <w:t>;</w:t>
      </w:r>
    </w:p>
    <w:p w:rsidR="0077443E" w:rsidRPr="00096AC8" w:rsidRDefault="0077443E" w:rsidP="0077443E">
      <w:pPr>
        <w:numPr>
          <w:ilvl w:val="0"/>
          <w:numId w:val="18"/>
        </w:numPr>
        <w:jc w:val="both"/>
        <w:rPr>
          <w:sz w:val="28"/>
          <w:szCs w:val="28"/>
        </w:rPr>
      </w:pPr>
      <w:r w:rsidRPr="00096AC8">
        <w:rPr>
          <w:sz w:val="28"/>
          <w:szCs w:val="28"/>
        </w:rPr>
        <w:t xml:space="preserve">Pakāpenisks pasažieru pieaugums no 10% 2015.gadā līdz 20% 2017.gadā; </w:t>
      </w:r>
    </w:p>
    <w:p w:rsidR="0077443E" w:rsidRPr="00096AC8" w:rsidRDefault="0077443E" w:rsidP="0077443E">
      <w:pPr>
        <w:numPr>
          <w:ilvl w:val="0"/>
          <w:numId w:val="18"/>
        </w:numPr>
        <w:jc w:val="both"/>
        <w:rPr>
          <w:sz w:val="28"/>
          <w:szCs w:val="28"/>
        </w:rPr>
      </w:pPr>
      <w:r w:rsidRPr="00096AC8">
        <w:rPr>
          <w:sz w:val="28"/>
          <w:szCs w:val="28"/>
        </w:rPr>
        <w:t>Elektroenerģijas samazinājums par 15%;</w:t>
      </w:r>
    </w:p>
    <w:p w:rsidR="0077443E" w:rsidRPr="00096AC8" w:rsidRDefault="0077443E" w:rsidP="0077443E">
      <w:pPr>
        <w:numPr>
          <w:ilvl w:val="0"/>
          <w:numId w:val="18"/>
        </w:numPr>
        <w:jc w:val="both"/>
        <w:rPr>
          <w:sz w:val="28"/>
          <w:szCs w:val="28"/>
        </w:rPr>
      </w:pPr>
      <w:r w:rsidRPr="00096AC8">
        <w:rPr>
          <w:sz w:val="28"/>
          <w:szCs w:val="28"/>
        </w:rPr>
        <w:t>Uzturēšanas izmaksu samazinājums par 20%;</w:t>
      </w:r>
    </w:p>
    <w:p w:rsidR="0077443E" w:rsidRPr="00096AC8" w:rsidRDefault="0077443E" w:rsidP="0077443E">
      <w:pPr>
        <w:numPr>
          <w:ilvl w:val="0"/>
          <w:numId w:val="18"/>
        </w:numPr>
        <w:jc w:val="both"/>
        <w:rPr>
          <w:sz w:val="28"/>
          <w:szCs w:val="28"/>
        </w:rPr>
      </w:pPr>
      <w:r w:rsidRPr="00096AC8">
        <w:rPr>
          <w:sz w:val="28"/>
          <w:szCs w:val="28"/>
        </w:rPr>
        <w:t>Kopējais personāla izmaksu samazinājums par aptuveni 3%;</w:t>
      </w:r>
    </w:p>
    <w:p w:rsidR="0077443E" w:rsidRPr="00096AC8" w:rsidRDefault="0077443E" w:rsidP="0077443E">
      <w:pPr>
        <w:numPr>
          <w:ilvl w:val="0"/>
          <w:numId w:val="18"/>
        </w:numPr>
        <w:jc w:val="both"/>
        <w:rPr>
          <w:sz w:val="28"/>
          <w:szCs w:val="28"/>
        </w:rPr>
      </w:pPr>
      <w:r w:rsidRPr="00096AC8">
        <w:rPr>
          <w:sz w:val="28"/>
          <w:szCs w:val="28"/>
        </w:rPr>
        <w:t>Investīciju vecajā ritošajā sastāvā samazinājums;</w:t>
      </w:r>
    </w:p>
    <w:p w:rsidR="0077443E" w:rsidRPr="00096AC8" w:rsidRDefault="0077443E" w:rsidP="0077443E">
      <w:pPr>
        <w:numPr>
          <w:ilvl w:val="0"/>
          <w:numId w:val="18"/>
        </w:numPr>
        <w:jc w:val="both"/>
        <w:rPr>
          <w:sz w:val="28"/>
          <w:szCs w:val="28"/>
        </w:rPr>
      </w:pPr>
      <w:r w:rsidRPr="00096AC8">
        <w:rPr>
          <w:sz w:val="28"/>
          <w:szCs w:val="28"/>
        </w:rPr>
        <w:t>Nav piemērots inflācijas koeficients;</w:t>
      </w:r>
    </w:p>
    <w:p w:rsidR="0077443E" w:rsidRPr="00096AC8" w:rsidRDefault="0077443E" w:rsidP="0077443E">
      <w:pPr>
        <w:numPr>
          <w:ilvl w:val="0"/>
          <w:numId w:val="18"/>
        </w:numPr>
        <w:jc w:val="both"/>
        <w:rPr>
          <w:sz w:val="28"/>
          <w:szCs w:val="28"/>
        </w:rPr>
      </w:pPr>
      <w:r w:rsidRPr="00096AC8">
        <w:rPr>
          <w:sz w:val="28"/>
          <w:szCs w:val="28"/>
        </w:rPr>
        <w:t>„0” scenārija aprēķins veikts ar pieņēmumu, ka nenotiek elektrotīkla modernizācija, pārejot uz 25 kV maiņstrāvu.</w:t>
      </w:r>
    </w:p>
    <w:p w:rsidR="006A3915" w:rsidRPr="00096AC8" w:rsidRDefault="0077443E" w:rsidP="0077443E">
      <w:pPr>
        <w:jc w:val="both"/>
        <w:rPr>
          <w:sz w:val="28"/>
          <w:szCs w:val="28"/>
        </w:rPr>
      </w:pPr>
      <w:r w:rsidRPr="00096AC8">
        <w:rPr>
          <w:sz w:val="28"/>
          <w:szCs w:val="28"/>
        </w:rPr>
        <w:tab/>
      </w:r>
    </w:p>
    <w:p w:rsidR="006A3915" w:rsidRPr="00096AC8" w:rsidRDefault="006A3915" w:rsidP="006A3915">
      <w:pPr>
        <w:jc w:val="both"/>
        <w:rPr>
          <w:rFonts w:ascii="TimesNewRomanPSMT" w:hAnsi="TimesNewRomanPSMT" w:cs="TimesNewRomanPSMT"/>
          <w:sz w:val="28"/>
          <w:szCs w:val="28"/>
        </w:rPr>
      </w:pPr>
      <w:r w:rsidRPr="00096AC8">
        <w:rPr>
          <w:rFonts w:ascii="TimesNewRomanPSMT" w:hAnsi="TimesNewRomanPSMT" w:cs="TimesNewRomanPSMT"/>
          <w:sz w:val="28"/>
          <w:szCs w:val="28"/>
        </w:rPr>
        <w:tab/>
        <w:t xml:space="preserve">Lai iegādātos jaunu ritošo sastāvu savā īpašumā izmantojot ilgtermiņa kredītu, </w:t>
      </w:r>
      <w:r w:rsidR="00D7212D" w:rsidRPr="00096AC8">
        <w:rPr>
          <w:rFonts w:ascii="TimesNewRomanPSMT" w:hAnsi="TimesNewRomanPSMT" w:cs="TimesNewRomanPSMT"/>
          <w:sz w:val="28"/>
          <w:szCs w:val="28"/>
        </w:rPr>
        <w:t xml:space="preserve">nepieciešams valsts kases aizdevums (kurš būtu vislētākais), kā arī nebūtu </w:t>
      </w:r>
      <w:r w:rsidRPr="00096AC8">
        <w:rPr>
          <w:rFonts w:ascii="TimesNewRomanPSMT" w:hAnsi="TimesNewRomanPSMT" w:cs="TimesNewRomanPSMT"/>
          <w:sz w:val="28"/>
          <w:szCs w:val="28"/>
        </w:rPr>
        <w:t>nepieciešams palielināt pamatkapitālu par 37 milj. LVL, lai saglabātu pašu kapitāla un bilances attiecību 40% robežās un nebūtu nepieciešams papildus nodrošinājums</w:t>
      </w:r>
      <w:r w:rsidR="007119F8" w:rsidRPr="00096AC8">
        <w:rPr>
          <w:rFonts w:ascii="TimesNewRomanPSMT" w:hAnsi="TimesNewRomanPSMT" w:cs="TimesNewRomanPSMT"/>
          <w:sz w:val="28"/>
          <w:szCs w:val="28"/>
        </w:rPr>
        <w:t>, kā arī, lai nodrošinātu jauno vilcienu remonta centra izveidi</w:t>
      </w:r>
      <w:r w:rsidRPr="00096AC8">
        <w:rPr>
          <w:rFonts w:ascii="TimesNewRomanPSMT" w:hAnsi="TimesNewRomanPSMT" w:cs="TimesNewRomanPSMT"/>
          <w:sz w:val="28"/>
          <w:szCs w:val="28"/>
        </w:rPr>
        <w:t xml:space="preserve">. </w:t>
      </w:r>
    </w:p>
    <w:p w:rsidR="006A3915" w:rsidRPr="00096AC8" w:rsidRDefault="006A3915" w:rsidP="006A3915">
      <w:pPr>
        <w:jc w:val="both"/>
        <w:rPr>
          <w:rFonts w:ascii="TimesNewRomanPSMT" w:hAnsi="TimesNewRomanPSMT" w:cs="TimesNewRomanPSMT"/>
          <w:sz w:val="28"/>
          <w:szCs w:val="28"/>
        </w:rPr>
      </w:pPr>
      <w:r w:rsidRPr="00096AC8">
        <w:rPr>
          <w:rFonts w:ascii="TimesNewRomanPSMT" w:hAnsi="TimesNewRomanPSMT" w:cs="TimesNewRomanPSMT"/>
          <w:sz w:val="28"/>
          <w:szCs w:val="28"/>
        </w:rPr>
        <w:tab/>
        <w:t xml:space="preserve">Ilgtermiņa nomā 15 gadu periodā nav nepieciešams pamatkapitāla palielinājums. Ja atlikusī vērtība nomas perioda beigās sastāda </w:t>
      </w:r>
      <w:r w:rsidR="00AD2E98" w:rsidRPr="00096AC8">
        <w:rPr>
          <w:rFonts w:ascii="TimesNewRomanPSMT" w:hAnsi="TimesNewRomanPSMT" w:cs="TimesNewRomanPSMT"/>
          <w:sz w:val="28"/>
          <w:szCs w:val="28"/>
        </w:rPr>
        <w:t>20</w:t>
      </w:r>
      <w:r w:rsidRPr="00096AC8">
        <w:rPr>
          <w:rFonts w:ascii="TimesNewRomanPSMT" w:hAnsi="TimesNewRomanPSMT" w:cs="TimesNewRomanPSMT"/>
          <w:sz w:val="28"/>
          <w:szCs w:val="28"/>
        </w:rPr>
        <w:t xml:space="preserve">%, ik gadu nomas maksa sastādītu </w:t>
      </w:r>
      <w:r w:rsidR="00AD2E98" w:rsidRPr="00096AC8">
        <w:rPr>
          <w:rFonts w:ascii="TimesNewRomanPSMT" w:hAnsi="TimesNewRomanPSMT" w:cs="TimesNewRomanPSMT"/>
          <w:sz w:val="28"/>
          <w:szCs w:val="28"/>
        </w:rPr>
        <w:t xml:space="preserve">7 </w:t>
      </w:r>
      <w:r w:rsidRPr="00096AC8">
        <w:rPr>
          <w:rFonts w:ascii="TimesNewRomanPSMT" w:hAnsi="TimesNewRomanPSMT" w:cs="TimesNewRomanPSMT"/>
          <w:sz w:val="28"/>
          <w:szCs w:val="28"/>
        </w:rPr>
        <w:t>milj. LVL. Pēc 15 gadu perioda elektrovilcienus par atlikušo vērtību</w:t>
      </w:r>
      <w:r w:rsidR="00AD2E98" w:rsidRPr="00096AC8">
        <w:rPr>
          <w:rFonts w:ascii="TimesNewRomanPSMT" w:hAnsi="TimesNewRomanPSMT" w:cs="TimesNewRomanPSMT"/>
          <w:sz w:val="28"/>
          <w:szCs w:val="28"/>
        </w:rPr>
        <w:t xml:space="preserve"> paredzēts izpirkt</w:t>
      </w:r>
      <w:r w:rsidRPr="00096AC8">
        <w:rPr>
          <w:rFonts w:ascii="TimesNewRomanPSMT" w:hAnsi="TimesNewRomanPSMT" w:cs="TimesNewRomanPSMT"/>
          <w:sz w:val="28"/>
          <w:szCs w:val="28"/>
        </w:rPr>
        <w:t xml:space="preserve">, veikt kapitālo remontu un turpināt </w:t>
      </w:r>
      <w:r w:rsidR="0077443E" w:rsidRPr="00096AC8">
        <w:rPr>
          <w:rFonts w:ascii="TimesNewRomanPSMT" w:hAnsi="TimesNewRomanPSMT" w:cs="TimesNewRomanPSMT"/>
          <w:sz w:val="28"/>
          <w:szCs w:val="28"/>
        </w:rPr>
        <w:t xml:space="preserve">ekspluatēt </w:t>
      </w:r>
      <w:r w:rsidRPr="00096AC8">
        <w:rPr>
          <w:rFonts w:ascii="TimesNewRomanPSMT" w:hAnsi="TimesNewRomanPSMT" w:cs="TimesNewRomanPSMT"/>
          <w:sz w:val="28"/>
          <w:szCs w:val="28"/>
        </w:rPr>
        <w:t>vēl 15 gadus.</w:t>
      </w:r>
    </w:p>
    <w:p w:rsidR="006A3915" w:rsidRPr="00096AC8" w:rsidRDefault="006A3915" w:rsidP="0077443E">
      <w:pPr>
        <w:jc w:val="both"/>
        <w:rPr>
          <w:sz w:val="28"/>
          <w:szCs w:val="28"/>
        </w:rPr>
        <w:sectPr w:rsidR="006A3915" w:rsidRPr="00096AC8" w:rsidSect="00096AC8">
          <w:headerReference w:type="default" r:id="rId9"/>
          <w:footerReference w:type="even" r:id="rId10"/>
          <w:footerReference w:type="default" r:id="rId11"/>
          <w:footerReference w:type="first" r:id="rId12"/>
          <w:pgSz w:w="11906" w:h="16838"/>
          <w:pgMar w:top="1134" w:right="1134" w:bottom="1134" w:left="1701" w:header="709" w:footer="709" w:gutter="0"/>
          <w:cols w:space="708"/>
          <w:titlePg/>
          <w:docGrid w:linePitch="360"/>
        </w:sectPr>
      </w:pPr>
      <w:r w:rsidRPr="00096AC8">
        <w:rPr>
          <w:rFonts w:ascii="TimesNewRomanPSMT" w:hAnsi="TimesNewRomanPSMT" w:cs="TimesNewRomanPSMT"/>
          <w:sz w:val="28"/>
          <w:szCs w:val="28"/>
        </w:rPr>
        <w:tab/>
      </w:r>
    </w:p>
    <w:p w:rsidR="00D7212D" w:rsidRDefault="00FE4A96" w:rsidP="00D7212D">
      <w:pPr>
        <w:sectPr w:rsidR="00D7212D" w:rsidSect="000253DB">
          <w:footerReference w:type="even" r:id="rId13"/>
          <w:footerReference w:type="default" r:id="rId14"/>
          <w:pgSz w:w="16838" w:h="11906" w:orient="landscape"/>
          <w:pgMar w:top="1797" w:right="1440" w:bottom="1797" w:left="1440" w:header="709" w:footer="429" w:gutter="0"/>
          <w:cols w:space="708"/>
          <w:docGrid w:linePitch="360"/>
        </w:sectPr>
      </w:pPr>
      <w:r w:rsidRPr="00FE4A96">
        <w:rPr>
          <w:noProof/>
        </w:rPr>
        <w:drawing>
          <wp:inline distT="0" distB="0" distL="0" distR="0" wp14:anchorId="6DBE6033" wp14:editId="3B7D8781">
            <wp:extent cx="8614322" cy="5927834"/>
            <wp:effectExtent l="19050" t="0" r="15328"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443E" w:rsidRPr="00096AC8" w:rsidRDefault="00556662" w:rsidP="0077443E">
      <w:pPr>
        <w:ind w:firstLine="720"/>
        <w:jc w:val="both"/>
        <w:rPr>
          <w:sz w:val="28"/>
          <w:szCs w:val="28"/>
        </w:rPr>
      </w:pPr>
      <w:r w:rsidRPr="00096AC8">
        <w:rPr>
          <w:sz w:val="28"/>
          <w:szCs w:val="28"/>
        </w:rPr>
        <w:t>K</w:t>
      </w:r>
      <w:r w:rsidR="0077443E" w:rsidRPr="00096AC8">
        <w:rPr>
          <w:sz w:val="28"/>
          <w:szCs w:val="28"/>
        </w:rPr>
        <w:t>opējās valsts dotāciju izmaksas un nākotnes naudas tagadnes vērtīb</w:t>
      </w:r>
      <w:r w:rsidRPr="00096AC8">
        <w:rPr>
          <w:sz w:val="28"/>
          <w:szCs w:val="28"/>
        </w:rPr>
        <w:t>a</w:t>
      </w:r>
      <w:r w:rsidR="0077443E" w:rsidRPr="00096AC8">
        <w:rPr>
          <w:sz w:val="28"/>
          <w:szCs w:val="28"/>
        </w:rPr>
        <w:t xml:space="preserve"> laika posmā no 2015. līdz 2045.gadam </w:t>
      </w:r>
      <w:r w:rsidRPr="00096AC8">
        <w:rPr>
          <w:sz w:val="28"/>
          <w:szCs w:val="28"/>
        </w:rPr>
        <w:t>ir salīdzinātas 1.tabulā</w:t>
      </w:r>
      <w:r w:rsidR="0077443E" w:rsidRPr="00096AC8">
        <w:rPr>
          <w:sz w:val="28"/>
          <w:szCs w:val="28"/>
        </w:rPr>
        <w:t>.</w:t>
      </w:r>
    </w:p>
    <w:p w:rsidR="00096AC8" w:rsidRDefault="00096AC8" w:rsidP="00556662">
      <w:pPr>
        <w:ind w:firstLine="720"/>
        <w:jc w:val="right"/>
        <w:rPr>
          <w:sz w:val="20"/>
          <w:szCs w:val="20"/>
        </w:rPr>
      </w:pPr>
    </w:p>
    <w:p w:rsidR="00556662" w:rsidRPr="00096AC8" w:rsidRDefault="00556662" w:rsidP="00556662">
      <w:pPr>
        <w:ind w:firstLine="720"/>
        <w:jc w:val="right"/>
        <w:rPr>
          <w:sz w:val="20"/>
          <w:szCs w:val="20"/>
        </w:rPr>
      </w:pPr>
      <w:r w:rsidRPr="00096AC8">
        <w:rPr>
          <w:sz w:val="20"/>
          <w:szCs w:val="20"/>
        </w:rPr>
        <w:t>1.tabula</w:t>
      </w:r>
    </w:p>
    <w:p w:rsidR="00556662" w:rsidRPr="00096AC8" w:rsidRDefault="00556662" w:rsidP="00556662">
      <w:pPr>
        <w:ind w:firstLine="720"/>
        <w:jc w:val="center"/>
        <w:rPr>
          <w:b/>
          <w:sz w:val="28"/>
          <w:szCs w:val="28"/>
        </w:rPr>
      </w:pPr>
      <w:r w:rsidRPr="00096AC8">
        <w:rPr>
          <w:b/>
          <w:sz w:val="28"/>
          <w:szCs w:val="28"/>
        </w:rPr>
        <w:t>Valsts dotāciju izmaksas no 2015.- 2045.gadam</w:t>
      </w:r>
    </w:p>
    <w:p w:rsidR="0077443E" w:rsidRPr="00096AC8" w:rsidRDefault="0077443E" w:rsidP="0077443E">
      <w:pPr>
        <w:jc w:val="both"/>
        <w:rPr>
          <w:sz w:val="28"/>
          <w:szCs w:val="28"/>
        </w:rPr>
      </w:pPr>
    </w:p>
    <w:tbl>
      <w:tblPr>
        <w:tblW w:w="9077" w:type="dxa"/>
        <w:tblInd w:w="103" w:type="dxa"/>
        <w:tblLook w:val="00A0" w:firstRow="1" w:lastRow="0" w:firstColumn="1" w:lastColumn="0" w:noHBand="0" w:noVBand="0"/>
      </w:tblPr>
      <w:tblGrid>
        <w:gridCol w:w="3691"/>
        <w:gridCol w:w="2268"/>
        <w:gridCol w:w="3118"/>
      </w:tblGrid>
      <w:tr w:rsidR="0077443E" w:rsidRPr="00096AC8" w:rsidTr="005E0041">
        <w:trPr>
          <w:trHeight w:val="315"/>
        </w:trPr>
        <w:tc>
          <w:tcPr>
            <w:tcW w:w="3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43E" w:rsidRPr="00096AC8" w:rsidRDefault="00073096" w:rsidP="00073096">
            <w:pPr>
              <w:jc w:val="center"/>
              <w:rPr>
                <w:b/>
                <w:color w:val="000000"/>
                <w:sz w:val="28"/>
                <w:szCs w:val="28"/>
              </w:rPr>
            </w:pPr>
            <w:r w:rsidRPr="00096AC8">
              <w:rPr>
                <w:b/>
                <w:color w:val="000000"/>
                <w:sz w:val="28"/>
                <w:szCs w:val="28"/>
              </w:rPr>
              <w:t>Scenārijs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7443E" w:rsidRPr="00096AC8" w:rsidRDefault="0077443E" w:rsidP="00073096">
            <w:pPr>
              <w:jc w:val="center"/>
              <w:rPr>
                <w:b/>
                <w:color w:val="000000"/>
                <w:sz w:val="28"/>
                <w:szCs w:val="28"/>
              </w:rPr>
            </w:pPr>
            <w:r w:rsidRPr="00096AC8">
              <w:rPr>
                <w:b/>
                <w:color w:val="000000"/>
                <w:sz w:val="28"/>
                <w:szCs w:val="28"/>
              </w:rPr>
              <w:t>Izmaksas 15-45g</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7443E" w:rsidRPr="00096AC8" w:rsidRDefault="0077443E" w:rsidP="00073096">
            <w:pPr>
              <w:jc w:val="center"/>
              <w:rPr>
                <w:b/>
                <w:color w:val="000000"/>
                <w:sz w:val="28"/>
                <w:szCs w:val="28"/>
              </w:rPr>
            </w:pPr>
            <w:r w:rsidRPr="00096AC8">
              <w:rPr>
                <w:b/>
                <w:color w:val="000000"/>
                <w:sz w:val="28"/>
                <w:szCs w:val="28"/>
              </w:rPr>
              <w:t>Nākotnes naudas tagadnes vērtība</w:t>
            </w:r>
          </w:p>
        </w:tc>
      </w:tr>
      <w:tr w:rsidR="0077443E" w:rsidRPr="00096AC8" w:rsidTr="005E0041">
        <w:trPr>
          <w:trHeight w:val="315"/>
        </w:trPr>
        <w:tc>
          <w:tcPr>
            <w:tcW w:w="3691" w:type="dxa"/>
            <w:tcBorders>
              <w:top w:val="nil"/>
              <w:left w:val="single" w:sz="4" w:space="0" w:color="auto"/>
              <w:bottom w:val="single" w:sz="4" w:space="0" w:color="auto"/>
              <w:right w:val="single" w:sz="4" w:space="0" w:color="auto"/>
            </w:tcBorders>
            <w:shd w:val="clear" w:color="auto" w:fill="auto"/>
            <w:noWrap/>
            <w:vAlign w:val="bottom"/>
          </w:tcPr>
          <w:p w:rsidR="0077443E" w:rsidRPr="00096AC8" w:rsidRDefault="0077443E" w:rsidP="00342D58">
            <w:pPr>
              <w:rPr>
                <w:color w:val="000000"/>
                <w:sz w:val="28"/>
                <w:szCs w:val="28"/>
              </w:rPr>
            </w:pPr>
            <w:r w:rsidRPr="00096AC8">
              <w:rPr>
                <w:color w:val="000000"/>
                <w:sz w:val="28"/>
                <w:szCs w:val="28"/>
              </w:rPr>
              <w:t>Noma 15 gadi</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83D85" w:rsidRPr="00096AC8" w:rsidRDefault="00F83D85" w:rsidP="00F83D85">
            <w:pPr>
              <w:jc w:val="right"/>
              <w:rPr>
                <w:color w:val="000000"/>
                <w:sz w:val="28"/>
                <w:szCs w:val="28"/>
              </w:rPr>
            </w:pPr>
            <w:r w:rsidRPr="00096AC8">
              <w:rPr>
                <w:color w:val="000000"/>
                <w:sz w:val="28"/>
                <w:szCs w:val="28"/>
              </w:rPr>
              <w:t>886 421</w:t>
            </w:r>
          </w:p>
          <w:p w:rsidR="0077443E" w:rsidRPr="00096AC8" w:rsidRDefault="0077443E" w:rsidP="00F83D85">
            <w:pPr>
              <w:jc w:val="right"/>
              <w:rPr>
                <w:color w:val="000000"/>
                <w:sz w:val="28"/>
                <w:szCs w:val="28"/>
              </w:rPr>
            </w:pP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F83D85" w:rsidRPr="00096AC8" w:rsidRDefault="00F83D85" w:rsidP="00F83D85">
            <w:pPr>
              <w:jc w:val="right"/>
              <w:rPr>
                <w:color w:val="000000"/>
                <w:sz w:val="28"/>
                <w:szCs w:val="28"/>
              </w:rPr>
            </w:pPr>
            <w:r w:rsidRPr="00096AC8">
              <w:rPr>
                <w:color w:val="000000"/>
                <w:sz w:val="28"/>
                <w:szCs w:val="28"/>
              </w:rPr>
              <w:t>466 481</w:t>
            </w:r>
          </w:p>
          <w:p w:rsidR="0077443E" w:rsidRPr="00096AC8" w:rsidRDefault="0077443E" w:rsidP="00F83D85">
            <w:pPr>
              <w:jc w:val="right"/>
              <w:rPr>
                <w:color w:val="000000"/>
                <w:sz w:val="28"/>
                <w:szCs w:val="28"/>
              </w:rPr>
            </w:pPr>
          </w:p>
        </w:tc>
      </w:tr>
      <w:tr w:rsidR="0077443E" w:rsidRPr="00096AC8" w:rsidTr="005E0041">
        <w:trPr>
          <w:trHeight w:val="315"/>
        </w:trPr>
        <w:tc>
          <w:tcPr>
            <w:tcW w:w="3691" w:type="dxa"/>
            <w:tcBorders>
              <w:top w:val="nil"/>
              <w:left w:val="single" w:sz="4" w:space="0" w:color="auto"/>
              <w:bottom w:val="single" w:sz="4" w:space="0" w:color="auto"/>
              <w:right w:val="single" w:sz="4" w:space="0" w:color="auto"/>
            </w:tcBorders>
            <w:shd w:val="clear" w:color="auto" w:fill="auto"/>
            <w:noWrap/>
            <w:vAlign w:val="bottom"/>
          </w:tcPr>
          <w:p w:rsidR="0077443E" w:rsidRPr="00096AC8" w:rsidRDefault="0077443E" w:rsidP="00342D58">
            <w:pPr>
              <w:rPr>
                <w:color w:val="000000"/>
                <w:sz w:val="28"/>
                <w:szCs w:val="28"/>
              </w:rPr>
            </w:pPr>
            <w:r w:rsidRPr="00096AC8">
              <w:rPr>
                <w:color w:val="000000"/>
                <w:sz w:val="28"/>
                <w:szCs w:val="28"/>
              </w:rPr>
              <w:t>Pirkums 20 gadi</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83D85" w:rsidRPr="00096AC8" w:rsidRDefault="00F83D85" w:rsidP="00F83D85">
            <w:pPr>
              <w:jc w:val="right"/>
              <w:rPr>
                <w:color w:val="000000"/>
                <w:sz w:val="28"/>
                <w:szCs w:val="28"/>
              </w:rPr>
            </w:pPr>
            <w:r w:rsidRPr="00096AC8">
              <w:rPr>
                <w:color w:val="000000"/>
                <w:sz w:val="28"/>
                <w:szCs w:val="28"/>
              </w:rPr>
              <w:t>891 731</w:t>
            </w:r>
          </w:p>
          <w:p w:rsidR="0077443E" w:rsidRPr="00096AC8" w:rsidRDefault="0077443E" w:rsidP="00F83D85">
            <w:pPr>
              <w:jc w:val="right"/>
              <w:rPr>
                <w:color w:val="000000"/>
                <w:sz w:val="28"/>
                <w:szCs w:val="28"/>
              </w:rPr>
            </w:pP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F83D85" w:rsidRPr="00096AC8" w:rsidRDefault="00F83D85" w:rsidP="00F83D85">
            <w:pPr>
              <w:jc w:val="right"/>
              <w:rPr>
                <w:color w:val="000000"/>
                <w:sz w:val="28"/>
                <w:szCs w:val="28"/>
              </w:rPr>
            </w:pPr>
            <w:r w:rsidRPr="00096AC8">
              <w:rPr>
                <w:color w:val="000000"/>
                <w:sz w:val="28"/>
                <w:szCs w:val="28"/>
              </w:rPr>
              <w:t>469 536</w:t>
            </w:r>
          </w:p>
          <w:p w:rsidR="0077443E" w:rsidRPr="00096AC8" w:rsidRDefault="0077443E" w:rsidP="00F83D85">
            <w:pPr>
              <w:jc w:val="right"/>
              <w:rPr>
                <w:color w:val="000000"/>
                <w:sz w:val="28"/>
                <w:szCs w:val="28"/>
              </w:rPr>
            </w:pPr>
          </w:p>
        </w:tc>
      </w:tr>
      <w:tr w:rsidR="0077443E" w:rsidRPr="00096AC8" w:rsidTr="005E0041">
        <w:trPr>
          <w:trHeight w:val="315"/>
        </w:trPr>
        <w:tc>
          <w:tcPr>
            <w:tcW w:w="3691" w:type="dxa"/>
            <w:tcBorders>
              <w:top w:val="nil"/>
              <w:left w:val="single" w:sz="4" w:space="0" w:color="auto"/>
              <w:bottom w:val="single" w:sz="4" w:space="0" w:color="auto"/>
              <w:right w:val="single" w:sz="4" w:space="0" w:color="auto"/>
            </w:tcBorders>
            <w:shd w:val="clear" w:color="auto" w:fill="auto"/>
            <w:noWrap/>
            <w:vAlign w:val="bottom"/>
          </w:tcPr>
          <w:p w:rsidR="0077443E" w:rsidRPr="00096AC8" w:rsidRDefault="0077443E" w:rsidP="00342D58">
            <w:pPr>
              <w:rPr>
                <w:color w:val="000000"/>
                <w:sz w:val="28"/>
                <w:szCs w:val="28"/>
              </w:rPr>
            </w:pPr>
            <w:r w:rsidRPr="00096AC8">
              <w:rPr>
                <w:color w:val="000000"/>
                <w:sz w:val="28"/>
                <w:szCs w:val="28"/>
              </w:rPr>
              <w:t>Pirkums 30gadi</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83D85" w:rsidRPr="00096AC8" w:rsidRDefault="00F83D85" w:rsidP="00F83D85">
            <w:pPr>
              <w:jc w:val="right"/>
              <w:rPr>
                <w:color w:val="000000"/>
                <w:sz w:val="28"/>
                <w:szCs w:val="28"/>
              </w:rPr>
            </w:pPr>
            <w:r w:rsidRPr="00096AC8">
              <w:rPr>
                <w:color w:val="000000"/>
                <w:sz w:val="28"/>
                <w:szCs w:val="28"/>
              </w:rPr>
              <w:t>904 905</w:t>
            </w:r>
          </w:p>
          <w:p w:rsidR="0077443E" w:rsidRPr="00096AC8" w:rsidRDefault="0077443E" w:rsidP="00F83D85">
            <w:pPr>
              <w:jc w:val="right"/>
              <w:rPr>
                <w:color w:val="000000"/>
                <w:sz w:val="28"/>
                <w:szCs w:val="28"/>
              </w:rPr>
            </w:pP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F83D85" w:rsidRPr="00096AC8" w:rsidRDefault="00F83D85" w:rsidP="00F83D85">
            <w:pPr>
              <w:jc w:val="right"/>
              <w:rPr>
                <w:color w:val="000000"/>
                <w:sz w:val="28"/>
                <w:szCs w:val="28"/>
              </w:rPr>
            </w:pPr>
            <w:r w:rsidRPr="00096AC8">
              <w:rPr>
                <w:color w:val="000000"/>
                <w:sz w:val="28"/>
                <w:szCs w:val="28"/>
              </w:rPr>
              <w:t>463 925</w:t>
            </w:r>
          </w:p>
          <w:p w:rsidR="0077443E" w:rsidRPr="00096AC8" w:rsidRDefault="0077443E" w:rsidP="00F83D85">
            <w:pPr>
              <w:jc w:val="right"/>
              <w:rPr>
                <w:color w:val="000000"/>
                <w:sz w:val="28"/>
                <w:szCs w:val="28"/>
              </w:rPr>
            </w:pPr>
          </w:p>
        </w:tc>
      </w:tr>
      <w:tr w:rsidR="0077443E" w:rsidRPr="00096AC8" w:rsidTr="005E0041">
        <w:trPr>
          <w:trHeight w:val="325"/>
        </w:trPr>
        <w:tc>
          <w:tcPr>
            <w:tcW w:w="3691" w:type="dxa"/>
            <w:tcBorders>
              <w:top w:val="nil"/>
              <w:left w:val="single" w:sz="4" w:space="0" w:color="auto"/>
              <w:bottom w:val="single" w:sz="4" w:space="0" w:color="auto"/>
              <w:right w:val="single" w:sz="4" w:space="0" w:color="auto"/>
            </w:tcBorders>
            <w:shd w:val="clear" w:color="auto" w:fill="auto"/>
            <w:noWrap/>
            <w:vAlign w:val="bottom"/>
          </w:tcPr>
          <w:p w:rsidR="0077443E" w:rsidRPr="00096AC8" w:rsidRDefault="0077443E" w:rsidP="00342D58">
            <w:pPr>
              <w:rPr>
                <w:color w:val="000000"/>
                <w:sz w:val="28"/>
                <w:szCs w:val="28"/>
              </w:rPr>
            </w:pPr>
            <w:r w:rsidRPr="00096AC8">
              <w:rPr>
                <w:color w:val="000000"/>
                <w:sz w:val="28"/>
                <w:szCs w:val="28"/>
              </w:rPr>
              <w:t>"0" scenārijs</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83D85" w:rsidRPr="00096AC8" w:rsidRDefault="00F83D85" w:rsidP="00F83D85">
            <w:pPr>
              <w:jc w:val="right"/>
              <w:rPr>
                <w:color w:val="000000"/>
                <w:sz w:val="28"/>
                <w:szCs w:val="28"/>
              </w:rPr>
            </w:pPr>
            <w:r w:rsidRPr="00096AC8">
              <w:rPr>
                <w:color w:val="000000"/>
                <w:sz w:val="28"/>
                <w:szCs w:val="28"/>
              </w:rPr>
              <w:t>980 316</w:t>
            </w:r>
          </w:p>
          <w:p w:rsidR="0077443E" w:rsidRPr="00096AC8" w:rsidRDefault="0077443E" w:rsidP="00F83D85">
            <w:pPr>
              <w:jc w:val="right"/>
              <w:rPr>
                <w:color w:val="000000"/>
                <w:sz w:val="28"/>
                <w:szCs w:val="28"/>
              </w:rPr>
            </w:pP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F83D85" w:rsidRPr="00096AC8" w:rsidRDefault="00F83D85" w:rsidP="00F83D85">
            <w:pPr>
              <w:jc w:val="right"/>
              <w:rPr>
                <w:color w:val="000000"/>
                <w:sz w:val="28"/>
                <w:szCs w:val="28"/>
              </w:rPr>
            </w:pPr>
            <w:r w:rsidRPr="00096AC8">
              <w:rPr>
                <w:color w:val="000000"/>
                <w:sz w:val="28"/>
                <w:szCs w:val="28"/>
              </w:rPr>
              <w:t>507 735</w:t>
            </w:r>
          </w:p>
          <w:p w:rsidR="0077443E" w:rsidRPr="00096AC8" w:rsidRDefault="0077443E" w:rsidP="00F83D85">
            <w:pPr>
              <w:jc w:val="right"/>
              <w:rPr>
                <w:color w:val="000000"/>
                <w:sz w:val="28"/>
                <w:szCs w:val="28"/>
              </w:rPr>
            </w:pPr>
          </w:p>
        </w:tc>
      </w:tr>
    </w:tbl>
    <w:p w:rsidR="00556662" w:rsidRPr="00096AC8" w:rsidRDefault="00556662" w:rsidP="00D7212D">
      <w:pPr>
        <w:rPr>
          <w:sz w:val="28"/>
          <w:szCs w:val="28"/>
        </w:rPr>
      </w:pPr>
    </w:p>
    <w:p w:rsidR="00342D58" w:rsidRPr="00096AC8" w:rsidRDefault="00342D58" w:rsidP="00096AC8">
      <w:pPr>
        <w:ind w:firstLine="720"/>
        <w:jc w:val="both"/>
        <w:rPr>
          <w:sz w:val="28"/>
          <w:szCs w:val="28"/>
        </w:rPr>
      </w:pPr>
      <w:r w:rsidRPr="00096AC8">
        <w:rPr>
          <w:sz w:val="28"/>
          <w:szCs w:val="28"/>
        </w:rPr>
        <w:t>Izvērtējot kopējās izmaksas 30 gadu periodā 15 gadu nomas izmaksas ir par 5 milj. jeb 0.5% mazākas</w:t>
      </w:r>
      <w:r w:rsidR="005834AE" w:rsidRPr="00096AC8">
        <w:rPr>
          <w:sz w:val="28"/>
          <w:szCs w:val="28"/>
        </w:rPr>
        <w:t xml:space="preserve"> nekā pirkumam 20 gadu laikā. Lai arī tiek pieņemts ka nomas finansējuma procents (pievienotā likme 2 – 2.5%, 12 mēnešu EURIBOR 0.54%) varētu būt augstāks nekā ilgtermiņa kredītam (2.7% pēc Valsts kases šobrīd dotajiem datiem), tomēr pirkuma gadījumā tiek paredzēts avanss 20% apmērā par kuru būs jāmaksā kredīta procenti). </w:t>
      </w:r>
    </w:p>
    <w:p w:rsidR="005834AE" w:rsidRPr="00096AC8" w:rsidRDefault="005834AE" w:rsidP="00096AC8">
      <w:pPr>
        <w:ind w:firstLine="720"/>
        <w:jc w:val="both"/>
        <w:rPr>
          <w:sz w:val="28"/>
          <w:szCs w:val="28"/>
        </w:rPr>
      </w:pPr>
      <w:r w:rsidRPr="00096AC8">
        <w:rPr>
          <w:sz w:val="28"/>
          <w:szCs w:val="28"/>
        </w:rPr>
        <w:t>Izvērtējot nākotnes naudas tagadnes vērtību, visizdevīgākais ir pirkums 30 gados, kas ir par 2.6 milj. jeb 0.5% mazāks nekā 15 gadu nomai. Tas galvenokārt saistīts ar to ka maksājumi tiek „izstiepti” ilgākā laika periodā.</w:t>
      </w:r>
    </w:p>
    <w:p w:rsidR="004876A2" w:rsidRPr="00096AC8" w:rsidRDefault="00556662" w:rsidP="00096AC8">
      <w:pPr>
        <w:ind w:firstLine="720"/>
        <w:jc w:val="both"/>
        <w:rPr>
          <w:sz w:val="28"/>
          <w:szCs w:val="28"/>
          <w:highlight w:val="yellow"/>
        </w:rPr>
      </w:pPr>
      <w:r w:rsidRPr="00096AC8">
        <w:rPr>
          <w:sz w:val="28"/>
          <w:szCs w:val="28"/>
        </w:rPr>
        <w:t>No finansiālā viedokļa vērtējot visi trīs scenāriji ir praktiski līdzvērtīgi,</w:t>
      </w:r>
      <w:r w:rsidR="005834AE" w:rsidRPr="00096AC8">
        <w:rPr>
          <w:sz w:val="28"/>
          <w:szCs w:val="28"/>
        </w:rPr>
        <w:t xml:space="preserve"> un mainoties naudas cenai kreditēšanā un/vai nomā, tas var ietekmēt aprēķinus</w:t>
      </w:r>
    </w:p>
    <w:p w:rsidR="00865B53" w:rsidRPr="00096AC8" w:rsidRDefault="005834AE" w:rsidP="00096AC8">
      <w:pPr>
        <w:ind w:firstLine="720"/>
        <w:jc w:val="both"/>
        <w:rPr>
          <w:sz w:val="28"/>
          <w:szCs w:val="28"/>
          <w:u w:val="single"/>
        </w:rPr>
      </w:pPr>
      <w:r w:rsidRPr="00096AC8">
        <w:rPr>
          <w:b/>
          <w:sz w:val="28"/>
          <w:szCs w:val="28"/>
          <w:u w:val="single"/>
        </w:rPr>
        <w:t xml:space="preserve">No ekonomiskā viedokļa </w:t>
      </w:r>
      <w:r w:rsidR="008A3D7B" w:rsidRPr="00096AC8">
        <w:rPr>
          <w:b/>
          <w:sz w:val="28"/>
          <w:szCs w:val="28"/>
          <w:u w:val="single"/>
        </w:rPr>
        <w:t xml:space="preserve">visi trīs scenāriji ir salīdzināmi un praktiski vienādi, līdz ar to pamatotākais variants būtu vilcienu noma uz 15 gadiem, tos atpērkot, ja pieejamie kredīta resursi būs lētāki nekā nomas izmaksas. </w:t>
      </w:r>
      <w:r w:rsidR="007119F8" w:rsidRPr="00096AC8">
        <w:rPr>
          <w:b/>
          <w:sz w:val="28"/>
          <w:szCs w:val="28"/>
          <w:u w:val="single"/>
        </w:rPr>
        <w:t xml:space="preserve">Kad tiks palielināts pamatkapitāls un notikušas izmaiņas naudas cenā, nolikumā </w:t>
      </w:r>
      <w:r w:rsidR="00A65A9A" w:rsidRPr="00096AC8">
        <w:rPr>
          <w:b/>
          <w:sz w:val="28"/>
          <w:szCs w:val="28"/>
          <w:u w:val="single"/>
        </w:rPr>
        <w:t>jā</w:t>
      </w:r>
      <w:r w:rsidR="007119F8" w:rsidRPr="00096AC8">
        <w:rPr>
          <w:b/>
          <w:sz w:val="28"/>
          <w:szCs w:val="28"/>
          <w:u w:val="single"/>
        </w:rPr>
        <w:t xml:space="preserve">paredz </w:t>
      </w:r>
      <w:r w:rsidR="00A65A9A" w:rsidRPr="00096AC8">
        <w:rPr>
          <w:b/>
          <w:sz w:val="28"/>
          <w:szCs w:val="28"/>
          <w:u w:val="single"/>
        </w:rPr>
        <w:t xml:space="preserve">vilcienus </w:t>
      </w:r>
      <w:r w:rsidR="007119F8" w:rsidRPr="00096AC8">
        <w:rPr>
          <w:b/>
          <w:sz w:val="28"/>
          <w:szCs w:val="28"/>
          <w:u w:val="single"/>
        </w:rPr>
        <w:t>izpirkt</w:t>
      </w:r>
      <w:r w:rsidR="00A65A9A" w:rsidRPr="00096AC8">
        <w:rPr>
          <w:sz w:val="28"/>
          <w:szCs w:val="28"/>
          <w:u w:val="single"/>
        </w:rPr>
        <w:t>.</w:t>
      </w:r>
    </w:p>
    <w:p w:rsidR="001E5FC2" w:rsidRPr="00096AC8" w:rsidRDefault="001E5FC2" w:rsidP="001E5FC2">
      <w:pPr>
        <w:jc w:val="both"/>
        <w:rPr>
          <w:sz w:val="28"/>
          <w:szCs w:val="28"/>
          <w:u w:val="single"/>
        </w:rPr>
      </w:pPr>
    </w:p>
    <w:p w:rsidR="003F7959" w:rsidRPr="00096AC8" w:rsidRDefault="003F7959" w:rsidP="00096AC8">
      <w:pPr>
        <w:ind w:firstLine="720"/>
        <w:jc w:val="both"/>
        <w:rPr>
          <w:b/>
          <w:sz w:val="28"/>
          <w:szCs w:val="28"/>
        </w:rPr>
      </w:pPr>
      <w:r w:rsidRPr="00096AC8">
        <w:rPr>
          <w:b/>
          <w:sz w:val="28"/>
          <w:szCs w:val="28"/>
        </w:rPr>
        <w:t>5. RITOŠĀ SASTĀVA TEHNISK</w:t>
      </w:r>
      <w:r w:rsidR="00902B87" w:rsidRPr="00096AC8">
        <w:rPr>
          <w:b/>
          <w:sz w:val="28"/>
          <w:szCs w:val="28"/>
        </w:rPr>
        <w:t>ĀS SPECIFIKĀCIJAS PAMATPRASĪBAS</w:t>
      </w:r>
    </w:p>
    <w:p w:rsidR="00902B87" w:rsidRPr="00096AC8" w:rsidRDefault="00902B87" w:rsidP="001B6FFB">
      <w:pPr>
        <w:jc w:val="both"/>
        <w:rPr>
          <w:b/>
          <w:sz w:val="28"/>
          <w:szCs w:val="28"/>
        </w:rPr>
      </w:pPr>
    </w:p>
    <w:p w:rsidR="003F7959" w:rsidRPr="00096AC8" w:rsidRDefault="00902B87" w:rsidP="00096AC8">
      <w:pPr>
        <w:jc w:val="both"/>
        <w:rPr>
          <w:b/>
          <w:sz w:val="28"/>
          <w:szCs w:val="28"/>
        </w:rPr>
      </w:pPr>
      <w:r w:rsidRPr="00096AC8">
        <w:rPr>
          <w:b/>
          <w:sz w:val="28"/>
          <w:szCs w:val="28"/>
        </w:rPr>
        <w:t>Elektrovilcienu ritošā sastāva pamatprasības</w:t>
      </w:r>
      <w:r w:rsidR="00096AC8" w:rsidRPr="00096AC8">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536"/>
      </w:tblGrid>
      <w:tr w:rsidR="003F7959" w:rsidRPr="00096AC8" w:rsidTr="005E0041">
        <w:tc>
          <w:tcPr>
            <w:tcW w:w="4644" w:type="dxa"/>
            <w:shd w:val="clear" w:color="auto" w:fill="A6A6A6"/>
          </w:tcPr>
          <w:p w:rsidR="003F7959" w:rsidRPr="00096AC8" w:rsidRDefault="003F7959" w:rsidP="0036667E">
            <w:pPr>
              <w:jc w:val="both"/>
              <w:rPr>
                <w:sz w:val="28"/>
                <w:szCs w:val="28"/>
              </w:rPr>
            </w:pPr>
            <w:r w:rsidRPr="00096AC8">
              <w:rPr>
                <w:sz w:val="28"/>
                <w:szCs w:val="28"/>
              </w:rPr>
              <w:t>Rādītājs</w:t>
            </w:r>
          </w:p>
        </w:tc>
        <w:tc>
          <w:tcPr>
            <w:tcW w:w="4536" w:type="dxa"/>
            <w:shd w:val="clear" w:color="auto" w:fill="A6A6A6"/>
          </w:tcPr>
          <w:p w:rsidR="003F7959" w:rsidRPr="00096AC8" w:rsidRDefault="003F7959" w:rsidP="0036667E">
            <w:pPr>
              <w:jc w:val="both"/>
              <w:rPr>
                <w:sz w:val="28"/>
                <w:szCs w:val="28"/>
              </w:rPr>
            </w:pPr>
            <w:r w:rsidRPr="00096AC8">
              <w:rPr>
                <w:sz w:val="28"/>
                <w:szCs w:val="28"/>
              </w:rPr>
              <w:t>Vērtība</w:t>
            </w:r>
          </w:p>
        </w:tc>
      </w:tr>
      <w:tr w:rsidR="003F7959" w:rsidRPr="00096AC8" w:rsidTr="005E0041">
        <w:tc>
          <w:tcPr>
            <w:tcW w:w="4644" w:type="dxa"/>
          </w:tcPr>
          <w:p w:rsidR="003F7959" w:rsidRPr="00096AC8" w:rsidRDefault="003F7959" w:rsidP="0036667E">
            <w:pPr>
              <w:jc w:val="both"/>
              <w:rPr>
                <w:sz w:val="28"/>
                <w:szCs w:val="28"/>
              </w:rPr>
            </w:pPr>
            <w:r w:rsidRPr="00096AC8">
              <w:rPr>
                <w:sz w:val="28"/>
                <w:szCs w:val="28"/>
              </w:rPr>
              <w:t>Sliežu platums</w:t>
            </w:r>
          </w:p>
        </w:tc>
        <w:tc>
          <w:tcPr>
            <w:tcW w:w="4536" w:type="dxa"/>
          </w:tcPr>
          <w:p w:rsidR="003F7959" w:rsidRPr="00096AC8" w:rsidRDefault="003F7959" w:rsidP="0036667E">
            <w:pPr>
              <w:jc w:val="both"/>
              <w:rPr>
                <w:sz w:val="28"/>
                <w:szCs w:val="28"/>
              </w:rPr>
            </w:pPr>
            <w:r w:rsidRPr="00096AC8">
              <w:rPr>
                <w:sz w:val="28"/>
                <w:szCs w:val="28"/>
              </w:rPr>
              <w:t>1 520 mm</w:t>
            </w:r>
          </w:p>
        </w:tc>
      </w:tr>
      <w:tr w:rsidR="003F7959" w:rsidRPr="00096AC8" w:rsidTr="005E0041">
        <w:tc>
          <w:tcPr>
            <w:tcW w:w="4644" w:type="dxa"/>
          </w:tcPr>
          <w:p w:rsidR="003F7959" w:rsidRPr="00096AC8" w:rsidRDefault="003F7959" w:rsidP="0036667E">
            <w:pPr>
              <w:jc w:val="both"/>
              <w:rPr>
                <w:sz w:val="28"/>
                <w:szCs w:val="28"/>
              </w:rPr>
            </w:pPr>
            <w:r w:rsidRPr="00096AC8">
              <w:rPr>
                <w:sz w:val="28"/>
                <w:szCs w:val="28"/>
              </w:rPr>
              <w:t>Konstruktīvais ātrums</w:t>
            </w:r>
          </w:p>
        </w:tc>
        <w:tc>
          <w:tcPr>
            <w:tcW w:w="4536" w:type="dxa"/>
          </w:tcPr>
          <w:p w:rsidR="003F7959" w:rsidRPr="00096AC8" w:rsidRDefault="003F7959" w:rsidP="0036667E">
            <w:pPr>
              <w:jc w:val="both"/>
              <w:rPr>
                <w:sz w:val="28"/>
                <w:szCs w:val="28"/>
              </w:rPr>
            </w:pPr>
            <w:r w:rsidRPr="00096AC8">
              <w:rPr>
                <w:sz w:val="28"/>
                <w:szCs w:val="28"/>
              </w:rPr>
              <w:t>&gt;=160 km/h</w:t>
            </w:r>
          </w:p>
        </w:tc>
      </w:tr>
      <w:tr w:rsidR="003F7959" w:rsidRPr="00096AC8" w:rsidTr="005E0041">
        <w:tc>
          <w:tcPr>
            <w:tcW w:w="4644" w:type="dxa"/>
          </w:tcPr>
          <w:p w:rsidR="003F7959" w:rsidRPr="00096AC8" w:rsidRDefault="003F7959" w:rsidP="0036667E">
            <w:pPr>
              <w:jc w:val="both"/>
              <w:rPr>
                <w:sz w:val="28"/>
                <w:szCs w:val="28"/>
              </w:rPr>
            </w:pPr>
            <w:r w:rsidRPr="00096AC8">
              <w:rPr>
                <w:sz w:val="28"/>
                <w:szCs w:val="28"/>
              </w:rPr>
              <w:t>Kalpošanas laiks</w:t>
            </w:r>
          </w:p>
        </w:tc>
        <w:tc>
          <w:tcPr>
            <w:tcW w:w="4536" w:type="dxa"/>
          </w:tcPr>
          <w:p w:rsidR="003F7959" w:rsidRPr="00096AC8" w:rsidRDefault="003F7959" w:rsidP="0036667E">
            <w:pPr>
              <w:jc w:val="both"/>
              <w:rPr>
                <w:sz w:val="28"/>
                <w:szCs w:val="28"/>
              </w:rPr>
            </w:pPr>
            <w:r w:rsidRPr="00096AC8">
              <w:rPr>
                <w:sz w:val="28"/>
                <w:szCs w:val="28"/>
              </w:rPr>
              <w:t>&gt;=30 gadi</w:t>
            </w:r>
          </w:p>
        </w:tc>
      </w:tr>
      <w:tr w:rsidR="003F7959" w:rsidRPr="00096AC8" w:rsidTr="005E0041">
        <w:tc>
          <w:tcPr>
            <w:tcW w:w="4644" w:type="dxa"/>
          </w:tcPr>
          <w:p w:rsidR="003F7959" w:rsidRPr="00096AC8" w:rsidRDefault="003F7959" w:rsidP="0036667E">
            <w:pPr>
              <w:jc w:val="both"/>
              <w:rPr>
                <w:sz w:val="28"/>
                <w:szCs w:val="28"/>
              </w:rPr>
            </w:pPr>
            <w:r w:rsidRPr="00096AC8">
              <w:rPr>
                <w:sz w:val="28"/>
                <w:szCs w:val="28"/>
              </w:rPr>
              <w:t>Temperatūras diapazons</w:t>
            </w:r>
          </w:p>
        </w:tc>
        <w:tc>
          <w:tcPr>
            <w:tcW w:w="4536" w:type="dxa"/>
          </w:tcPr>
          <w:p w:rsidR="003F7959" w:rsidRPr="00096AC8" w:rsidRDefault="003F7959" w:rsidP="0036667E">
            <w:pPr>
              <w:jc w:val="both"/>
              <w:rPr>
                <w:sz w:val="28"/>
                <w:szCs w:val="28"/>
              </w:rPr>
            </w:pPr>
            <w:r w:rsidRPr="00096AC8">
              <w:rPr>
                <w:sz w:val="28"/>
                <w:szCs w:val="28"/>
              </w:rPr>
              <w:t>No -40</w:t>
            </w:r>
            <w:r w:rsidRPr="00096AC8">
              <w:rPr>
                <w:sz w:val="28"/>
                <w:szCs w:val="28"/>
              </w:rPr>
              <w:sym w:font="Symbol" w:char="F0B0"/>
            </w:r>
            <w:r w:rsidRPr="00096AC8">
              <w:rPr>
                <w:sz w:val="28"/>
                <w:szCs w:val="28"/>
              </w:rPr>
              <w:t>C to +35</w:t>
            </w:r>
            <w:r w:rsidRPr="00096AC8">
              <w:rPr>
                <w:sz w:val="28"/>
                <w:szCs w:val="28"/>
              </w:rPr>
              <w:sym w:font="Symbol" w:char="F0B0"/>
            </w:r>
            <w:r w:rsidRPr="00096AC8">
              <w:rPr>
                <w:sz w:val="28"/>
                <w:szCs w:val="28"/>
              </w:rPr>
              <w:t>C</w:t>
            </w:r>
          </w:p>
        </w:tc>
      </w:tr>
      <w:tr w:rsidR="003F7959" w:rsidRPr="00096AC8" w:rsidTr="005E0041">
        <w:tc>
          <w:tcPr>
            <w:tcW w:w="4644" w:type="dxa"/>
          </w:tcPr>
          <w:p w:rsidR="003F7959" w:rsidRPr="00096AC8" w:rsidRDefault="003F7959" w:rsidP="0036667E">
            <w:pPr>
              <w:jc w:val="both"/>
              <w:rPr>
                <w:sz w:val="28"/>
                <w:szCs w:val="28"/>
              </w:rPr>
            </w:pPr>
            <w:r w:rsidRPr="00096AC8">
              <w:rPr>
                <w:sz w:val="28"/>
                <w:szCs w:val="28"/>
              </w:rPr>
              <w:t xml:space="preserve"> Vagona korpusa platums</w:t>
            </w:r>
          </w:p>
        </w:tc>
        <w:tc>
          <w:tcPr>
            <w:tcW w:w="4536" w:type="dxa"/>
          </w:tcPr>
          <w:p w:rsidR="003F7959" w:rsidRPr="00096AC8" w:rsidRDefault="003F7959" w:rsidP="0036667E">
            <w:pPr>
              <w:jc w:val="both"/>
              <w:rPr>
                <w:sz w:val="28"/>
                <w:szCs w:val="28"/>
              </w:rPr>
            </w:pPr>
            <w:r w:rsidRPr="00096AC8">
              <w:rPr>
                <w:sz w:val="28"/>
                <w:szCs w:val="28"/>
              </w:rPr>
              <w:t>&gt;=3450 mm</w:t>
            </w:r>
          </w:p>
        </w:tc>
      </w:tr>
      <w:tr w:rsidR="003F7959" w:rsidRPr="00096AC8" w:rsidTr="005E0041">
        <w:tc>
          <w:tcPr>
            <w:tcW w:w="4644" w:type="dxa"/>
          </w:tcPr>
          <w:p w:rsidR="003F7959" w:rsidRPr="00096AC8" w:rsidRDefault="003F7959" w:rsidP="0036667E">
            <w:pPr>
              <w:jc w:val="both"/>
              <w:rPr>
                <w:sz w:val="28"/>
                <w:szCs w:val="28"/>
              </w:rPr>
            </w:pPr>
            <w:r w:rsidRPr="00096AC8">
              <w:rPr>
                <w:sz w:val="28"/>
                <w:szCs w:val="28"/>
              </w:rPr>
              <w:t>Zemās grīdas un sliekšņa augstums virs sliežu augšējās virsmas</w:t>
            </w:r>
          </w:p>
        </w:tc>
        <w:tc>
          <w:tcPr>
            <w:tcW w:w="4536" w:type="dxa"/>
          </w:tcPr>
          <w:p w:rsidR="003F7959" w:rsidRPr="00096AC8" w:rsidRDefault="003F7959" w:rsidP="0036667E">
            <w:pPr>
              <w:jc w:val="both"/>
              <w:rPr>
                <w:sz w:val="28"/>
                <w:szCs w:val="28"/>
              </w:rPr>
            </w:pPr>
            <w:r w:rsidRPr="00096AC8">
              <w:rPr>
                <w:color w:val="000000"/>
                <w:sz w:val="28"/>
                <w:szCs w:val="28"/>
              </w:rPr>
              <w:t>550 ± 30 mm</w:t>
            </w:r>
          </w:p>
        </w:tc>
      </w:tr>
      <w:tr w:rsidR="003F7959" w:rsidRPr="00096AC8" w:rsidTr="005E0041">
        <w:tc>
          <w:tcPr>
            <w:tcW w:w="4644" w:type="dxa"/>
          </w:tcPr>
          <w:p w:rsidR="003F7959" w:rsidRPr="00096AC8" w:rsidRDefault="003F7959" w:rsidP="0036667E">
            <w:pPr>
              <w:jc w:val="both"/>
              <w:rPr>
                <w:sz w:val="28"/>
                <w:szCs w:val="28"/>
              </w:rPr>
            </w:pPr>
            <w:r w:rsidRPr="00096AC8">
              <w:rPr>
                <w:sz w:val="28"/>
                <w:szCs w:val="28"/>
              </w:rPr>
              <w:t>Zemās grīdas īpatsvars</w:t>
            </w:r>
          </w:p>
        </w:tc>
        <w:tc>
          <w:tcPr>
            <w:tcW w:w="4536" w:type="dxa"/>
          </w:tcPr>
          <w:p w:rsidR="003F7959" w:rsidRPr="00096AC8" w:rsidRDefault="003F7959" w:rsidP="0036667E">
            <w:pPr>
              <w:jc w:val="both"/>
              <w:rPr>
                <w:sz w:val="28"/>
                <w:szCs w:val="28"/>
              </w:rPr>
            </w:pPr>
            <w:r w:rsidRPr="00096AC8">
              <w:rPr>
                <w:sz w:val="28"/>
                <w:szCs w:val="28"/>
              </w:rPr>
              <w:t>&gt;=50%</w:t>
            </w:r>
          </w:p>
        </w:tc>
      </w:tr>
      <w:tr w:rsidR="003F7959" w:rsidRPr="00096AC8" w:rsidTr="005E0041">
        <w:tc>
          <w:tcPr>
            <w:tcW w:w="4644" w:type="dxa"/>
          </w:tcPr>
          <w:p w:rsidR="003F7959" w:rsidRPr="00096AC8" w:rsidRDefault="003F7959" w:rsidP="0036667E">
            <w:pPr>
              <w:jc w:val="both"/>
              <w:rPr>
                <w:sz w:val="28"/>
                <w:szCs w:val="28"/>
              </w:rPr>
            </w:pPr>
            <w:r w:rsidRPr="00096AC8">
              <w:rPr>
                <w:sz w:val="28"/>
                <w:szCs w:val="28"/>
              </w:rPr>
              <w:t>Elektroapgāde</w:t>
            </w:r>
          </w:p>
        </w:tc>
        <w:tc>
          <w:tcPr>
            <w:tcW w:w="4536" w:type="dxa"/>
          </w:tcPr>
          <w:p w:rsidR="003F7959" w:rsidRPr="00096AC8" w:rsidRDefault="003F7959" w:rsidP="001A7ABF">
            <w:pPr>
              <w:jc w:val="both"/>
              <w:rPr>
                <w:sz w:val="28"/>
                <w:szCs w:val="28"/>
              </w:rPr>
            </w:pPr>
            <w:r w:rsidRPr="00096AC8">
              <w:rPr>
                <w:color w:val="000000"/>
                <w:spacing w:val="-1"/>
                <w:sz w:val="28"/>
                <w:szCs w:val="28"/>
              </w:rPr>
              <w:t>3,0 kV/DC (pieļaujamas svārstības 2,4 – 4,0 kV/DC) ar iespēju pārveidot uz 25 kV/AC (pieļaujamas svārstības 19 – 29 kV/AC)</w:t>
            </w:r>
          </w:p>
        </w:tc>
      </w:tr>
      <w:tr w:rsidR="003F7959" w:rsidRPr="00096AC8" w:rsidTr="005E0041">
        <w:tc>
          <w:tcPr>
            <w:tcW w:w="4644" w:type="dxa"/>
          </w:tcPr>
          <w:p w:rsidR="003F7959" w:rsidRPr="00096AC8" w:rsidRDefault="003F7959" w:rsidP="0036667E">
            <w:pPr>
              <w:jc w:val="both"/>
              <w:rPr>
                <w:sz w:val="28"/>
                <w:szCs w:val="28"/>
              </w:rPr>
            </w:pPr>
            <w:r w:rsidRPr="00096AC8">
              <w:rPr>
                <w:sz w:val="28"/>
                <w:szCs w:val="28"/>
              </w:rPr>
              <w:t>Maksimālā slodze uz asi, ņemot vērā nepieciešamo aprīkojumu, kas nodrošina darbību gan 3 kV/DC, gan 25 kV/AC tīklos, kā arī maksimālo pasažieru noslogojumu</w:t>
            </w:r>
          </w:p>
        </w:tc>
        <w:tc>
          <w:tcPr>
            <w:tcW w:w="4536" w:type="dxa"/>
          </w:tcPr>
          <w:p w:rsidR="003F7959" w:rsidRPr="00096AC8" w:rsidRDefault="003F7959" w:rsidP="0036667E">
            <w:pPr>
              <w:jc w:val="both"/>
              <w:rPr>
                <w:sz w:val="28"/>
                <w:szCs w:val="28"/>
              </w:rPr>
            </w:pPr>
            <w:r w:rsidRPr="00096AC8">
              <w:rPr>
                <w:sz w:val="28"/>
                <w:szCs w:val="28"/>
              </w:rPr>
              <w:t>200 kN</w:t>
            </w:r>
          </w:p>
        </w:tc>
      </w:tr>
      <w:tr w:rsidR="003F7959" w:rsidRPr="00096AC8" w:rsidTr="005E0041">
        <w:tc>
          <w:tcPr>
            <w:tcW w:w="4644" w:type="dxa"/>
          </w:tcPr>
          <w:p w:rsidR="003F7959" w:rsidRPr="00096AC8" w:rsidRDefault="003F7959" w:rsidP="0036667E">
            <w:pPr>
              <w:jc w:val="both"/>
              <w:rPr>
                <w:sz w:val="28"/>
                <w:szCs w:val="28"/>
              </w:rPr>
            </w:pPr>
            <w:r w:rsidRPr="00096AC8">
              <w:rPr>
                <w:sz w:val="28"/>
                <w:szCs w:val="28"/>
              </w:rPr>
              <w:t>Sēdvietas (t.sk. nolaižamie sēdekļi)</w:t>
            </w:r>
          </w:p>
        </w:tc>
        <w:tc>
          <w:tcPr>
            <w:tcW w:w="4536" w:type="dxa"/>
          </w:tcPr>
          <w:p w:rsidR="003F7959" w:rsidRPr="00096AC8" w:rsidRDefault="003F7959" w:rsidP="0036667E">
            <w:pPr>
              <w:jc w:val="both"/>
              <w:rPr>
                <w:sz w:val="28"/>
                <w:szCs w:val="28"/>
              </w:rPr>
            </w:pPr>
            <w:r w:rsidRPr="00096AC8">
              <w:rPr>
                <w:sz w:val="28"/>
                <w:szCs w:val="28"/>
              </w:rPr>
              <w:t>&gt;=270 (ne vairāk kā 20)</w:t>
            </w:r>
          </w:p>
        </w:tc>
      </w:tr>
      <w:tr w:rsidR="003F7959" w:rsidRPr="00096AC8" w:rsidTr="005E0041">
        <w:tc>
          <w:tcPr>
            <w:tcW w:w="4644" w:type="dxa"/>
          </w:tcPr>
          <w:p w:rsidR="003F7959" w:rsidRPr="00096AC8" w:rsidRDefault="003F7959" w:rsidP="0036667E">
            <w:pPr>
              <w:jc w:val="both"/>
              <w:rPr>
                <w:sz w:val="28"/>
                <w:szCs w:val="28"/>
              </w:rPr>
            </w:pPr>
            <w:r w:rsidRPr="00096AC8">
              <w:rPr>
                <w:sz w:val="28"/>
                <w:szCs w:val="28"/>
              </w:rPr>
              <w:t>Pasažieru stāvvietas (4 personas/</w:t>
            </w:r>
            <w:r w:rsidRPr="00096AC8">
              <w:rPr>
                <w:spacing w:val="-5"/>
                <w:sz w:val="28"/>
                <w:szCs w:val="28"/>
              </w:rPr>
              <w:t xml:space="preserve"> m</w:t>
            </w:r>
            <w:r w:rsidRPr="00096AC8">
              <w:rPr>
                <w:spacing w:val="-5"/>
                <w:sz w:val="28"/>
                <w:szCs w:val="28"/>
                <w:vertAlign w:val="superscript"/>
              </w:rPr>
              <w:t>2</w:t>
            </w:r>
            <w:r w:rsidRPr="00096AC8">
              <w:rPr>
                <w:sz w:val="28"/>
                <w:szCs w:val="28"/>
              </w:rPr>
              <w:t>) ar nosacījumu, ka visas sēdvietas(t.sk. nolaižamie sēdekļi) ir aizņemtas</w:t>
            </w:r>
          </w:p>
        </w:tc>
        <w:tc>
          <w:tcPr>
            <w:tcW w:w="4536" w:type="dxa"/>
          </w:tcPr>
          <w:p w:rsidR="003F7959" w:rsidRPr="00096AC8" w:rsidRDefault="003F7959" w:rsidP="0036667E">
            <w:pPr>
              <w:jc w:val="both"/>
              <w:rPr>
                <w:sz w:val="28"/>
                <w:szCs w:val="28"/>
              </w:rPr>
            </w:pPr>
            <w:r w:rsidRPr="00096AC8">
              <w:rPr>
                <w:sz w:val="28"/>
                <w:szCs w:val="28"/>
              </w:rPr>
              <w:t>&gt;=130</w:t>
            </w:r>
          </w:p>
        </w:tc>
      </w:tr>
      <w:tr w:rsidR="003F7959" w:rsidRPr="00096AC8" w:rsidTr="005E0041">
        <w:tc>
          <w:tcPr>
            <w:tcW w:w="4644" w:type="dxa"/>
          </w:tcPr>
          <w:p w:rsidR="003F7959" w:rsidRPr="00096AC8" w:rsidRDefault="003F7959" w:rsidP="0036667E">
            <w:pPr>
              <w:jc w:val="both"/>
              <w:rPr>
                <w:sz w:val="28"/>
                <w:szCs w:val="28"/>
              </w:rPr>
            </w:pPr>
            <w:r w:rsidRPr="00096AC8">
              <w:rPr>
                <w:sz w:val="28"/>
                <w:szCs w:val="28"/>
              </w:rPr>
              <w:t xml:space="preserve"> Kopējā pasažieru ietilpība (nominālā)</w:t>
            </w:r>
          </w:p>
        </w:tc>
        <w:tc>
          <w:tcPr>
            <w:tcW w:w="4536" w:type="dxa"/>
          </w:tcPr>
          <w:p w:rsidR="003F7959" w:rsidRPr="00096AC8" w:rsidRDefault="003F7959" w:rsidP="0036667E">
            <w:pPr>
              <w:jc w:val="both"/>
              <w:rPr>
                <w:sz w:val="28"/>
                <w:szCs w:val="28"/>
              </w:rPr>
            </w:pPr>
            <w:r w:rsidRPr="00096AC8">
              <w:rPr>
                <w:sz w:val="28"/>
                <w:szCs w:val="28"/>
              </w:rPr>
              <w:t>&gt;=400</w:t>
            </w:r>
          </w:p>
        </w:tc>
      </w:tr>
      <w:tr w:rsidR="003F7959" w:rsidRPr="00096AC8" w:rsidTr="005E0041">
        <w:tc>
          <w:tcPr>
            <w:tcW w:w="4644" w:type="dxa"/>
          </w:tcPr>
          <w:p w:rsidR="003F7959" w:rsidRPr="00096AC8" w:rsidRDefault="003F7959" w:rsidP="0036667E">
            <w:pPr>
              <w:jc w:val="both"/>
              <w:rPr>
                <w:sz w:val="28"/>
                <w:szCs w:val="28"/>
              </w:rPr>
            </w:pPr>
            <w:r w:rsidRPr="00096AC8">
              <w:rPr>
                <w:sz w:val="28"/>
                <w:szCs w:val="28"/>
              </w:rPr>
              <w:t>Vidējais paātrinājums uz līdzena ceļa profila (bez pasažieriem) no 0 km/h līdz 100 km/h</w:t>
            </w:r>
          </w:p>
        </w:tc>
        <w:tc>
          <w:tcPr>
            <w:tcW w:w="4536" w:type="dxa"/>
          </w:tcPr>
          <w:p w:rsidR="003F7959" w:rsidRPr="00096AC8" w:rsidRDefault="003F7959" w:rsidP="0036667E">
            <w:pPr>
              <w:jc w:val="both"/>
              <w:rPr>
                <w:sz w:val="28"/>
                <w:szCs w:val="28"/>
              </w:rPr>
            </w:pPr>
            <w:r w:rsidRPr="00096AC8">
              <w:rPr>
                <w:sz w:val="28"/>
                <w:szCs w:val="28"/>
              </w:rPr>
              <w:t>&gt;=0.8 m/s</w:t>
            </w:r>
            <w:r w:rsidRPr="00096AC8">
              <w:rPr>
                <w:sz w:val="28"/>
                <w:szCs w:val="28"/>
                <w:vertAlign w:val="superscript"/>
              </w:rPr>
              <w:t>2</w:t>
            </w:r>
          </w:p>
        </w:tc>
      </w:tr>
      <w:tr w:rsidR="003F7959" w:rsidRPr="00096AC8" w:rsidTr="005E0041">
        <w:tc>
          <w:tcPr>
            <w:tcW w:w="4644" w:type="dxa"/>
          </w:tcPr>
          <w:p w:rsidR="003F7959" w:rsidRPr="00096AC8" w:rsidRDefault="003F7959" w:rsidP="0036667E">
            <w:pPr>
              <w:jc w:val="both"/>
              <w:rPr>
                <w:color w:val="000000"/>
                <w:spacing w:val="-1"/>
                <w:sz w:val="28"/>
                <w:szCs w:val="28"/>
              </w:rPr>
            </w:pPr>
            <w:r w:rsidRPr="00096AC8">
              <w:rPr>
                <w:sz w:val="28"/>
                <w:szCs w:val="28"/>
              </w:rPr>
              <w:t>Vidējais palēninājums ar darba bremzēm uz līdzena ceļa profila (bez pasažieriem)no 100 km/h līdz 0 km/h</w:t>
            </w:r>
          </w:p>
        </w:tc>
        <w:tc>
          <w:tcPr>
            <w:tcW w:w="4536" w:type="dxa"/>
          </w:tcPr>
          <w:p w:rsidR="003F7959" w:rsidRPr="00096AC8" w:rsidRDefault="003F7959" w:rsidP="0036667E">
            <w:pPr>
              <w:jc w:val="both"/>
              <w:rPr>
                <w:sz w:val="28"/>
                <w:szCs w:val="28"/>
              </w:rPr>
            </w:pPr>
            <w:r w:rsidRPr="00096AC8">
              <w:rPr>
                <w:sz w:val="28"/>
                <w:szCs w:val="28"/>
              </w:rPr>
              <w:t>&gt;=0.8 m/s</w:t>
            </w:r>
            <w:r w:rsidRPr="00096AC8">
              <w:rPr>
                <w:sz w:val="28"/>
                <w:szCs w:val="28"/>
                <w:vertAlign w:val="superscript"/>
              </w:rPr>
              <w:t>2</w:t>
            </w:r>
          </w:p>
        </w:tc>
      </w:tr>
      <w:tr w:rsidR="003F7959" w:rsidRPr="00096AC8" w:rsidTr="005E0041">
        <w:tc>
          <w:tcPr>
            <w:tcW w:w="4644" w:type="dxa"/>
          </w:tcPr>
          <w:p w:rsidR="003F7959" w:rsidRPr="00096AC8" w:rsidRDefault="003F7959" w:rsidP="0036667E">
            <w:pPr>
              <w:jc w:val="both"/>
              <w:rPr>
                <w:sz w:val="28"/>
                <w:szCs w:val="28"/>
              </w:rPr>
            </w:pPr>
            <w:r w:rsidRPr="00096AC8">
              <w:rPr>
                <w:sz w:val="28"/>
                <w:szCs w:val="28"/>
              </w:rPr>
              <w:t>Vidējais palēninājums ar avārijas bremzēm uz līdzena ceļa profila (bez pasažieriem) no 100 km/h līdz 0 km/h</w:t>
            </w:r>
          </w:p>
        </w:tc>
        <w:tc>
          <w:tcPr>
            <w:tcW w:w="4536" w:type="dxa"/>
          </w:tcPr>
          <w:p w:rsidR="003F7959" w:rsidRPr="00096AC8" w:rsidRDefault="003F7959" w:rsidP="0036667E">
            <w:pPr>
              <w:jc w:val="both"/>
              <w:rPr>
                <w:sz w:val="28"/>
                <w:szCs w:val="28"/>
              </w:rPr>
            </w:pPr>
            <w:r w:rsidRPr="00096AC8">
              <w:rPr>
                <w:sz w:val="28"/>
                <w:szCs w:val="28"/>
              </w:rPr>
              <w:t>&gt;=1.1 m/s</w:t>
            </w:r>
            <w:r w:rsidRPr="00096AC8">
              <w:rPr>
                <w:sz w:val="28"/>
                <w:szCs w:val="28"/>
                <w:vertAlign w:val="superscript"/>
              </w:rPr>
              <w:t>2</w:t>
            </w:r>
          </w:p>
        </w:tc>
      </w:tr>
    </w:tbl>
    <w:p w:rsidR="003F7959" w:rsidRPr="005E0041" w:rsidRDefault="003F7959" w:rsidP="001B6FFB">
      <w:pPr>
        <w:autoSpaceDE w:val="0"/>
        <w:autoSpaceDN w:val="0"/>
        <w:adjustRightInd w:val="0"/>
        <w:jc w:val="both"/>
      </w:pPr>
    </w:p>
    <w:p w:rsidR="00902B87" w:rsidRDefault="00096AC8" w:rsidP="00096AC8">
      <w:pPr>
        <w:autoSpaceDE w:val="0"/>
        <w:autoSpaceDN w:val="0"/>
        <w:adjustRightInd w:val="0"/>
        <w:jc w:val="both"/>
      </w:pPr>
      <w:r w:rsidRPr="005E0041">
        <w:t xml:space="preserve">* </w:t>
      </w:r>
      <w:r w:rsidR="00902B87" w:rsidRPr="005E0041">
        <w:t>Dīzeļvilcienu ritošajam sastāvam tehniskās prasības ir atbilstošas esošajam ritošajam sastāvam.</w:t>
      </w:r>
    </w:p>
    <w:p w:rsidR="005E0041" w:rsidRPr="005E0041" w:rsidRDefault="005E0041" w:rsidP="00096AC8">
      <w:pPr>
        <w:autoSpaceDE w:val="0"/>
        <w:autoSpaceDN w:val="0"/>
        <w:adjustRightInd w:val="0"/>
        <w:jc w:val="both"/>
      </w:pPr>
    </w:p>
    <w:p w:rsidR="000253DB" w:rsidRPr="00096AC8" w:rsidRDefault="000253DB" w:rsidP="001B6FFB">
      <w:pPr>
        <w:autoSpaceDE w:val="0"/>
        <w:autoSpaceDN w:val="0"/>
        <w:adjustRightInd w:val="0"/>
        <w:jc w:val="both"/>
        <w:rPr>
          <w:sz w:val="28"/>
          <w:szCs w:val="28"/>
        </w:rPr>
      </w:pPr>
    </w:p>
    <w:p w:rsidR="004F5F86" w:rsidRDefault="004F5F86" w:rsidP="004F5F86">
      <w:pPr>
        <w:jc w:val="both"/>
        <w:rPr>
          <w:sz w:val="28"/>
          <w:szCs w:val="28"/>
        </w:rPr>
      </w:pPr>
      <w:r w:rsidRPr="00096AC8">
        <w:rPr>
          <w:sz w:val="28"/>
          <w:szCs w:val="28"/>
        </w:rPr>
        <w:t>Satiksmes ministrs</w:t>
      </w:r>
      <w:r w:rsidRPr="00096AC8">
        <w:rPr>
          <w:sz w:val="28"/>
          <w:szCs w:val="28"/>
        </w:rPr>
        <w:tab/>
      </w:r>
      <w:r w:rsidRPr="00096AC8">
        <w:rPr>
          <w:sz w:val="28"/>
          <w:szCs w:val="28"/>
        </w:rPr>
        <w:tab/>
      </w:r>
      <w:r w:rsidRPr="00096AC8">
        <w:rPr>
          <w:sz w:val="28"/>
          <w:szCs w:val="28"/>
        </w:rPr>
        <w:tab/>
      </w:r>
      <w:r w:rsidRPr="00096AC8">
        <w:rPr>
          <w:sz w:val="28"/>
          <w:szCs w:val="28"/>
        </w:rPr>
        <w:tab/>
      </w:r>
      <w:r w:rsidRPr="00096AC8">
        <w:rPr>
          <w:sz w:val="28"/>
          <w:szCs w:val="28"/>
        </w:rPr>
        <w:tab/>
      </w:r>
      <w:r w:rsidRPr="00096AC8">
        <w:rPr>
          <w:sz w:val="28"/>
          <w:szCs w:val="28"/>
        </w:rPr>
        <w:tab/>
      </w:r>
      <w:r w:rsidRPr="00096AC8">
        <w:rPr>
          <w:sz w:val="28"/>
          <w:szCs w:val="28"/>
        </w:rPr>
        <w:tab/>
        <w:t>A.Matīss</w:t>
      </w:r>
    </w:p>
    <w:p w:rsidR="005E0041" w:rsidRPr="00096AC8" w:rsidRDefault="005E0041" w:rsidP="004F5F86">
      <w:pPr>
        <w:jc w:val="both"/>
        <w:rPr>
          <w:sz w:val="28"/>
          <w:szCs w:val="28"/>
        </w:rPr>
      </w:pPr>
    </w:p>
    <w:p w:rsidR="004F5F86" w:rsidRPr="00096AC8" w:rsidRDefault="004F5F86" w:rsidP="004F5F86">
      <w:pPr>
        <w:jc w:val="both"/>
        <w:rPr>
          <w:sz w:val="28"/>
          <w:szCs w:val="28"/>
        </w:rPr>
      </w:pPr>
    </w:p>
    <w:p w:rsidR="000253DB" w:rsidRPr="00096AC8" w:rsidRDefault="004F5F86" w:rsidP="004F5F86">
      <w:pPr>
        <w:jc w:val="both"/>
        <w:rPr>
          <w:sz w:val="28"/>
          <w:szCs w:val="28"/>
        </w:rPr>
      </w:pPr>
      <w:r w:rsidRPr="00096AC8">
        <w:rPr>
          <w:sz w:val="28"/>
          <w:szCs w:val="28"/>
        </w:rPr>
        <w:t>Vīza: valsts sekretār</w:t>
      </w:r>
      <w:r w:rsidR="000253DB" w:rsidRPr="00096AC8">
        <w:rPr>
          <w:sz w:val="28"/>
          <w:szCs w:val="28"/>
        </w:rPr>
        <w:t>a vietā –</w:t>
      </w:r>
    </w:p>
    <w:p w:rsidR="004F5F86" w:rsidRPr="00096AC8" w:rsidRDefault="000253DB" w:rsidP="000253DB">
      <w:pPr>
        <w:ind w:firstLine="720"/>
        <w:jc w:val="both"/>
        <w:rPr>
          <w:sz w:val="28"/>
          <w:szCs w:val="28"/>
        </w:rPr>
      </w:pPr>
      <w:r w:rsidRPr="00096AC8">
        <w:rPr>
          <w:sz w:val="28"/>
          <w:szCs w:val="28"/>
        </w:rPr>
        <w:t>Valsts sekretāra vietniece</w:t>
      </w:r>
      <w:r w:rsidR="004F5F86" w:rsidRPr="00096AC8">
        <w:rPr>
          <w:sz w:val="28"/>
          <w:szCs w:val="28"/>
        </w:rPr>
        <w:tab/>
      </w:r>
      <w:r w:rsidR="004F5F86" w:rsidRPr="00096AC8">
        <w:rPr>
          <w:sz w:val="28"/>
          <w:szCs w:val="28"/>
        </w:rPr>
        <w:tab/>
      </w:r>
      <w:r w:rsidR="004F5F86" w:rsidRPr="00096AC8">
        <w:rPr>
          <w:sz w:val="28"/>
          <w:szCs w:val="28"/>
        </w:rPr>
        <w:tab/>
      </w:r>
      <w:r w:rsidR="004F5F86" w:rsidRPr="00096AC8">
        <w:rPr>
          <w:sz w:val="28"/>
          <w:szCs w:val="28"/>
        </w:rPr>
        <w:tab/>
      </w:r>
      <w:r w:rsidR="004F5F86" w:rsidRPr="00096AC8">
        <w:rPr>
          <w:sz w:val="28"/>
          <w:szCs w:val="28"/>
        </w:rPr>
        <w:tab/>
      </w:r>
      <w:proofErr w:type="spellStart"/>
      <w:r w:rsidRPr="00096AC8">
        <w:rPr>
          <w:sz w:val="28"/>
          <w:szCs w:val="28"/>
        </w:rPr>
        <w:t>Dž.Innusa</w:t>
      </w:r>
      <w:proofErr w:type="spellEnd"/>
    </w:p>
    <w:p w:rsidR="004F5F86" w:rsidRPr="00096AC8" w:rsidRDefault="004F5F86" w:rsidP="004F5F86">
      <w:pPr>
        <w:jc w:val="both"/>
        <w:rPr>
          <w:sz w:val="28"/>
          <w:szCs w:val="28"/>
        </w:rPr>
      </w:pPr>
    </w:p>
    <w:p w:rsidR="004F5F86" w:rsidRPr="00D502C1" w:rsidRDefault="004F5F86" w:rsidP="004F5F86">
      <w:pPr>
        <w:jc w:val="both"/>
        <w:rPr>
          <w:sz w:val="20"/>
          <w:szCs w:val="20"/>
        </w:rPr>
      </w:pPr>
    </w:p>
    <w:p w:rsidR="004F5F86" w:rsidRDefault="004F5F86" w:rsidP="004F5F86">
      <w:pPr>
        <w:jc w:val="both"/>
        <w:rPr>
          <w:sz w:val="20"/>
          <w:szCs w:val="20"/>
        </w:rPr>
      </w:pPr>
      <w:r>
        <w:rPr>
          <w:sz w:val="20"/>
          <w:szCs w:val="20"/>
        </w:rPr>
        <w:t>0</w:t>
      </w:r>
      <w:r w:rsidR="000253DB">
        <w:rPr>
          <w:sz w:val="20"/>
          <w:szCs w:val="20"/>
        </w:rPr>
        <w:t>7</w:t>
      </w:r>
      <w:r>
        <w:rPr>
          <w:sz w:val="20"/>
          <w:szCs w:val="20"/>
        </w:rPr>
        <w:t>.</w:t>
      </w:r>
      <w:r w:rsidR="000253DB">
        <w:rPr>
          <w:sz w:val="20"/>
          <w:szCs w:val="20"/>
        </w:rPr>
        <w:t>11</w:t>
      </w:r>
      <w:r w:rsidRPr="00D502C1">
        <w:rPr>
          <w:sz w:val="20"/>
          <w:szCs w:val="20"/>
        </w:rPr>
        <w:t>.201</w:t>
      </w:r>
      <w:r w:rsidR="000253DB">
        <w:rPr>
          <w:sz w:val="20"/>
          <w:szCs w:val="20"/>
        </w:rPr>
        <w:t>3</w:t>
      </w:r>
      <w:r w:rsidRPr="00D502C1">
        <w:rPr>
          <w:sz w:val="20"/>
          <w:szCs w:val="20"/>
        </w:rPr>
        <w:t xml:space="preserve">. </w:t>
      </w:r>
      <w:r>
        <w:rPr>
          <w:sz w:val="20"/>
          <w:szCs w:val="20"/>
        </w:rPr>
        <w:t>1</w:t>
      </w:r>
      <w:r w:rsidR="000253DB">
        <w:rPr>
          <w:sz w:val="20"/>
          <w:szCs w:val="20"/>
        </w:rPr>
        <w:t>1</w:t>
      </w:r>
      <w:r>
        <w:rPr>
          <w:sz w:val="20"/>
          <w:szCs w:val="20"/>
        </w:rPr>
        <w:t>.30</w:t>
      </w:r>
    </w:p>
    <w:p w:rsidR="004F5F86" w:rsidRDefault="00ED18E1" w:rsidP="004F5F86">
      <w:pPr>
        <w:jc w:val="both"/>
        <w:rPr>
          <w:sz w:val="20"/>
          <w:szCs w:val="20"/>
        </w:rPr>
      </w:pPr>
      <w:r>
        <w:rPr>
          <w:sz w:val="20"/>
          <w:szCs w:val="20"/>
        </w:rPr>
        <w:t>29</w:t>
      </w:r>
      <w:r w:rsidR="00C85B76">
        <w:rPr>
          <w:sz w:val="20"/>
          <w:szCs w:val="20"/>
        </w:rPr>
        <w:t>00</w:t>
      </w:r>
    </w:p>
    <w:p w:rsidR="004F5F86" w:rsidRDefault="000253DB" w:rsidP="004F5F86">
      <w:pPr>
        <w:rPr>
          <w:sz w:val="20"/>
          <w:szCs w:val="20"/>
        </w:rPr>
      </w:pPr>
      <w:r>
        <w:rPr>
          <w:sz w:val="20"/>
          <w:szCs w:val="20"/>
        </w:rPr>
        <w:t>I.Strautmane</w:t>
      </w:r>
      <w:r w:rsidR="004F5F86">
        <w:rPr>
          <w:sz w:val="20"/>
          <w:szCs w:val="20"/>
        </w:rPr>
        <w:t>, 67028</w:t>
      </w:r>
      <w:r>
        <w:rPr>
          <w:sz w:val="20"/>
          <w:szCs w:val="20"/>
        </w:rPr>
        <w:t>231</w:t>
      </w:r>
    </w:p>
    <w:p w:rsidR="004F5F86" w:rsidRPr="006814E3" w:rsidRDefault="000253DB" w:rsidP="004F5F86">
      <w:r>
        <w:rPr>
          <w:sz w:val="20"/>
          <w:szCs w:val="20"/>
        </w:rPr>
        <w:t>Inguna.strautmane</w:t>
      </w:r>
      <w:r w:rsidR="004F5F86">
        <w:rPr>
          <w:sz w:val="20"/>
          <w:szCs w:val="20"/>
        </w:rPr>
        <w:t>@sam.gov.lv</w:t>
      </w:r>
      <w:r w:rsidR="004F5F86">
        <w:tab/>
      </w:r>
    </w:p>
    <w:p w:rsidR="003F7959" w:rsidRPr="00272A4B" w:rsidRDefault="003F7959" w:rsidP="001E2D27">
      <w:pPr>
        <w:rPr>
          <w:sz w:val="20"/>
          <w:szCs w:val="20"/>
        </w:rPr>
      </w:pPr>
    </w:p>
    <w:sectPr w:rsidR="003F7959" w:rsidRPr="00272A4B" w:rsidSect="005E004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45" w:rsidRDefault="00C44C45">
      <w:r>
        <w:separator/>
      </w:r>
    </w:p>
  </w:endnote>
  <w:endnote w:type="continuationSeparator" w:id="0">
    <w:p w:rsidR="00C44C45" w:rsidRDefault="00C4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4C" w:rsidRDefault="00385C75" w:rsidP="002C78AC">
    <w:pPr>
      <w:pStyle w:val="Footer"/>
      <w:framePr w:wrap="around" w:vAnchor="text" w:hAnchor="margin" w:xAlign="center" w:y="1"/>
      <w:rPr>
        <w:rStyle w:val="PageNumber"/>
      </w:rPr>
    </w:pPr>
    <w:r>
      <w:rPr>
        <w:rStyle w:val="PageNumber"/>
      </w:rPr>
      <w:fldChar w:fldCharType="begin"/>
    </w:r>
    <w:r w:rsidR="004F304C">
      <w:rPr>
        <w:rStyle w:val="PageNumber"/>
      </w:rPr>
      <w:instrText xml:space="preserve">PAGE  </w:instrText>
    </w:r>
    <w:r>
      <w:rPr>
        <w:rStyle w:val="PageNumber"/>
      </w:rPr>
      <w:fldChar w:fldCharType="end"/>
    </w:r>
  </w:p>
  <w:p w:rsidR="004F304C" w:rsidRDefault="004F3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86" w:rsidRPr="000253DB" w:rsidRDefault="004F5F86" w:rsidP="000253DB">
    <w:pPr>
      <w:pStyle w:val="Header"/>
      <w:jc w:val="both"/>
      <w:rPr>
        <w:sz w:val="20"/>
        <w:szCs w:val="20"/>
      </w:rPr>
    </w:pPr>
    <w:r w:rsidRPr="000253DB">
      <w:rPr>
        <w:sz w:val="20"/>
        <w:szCs w:val="20"/>
      </w:rPr>
      <w:t>SAMzino_</w:t>
    </w:r>
    <w:r w:rsidR="000253DB" w:rsidRPr="000253DB">
      <w:rPr>
        <w:sz w:val="20"/>
        <w:szCs w:val="20"/>
      </w:rPr>
      <w:t>071113_PVritsast</w:t>
    </w:r>
    <w:r w:rsidRPr="000253DB">
      <w:rPr>
        <w:sz w:val="20"/>
        <w:szCs w:val="20"/>
      </w:rPr>
      <w:t xml:space="preserve">; Informatīvais ziņojums </w:t>
    </w:r>
    <w:r w:rsidR="000253DB" w:rsidRPr="000253DB">
      <w:rPr>
        <w:spacing w:val="-2"/>
        <w:sz w:val="20"/>
        <w:szCs w:val="20"/>
      </w:rPr>
      <w:t>par AS „Pasažieru vilciens” ritošā sastāva modernizāciju</w:t>
    </w:r>
  </w:p>
  <w:p w:rsidR="004F304C" w:rsidRDefault="004F30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DB" w:rsidRPr="000253DB" w:rsidRDefault="000253DB" w:rsidP="000253DB">
    <w:pPr>
      <w:pStyle w:val="Header"/>
      <w:jc w:val="both"/>
      <w:rPr>
        <w:sz w:val="20"/>
        <w:szCs w:val="20"/>
      </w:rPr>
    </w:pPr>
    <w:r w:rsidRPr="000253DB">
      <w:rPr>
        <w:sz w:val="20"/>
        <w:szCs w:val="20"/>
      </w:rPr>
      <w:t>SAMzino_</w:t>
    </w:r>
    <w:r w:rsidRPr="000253DB">
      <w:rPr>
        <w:sz w:val="20"/>
        <w:szCs w:val="20"/>
      </w:rPr>
      <w:t>071113_PVritsast</w:t>
    </w:r>
    <w:r w:rsidRPr="000253DB">
      <w:rPr>
        <w:sz w:val="20"/>
        <w:szCs w:val="20"/>
      </w:rPr>
      <w:t xml:space="preserve">; Informatīvais ziņojums </w:t>
    </w:r>
    <w:r w:rsidRPr="000253DB">
      <w:rPr>
        <w:spacing w:val="-2"/>
        <w:sz w:val="20"/>
        <w:szCs w:val="20"/>
      </w:rPr>
      <w:t>par AS „Pasažieru vilciens” ritošā sastāva modernizāciju</w:t>
    </w:r>
  </w:p>
  <w:p w:rsidR="000253DB" w:rsidRDefault="000253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4C" w:rsidRDefault="00385C75" w:rsidP="002C78AC">
    <w:pPr>
      <w:pStyle w:val="Footer"/>
      <w:framePr w:wrap="around" w:vAnchor="text" w:hAnchor="margin" w:xAlign="center" w:y="1"/>
      <w:rPr>
        <w:rStyle w:val="PageNumber"/>
      </w:rPr>
    </w:pPr>
    <w:r>
      <w:rPr>
        <w:rStyle w:val="PageNumber"/>
      </w:rPr>
      <w:fldChar w:fldCharType="begin"/>
    </w:r>
    <w:r w:rsidR="004F304C">
      <w:rPr>
        <w:rStyle w:val="PageNumber"/>
      </w:rPr>
      <w:instrText xml:space="preserve">PAGE  </w:instrText>
    </w:r>
    <w:r>
      <w:rPr>
        <w:rStyle w:val="PageNumber"/>
      </w:rPr>
      <w:fldChar w:fldCharType="end"/>
    </w:r>
  </w:p>
  <w:p w:rsidR="004F304C" w:rsidRDefault="004F30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4C" w:rsidRDefault="004F304C" w:rsidP="002C78AC">
    <w:pPr>
      <w:pStyle w:val="Footer"/>
      <w:framePr w:wrap="around" w:vAnchor="text" w:hAnchor="margin" w:xAlign="center" w:y="1"/>
      <w:rPr>
        <w:rStyle w:val="PageNumber"/>
      </w:rPr>
    </w:pPr>
  </w:p>
  <w:p w:rsidR="004F304C" w:rsidRPr="000253DB" w:rsidRDefault="000253DB" w:rsidP="000253DB">
    <w:pPr>
      <w:pStyle w:val="Header"/>
      <w:jc w:val="both"/>
      <w:rPr>
        <w:sz w:val="20"/>
        <w:szCs w:val="20"/>
      </w:rPr>
    </w:pPr>
    <w:r w:rsidRPr="000253DB">
      <w:rPr>
        <w:sz w:val="20"/>
        <w:szCs w:val="20"/>
      </w:rPr>
      <w:t>SAMzino_</w:t>
    </w:r>
    <w:r w:rsidRPr="000253DB">
      <w:rPr>
        <w:sz w:val="20"/>
        <w:szCs w:val="20"/>
      </w:rPr>
      <w:t>071113_PVritsast</w:t>
    </w:r>
    <w:r w:rsidRPr="000253DB">
      <w:rPr>
        <w:sz w:val="20"/>
        <w:szCs w:val="20"/>
      </w:rPr>
      <w:t xml:space="preserve">; Informatīvais ziņojums </w:t>
    </w:r>
    <w:r w:rsidRPr="000253DB">
      <w:rPr>
        <w:spacing w:val="-2"/>
        <w:sz w:val="20"/>
        <w:szCs w:val="20"/>
      </w:rPr>
      <w:t>par AS „Pasažieru vilciens” ritošā sastāva modernizāciju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45" w:rsidRDefault="00C44C45">
      <w:r>
        <w:separator/>
      </w:r>
    </w:p>
  </w:footnote>
  <w:footnote w:type="continuationSeparator" w:id="0">
    <w:p w:rsidR="00C44C45" w:rsidRDefault="00C44C45">
      <w:r>
        <w:continuationSeparator/>
      </w:r>
    </w:p>
  </w:footnote>
  <w:footnote w:id="1">
    <w:p w:rsidR="004F304C" w:rsidRDefault="004F304C" w:rsidP="00BE1440">
      <w:pPr>
        <w:pStyle w:val="FootnoteText"/>
      </w:pPr>
      <w:r>
        <w:rPr>
          <w:rStyle w:val="FootnoteReference"/>
        </w:rPr>
        <w:footnoteRef/>
      </w:r>
      <w:r>
        <w:t xml:space="preserve"> Sabiedriskā transporta pakalpojumu likums, 14.06.2007.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799686"/>
      <w:docPartObj>
        <w:docPartGallery w:val="Page Numbers (Top of Page)"/>
        <w:docPartUnique/>
      </w:docPartObj>
    </w:sdtPr>
    <w:sdtEndPr>
      <w:rPr>
        <w:noProof/>
      </w:rPr>
    </w:sdtEndPr>
    <w:sdtContent>
      <w:p w:rsidR="000253DB" w:rsidRDefault="000253DB">
        <w:pPr>
          <w:pStyle w:val="Header"/>
          <w:jc w:val="center"/>
        </w:pPr>
        <w:r>
          <w:fldChar w:fldCharType="begin"/>
        </w:r>
        <w:r>
          <w:instrText xml:space="preserve"> PAGE   \* MERGEFORMAT </w:instrText>
        </w:r>
        <w:r>
          <w:fldChar w:fldCharType="separate"/>
        </w:r>
        <w:r w:rsidR="008F4DC2">
          <w:rPr>
            <w:noProof/>
          </w:rPr>
          <w:t>5</w:t>
        </w:r>
        <w:r>
          <w:rPr>
            <w:noProof/>
          </w:rPr>
          <w:fldChar w:fldCharType="end"/>
        </w:r>
      </w:p>
    </w:sdtContent>
  </w:sdt>
  <w:p w:rsidR="000253DB" w:rsidRDefault="00025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810"/>
    <w:multiLevelType w:val="hybridMultilevel"/>
    <w:tmpl w:val="40C07BAA"/>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06AB1028"/>
    <w:multiLevelType w:val="hybridMultilevel"/>
    <w:tmpl w:val="FBEAFD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436C95"/>
    <w:multiLevelType w:val="hybridMultilevel"/>
    <w:tmpl w:val="B20E59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B0959FF"/>
    <w:multiLevelType w:val="hybridMultilevel"/>
    <w:tmpl w:val="9C9C938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4">
    <w:nsid w:val="1B222919"/>
    <w:multiLevelType w:val="hybridMultilevel"/>
    <w:tmpl w:val="D48CAEBA"/>
    <w:lvl w:ilvl="0" w:tplc="D996C868">
      <w:start w:val="1"/>
      <w:numFmt w:val="bullet"/>
      <w:lvlText w:val=""/>
      <w:lvlJc w:val="left"/>
      <w:pPr>
        <w:tabs>
          <w:tab w:val="num" w:pos="720"/>
        </w:tabs>
        <w:ind w:left="72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CD55CA1"/>
    <w:multiLevelType w:val="hybridMultilevel"/>
    <w:tmpl w:val="A9D26B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2E39B1"/>
    <w:multiLevelType w:val="hybridMultilevel"/>
    <w:tmpl w:val="FADEBD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97B0145"/>
    <w:multiLevelType w:val="hybridMultilevel"/>
    <w:tmpl w:val="C57A8CA2"/>
    <w:lvl w:ilvl="0" w:tplc="6D302976">
      <w:start w:val="1"/>
      <w:numFmt w:val="bullet"/>
      <w:lvlText w:val=""/>
      <w:lvlJc w:val="left"/>
      <w:pPr>
        <w:tabs>
          <w:tab w:val="num" w:pos="1458"/>
        </w:tabs>
        <w:ind w:left="324" w:firstLine="720"/>
      </w:pPr>
      <w:rPr>
        <w:rFonts w:ascii="Symbol" w:hAnsi="Symbol" w:hint="default"/>
      </w:rPr>
    </w:lvl>
    <w:lvl w:ilvl="1" w:tplc="04260003" w:tentative="1">
      <w:start w:val="1"/>
      <w:numFmt w:val="bullet"/>
      <w:lvlText w:val="o"/>
      <w:lvlJc w:val="left"/>
      <w:pPr>
        <w:tabs>
          <w:tab w:val="num" w:pos="2124"/>
        </w:tabs>
        <w:ind w:left="2124" w:hanging="360"/>
      </w:pPr>
      <w:rPr>
        <w:rFonts w:ascii="Courier New" w:hAnsi="Courier New" w:hint="default"/>
      </w:rPr>
    </w:lvl>
    <w:lvl w:ilvl="2" w:tplc="04260005" w:tentative="1">
      <w:start w:val="1"/>
      <w:numFmt w:val="bullet"/>
      <w:lvlText w:val=""/>
      <w:lvlJc w:val="left"/>
      <w:pPr>
        <w:tabs>
          <w:tab w:val="num" w:pos="2844"/>
        </w:tabs>
        <w:ind w:left="2844" w:hanging="360"/>
      </w:pPr>
      <w:rPr>
        <w:rFonts w:ascii="Wingdings" w:hAnsi="Wingdings" w:hint="default"/>
      </w:rPr>
    </w:lvl>
    <w:lvl w:ilvl="3" w:tplc="04260001" w:tentative="1">
      <w:start w:val="1"/>
      <w:numFmt w:val="bullet"/>
      <w:lvlText w:val=""/>
      <w:lvlJc w:val="left"/>
      <w:pPr>
        <w:tabs>
          <w:tab w:val="num" w:pos="3564"/>
        </w:tabs>
        <w:ind w:left="3564" w:hanging="360"/>
      </w:pPr>
      <w:rPr>
        <w:rFonts w:ascii="Symbol" w:hAnsi="Symbol" w:hint="default"/>
      </w:rPr>
    </w:lvl>
    <w:lvl w:ilvl="4" w:tplc="04260003" w:tentative="1">
      <w:start w:val="1"/>
      <w:numFmt w:val="bullet"/>
      <w:lvlText w:val="o"/>
      <w:lvlJc w:val="left"/>
      <w:pPr>
        <w:tabs>
          <w:tab w:val="num" w:pos="4284"/>
        </w:tabs>
        <w:ind w:left="4284" w:hanging="360"/>
      </w:pPr>
      <w:rPr>
        <w:rFonts w:ascii="Courier New" w:hAnsi="Courier New" w:hint="default"/>
      </w:rPr>
    </w:lvl>
    <w:lvl w:ilvl="5" w:tplc="04260005" w:tentative="1">
      <w:start w:val="1"/>
      <w:numFmt w:val="bullet"/>
      <w:lvlText w:val=""/>
      <w:lvlJc w:val="left"/>
      <w:pPr>
        <w:tabs>
          <w:tab w:val="num" w:pos="5004"/>
        </w:tabs>
        <w:ind w:left="5004" w:hanging="360"/>
      </w:pPr>
      <w:rPr>
        <w:rFonts w:ascii="Wingdings" w:hAnsi="Wingdings" w:hint="default"/>
      </w:rPr>
    </w:lvl>
    <w:lvl w:ilvl="6" w:tplc="04260001" w:tentative="1">
      <w:start w:val="1"/>
      <w:numFmt w:val="bullet"/>
      <w:lvlText w:val=""/>
      <w:lvlJc w:val="left"/>
      <w:pPr>
        <w:tabs>
          <w:tab w:val="num" w:pos="5724"/>
        </w:tabs>
        <w:ind w:left="5724" w:hanging="360"/>
      </w:pPr>
      <w:rPr>
        <w:rFonts w:ascii="Symbol" w:hAnsi="Symbol" w:hint="default"/>
      </w:rPr>
    </w:lvl>
    <w:lvl w:ilvl="7" w:tplc="04260003" w:tentative="1">
      <w:start w:val="1"/>
      <w:numFmt w:val="bullet"/>
      <w:lvlText w:val="o"/>
      <w:lvlJc w:val="left"/>
      <w:pPr>
        <w:tabs>
          <w:tab w:val="num" w:pos="6444"/>
        </w:tabs>
        <w:ind w:left="6444" w:hanging="360"/>
      </w:pPr>
      <w:rPr>
        <w:rFonts w:ascii="Courier New" w:hAnsi="Courier New" w:hint="default"/>
      </w:rPr>
    </w:lvl>
    <w:lvl w:ilvl="8" w:tplc="04260005" w:tentative="1">
      <w:start w:val="1"/>
      <w:numFmt w:val="bullet"/>
      <w:lvlText w:val=""/>
      <w:lvlJc w:val="left"/>
      <w:pPr>
        <w:tabs>
          <w:tab w:val="num" w:pos="7164"/>
        </w:tabs>
        <w:ind w:left="7164" w:hanging="360"/>
      </w:pPr>
      <w:rPr>
        <w:rFonts w:ascii="Wingdings" w:hAnsi="Wingdings" w:hint="default"/>
      </w:rPr>
    </w:lvl>
  </w:abstractNum>
  <w:abstractNum w:abstractNumId="8">
    <w:nsid w:val="31147D7A"/>
    <w:multiLevelType w:val="multilevel"/>
    <w:tmpl w:val="435A484A"/>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lowerLetter"/>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9">
    <w:nsid w:val="34D34ACC"/>
    <w:multiLevelType w:val="multilevel"/>
    <w:tmpl w:val="2A125B5A"/>
    <w:styleLink w:val="StyleOutlinenumbered"/>
    <w:lvl w:ilvl="0">
      <w:start w:val="1"/>
      <w:numFmt w:val="decimal"/>
      <w:suff w:val="nothing"/>
      <w:lvlText w:val="%1."/>
      <w:lvlJc w:val="left"/>
      <w:pPr>
        <w:ind w:left="1191" w:hanging="1191"/>
      </w:pPr>
      <w:rPr>
        <w:rFonts w:cs="Times New Roman" w:hint="default"/>
        <w:sz w:val="24"/>
      </w:rPr>
    </w:lvl>
    <w:lvl w:ilvl="1">
      <w:start w:val="1"/>
      <w:numFmt w:val="decimal"/>
      <w:isLgl/>
      <w:suff w:val="nothing"/>
      <w:lvlText w:val="%1.%2."/>
      <w:lvlJc w:val="left"/>
      <w:pPr>
        <w:ind w:left="1985" w:hanging="1985"/>
      </w:pPr>
      <w:rPr>
        <w:rFonts w:cs="Times New Roman" w:hint="default"/>
      </w:rPr>
    </w:lvl>
    <w:lvl w:ilvl="2">
      <w:start w:val="1"/>
      <w:numFmt w:val="decimal"/>
      <w:isLgl/>
      <w:lvlText w:val="%1.%2.%3."/>
      <w:lvlJc w:val="left"/>
      <w:pPr>
        <w:tabs>
          <w:tab w:val="num" w:pos="2041"/>
        </w:tabs>
        <w:ind w:left="2495" w:hanging="2495"/>
      </w:pPr>
      <w:rPr>
        <w:rFonts w:cs="Times New Roman" w:hint="default"/>
      </w:rPr>
    </w:lvl>
    <w:lvl w:ilvl="3">
      <w:start w:val="1"/>
      <w:numFmt w:val="decimal"/>
      <w:isLgl/>
      <w:lvlText w:val="%1.%2.%3.%4."/>
      <w:lvlJc w:val="left"/>
      <w:pPr>
        <w:tabs>
          <w:tab w:val="num" w:pos="2041"/>
        </w:tabs>
        <w:ind w:left="3345" w:hanging="3345"/>
      </w:pPr>
      <w:rPr>
        <w:rFonts w:cs="Times New Roman" w:hint="default"/>
      </w:rPr>
    </w:lvl>
    <w:lvl w:ilvl="4">
      <w:start w:val="1"/>
      <w:numFmt w:val="decimal"/>
      <w:isLgl/>
      <w:lvlText w:val="%1.%2.%3.%4.%5."/>
      <w:lvlJc w:val="left"/>
      <w:pPr>
        <w:tabs>
          <w:tab w:val="num" w:pos="2041"/>
        </w:tabs>
        <w:ind w:left="4139" w:hanging="4139"/>
      </w:pPr>
      <w:rPr>
        <w:rFonts w:cs="Times New Roman" w:hint="default"/>
      </w:rPr>
    </w:lvl>
    <w:lvl w:ilvl="5">
      <w:start w:val="1"/>
      <w:numFmt w:val="decimal"/>
      <w:isLgl/>
      <w:lvlText w:val="%1.%2.%3.%4.%5.%6."/>
      <w:lvlJc w:val="left"/>
      <w:pPr>
        <w:tabs>
          <w:tab w:val="num" w:pos="2041"/>
        </w:tabs>
        <w:ind w:left="4876" w:hanging="4876"/>
      </w:pPr>
      <w:rPr>
        <w:rFonts w:cs="Times New Roman" w:hint="default"/>
      </w:rPr>
    </w:lvl>
    <w:lvl w:ilvl="6">
      <w:start w:val="1"/>
      <w:numFmt w:val="decimal"/>
      <w:isLgl/>
      <w:lvlText w:val="%1.%2.%3.%4.%5.%6.%7."/>
      <w:lvlJc w:val="left"/>
      <w:pPr>
        <w:tabs>
          <w:tab w:val="num" w:pos="2041"/>
        </w:tabs>
        <w:ind w:left="5639" w:hanging="1440"/>
      </w:pPr>
      <w:rPr>
        <w:rFonts w:cs="Times New Roman" w:hint="default"/>
      </w:rPr>
    </w:lvl>
    <w:lvl w:ilvl="7">
      <w:start w:val="1"/>
      <w:numFmt w:val="decimal"/>
      <w:isLgl/>
      <w:lvlText w:val="%1.%2.%3.%4.%5.%6.%7.%8."/>
      <w:lvlJc w:val="left"/>
      <w:pPr>
        <w:tabs>
          <w:tab w:val="num" w:pos="2041"/>
        </w:tabs>
        <w:ind w:left="5639" w:hanging="1440"/>
      </w:pPr>
      <w:rPr>
        <w:rFonts w:cs="Times New Roman" w:hint="default"/>
      </w:rPr>
    </w:lvl>
    <w:lvl w:ilvl="8">
      <w:start w:val="1"/>
      <w:numFmt w:val="decimal"/>
      <w:isLgl/>
      <w:lvlText w:val="%1.%2.%3.%4.%5.%6.%7.%8.%9."/>
      <w:lvlJc w:val="left"/>
      <w:pPr>
        <w:tabs>
          <w:tab w:val="num" w:pos="2041"/>
        </w:tabs>
        <w:ind w:left="5999" w:hanging="1800"/>
      </w:pPr>
      <w:rPr>
        <w:rFonts w:cs="Times New Roman" w:hint="default"/>
      </w:rPr>
    </w:lvl>
  </w:abstractNum>
  <w:abstractNum w:abstractNumId="10">
    <w:nsid w:val="35274539"/>
    <w:multiLevelType w:val="hybridMultilevel"/>
    <w:tmpl w:val="874E504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5F12570"/>
    <w:multiLevelType w:val="hybridMultilevel"/>
    <w:tmpl w:val="DFC2AD2E"/>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2">
    <w:nsid w:val="42C71EA5"/>
    <w:multiLevelType w:val="hybridMultilevel"/>
    <w:tmpl w:val="62860830"/>
    <w:lvl w:ilvl="0" w:tplc="FFFFFFFF">
      <w:start w:val="1"/>
      <w:numFmt w:val="bullet"/>
      <w:pStyle w:val="Normal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461255D5"/>
    <w:multiLevelType w:val="hybridMultilevel"/>
    <w:tmpl w:val="B896DA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D0F01F9"/>
    <w:multiLevelType w:val="hybridMultilevel"/>
    <w:tmpl w:val="AFE0D8D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29C61DB"/>
    <w:multiLevelType w:val="hybridMultilevel"/>
    <w:tmpl w:val="40C07BAA"/>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541F6A83"/>
    <w:multiLevelType w:val="multilevel"/>
    <w:tmpl w:val="7A44233E"/>
    <w:styleLink w:val="Pareizaanumeracija2012"/>
    <w:lvl w:ilvl="0">
      <w:start w:val="1"/>
      <w:numFmt w:val="decimal"/>
      <w:suff w:val="nothing"/>
      <w:lvlText w:val="%1."/>
      <w:lvlJc w:val="left"/>
      <w:pPr>
        <w:ind w:left="1191" w:hanging="1134"/>
      </w:pPr>
      <w:rPr>
        <w:rFonts w:cs="Times New Roman" w:hint="default"/>
        <w:sz w:val="24"/>
      </w:rPr>
    </w:lvl>
    <w:lvl w:ilvl="1">
      <w:start w:val="1"/>
      <w:numFmt w:val="decimal"/>
      <w:isLgl/>
      <w:suff w:val="nothing"/>
      <w:lvlText w:val="%1.%2."/>
      <w:lvlJc w:val="left"/>
      <w:pPr>
        <w:ind w:left="1928" w:hanging="1871"/>
      </w:pPr>
      <w:rPr>
        <w:rFonts w:cs="Times New Roman" w:hint="default"/>
        <w:b w:val="0"/>
      </w:rPr>
    </w:lvl>
    <w:lvl w:ilvl="2">
      <w:start w:val="1"/>
      <w:numFmt w:val="decimal"/>
      <w:isLgl/>
      <w:lvlText w:val="%1.%2.%3."/>
      <w:lvlJc w:val="left"/>
      <w:pPr>
        <w:tabs>
          <w:tab w:val="num" w:pos="57"/>
        </w:tabs>
        <w:ind w:left="2552" w:hanging="2495"/>
      </w:pPr>
      <w:rPr>
        <w:rFonts w:cs="Times New Roman" w:hint="default"/>
      </w:rPr>
    </w:lvl>
    <w:lvl w:ilvl="3">
      <w:start w:val="1"/>
      <w:numFmt w:val="decimal"/>
      <w:isLgl/>
      <w:lvlText w:val="%1.%2.%3.%4."/>
      <w:lvlJc w:val="left"/>
      <w:pPr>
        <w:tabs>
          <w:tab w:val="num" w:pos="57"/>
        </w:tabs>
        <w:ind w:left="3345" w:hanging="3288"/>
      </w:pPr>
      <w:rPr>
        <w:rFonts w:cs="Times New Roman" w:hint="default"/>
      </w:rPr>
    </w:lvl>
    <w:lvl w:ilvl="4">
      <w:start w:val="1"/>
      <w:numFmt w:val="decimal"/>
      <w:isLgl/>
      <w:lvlText w:val="%1.%2.%3.%4.%5."/>
      <w:lvlJc w:val="left"/>
      <w:pPr>
        <w:tabs>
          <w:tab w:val="num" w:pos="57"/>
        </w:tabs>
        <w:ind w:left="4196" w:hanging="4139"/>
      </w:pPr>
      <w:rPr>
        <w:rFonts w:cs="Times New Roman" w:hint="default"/>
      </w:rPr>
    </w:lvl>
    <w:lvl w:ilvl="5">
      <w:start w:val="1"/>
      <w:numFmt w:val="decimal"/>
      <w:isLgl/>
      <w:lvlText w:val="%1.%2.%3.%4.%5.%6."/>
      <w:lvlJc w:val="left"/>
      <w:pPr>
        <w:tabs>
          <w:tab w:val="num" w:pos="57"/>
        </w:tabs>
        <w:ind w:left="5046" w:hanging="4989"/>
      </w:pPr>
      <w:rPr>
        <w:rFonts w:cs="Times New Roman" w:hint="default"/>
      </w:rPr>
    </w:lvl>
    <w:lvl w:ilvl="6">
      <w:start w:val="1"/>
      <w:numFmt w:val="decimal"/>
      <w:isLgl/>
      <w:lvlText w:val="%6.%1.%5.%2.%3.%4.%7."/>
      <w:lvlJc w:val="left"/>
      <w:pPr>
        <w:tabs>
          <w:tab w:val="num" w:pos="57"/>
        </w:tabs>
        <w:ind w:left="5783" w:hanging="5726"/>
      </w:pPr>
      <w:rPr>
        <w:rFonts w:cs="Times New Roman" w:hint="default"/>
      </w:rPr>
    </w:lvl>
    <w:lvl w:ilvl="7">
      <w:start w:val="1"/>
      <w:numFmt w:val="decimal"/>
      <w:isLgl/>
      <w:lvlText w:val="%1.%2.%3.%4.%5.%6.%7.%8."/>
      <w:lvlJc w:val="left"/>
      <w:pPr>
        <w:tabs>
          <w:tab w:val="num" w:pos="2041"/>
        </w:tabs>
        <w:ind w:left="5639" w:hanging="1440"/>
      </w:pPr>
      <w:rPr>
        <w:rFonts w:cs="Times New Roman" w:hint="default"/>
      </w:rPr>
    </w:lvl>
    <w:lvl w:ilvl="8">
      <w:start w:val="1"/>
      <w:numFmt w:val="decimal"/>
      <w:isLgl/>
      <w:lvlText w:val="%1.%2.%3.%4.%5.%6.%7.%8.%9."/>
      <w:lvlJc w:val="left"/>
      <w:pPr>
        <w:tabs>
          <w:tab w:val="num" w:pos="2041"/>
        </w:tabs>
        <w:ind w:left="5999" w:hanging="1800"/>
      </w:pPr>
      <w:rPr>
        <w:rFonts w:cs="Times New Roman" w:hint="default"/>
      </w:rPr>
    </w:lvl>
  </w:abstractNum>
  <w:abstractNum w:abstractNumId="17">
    <w:nsid w:val="618575A1"/>
    <w:multiLevelType w:val="hybridMultilevel"/>
    <w:tmpl w:val="F9082DF4"/>
    <w:lvl w:ilvl="0" w:tplc="D996C868">
      <w:start w:val="1"/>
      <w:numFmt w:val="bullet"/>
      <w:lvlText w:val=""/>
      <w:lvlJc w:val="left"/>
      <w:pPr>
        <w:ind w:left="1287" w:hanging="360"/>
      </w:pPr>
      <w:rPr>
        <w:rFonts w:ascii="Symbol" w:hAnsi="Symbol" w:hint="default"/>
        <w:sz w:val="2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nsid w:val="6C4C6A91"/>
    <w:multiLevelType w:val="hybridMultilevel"/>
    <w:tmpl w:val="0ED8EC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1F935BE"/>
    <w:multiLevelType w:val="hybridMultilevel"/>
    <w:tmpl w:val="CD525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33807CC"/>
    <w:multiLevelType w:val="multilevel"/>
    <w:tmpl w:val="76726BA8"/>
    <w:lvl w:ilvl="0">
      <w:start w:val="1"/>
      <w:numFmt w:val="decimal"/>
      <w:pStyle w:val="Style1"/>
      <w:suff w:val="nothing"/>
      <w:lvlText w:val="%1."/>
      <w:lvlJc w:val="left"/>
      <w:pPr>
        <w:ind w:left="1418" w:hanging="1361"/>
      </w:pPr>
      <w:rPr>
        <w:rFonts w:cs="Times New Roman" w:hint="default"/>
        <w:sz w:val="24"/>
      </w:rPr>
    </w:lvl>
    <w:lvl w:ilvl="1">
      <w:start w:val="1"/>
      <w:numFmt w:val="decimal"/>
      <w:isLgl/>
      <w:suff w:val="nothing"/>
      <w:lvlText w:val="%1.%2."/>
      <w:lvlJc w:val="left"/>
      <w:pPr>
        <w:ind w:left="2552" w:hanging="1985"/>
      </w:pPr>
      <w:rPr>
        <w:rFonts w:cs="Times New Roman" w:hint="default"/>
        <w:b w:val="0"/>
      </w:rPr>
    </w:lvl>
    <w:lvl w:ilvl="2">
      <w:start w:val="1"/>
      <w:numFmt w:val="decimal"/>
      <w:isLgl/>
      <w:lvlText w:val="%1.%2.%3."/>
      <w:lvlJc w:val="left"/>
      <w:pPr>
        <w:tabs>
          <w:tab w:val="num" w:pos="0"/>
        </w:tabs>
        <w:ind w:left="567" w:firstLine="567"/>
      </w:pPr>
      <w:rPr>
        <w:rFonts w:cs="Times New Roman" w:hint="default"/>
      </w:rPr>
    </w:lvl>
    <w:lvl w:ilvl="3">
      <w:start w:val="1"/>
      <w:numFmt w:val="decimal"/>
      <w:isLgl/>
      <w:lvlText w:val="%1.%2.%3.%4."/>
      <w:lvlJc w:val="left"/>
      <w:pPr>
        <w:tabs>
          <w:tab w:val="num" w:pos="0"/>
        </w:tabs>
        <w:ind w:left="2211" w:hanging="510"/>
      </w:pPr>
      <w:rPr>
        <w:rFonts w:cs="Times New Roman" w:hint="default"/>
      </w:rPr>
    </w:lvl>
    <w:lvl w:ilvl="4">
      <w:start w:val="1"/>
      <w:numFmt w:val="decimal"/>
      <w:isLgl/>
      <w:lvlText w:val="%1.%2.%3.%4.%5."/>
      <w:lvlJc w:val="left"/>
      <w:pPr>
        <w:tabs>
          <w:tab w:val="num" w:pos="57"/>
        </w:tabs>
        <w:ind w:left="9129" w:hanging="6861"/>
      </w:pPr>
      <w:rPr>
        <w:rFonts w:cs="Times New Roman" w:hint="default"/>
      </w:rPr>
    </w:lvl>
    <w:lvl w:ilvl="5">
      <w:start w:val="1"/>
      <w:numFmt w:val="decimal"/>
      <w:isLgl/>
      <w:lvlText w:val="%1.%2.%3.%4.%5.%6."/>
      <w:lvlJc w:val="left"/>
      <w:pPr>
        <w:tabs>
          <w:tab w:val="num" w:pos="57"/>
        </w:tabs>
        <w:ind w:left="9979" w:hanging="7144"/>
      </w:pPr>
      <w:rPr>
        <w:rFonts w:cs="Times New Roman" w:hint="default"/>
      </w:rPr>
    </w:lvl>
    <w:lvl w:ilvl="6">
      <w:start w:val="1"/>
      <w:numFmt w:val="decimal"/>
      <w:isLgl/>
      <w:lvlText w:val="%6.%1.%5.%2.%3.%4.%7."/>
      <w:lvlJc w:val="left"/>
      <w:pPr>
        <w:tabs>
          <w:tab w:val="num" w:pos="57"/>
        </w:tabs>
        <w:ind w:left="10830" w:hanging="7428"/>
      </w:pPr>
      <w:rPr>
        <w:rFonts w:cs="Times New Roman" w:hint="default"/>
      </w:rPr>
    </w:lvl>
    <w:lvl w:ilvl="7">
      <w:start w:val="1"/>
      <w:numFmt w:val="decimal"/>
      <w:isLgl/>
      <w:lvlText w:val="%1.%2.%3.%4.%5.%6.%7.%8."/>
      <w:lvlJc w:val="left"/>
      <w:pPr>
        <w:tabs>
          <w:tab w:val="num" w:pos="2041"/>
        </w:tabs>
        <w:ind w:left="11567" w:hanging="7598"/>
      </w:pPr>
      <w:rPr>
        <w:rFonts w:cs="Times New Roman" w:hint="default"/>
      </w:rPr>
    </w:lvl>
    <w:lvl w:ilvl="8">
      <w:start w:val="1"/>
      <w:numFmt w:val="decimal"/>
      <w:isLgl/>
      <w:lvlText w:val="%1.%2.%3.%4.%5.%6.%7.%8.%9."/>
      <w:lvlJc w:val="left"/>
      <w:pPr>
        <w:tabs>
          <w:tab w:val="num" w:pos="2041"/>
        </w:tabs>
        <w:ind w:left="12191" w:hanging="7088"/>
      </w:pPr>
      <w:rPr>
        <w:rFonts w:cs="Times New Roman" w:hint="default"/>
      </w:rPr>
    </w:lvl>
  </w:abstractNum>
  <w:abstractNum w:abstractNumId="21">
    <w:nsid w:val="77AD76D8"/>
    <w:multiLevelType w:val="hybridMultilevel"/>
    <w:tmpl w:val="039821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AF132C6"/>
    <w:multiLevelType w:val="multilevel"/>
    <w:tmpl w:val="A5A67CF4"/>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3">
    <w:nsid w:val="7D6D196B"/>
    <w:multiLevelType w:val="hybridMultilevel"/>
    <w:tmpl w:val="9B1C1F48"/>
    <w:lvl w:ilvl="0" w:tplc="D996C868">
      <w:start w:val="1"/>
      <w:numFmt w:val="bullet"/>
      <w:lvlText w:val=""/>
      <w:lvlJc w:val="left"/>
      <w:pPr>
        <w:ind w:left="1260" w:hanging="360"/>
      </w:pPr>
      <w:rPr>
        <w:rFonts w:ascii="Symbol" w:hAnsi="Symbol" w:hint="default"/>
        <w:sz w:val="20"/>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num w:numId="1">
    <w:abstractNumId w:val="9"/>
  </w:num>
  <w:num w:numId="2">
    <w:abstractNumId w:val="16"/>
  </w:num>
  <w:num w:numId="3">
    <w:abstractNumId w:val="20"/>
  </w:num>
  <w:num w:numId="4">
    <w:abstractNumId w:val="16"/>
  </w:num>
  <w:num w:numId="5">
    <w:abstractNumId w:val="12"/>
  </w:num>
  <w:num w:numId="6">
    <w:abstractNumId w:val="7"/>
  </w:num>
  <w:num w:numId="7">
    <w:abstractNumId w:val="8"/>
  </w:num>
  <w:num w:numId="8">
    <w:abstractNumId w:val="14"/>
  </w:num>
  <w:num w:numId="9">
    <w:abstractNumId w:val="4"/>
  </w:num>
  <w:num w:numId="10">
    <w:abstractNumId w:val="22"/>
  </w:num>
  <w:num w:numId="11">
    <w:abstractNumId w:val="1"/>
  </w:num>
  <w:num w:numId="12">
    <w:abstractNumId w:val="19"/>
  </w:num>
  <w:num w:numId="13">
    <w:abstractNumId w:val="6"/>
  </w:num>
  <w:num w:numId="14">
    <w:abstractNumId w:val="21"/>
  </w:num>
  <w:num w:numId="15">
    <w:abstractNumId w:val="0"/>
  </w:num>
  <w:num w:numId="16">
    <w:abstractNumId w:val="2"/>
  </w:num>
  <w:num w:numId="17">
    <w:abstractNumId w:val="13"/>
  </w:num>
  <w:num w:numId="18">
    <w:abstractNumId w:val="5"/>
  </w:num>
  <w:num w:numId="19">
    <w:abstractNumId w:val="10"/>
  </w:num>
  <w:num w:numId="20">
    <w:abstractNumId w:val="15"/>
  </w:num>
  <w:num w:numId="21">
    <w:abstractNumId w:val="11"/>
  </w:num>
  <w:num w:numId="22">
    <w:abstractNumId w:val="18"/>
  </w:num>
  <w:num w:numId="23">
    <w:abstractNumId w:val="3"/>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27"/>
    <w:rsid w:val="00003143"/>
    <w:rsid w:val="000050F8"/>
    <w:rsid w:val="000058BA"/>
    <w:rsid w:val="0001241D"/>
    <w:rsid w:val="000124DB"/>
    <w:rsid w:val="000240D6"/>
    <w:rsid w:val="000253DB"/>
    <w:rsid w:val="000270FA"/>
    <w:rsid w:val="00032C7F"/>
    <w:rsid w:val="00056602"/>
    <w:rsid w:val="00063800"/>
    <w:rsid w:val="000651C5"/>
    <w:rsid w:val="00073096"/>
    <w:rsid w:val="000765EA"/>
    <w:rsid w:val="00081379"/>
    <w:rsid w:val="00085B6F"/>
    <w:rsid w:val="00095CCA"/>
    <w:rsid w:val="00095DE8"/>
    <w:rsid w:val="00096AC8"/>
    <w:rsid w:val="000A3C5F"/>
    <w:rsid w:val="000D178E"/>
    <w:rsid w:val="000D7A54"/>
    <w:rsid w:val="000E2C7F"/>
    <w:rsid w:val="000E67C7"/>
    <w:rsid w:val="00112794"/>
    <w:rsid w:val="00117AEA"/>
    <w:rsid w:val="00122564"/>
    <w:rsid w:val="00126DDA"/>
    <w:rsid w:val="0014050C"/>
    <w:rsid w:val="00142E73"/>
    <w:rsid w:val="001467DD"/>
    <w:rsid w:val="00163438"/>
    <w:rsid w:val="00172F9A"/>
    <w:rsid w:val="00180C04"/>
    <w:rsid w:val="001A3B3E"/>
    <w:rsid w:val="001A7ABF"/>
    <w:rsid w:val="001B5F88"/>
    <w:rsid w:val="001B6472"/>
    <w:rsid w:val="001B6FFB"/>
    <w:rsid w:val="001C2058"/>
    <w:rsid w:val="001C6F8A"/>
    <w:rsid w:val="001E2D27"/>
    <w:rsid w:val="001E3FB6"/>
    <w:rsid w:val="001E5FC2"/>
    <w:rsid w:val="00206711"/>
    <w:rsid w:val="00212E95"/>
    <w:rsid w:val="00217DA4"/>
    <w:rsid w:val="00222B8D"/>
    <w:rsid w:val="00226DE3"/>
    <w:rsid w:val="00234625"/>
    <w:rsid w:val="00256153"/>
    <w:rsid w:val="00257287"/>
    <w:rsid w:val="0026007F"/>
    <w:rsid w:val="00261924"/>
    <w:rsid w:val="00264767"/>
    <w:rsid w:val="00271BE5"/>
    <w:rsid w:val="00272116"/>
    <w:rsid w:val="00272A4B"/>
    <w:rsid w:val="00273712"/>
    <w:rsid w:val="00275FD8"/>
    <w:rsid w:val="00297833"/>
    <w:rsid w:val="002A0B3F"/>
    <w:rsid w:val="002A72F0"/>
    <w:rsid w:val="002B3972"/>
    <w:rsid w:val="002C3EEF"/>
    <w:rsid w:val="002C78AC"/>
    <w:rsid w:val="002C7D69"/>
    <w:rsid w:val="002E6CFA"/>
    <w:rsid w:val="002F4DDB"/>
    <w:rsid w:val="00305F15"/>
    <w:rsid w:val="0031347F"/>
    <w:rsid w:val="00330E25"/>
    <w:rsid w:val="00332293"/>
    <w:rsid w:val="00341C59"/>
    <w:rsid w:val="00342D58"/>
    <w:rsid w:val="00353675"/>
    <w:rsid w:val="0036667E"/>
    <w:rsid w:val="003711E5"/>
    <w:rsid w:val="0037258D"/>
    <w:rsid w:val="003732DB"/>
    <w:rsid w:val="00380815"/>
    <w:rsid w:val="003856CE"/>
    <w:rsid w:val="00385B79"/>
    <w:rsid w:val="00385C75"/>
    <w:rsid w:val="00387018"/>
    <w:rsid w:val="0039294A"/>
    <w:rsid w:val="003A1DD9"/>
    <w:rsid w:val="003A5D3B"/>
    <w:rsid w:val="003A74F3"/>
    <w:rsid w:val="003B2E28"/>
    <w:rsid w:val="003B6894"/>
    <w:rsid w:val="003C08A5"/>
    <w:rsid w:val="003C1D9E"/>
    <w:rsid w:val="003C44D1"/>
    <w:rsid w:val="003E3D84"/>
    <w:rsid w:val="003F16A5"/>
    <w:rsid w:val="003F3E89"/>
    <w:rsid w:val="003F64FB"/>
    <w:rsid w:val="003F7959"/>
    <w:rsid w:val="00416671"/>
    <w:rsid w:val="004442DC"/>
    <w:rsid w:val="00452EFD"/>
    <w:rsid w:val="0047109C"/>
    <w:rsid w:val="00477F27"/>
    <w:rsid w:val="00482B23"/>
    <w:rsid w:val="004876A2"/>
    <w:rsid w:val="004A1254"/>
    <w:rsid w:val="004A2DF7"/>
    <w:rsid w:val="004A39D4"/>
    <w:rsid w:val="004A60F2"/>
    <w:rsid w:val="004C07A0"/>
    <w:rsid w:val="004C5471"/>
    <w:rsid w:val="004D6493"/>
    <w:rsid w:val="004E07FB"/>
    <w:rsid w:val="004E4F1D"/>
    <w:rsid w:val="004F304C"/>
    <w:rsid w:val="004F4CF8"/>
    <w:rsid w:val="004F5F86"/>
    <w:rsid w:val="00500D9B"/>
    <w:rsid w:val="00505407"/>
    <w:rsid w:val="00520DB4"/>
    <w:rsid w:val="00543CEA"/>
    <w:rsid w:val="0054673D"/>
    <w:rsid w:val="005538EA"/>
    <w:rsid w:val="00556662"/>
    <w:rsid w:val="005568A6"/>
    <w:rsid w:val="00561A31"/>
    <w:rsid w:val="00575EBE"/>
    <w:rsid w:val="00581CCE"/>
    <w:rsid w:val="005834AE"/>
    <w:rsid w:val="005912F8"/>
    <w:rsid w:val="005A1A0F"/>
    <w:rsid w:val="005B3AB9"/>
    <w:rsid w:val="005D7E04"/>
    <w:rsid w:val="005E0041"/>
    <w:rsid w:val="005F1D8D"/>
    <w:rsid w:val="005F2615"/>
    <w:rsid w:val="005F36BB"/>
    <w:rsid w:val="005F5D47"/>
    <w:rsid w:val="00604E32"/>
    <w:rsid w:val="00606290"/>
    <w:rsid w:val="00620BFE"/>
    <w:rsid w:val="00627665"/>
    <w:rsid w:val="00645B5F"/>
    <w:rsid w:val="00653179"/>
    <w:rsid w:val="00653803"/>
    <w:rsid w:val="00653804"/>
    <w:rsid w:val="006555B5"/>
    <w:rsid w:val="00660CE2"/>
    <w:rsid w:val="00661B94"/>
    <w:rsid w:val="00670DAE"/>
    <w:rsid w:val="00680E01"/>
    <w:rsid w:val="006825AD"/>
    <w:rsid w:val="00692752"/>
    <w:rsid w:val="00693E45"/>
    <w:rsid w:val="006A3915"/>
    <w:rsid w:val="006B2C2F"/>
    <w:rsid w:val="006B4DBB"/>
    <w:rsid w:val="006D6246"/>
    <w:rsid w:val="007055EB"/>
    <w:rsid w:val="007115EC"/>
    <w:rsid w:val="007119F8"/>
    <w:rsid w:val="0072604E"/>
    <w:rsid w:val="00732293"/>
    <w:rsid w:val="00742043"/>
    <w:rsid w:val="00742CEC"/>
    <w:rsid w:val="007512CF"/>
    <w:rsid w:val="00756CEE"/>
    <w:rsid w:val="00765078"/>
    <w:rsid w:val="0077443E"/>
    <w:rsid w:val="00776913"/>
    <w:rsid w:val="00784135"/>
    <w:rsid w:val="00793F71"/>
    <w:rsid w:val="007A10D2"/>
    <w:rsid w:val="007B3EF4"/>
    <w:rsid w:val="007C129D"/>
    <w:rsid w:val="007D57F6"/>
    <w:rsid w:val="007E2675"/>
    <w:rsid w:val="007E7797"/>
    <w:rsid w:val="007F5121"/>
    <w:rsid w:val="008138A7"/>
    <w:rsid w:val="00813F72"/>
    <w:rsid w:val="008158A4"/>
    <w:rsid w:val="00831512"/>
    <w:rsid w:val="0083543F"/>
    <w:rsid w:val="00836573"/>
    <w:rsid w:val="00847A61"/>
    <w:rsid w:val="008559D4"/>
    <w:rsid w:val="00865B53"/>
    <w:rsid w:val="00873003"/>
    <w:rsid w:val="00877691"/>
    <w:rsid w:val="00877CD0"/>
    <w:rsid w:val="008824C1"/>
    <w:rsid w:val="008A3D7B"/>
    <w:rsid w:val="008B15FD"/>
    <w:rsid w:val="008B3ACF"/>
    <w:rsid w:val="008C6D87"/>
    <w:rsid w:val="008E2D4C"/>
    <w:rsid w:val="008E74E6"/>
    <w:rsid w:val="008F4DC2"/>
    <w:rsid w:val="00902B87"/>
    <w:rsid w:val="00906BE0"/>
    <w:rsid w:val="00914593"/>
    <w:rsid w:val="00926696"/>
    <w:rsid w:val="00930A34"/>
    <w:rsid w:val="009346FC"/>
    <w:rsid w:val="00934AD3"/>
    <w:rsid w:val="0093598B"/>
    <w:rsid w:val="00961E93"/>
    <w:rsid w:val="00963927"/>
    <w:rsid w:val="00970163"/>
    <w:rsid w:val="00987221"/>
    <w:rsid w:val="009E3C44"/>
    <w:rsid w:val="00A10CE8"/>
    <w:rsid w:val="00A20747"/>
    <w:rsid w:val="00A21861"/>
    <w:rsid w:val="00A25398"/>
    <w:rsid w:val="00A36A82"/>
    <w:rsid w:val="00A50592"/>
    <w:rsid w:val="00A6288E"/>
    <w:rsid w:val="00A648AE"/>
    <w:rsid w:val="00A65A9A"/>
    <w:rsid w:val="00A72384"/>
    <w:rsid w:val="00A8390F"/>
    <w:rsid w:val="00A85DAB"/>
    <w:rsid w:val="00A949D0"/>
    <w:rsid w:val="00AA1C1D"/>
    <w:rsid w:val="00AA5F3C"/>
    <w:rsid w:val="00AB4C9F"/>
    <w:rsid w:val="00AC371B"/>
    <w:rsid w:val="00AD2E98"/>
    <w:rsid w:val="00AD487E"/>
    <w:rsid w:val="00AD6581"/>
    <w:rsid w:val="00AE5EB7"/>
    <w:rsid w:val="00B0236F"/>
    <w:rsid w:val="00B326B8"/>
    <w:rsid w:val="00B43894"/>
    <w:rsid w:val="00B43B57"/>
    <w:rsid w:val="00B54CFA"/>
    <w:rsid w:val="00B64095"/>
    <w:rsid w:val="00B7260D"/>
    <w:rsid w:val="00B83A8C"/>
    <w:rsid w:val="00BD0F6F"/>
    <w:rsid w:val="00BD5244"/>
    <w:rsid w:val="00BD5FA6"/>
    <w:rsid w:val="00BD7BFE"/>
    <w:rsid w:val="00BE1440"/>
    <w:rsid w:val="00C022A6"/>
    <w:rsid w:val="00C0492E"/>
    <w:rsid w:val="00C1095A"/>
    <w:rsid w:val="00C273DE"/>
    <w:rsid w:val="00C35DDF"/>
    <w:rsid w:val="00C37B5B"/>
    <w:rsid w:val="00C44C45"/>
    <w:rsid w:val="00C53889"/>
    <w:rsid w:val="00C54452"/>
    <w:rsid w:val="00C62E5F"/>
    <w:rsid w:val="00C64AF5"/>
    <w:rsid w:val="00C66CB5"/>
    <w:rsid w:val="00C66D6B"/>
    <w:rsid w:val="00C85261"/>
    <w:rsid w:val="00C85B76"/>
    <w:rsid w:val="00C94ECC"/>
    <w:rsid w:val="00CD0DEC"/>
    <w:rsid w:val="00CD3D2B"/>
    <w:rsid w:val="00CE7169"/>
    <w:rsid w:val="00D033E6"/>
    <w:rsid w:val="00D20107"/>
    <w:rsid w:val="00D259C3"/>
    <w:rsid w:val="00D34755"/>
    <w:rsid w:val="00D347BE"/>
    <w:rsid w:val="00D35DD1"/>
    <w:rsid w:val="00D5128C"/>
    <w:rsid w:val="00D7212D"/>
    <w:rsid w:val="00D87203"/>
    <w:rsid w:val="00D908B9"/>
    <w:rsid w:val="00DA24AF"/>
    <w:rsid w:val="00DD533E"/>
    <w:rsid w:val="00E24233"/>
    <w:rsid w:val="00E36A90"/>
    <w:rsid w:val="00E47FA0"/>
    <w:rsid w:val="00E651FC"/>
    <w:rsid w:val="00E70C25"/>
    <w:rsid w:val="00E75E5E"/>
    <w:rsid w:val="00E95148"/>
    <w:rsid w:val="00EA2B0A"/>
    <w:rsid w:val="00EA3BDF"/>
    <w:rsid w:val="00EA7A33"/>
    <w:rsid w:val="00EB3E87"/>
    <w:rsid w:val="00ED11DE"/>
    <w:rsid w:val="00ED18E1"/>
    <w:rsid w:val="00ED6379"/>
    <w:rsid w:val="00EE5A9B"/>
    <w:rsid w:val="00F01F06"/>
    <w:rsid w:val="00F05792"/>
    <w:rsid w:val="00F266BF"/>
    <w:rsid w:val="00F35F1B"/>
    <w:rsid w:val="00F528D5"/>
    <w:rsid w:val="00F7154E"/>
    <w:rsid w:val="00F728C6"/>
    <w:rsid w:val="00F73F07"/>
    <w:rsid w:val="00F75AD6"/>
    <w:rsid w:val="00F82510"/>
    <w:rsid w:val="00F83D85"/>
    <w:rsid w:val="00F965DE"/>
    <w:rsid w:val="00FA06A4"/>
    <w:rsid w:val="00FB5BC8"/>
    <w:rsid w:val="00FC17B9"/>
    <w:rsid w:val="00FC5F66"/>
    <w:rsid w:val="00FD366D"/>
    <w:rsid w:val="00FD77F1"/>
    <w:rsid w:val="00FE4A96"/>
    <w:rsid w:val="00FF0F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1E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0A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68A6"/>
    <w:rPr>
      <w:rFonts w:cs="Times New Roman"/>
      <w:sz w:val="2"/>
    </w:rPr>
  </w:style>
  <w:style w:type="paragraph" w:customStyle="1" w:styleId="Style1">
    <w:name w:val="Style1"/>
    <w:basedOn w:val="Normal"/>
    <w:autoRedefine/>
    <w:uiPriority w:val="99"/>
    <w:rsid w:val="000E67C7"/>
    <w:pPr>
      <w:numPr>
        <w:numId w:val="3"/>
      </w:numPr>
    </w:pPr>
  </w:style>
  <w:style w:type="paragraph" w:customStyle="1" w:styleId="Normalbullets">
    <w:name w:val="Normal bullets"/>
    <w:basedOn w:val="Normal"/>
    <w:uiPriority w:val="99"/>
    <w:rsid w:val="002B3972"/>
    <w:pPr>
      <w:numPr>
        <w:numId w:val="5"/>
      </w:numPr>
      <w:spacing w:before="240"/>
      <w:jc w:val="both"/>
    </w:pPr>
  </w:style>
  <w:style w:type="character" w:styleId="CommentReference">
    <w:name w:val="annotation reference"/>
    <w:basedOn w:val="DefaultParagraphFont"/>
    <w:uiPriority w:val="99"/>
    <w:semiHidden/>
    <w:rsid w:val="00930A34"/>
    <w:rPr>
      <w:rFonts w:cs="Times New Roman"/>
      <w:sz w:val="16"/>
      <w:szCs w:val="16"/>
    </w:rPr>
  </w:style>
  <w:style w:type="paragraph" w:styleId="CommentText">
    <w:name w:val="annotation text"/>
    <w:basedOn w:val="Normal"/>
    <w:link w:val="CommentTextChar"/>
    <w:uiPriority w:val="99"/>
    <w:semiHidden/>
    <w:rsid w:val="00930A34"/>
    <w:rPr>
      <w:sz w:val="20"/>
      <w:szCs w:val="20"/>
    </w:rPr>
  </w:style>
  <w:style w:type="character" w:customStyle="1" w:styleId="CommentTextChar">
    <w:name w:val="Comment Text Char"/>
    <w:basedOn w:val="DefaultParagraphFont"/>
    <w:link w:val="CommentText"/>
    <w:uiPriority w:val="99"/>
    <w:semiHidden/>
    <w:locked/>
    <w:rsid w:val="005568A6"/>
    <w:rPr>
      <w:rFonts w:cs="Times New Roman"/>
      <w:sz w:val="20"/>
      <w:szCs w:val="20"/>
    </w:rPr>
  </w:style>
  <w:style w:type="paragraph" w:styleId="CommentSubject">
    <w:name w:val="annotation subject"/>
    <w:basedOn w:val="CommentText"/>
    <w:next w:val="CommentText"/>
    <w:link w:val="CommentSubjectChar"/>
    <w:uiPriority w:val="99"/>
    <w:semiHidden/>
    <w:rsid w:val="00930A34"/>
    <w:rPr>
      <w:b/>
      <w:bCs/>
    </w:rPr>
  </w:style>
  <w:style w:type="character" w:customStyle="1" w:styleId="CommentSubjectChar">
    <w:name w:val="Comment Subject Char"/>
    <w:basedOn w:val="CommentTextChar"/>
    <w:link w:val="CommentSubject"/>
    <w:uiPriority w:val="99"/>
    <w:semiHidden/>
    <w:locked/>
    <w:rsid w:val="005568A6"/>
    <w:rPr>
      <w:rFonts w:cs="Times New Roman"/>
      <w:b/>
      <w:bCs/>
      <w:sz w:val="20"/>
      <w:szCs w:val="20"/>
    </w:rPr>
  </w:style>
  <w:style w:type="paragraph" w:styleId="Footer">
    <w:name w:val="footer"/>
    <w:basedOn w:val="Normal"/>
    <w:link w:val="FooterChar"/>
    <w:uiPriority w:val="99"/>
    <w:rsid w:val="001C2058"/>
    <w:pPr>
      <w:tabs>
        <w:tab w:val="center" w:pos="4153"/>
        <w:tab w:val="right" w:pos="8306"/>
      </w:tabs>
    </w:pPr>
  </w:style>
  <w:style w:type="character" w:customStyle="1" w:styleId="FooterChar">
    <w:name w:val="Footer Char"/>
    <w:basedOn w:val="DefaultParagraphFont"/>
    <w:link w:val="Footer"/>
    <w:uiPriority w:val="99"/>
    <w:locked/>
    <w:rsid w:val="005568A6"/>
    <w:rPr>
      <w:rFonts w:cs="Times New Roman"/>
      <w:sz w:val="24"/>
      <w:szCs w:val="24"/>
    </w:rPr>
  </w:style>
  <w:style w:type="character" w:styleId="PageNumber">
    <w:name w:val="page number"/>
    <w:basedOn w:val="DefaultParagraphFont"/>
    <w:uiPriority w:val="99"/>
    <w:rsid w:val="001C2058"/>
    <w:rPr>
      <w:rFonts w:cs="Times New Roman"/>
    </w:rPr>
  </w:style>
  <w:style w:type="paragraph" w:styleId="ListParagraph">
    <w:name w:val="List Paragraph"/>
    <w:basedOn w:val="Normal"/>
    <w:uiPriority w:val="99"/>
    <w:qFormat/>
    <w:rsid w:val="00765078"/>
    <w:pPr>
      <w:spacing w:line="245" w:lineRule="exact"/>
      <w:ind w:left="720" w:right="-57"/>
      <w:contextualSpacing/>
      <w:jc w:val="right"/>
    </w:pPr>
    <w:rPr>
      <w:rFonts w:ascii="Calibri" w:hAnsi="Calibri"/>
      <w:sz w:val="22"/>
      <w:szCs w:val="22"/>
      <w:lang w:eastAsia="en-US"/>
    </w:rPr>
  </w:style>
  <w:style w:type="paragraph" w:customStyle="1" w:styleId="naisf">
    <w:name w:val="naisf"/>
    <w:basedOn w:val="Normal"/>
    <w:uiPriority w:val="99"/>
    <w:rsid w:val="00765078"/>
    <w:pPr>
      <w:spacing w:before="84" w:after="84"/>
      <w:ind w:firstLine="419"/>
      <w:jc w:val="both"/>
    </w:pPr>
    <w:rPr>
      <w:lang w:val="en-US" w:eastAsia="en-US"/>
    </w:rPr>
  </w:style>
  <w:style w:type="paragraph" w:styleId="FootnoteText">
    <w:name w:val="footnote text"/>
    <w:aliases w:val="Footnote,Fußnote"/>
    <w:basedOn w:val="Normal"/>
    <w:link w:val="FootnoteTextChar"/>
    <w:uiPriority w:val="99"/>
    <w:rsid w:val="00BE1440"/>
    <w:rPr>
      <w:sz w:val="20"/>
      <w:szCs w:val="20"/>
      <w:lang w:eastAsia="en-US"/>
    </w:rPr>
  </w:style>
  <w:style w:type="character" w:customStyle="1" w:styleId="FootnoteTextChar">
    <w:name w:val="Footnote Text Char"/>
    <w:aliases w:val="Footnote Char,Fußnote Char"/>
    <w:basedOn w:val="DefaultParagraphFont"/>
    <w:link w:val="FootnoteText"/>
    <w:uiPriority w:val="99"/>
    <w:locked/>
    <w:rsid w:val="00BE1440"/>
    <w:rPr>
      <w:rFonts w:cs="Times New Roman"/>
      <w:lang w:eastAsia="en-US"/>
    </w:rPr>
  </w:style>
  <w:style w:type="character" w:styleId="FootnoteReference">
    <w:name w:val="footnote reference"/>
    <w:aliases w:val="Footnote Reference Number"/>
    <w:basedOn w:val="DefaultParagraphFont"/>
    <w:uiPriority w:val="99"/>
    <w:rsid w:val="00BE1440"/>
    <w:rPr>
      <w:rFonts w:cs="Times New Roman"/>
      <w:vertAlign w:val="superscript"/>
    </w:rPr>
  </w:style>
  <w:style w:type="paragraph" w:styleId="BodyText3">
    <w:name w:val="Body Text 3"/>
    <w:basedOn w:val="Normal"/>
    <w:link w:val="BodyText3Char"/>
    <w:uiPriority w:val="99"/>
    <w:rsid w:val="008138A7"/>
    <w:pPr>
      <w:spacing w:after="120"/>
    </w:pPr>
    <w:rPr>
      <w:sz w:val="16"/>
      <w:szCs w:val="16"/>
    </w:rPr>
  </w:style>
  <w:style w:type="character" w:customStyle="1" w:styleId="BodyText3Char">
    <w:name w:val="Body Text 3 Char"/>
    <w:basedOn w:val="DefaultParagraphFont"/>
    <w:link w:val="BodyText3"/>
    <w:uiPriority w:val="99"/>
    <w:locked/>
    <w:rsid w:val="008138A7"/>
    <w:rPr>
      <w:rFonts w:cs="Times New Roman"/>
      <w:sz w:val="16"/>
      <w:szCs w:val="16"/>
    </w:rPr>
  </w:style>
  <w:style w:type="paragraph" w:styleId="NoSpacing">
    <w:name w:val="No Spacing"/>
    <w:uiPriority w:val="1"/>
    <w:qFormat/>
    <w:rsid w:val="00776913"/>
    <w:rPr>
      <w:rFonts w:ascii="Calibri" w:hAnsi="Calibri"/>
      <w:sz w:val="22"/>
      <w:szCs w:val="22"/>
      <w:lang w:eastAsia="en-US"/>
    </w:rPr>
  </w:style>
  <w:style w:type="table" w:styleId="TableGrid">
    <w:name w:val="Table Grid"/>
    <w:basedOn w:val="TableNormal"/>
    <w:uiPriority w:val="99"/>
    <w:rsid w:val="0077691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5912F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36A90"/>
    <w:rPr>
      <w:rFonts w:cs="Times New Roman"/>
      <w:sz w:val="2"/>
    </w:rPr>
  </w:style>
  <w:style w:type="numbering" w:customStyle="1" w:styleId="StyleOutlinenumbered">
    <w:name w:val="Style Outline numbered"/>
    <w:rsid w:val="00183345"/>
    <w:pPr>
      <w:numPr>
        <w:numId w:val="1"/>
      </w:numPr>
    </w:pPr>
  </w:style>
  <w:style w:type="numbering" w:customStyle="1" w:styleId="Pareizaanumeracija2012">
    <w:name w:val="Pareizaa numeracija 2012"/>
    <w:rsid w:val="00183345"/>
    <w:pPr>
      <w:numPr>
        <w:numId w:val="2"/>
      </w:numPr>
    </w:pPr>
  </w:style>
  <w:style w:type="paragraph" w:styleId="Revision">
    <w:name w:val="Revision"/>
    <w:hidden/>
    <w:uiPriority w:val="99"/>
    <w:semiHidden/>
    <w:rsid w:val="002C7D69"/>
    <w:rPr>
      <w:sz w:val="24"/>
      <w:szCs w:val="24"/>
    </w:rPr>
  </w:style>
  <w:style w:type="paragraph" w:styleId="Header">
    <w:name w:val="header"/>
    <w:basedOn w:val="Normal"/>
    <w:link w:val="HeaderChar"/>
    <w:uiPriority w:val="99"/>
    <w:unhideWhenUsed/>
    <w:rsid w:val="006D6246"/>
    <w:pPr>
      <w:tabs>
        <w:tab w:val="center" w:pos="4153"/>
        <w:tab w:val="right" w:pos="8306"/>
      </w:tabs>
    </w:pPr>
  </w:style>
  <w:style w:type="character" w:customStyle="1" w:styleId="HeaderChar">
    <w:name w:val="Header Char"/>
    <w:basedOn w:val="DefaultParagraphFont"/>
    <w:link w:val="Header"/>
    <w:uiPriority w:val="99"/>
    <w:rsid w:val="006D62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1E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0A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68A6"/>
    <w:rPr>
      <w:rFonts w:cs="Times New Roman"/>
      <w:sz w:val="2"/>
    </w:rPr>
  </w:style>
  <w:style w:type="paragraph" w:customStyle="1" w:styleId="Style1">
    <w:name w:val="Style1"/>
    <w:basedOn w:val="Normal"/>
    <w:autoRedefine/>
    <w:uiPriority w:val="99"/>
    <w:rsid w:val="000E67C7"/>
    <w:pPr>
      <w:numPr>
        <w:numId w:val="3"/>
      </w:numPr>
    </w:pPr>
  </w:style>
  <w:style w:type="paragraph" w:customStyle="1" w:styleId="Normalbullets">
    <w:name w:val="Normal bullets"/>
    <w:basedOn w:val="Normal"/>
    <w:uiPriority w:val="99"/>
    <w:rsid w:val="002B3972"/>
    <w:pPr>
      <w:numPr>
        <w:numId w:val="5"/>
      </w:numPr>
      <w:spacing w:before="240"/>
      <w:jc w:val="both"/>
    </w:pPr>
  </w:style>
  <w:style w:type="character" w:styleId="CommentReference">
    <w:name w:val="annotation reference"/>
    <w:basedOn w:val="DefaultParagraphFont"/>
    <w:uiPriority w:val="99"/>
    <w:semiHidden/>
    <w:rsid w:val="00930A34"/>
    <w:rPr>
      <w:rFonts w:cs="Times New Roman"/>
      <w:sz w:val="16"/>
      <w:szCs w:val="16"/>
    </w:rPr>
  </w:style>
  <w:style w:type="paragraph" w:styleId="CommentText">
    <w:name w:val="annotation text"/>
    <w:basedOn w:val="Normal"/>
    <w:link w:val="CommentTextChar"/>
    <w:uiPriority w:val="99"/>
    <w:semiHidden/>
    <w:rsid w:val="00930A34"/>
    <w:rPr>
      <w:sz w:val="20"/>
      <w:szCs w:val="20"/>
    </w:rPr>
  </w:style>
  <w:style w:type="character" w:customStyle="1" w:styleId="CommentTextChar">
    <w:name w:val="Comment Text Char"/>
    <w:basedOn w:val="DefaultParagraphFont"/>
    <w:link w:val="CommentText"/>
    <w:uiPriority w:val="99"/>
    <w:semiHidden/>
    <w:locked/>
    <w:rsid w:val="005568A6"/>
    <w:rPr>
      <w:rFonts w:cs="Times New Roman"/>
      <w:sz w:val="20"/>
      <w:szCs w:val="20"/>
    </w:rPr>
  </w:style>
  <w:style w:type="paragraph" w:styleId="CommentSubject">
    <w:name w:val="annotation subject"/>
    <w:basedOn w:val="CommentText"/>
    <w:next w:val="CommentText"/>
    <w:link w:val="CommentSubjectChar"/>
    <w:uiPriority w:val="99"/>
    <w:semiHidden/>
    <w:rsid w:val="00930A34"/>
    <w:rPr>
      <w:b/>
      <w:bCs/>
    </w:rPr>
  </w:style>
  <w:style w:type="character" w:customStyle="1" w:styleId="CommentSubjectChar">
    <w:name w:val="Comment Subject Char"/>
    <w:basedOn w:val="CommentTextChar"/>
    <w:link w:val="CommentSubject"/>
    <w:uiPriority w:val="99"/>
    <w:semiHidden/>
    <w:locked/>
    <w:rsid w:val="005568A6"/>
    <w:rPr>
      <w:rFonts w:cs="Times New Roman"/>
      <w:b/>
      <w:bCs/>
      <w:sz w:val="20"/>
      <w:szCs w:val="20"/>
    </w:rPr>
  </w:style>
  <w:style w:type="paragraph" w:styleId="Footer">
    <w:name w:val="footer"/>
    <w:basedOn w:val="Normal"/>
    <w:link w:val="FooterChar"/>
    <w:uiPriority w:val="99"/>
    <w:rsid w:val="001C2058"/>
    <w:pPr>
      <w:tabs>
        <w:tab w:val="center" w:pos="4153"/>
        <w:tab w:val="right" w:pos="8306"/>
      </w:tabs>
    </w:pPr>
  </w:style>
  <w:style w:type="character" w:customStyle="1" w:styleId="FooterChar">
    <w:name w:val="Footer Char"/>
    <w:basedOn w:val="DefaultParagraphFont"/>
    <w:link w:val="Footer"/>
    <w:uiPriority w:val="99"/>
    <w:locked/>
    <w:rsid w:val="005568A6"/>
    <w:rPr>
      <w:rFonts w:cs="Times New Roman"/>
      <w:sz w:val="24"/>
      <w:szCs w:val="24"/>
    </w:rPr>
  </w:style>
  <w:style w:type="character" w:styleId="PageNumber">
    <w:name w:val="page number"/>
    <w:basedOn w:val="DefaultParagraphFont"/>
    <w:uiPriority w:val="99"/>
    <w:rsid w:val="001C2058"/>
    <w:rPr>
      <w:rFonts w:cs="Times New Roman"/>
    </w:rPr>
  </w:style>
  <w:style w:type="paragraph" w:styleId="ListParagraph">
    <w:name w:val="List Paragraph"/>
    <w:basedOn w:val="Normal"/>
    <w:uiPriority w:val="99"/>
    <w:qFormat/>
    <w:rsid w:val="00765078"/>
    <w:pPr>
      <w:spacing w:line="245" w:lineRule="exact"/>
      <w:ind w:left="720" w:right="-57"/>
      <w:contextualSpacing/>
      <w:jc w:val="right"/>
    </w:pPr>
    <w:rPr>
      <w:rFonts w:ascii="Calibri" w:hAnsi="Calibri"/>
      <w:sz w:val="22"/>
      <w:szCs w:val="22"/>
      <w:lang w:eastAsia="en-US"/>
    </w:rPr>
  </w:style>
  <w:style w:type="paragraph" w:customStyle="1" w:styleId="naisf">
    <w:name w:val="naisf"/>
    <w:basedOn w:val="Normal"/>
    <w:uiPriority w:val="99"/>
    <w:rsid w:val="00765078"/>
    <w:pPr>
      <w:spacing w:before="84" w:after="84"/>
      <w:ind w:firstLine="419"/>
      <w:jc w:val="both"/>
    </w:pPr>
    <w:rPr>
      <w:lang w:val="en-US" w:eastAsia="en-US"/>
    </w:rPr>
  </w:style>
  <w:style w:type="paragraph" w:styleId="FootnoteText">
    <w:name w:val="footnote text"/>
    <w:aliases w:val="Footnote,Fußnote"/>
    <w:basedOn w:val="Normal"/>
    <w:link w:val="FootnoteTextChar"/>
    <w:uiPriority w:val="99"/>
    <w:rsid w:val="00BE1440"/>
    <w:rPr>
      <w:sz w:val="20"/>
      <w:szCs w:val="20"/>
      <w:lang w:eastAsia="en-US"/>
    </w:rPr>
  </w:style>
  <w:style w:type="character" w:customStyle="1" w:styleId="FootnoteTextChar">
    <w:name w:val="Footnote Text Char"/>
    <w:aliases w:val="Footnote Char,Fußnote Char"/>
    <w:basedOn w:val="DefaultParagraphFont"/>
    <w:link w:val="FootnoteText"/>
    <w:uiPriority w:val="99"/>
    <w:locked/>
    <w:rsid w:val="00BE1440"/>
    <w:rPr>
      <w:rFonts w:cs="Times New Roman"/>
      <w:lang w:eastAsia="en-US"/>
    </w:rPr>
  </w:style>
  <w:style w:type="character" w:styleId="FootnoteReference">
    <w:name w:val="footnote reference"/>
    <w:aliases w:val="Footnote Reference Number"/>
    <w:basedOn w:val="DefaultParagraphFont"/>
    <w:uiPriority w:val="99"/>
    <w:rsid w:val="00BE1440"/>
    <w:rPr>
      <w:rFonts w:cs="Times New Roman"/>
      <w:vertAlign w:val="superscript"/>
    </w:rPr>
  </w:style>
  <w:style w:type="paragraph" w:styleId="BodyText3">
    <w:name w:val="Body Text 3"/>
    <w:basedOn w:val="Normal"/>
    <w:link w:val="BodyText3Char"/>
    <w:uiPriority w:val="99"/>
    <w:rsid w:val="008138A7"/>
    <w:pPr>
      <w:spacing w:after="120"/>
    </w:pPr>
    <w:rPr>
      <w:sz w:val="16"/>
      <w:szCs w:val="16"/>
    </w:rPr>
  </w:style>
  <w:style w:type="character" w:customStyle="1" w:styleId="BodyText3Char">
    <w:name w:val="Body Text 3 Char"/>
    <w:basedOn w:val="DefaultParagraphFont"/>
    <w:link w:val="BodyText3"/>
    <w:uiPriority w:val="99"/>
    <w:locked/>
    <w:rsid w:val="008138A7"/>
    <w:rPr>
      <w:rFonts w:cs="Times New Roman"/>
      <w:sz w:val="16"/>
      <w:szCs w:val="16"/>
    </w:rPr>
  </w:style>
  <w:style w:type="paragraph" w:styleId="NoSpacing">
    <w:name w:val="No Spacing"/>
    <w:uiPriority w:val="1"/>
    <w:qFormat/>
    <w:rsid w:val="00776913"/>
    <w:rPr>
      <w:rFonts w:ascii="Calibri" w:hAnsi="Calibri"/>
      <w:sz w:val="22"/>
      <w:szCs w:val="22"/>
      <w:lang w:eastAsia="en-US"/>
    </w:rPr>
  </w:style>
  <w:style w:type="table" w:styleId="TableGrid">
    <w:name w:val="Table Grid"/>
    <w:basedOn w:val="TableNormal"/>
    <w:uiPriority w:val="99"/>
    <w:rsid w:val="0077691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5912F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36A90"/>
    <w:rPr>
      <w:rFonts w:cs="Times New Roman"/>
      <w:sz w:val="2"/>
    </w:rPr>
  </w:style>
  <w:style w:type="numbering" w:customStyle="1" w:styleId="StyleOutlinenumbered">
    <w:name w:val="Style Outline numbered"/>
    <w:rsid w:val="00183345"/>
    <w:pPr>
      <w:numPr>
        <w:numId w:val="1"/>
      </w:numPr>
    </w:pPr>
  </w:style>
  <w:style w:type="numbering" w:customStyle="1" w:styleId="Pareizaanumeracija2012">
    <w:name w:val="Pareizaa numeracija 2012"/>
    <w:rsid w:val="00183345"/>
    <w:pPr>
      <w:numPr>
        <w:numId w:val="2"/>
      </w:numPr>
    </w:pPr>
  </w:style>
  <w:style w:type="paragraph" w:styleId="Revision">
    <w:name w:val="Revision"/>
    <w:hidden/>
    <w:uiPriority w:val="99"/>
    <w:semiHidden/>
    <w:rsid w:val="002C7D69"/>
    <w:rPr>
      <w:sz w:val="24"/>
      <w:szCs w:val="24"/>
    </w:rPr>
  </w:style>
  <w:style w:type="paragraph" w:styleId="Header">
    <w:name w:val="header"/>
    <w:basedOn w:val="Normal"/>
    <w:link w:val="HeaderChar"/>
    <w:uiPriority w:val="99"/>
    <w:unhideWhenUsed/>
    <w:rsid w:val="006D6246"/>
    <w:pPr>
      <w:tabs>
        <w:tab w:val="center" w:pos="4153"/>
        <w:tab w:val="right" w:pos="8306"/>
      </w:tabs>
    </w:pPr>
  </w:style>
  <w:style w:type="character" w:customStyle="1" w:styleId="HeaderChar">
    <w:name w:val="Header Char"/>
    <w:basedOn w:val="DefaultParagraphFont"/>
    <w:link w:val="Header"/>
    <w:uiPriority w:val="99"/>
    <w:rsid w:val="006D62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942">
      <w:bodyDiv w:val="1"/>
      <w:marLeft w:val="0"/>
      <w:marRight w:val="0"/>
      <w:marTop w:val="0"/>
      <w:marBottom w:val="0"/>
      <w:divBdr>
        <w:top w:val="none" w:sz="0" w:space="0" w:color="auto"/>
        <w:left w:val="none" w:sz="0" w:space="0" w:color="auto"/>
        <w:bottom w:val="none" w:sz="0" w:space="0" w:color="auto"/>
        <w:right w:val="none" w:sz="0" w:space="0" w:color="auto"/>
      </w:divBdr>
    </w:div>
    <w:div w:id="53243604">
      <w:bodyDiv w:val="1"/>
      <w:marLeft w:val="0"/>
      <w:marRight w:val="0"/>
      <w:marTop w:val="0"/>
      <w:marBottom w:val="0"/>
      <w:divBdr>
        <w:top w:val="none" w:sz="0" w:space="0" w:color="auto"/>
        <w:left w:val="none" w:sz="0" w:space="0" w:color="auto"/>
        <w:bottom w:val="none" w:sz="0" w:space="0" w:color="auto"/>
        <w:right w:val="none" w:sz="0" w:space="0" w:color="auto"/>
      </w:divBdr>
    </w:div>
    <w:div w:id="55396141">
      <w:bodyDiv w:val="1"/>
      <w:marLeft w:val="0"/>
      <w:marRight w:val="0"/>
      <w:marTop w:val="0"/>
      <w:marBottom w:val="0"/>
      <w:divBdr>
        <w:top w:val="none" w:sz="0" w:space="0" w:color="auto"/>
        <w:left w:val="none" w:sz="0" w:space="0" w:color="auto"/>
        <w:bottom w:val="none" w:sz="0" w:space="0" w:color="auto"/>
        <w:right w:val="none" w:sz="0" w:space="0" w:color="auto"/>
      </w:divBdr>
    </w:div>
    <w:div w:id="81727119">
      <w:bodyDiv w:val="1"/>
      <w:marLeft w:val="0"/>
      <w:marRight w:val="0"/>
      <w:marTop w:val="0"/>
      <w:marBottom w:val="0"/>
      <w:divBdr>
        <w:top w:val="none" w:sz="0" w:space="0" w:color="auto"/>
        <w:left w:val="none" w:sz="0" w:space="0" w:color="auto"/>
        <w:bottom w:val="none" w:sz="0" w:space="0" w:color="auto"/>
        <w:right w:val="none" w:sz="0" w:space="0" w:color="auto"/>
      </w:divBdr>
    </w:div>
    <w:div w:id="500778884">
      <w:bodyDiv w:val="1"/>
      <w:marLeft w:val="0"/>
      <w:marRight w:val="0"/>
      <w:marTop w:val="0"/>
      <w:marBottom w:val="0"/>
      <w:divBdr>
        <w:top w:val="none" w:sz="0" w:space="0" w:color="auto"/>
        <w:left w:val="none" w:sz="0" w:space="0" w:color="auto"/>
        <w:bottom w:val="none" w:sz="0" w:space="0" w:color="auto"/>
        <w:right w:val="none" w:sz="0" w:space="0" w:color="auto"/>
      </w:divBdr>
    </w:div>
    <w:div w:id="613680667">
      <w:bodyDiv w:val="1"/>
      <w:marLeft w:val="0"/>
      <w:marRight w:val="0"/>
      <w:marTop w:val="0"/>
      <w:marBottom w:val="0"/>
      <w:divBdr>
        <w:top w:val="none" w:sz="0" w:space="0" w:color="auto"/>
        <w:left w:val="none" w:sz="0" w:space="0" w:color="auto"/>
        <w:bottom w:val="none" w:sz="0" w:space="0" w:color="auto"/>
        <w:right w:val="none" w:sz="0" w:space="0" w:color="auto"/>
      </w:divBdr>
    </w:div>
    <w:div w:id="708646714">
      <w:marLeft w:val="0"/>
      <w:marRight w:val="0"/>
      <w:marTop w:val="0"/>
      <w:marBottom w:val="0"/>
      <w:divBdr>
        <w:top w:val="none" w:sz="0" w:space="0" w:color="auto"/>
        <w:left w:val="none" w:sz="0" w:space="0" w:color="auto"/>
        <w:bottom w:val="none" w:sz="0" w:space="0" w:color="auto"/>
        <w:right w:val="none" w:sz="0" w:space="0" w:color="auto"/>
      </w:divBdr>
    </w:div>
    <w:div w:id="708646715">
      <w:marLeft w:val="0"/>
      <w:marRight w:val="0"/>
      <w:marTop w:val="0"/>
      <w:marBottom w:val="0"/>
      <w:divBdr>
        <w:top w:val="none" w:sz="0" w:space="0" w:color="auto"/>
        <w:left w:val="none" w:sz="0" w:space="0" w:color="auto"/>
        <w:bottom w:val="none" w:sz="0" w:space="0" w:color="auto"/>
        <w:right w:val="none" w:sz="0" w:space="0" w:color="auto"/>
      </w:divBdr>
    </w:div>
    <w:div w:id="731386829">
      <w:bodyDiv w:val="1"/>
      <w:marLeft w:val="0"/>
      <w:marRight w:val="0"/>
      <w:marTop w:val="0"/>
      <w:marBottom w:val="0"/>
      <w:divBdr>
        <w:top w:val="none" w:sz="0" w:space="0" w:color="auto"/>
        <w:left w:val="none" w:sz="0" w:space="0" w:color="auto"/>
        <w:bottom w:val="none" w:sz="0" w:space="0" w:color="auto"/>
        <w:right w:val="none" w:sz="0" w:space="0" w:color="auto"/>
      </w:divBdr>
    </w:div>
    <w:div w:id="824125681">
      <w:bodyDiv w:val="1"/>
      <w:marLeft w:val="0"/>
      <w:marRight w:val="0"/>
      <w:marTop w:val="0"/>
      <w:marBottom w:val="0"/>
      <w:divBdr>
        <w:top w:val="none" w:sz="0" w:space="0" w:color="auto"/>
        <w:left w:val="none" w:sz="0" w:space="0" w:color="auto"/>
        <w:bottom w:val="none" w:sz="0" w:space="0" w:color="auto"/>
        <w:right w:val="none" w:sz="0" w:space="0" w:color="auto"/>
      </w:divBdr>
    </w:div>
    <w:div w:id="850336520">
      <w:bodyDiv w:val="1"/>
      <w:marLeft w:val="0"/>
      <w:marRight w:val="0"/>
      <w:marTop w:val="0"/>
      <w:marBottom w:val="0"/>
      <w:divBdr>
        <w:top w:val="none" w:sz="0" w:space="0" w:color="auto"/>
        <w:left w:val="none" w:sz="0" w:space="0" w:color="auto"/>
        <w:bottom w:val="none" w:sz="0" w:space="0" w:color="auto"/>
        <w:right w:val="none" w:sz="0" w:space="0" w:color="auto"/>
      </w:divBdr>
    </w:div>
    <w:div w:id="1064257084">
      <w:bodyDiv w:val="1"/>
      <w:marLeft w:val="0"/>
      <w:marRight w:val="0"/>
      <w:marTop w:val="0"/>
      <w:marBottom w:val="0"/>
      <w:divBdr>
        <w:top w:val="none" w:sz="0" w:space="0" w:color="auto"/>
        <w:left w:val="none" w:sz="0" w:space="0" w:color="auto"/>
        <w:bottom w:val="none" w:sz="0" w:space="0" w:color="auto"/>
        <w:right w:val="none" w:sz="0" w:space="0" w:color="auto"/>
      </w:divBdr>
    </w:div>
    <w:div w:id="1385451139">
      <w:bodyDiv w:val="1"/>
      <w:marLeft w:val="0"/>
      <w:marRight w:val="0"/>
      <w:marTop w:val="0"/>
      <w:marBottom w:val="0"/>
      <w:divBdr>
        <w:top w:val="none" w:sz="0" w:space="0" w:color="auto"/>
        <w:left w:val="none" w:sz="0" w:space="0" w:color="auto"/>
        <w:bottom w:val="none" w:sz="0" w:space="0" w:color="auto"/>
        <w:right w:val="none" w:sz="0" w:space="0" w:color="auto"/>
      </w:divBdr>
    </w:div>
    <w:div w:id="1579091735">
      <w:bodyDiv w:val="1"/>
      <w:marLeft w:val="0"/>
      <w:marRight w:val="0"/>
      <w:marTop w:val="0"/>
      <w:marBottom w:val="0"/>
      <w:divBdr>
        <w:top w:val="none" w:sz="0" w:space="0" w:color="auto"/>
        <w:left w:val="none" w:sz="0" w:space="0" w:color="auto"/>
        <w:bottom w:val="none" w:sz="0" w:space="0" w:color="auto"/>
        <w:right w:val="none" w:sz="0" w:space="0" w:color="auto"/>
      </w:divBdr>
    </w:div>
    <w:div w:id="1665888951">
      <w:bodyDiv w:val="1"/>
      <w:marLeft w:val="0"/>
      <w:marRight w:val="0"/>
      <w:marTop w:val="0"/>
      <w:marBottom w:val="0"/>
      <w:divBdr>
        <w:top w:val="none" w:sz="0" w:space="0" w:color="auto"/>
        <w:left w:val="none" w:sz="0" w:space="0" w:color="auto"/>
        <w:bottom w:val="none" w:sz="0" w:space="0" w:color="auto"/>
        <w:right w:val="none" w:sz="0" w:space="0" w:color="auto"/>
      </w:divBdr>
    </w:div>
    <w:div w:id="1751921985">
      <w:bodyDiv w:val="1"/>
      <w:marLeft w:val="0"/>
      <w:marRight w:val="0"/>
      <w:marTop w:val="0"/>
      <w:marBottom w:val="0"/>
      <w:divBdr>
        <w:top w:val="none" w:sz="0" w:space="0" w:color="auto"/>
        <w:left w:val="none" w:sz="0" w:space="0" w:color="auto"/>
        <w:bottom w:val="none" w:sz="0" w:space="0" w:color="auto"/>
        <w:right w:val="none" w:sz="0" w:space="0" w:color="auto"/>
      </w:divBdr>
    </w:div>
    <w:div w:id="1937245699">
      <w:bodyDiv w:val="1"/>
      <w:marLeft w:val="0"/>
      <w:marRight w:val="0"/>
      <w:marTop w:val="0"/>
      <w:marBottom w:val="0"/>
      <w:divBdr>
        <w:top w:val="none" w:sz="0" w:space="0" w:color="auto"/>
        <w:left w:val="none" w:sz="0" w:space="0" w:color="auto"/>
        <w:bottom w:val="none" w:sz="0" w:space="0" w:color="auto"/>
        <w:right w:val="none" w:sz="0" w:space="0" w:color="auto"/>
      </w:divBdr>
    </w:div>
    <w:div w:id="2039430853">
      <w:bodyDiv w:val="1"/>
      <w:marLeft w:val="0"/>
      <w:marRight w:val="0"/>
      <w:marTop w:val="0"/>
      <w:marBottom w:val="0"/>
      <w:divBdr>
        <w:top w:val="none" w:sz="0" w:space="0" w:color="auto"/>
        <w:left w:val="none" w:sz="0" w:space="0" w:color="auto"/>
        <w:bottom w:val="none" w:sz="0" w:space="0" w:color="auto"/>
        <w:right w:val="none" w:sz="0" w:space="0" w:color="auto"/>
      </w:divBdr>
    </w:div>
    <w:div w:id="2054230353">
      <w:bodyDiv w:val="1"/>
      <w:marLeft w:val="0"/>
      <w:marRight w:val="0"/>
      <w:marTop w:val="0"/>
      <w:marBottom w:val="0"/>
      <w:divBdr>
        <w:top w:val="none" w:sz="0" w:space="0" w:color="auto"/>
        <w:left w:val="none" w:sz="0" w:space="0" w:color="auto"/>
        <w:bottom w:val="none" w:sz="0" w:space="0" w:color="auto"/>
        <w:right w:val="none" w:sz="0" w:space="0" w:color="auto"/>
      </w:divBdr>
    </w:div>
    <w:div w:id="2060350939">
      <w:bodyDiv w:val="1"/>
      <w:marLeft w:val="0"/>
      <w:marRight w:val="0"/>
      <w:marTop w:val="0"/>
      <w:marBottom w:val="0"/>
      <w:divBdr>
        <w:top w:val="none" w:sz="0" w:space="0" w:color="auto"/>
        <w:left w:val="none" w:sz="0" w:space="0" w:color="auto"/>
        <w:bottom w:val="none" w:sz="0" w:space="0" w:color="auto"/>
        <w:right w:val="none" w:sz="0" w:space="0" w:color="auto"/>
      </w:divBdr>
    </w:div>
    <w:div w:id="20862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stj\Documents\Jaunie%20vilcieni\Jaunie_vilcieni_13\JV_aprekins_kopsavilkums_13_09_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200" baseline="0">
                <a:latin typeface="Times New Roman" pitchFamily="18" charset="0"/>
              </a:rPr>
              <a:t>Nepieciešamā valsts dotācija - scenāriju salīdzinājums</a:t>
            </a:r>
          </a:p>
        </c:rich>
      </c:tx>
      <c:layout/>
      <c:overlay val="0"/>
    </c:title>
    <c:autoTitleDeleted val="0"/>
    <c:plotArea>
      <c:layout/>
      <c:lineChart>
        <c:grouping val="standard"/>
        <c:varyColors val="0"/>
        <c:ser>
          <c:idx val="0"/>
          <c:order val="0"/>
          <c:tx>
            <c:strRef>
              <c:f>Kopsavilkums!$A$36</c:f>
              <c:strCache>
                <c:ptCount val="1"/>
                <c:pt idx="0">
                  <c:v>Noma 15 gadi</c:v>
                </c:pt>
              </c:strCache>
            </c:strRef>
          </c:tx>
          <c:cat>
            <c:numRef>
              <c:f>Kopsavilkums!$B$35:$AA$35</c:f>
              <c:numCache>
                <c:formatCode>General</c:formatCode>
                <c:ptCount val="2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numCache>
            </c:numRef>
          </c:cat>
          <c:val>
            <c:numRef>
              <c:f>Kopsavilkums!$B$36:$AA$36</c:f>
              <c:numCache>
                <c:formatCode>#,##0</c:formatCode>
                <c:ptCount val="26"/>
                <c:pt idx="0">
                  <c:v>31892.316666666531</c:v>
                </c:pt>
                <c:pt idx="1">
                  <c:v>32744.883458769709</c:v>
                </c:pt>
                <c:pt idx="2">
                  <c:v>32743.500229966616</c:v>
                </c:pt>
                <c:pt idx="3">
                  <c:v>32674.5</c:v>
                </c:pt>
                <c:pt idx="4">
                  <c:v>32342.5</c:v>
                </c:pt>
                <c:pt idx="5">
                  <c:v>32223.333333333296</c:v>
                </c:pt>
                <c:pt idx="6">
                  <c:v>31923.333333333296</c:v>
                </c:pt>
                <c:pt idx="7">
                  <c:v>31281.666666666657</c:v>
                </c:pt>
                <c:pt idx="8">
                  <c:v>30940</c:v>
                </c:pt>
                <c:pt idx="9">
                  <c:v>30940</c:v>
                </c:pt>
                <c:pt idx="10">
                  <c:v>30940</c:v>
                </c:pt>
                <c:pt idx="11">
                  <c:v>30940</c:v>
                </c:pt>
                <c:pt idx="12">
                  <c:v>30940</c:v>
                </c:pt>
                <c:pt idx="13">
                  <c:v>30940</c:v>
                </c:pt>
                <c:pt idx="14">
                  <c:v>30940</c:v>
                </c:pt>
                <c:pt idx="15">
                  <c:v>30304.720000000001</c:v>
                </c:pt>
                <c:pt idx="16">
                  <c:v>29077.899999999896</c:v>
                </c:pt>
                <c:pt idx="17">
                  <c:v>28739.17</c:v>
                </c:pt>
                <c:pt idx="18">
                  <c:v>28440.797500000001</c:v>
                </c:pt>
                <c:pt idx="19">
                  <c:v>28351.494999999995</c:v>
                </c:pt>
                <c:pt idx="20">
                  <c:v>28234.854999999996</c:v>
                </c:pt>
                <c:pt idx="21">
                  <c:v>24256.067500000001</c:v>
                </c:pt>
                <c:pt idx="22">
                  <c:v>23845.599999999897</c:v>
                </c:pt>
                <c:pt idx="23">
                  <c:v>23845.599999999897</c:v>
                </c:pt>
                <c:pt idx="24">
                  <c:v>23845.599999999897</c:v>
                </c:pt>
                <c:pt idx="25">
                  <c:v>23845.599999999897</c:v>
                </c:pt>
              </c:numCache>
            </c:numRef>
          </c:val>
          <c:smooth val="0"/>
        </c:ser>
        <c:ser>
          <c:idx val="1"/>
          <c:order val="1"/>
          <c:tx>
            <c:strRef>
              <c:f>Kopsavilkums!$A$37</c:f>
              <c:strCache>
                <c:ptCount val="1"/>
                <c:pt idx="0">
                  <c:v>Pirkums 20 gadi</c:v>
                </c:pt>
              </c:strCache>
            </c:strRef>
          </c:tx>
          <c:cat>
            <c:numRef>
              <c:f>Kopsavilkums!$B$35:$AA$35</c:f>
              <c:numCache>
                <c:formatCode>General</c:formatCode>
                <c:ptCount val="2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numCache>
            </c:numRef>
          </c:cat>
          <c:val>
            <c:numRef>
              <c:f>Kopsavilkums!$B$37:$AA$37</c:f>
              <c:numCache>
                <c:formatCode>#,##0</c:formatCode>
                <c:ptCount val="26"/>
                <c:pt idx="0">
                  <c:v>32252.541666666657</c:v>
                </c:pt>
                <c:pt idx="1">
                  <c:v>33006.608458769675</c:v>
                </c:pt>
                <c:pt idx="2">
                  <c:v>33340.528354966635</c:v>
                </c:pt>
                <c:pt idx="3">
                  <c:v>33254.006250000013</c:v>
                </c:pt>
                <c:pt idx="4">
                  <c:v>32888.256250000013</c:v>
                </c:pt>
                <c:pt idx="5">
                  <c:v>32634.089583333316</c:v>
                </c:pt>
                <c:pt idx="6">
                  <c:v>32199.089583333316</c:v>
                </c:pt>
                <c:pt idx="7">
                  <c:v>31422.422916666663</c:v>
                </c:pt>
                <c:pt idx="8">
                  <c:v>30945.756249999897</c:v>
                </c:pt>
                <c:pt idx="9">
                  <c:v>30810.756249999897</c:v>
                </c:pt>
                <c:pt idx="10">
                  <c:v>30675.756249999897</c:v>
                </c:pt>
                <c:pt idx="11">
                  <c:v>30540.756249999897</c:v>
                </c:pt>
                <c:pt idx="12">
                  <c:v>30405.756249999897</c:v>
                </c:pt>
                <c:pt idx="13">
                  <c:v>30270.756249999897</c:v>
                </c:pt>
                <c:pt idx="14">
                  <c:v>30135.756249999897</c:v>
                </c:pt>
                <c:pt idx="15">
                  <c:v>30000.756249999897</c:v>
                </c:pt>
                <c:pt idx="16">
                  <c:v>29865.756249999897</c:v>
                </c:pt>
                <c:pt idx="17">
                  <c:v>29730.756249999897</c:v>
                </c:pt>
                <c:pt idx="18">
                  <c:v>29595.756249999897</c:v>
                </c:pt>
                <c:pt idx="19">
                  <c:v>29460.756249999897</c:v>
                </c:pt>
                <c:pt idx="20">
                  <c:v>29325.756249999897</c:v>
                </c:pt>
                <c:pt idx="21">
                  <c:v>24357.931249999896</c:v>
                </c:pt>
                <c:pt idx="22">
                  <c:v>23845.606249999892</c:v>
                </c:pt>
                <c:pt idx="23">
                  <c:v>23845.606249999892</c:v>
                </c:pt>
                <c:pt idx="24">
                  <c:v>23845.606249999892</c:v>
                </c:pt>
                <c:pt idx="25">
                  <c:v>23845.606249999892</c:v>
                </c:pt>
              </c:numCache>
            </c:numRef>
          </c:val>
          <c:smooth val="0"/>
        </c:ser>
        <c:ser>
          <c:idx val="2"/>
          <c:order val="2"/>
          <c:tx>
            <c:strRef>
              <c:f>Kopsavilkums!$A$38</c:f>
              <c:strCache>
                <c:ptCount val="1"/>
                <c:pt idx="0">
                  <c:v>Pirkums 30gadi</c:v>
                </c:pt>
              </c:strCache>
            </c:strRef>
          </c:tx>
          <c:cat>
            <c:numRef>
              <c:f>Kopsavilkums!$B$35:$AA$35</c:f>
              <c:numCache>
                <c:formatCode>General</c:formatCode>
                <c:ptCount val="2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numCache>
            </c:numRef>
          </c:cat>
          <c:val>
            <c:numRef>
              <c:f>Kopsavilkums!$B$38:$AA$38</c:f>
              <c:numCache>
                <c:formatCode>#,##0</c:formatCode>
                <c:ptCount val="26"/>
                <c:pt idx="0">
                  <c:v>31808.166666666657</c:v>
                </c:pt>
                <c:pt idx="1">
                  <c:v>31684.733458769701</c:v>
                </c:pt>
                <c:pt idx="2">
                  <c:v>31774.668979966616</c:v>
                </c:pt>
                <c:pt idx="3">
                  <c:v>31562.287500000009</c:v>
                </c:pt>
                <c:pt idx="4">
                  <c:v>31241.537499999999</c:v>
                </c:pt>
                <c:pt idx="5">
                  <c:v>31032.370833333316</c:v>
                </c:pt>
                <c:pt idx="6">
                  <c:v>30642.370833333316</c:v>
                </c:pt>
                <c:pt idx="7">
                  <c:v>29910.704166666663</c:v>
                </c:pt>
                <c:pt idx="8">
                  <c:v>29479.037499999999</c:v>
                </c:pt>
                <c:pt idx="9">
                  <c:v>29389.037499999999</c:v>
                </c:pt>
                <c:pt idx="10">
                  <c:v>29299.037499999999</c:v>
                </c:pt>
                <c:pt idx="11">
                  <c:v>29209.037499999999</c:v>
                </c:pt>
                <c:pt idx="12">
                  <c:v>29119.037499999999</c:v>
                </c:pt>
                <c:pt idx="13">
                  <c:v>29029.037499999999</c:v>
                </c:pt>
                <c:pt idx="14">
                  <c:v>28939.037499999999</c:v>
                </c:pt>
                <c:pt idx="15">
                  <c:v>28849.037499999999</c:v>
                </c:pt>
                <c:pt idx="16">
                  <c:v>28759.037499999999</c:v>
                </c:pt>
                <c:pt idx="17">
                  <c:v>28669.037499999999</c:v>
                </c:pt>
                <c:pt idx="18">
                  <c:v>28579.037499999999</c:v>
                </c:pt>
                <c:pt idx="19">
                  <c:v>28489.037499999999</c:v>
                </c:pt>
                <c:pt idx="20">
                  <c:v>28399.037499999999</c:v>
                </c:pt>
                <c:pt idx="21">
                  <c:v>28309.037499999999</c:v>
                </c:pt>
                <c:pt idx="22">
                  <c:v>28219.037499999999</c:v>
                </c:pt>
                <c:pt idx="23">
                  <c:v>28129.037499999999</c:v>
                </c:pt>
                <c:pt idx="24">
                  <c:v>28039.037499999999</c:v>
                </c:pt>
                <c:pt idx="25">
                  <c:v>27949.037499999999</c:v>
                </c:pt>
              </c:numCache>
            </c:numRef>
          </c:val>
          <c:smooth val="0"/>
        </c:ser>
        <c:ser>
          <c:idx val="3"/>
          <c:order val="3"/>
          <c:tx>
            <c:strRef>
              <c:f>Kopsavilkums!$A$39</c:f>
              <c:strCache>
                <c:ptCount val="1"/>
                <c:pt idx="0">
                  <c:v>"0" scenārijs</c:v>
                </c:pt>
              </c:strCache>
            </c:strRef>
          </c:tx>
          <c:cat>
            <c:numRef>
              <c:f>Kopsavilkums!$B$35:$AA$35</c:f>
              <c:numCache>
                <c:formatCode>General</c:formatCode>
                <c:ptCount val="2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numCache>
            </c:numRef>
          </c:cat>
          <c:val>
            <c:numRef>
              <c:f>Kopsavilkums!$B$39:$AA$39</c:f>
              <c:numCache>
                <c:formatCode>#,##0</c:formatCode>
                <c:ptCount val="26"/>
                <c:pt idx="0">
                  <c:v>31668.550000000003</c:v>
                </c:pt>
                <c:pt idx="1">
                  <c:v>31233.116666666494</c:v>
                </c:pt>
                <c:pt idx="2">
                  <c:v>31266.816666666531</c:v>
                </c:pt>
                <c:pt idx="3">
                  <c:v>32495.360000000001</c:v>
                </c:pt>
                <c:pt idx="4">
                  <c:v>33723.505866666594</c:v>
                </c:pt>
                <c:pt idx="5">
                  <c:v>34157.439650666594</c:v>
                </c:pt>
                <c:pt idx="6">
                  <c:v>33817.61411034692</c:v>
                </c:pt>
                <c:pt idx="7">
                  <c:v>33692.499392553575</c:v>
                </c:pt>
                <c:pt idx="8">
                  <c:v>33531.566380404678</c:v>
                </c:pt>
                <c:pt idx="9">
                  <c:v>33128.120041346112</c:v>
                </c:pt>
                <c:pt idx="10">
                  <c:v>32948.366108839684</c:v>
                </c:pt>
                <c:pt idx="11">
                  <c:v>33015.111097683126</c:v>
                </c:pt>
                <c:pt idx="12">
                  <c:v>33019.128986303476</c:v>
                </c:pt>
                <c:pt idx="13">
                  <c:v>33025.261232696204</c:v>
                </c:pt>
                <c:pt idx="14">
                  <c:v>33176.650124016807</c:v>
                </c:pt>
                <c:pt idx="15">
                  <c:v>33427.438793163805</c:v>
                </c:pt>
                <c:pt idx="16">
                  <c:v>33602.171235693735</c:v>
                </c:pt>
                <c:pt idx="17">
                  <c:v>33681.992327074295</c:v>
                </c:pt>
                <c:pt idx="18">
                  <c:v>33699.34784028244</c:v>
                </c:pt>
                <c:pt idx="19">
                  <c:v>33719.084463754756</c:v>
                </c:pt>
                <c:pt idx="20">
                  <c:v>33884.349819696879</c:v>
                </c:pt>
                <c:pt idx="21">
                  <c:v>34149.292482756828</c:v>
                </c:pt>
                <c:pt idx="22">
                  <c:v>34338.461999078943</c:v>
                </c:pt>
                <c:pt idx="23">
                  <c:v>34433.008905727183</c:v>
                </c:pt>
                <c:pt idx="24">
                  <c:v>34465.384750508383</c:v>
                </c:pt>
                <c:pt idx="25">
                  <c:v>34500.442112185221</c:v>
                </c:pt>
              </c:numCache>
            </c:numRef>
          </c:val>
          <c:smooth val="0"/>
        </c:ser>
        <c:dLbls>
          <c:showLegendKey val="0"/>
          <c:showVal val="0"/>
          <c:showCatName val="0"/>
          <c:showSerName val="0"/>
          <c:showPercent val="0"/>
          <c:showBubbleSize val="0"/>
        </c:dLbls>
        <c:marker val="1"/>
        <c:smooth val="0"/>
        <c:axId val="155637248"/>
        <c:axId val="155638784"/>
      </c:lineChart>
      <c:catAx>
        <c:axId val="155637248"/>
        <c:scaling>
          <c:orientation val="minMax"/>
        </c:scaling>
        <c:delete val="0"/>
        <c:axPos val="b"/>
        <c:numFmt formatCode="General" sourceLinked="1"/>
        <c:majorTickMark val="none"/>
        <c:minorTickMark val="none"/>
        <c:tickLblPos val="nextTo"/>
        <c:txPr>
          <a:bodyPr/>
          <a:lstStyle/>
          <a:p>
            <a:pPr>
              <a:defRPr baseline="0">
                <a:latin typeface="Times New Roman" pitchFamily="18" charset="0"/>
              </a:defRPr>
            </a:pPr>
            <a:endParaRPr lang="lv-LV"/>
          </a:p>
        </c:txPr>
        <c:crossAx val="155638784"/>
        <c:crosses val="autoZero"/>
        <c:auto val="1"/>
        <c:lblAlgn val="ctr"/>
        <c:lblOffset val="100"/>
        <c:noMultiLvlLbl val="0"/>
      </c:catAx>
      <c:valAx>
        <c:axId val="155638784"/>
        <c:scaling>
          <c:orientation val="minMax"/>
          <c:max val="37000"/>
          <c:min val="23000"/>
        </c:scaling>
        <c:delete val="0"/>
        <c:axPos val="l"/>
        <c:majorGridlines/>
        <c:title>
          <c:tx>
            <c:rich>
              <a:bodyPr/>
              <a:lstStyle/>
              <a:p>
                <a:pPr>
                  <a:defRPr/>
                </a:pPr>
                <a:r>
                  <a:rPr lang="lv-LV" baseline="0">
                    <a:latin typeface="Times New Roman" pitchFamily="18" charset="0"/>
                  </a:rPr>
                  <a:t>Tūkst. LVL</a:t>
                </a:r>
              </a:p>
            </c:rich>
          </c:tx>
          <c:layout/>
          <c:overlay val="0"/>
        </c:title>
        <c:numFmt formatCode="#,##0" sourceLinked="1"/>
        <c:majorTickMark val="none"/>
        <c:minorTickMark val="none"/>
        <c:tickLblPos val="nextTo"/>
        <c:txPr>
          <a:bodyPr/>
          <a:lstStyle/>
          <a:p>
            <a:pPr>
              <a:defRPr baseline="0">
                <a:latin typeface="Times New Roman" pitchFamily="18" charset="0"/>
              </a:defRPr>
            </a:pPr>
            <a:endParaRPr lang="lv-LV"/>
          </a:p>
        </c:txPr>
        <c:crossAx val="155637248"/>
        <c:crosses val="autoZero"/>
        <c:crossBetween val="between"/>
      </c:valAx>
    </c:plotArea>
    <c:legend>
      <c:legendPos val="b"/>
      <c:layout/>
      <c:overlay val="0"/>
      <c:txPr>
        <a:bodyPr/>
        <a:lstStyle/>
        <a:p>
          <a:pPr>
            <a:defRPr baseline="0">
              <a:latin typeface="Times New Roman" pitchFamily="18" charset="0"/>
            </a:defRPr>
          </a:pPr>
          <a:endParaRPr lang="lv-LV"/>
        </a:p>
      </c:txPr>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D2"/>
    <w:rsid w:val="003573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94295C53F4FADB70564445FECF04B">
    <w:name w:val="E9594295C53F4FADB70564445FECF04B"/>
    <w:rsid w:val="003573D2"/>
  </w:style>
  <w:style w:type="paragraph" w:customStyle="1" w:styleId="326AA8B9B68E417FBE518A42F1724D0A">
    <w:name w:val="326AA8B9B68E417FBE518A42F1724D0A"/>
    <w:rsid w:val="003573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94295C53F4FADB70564445FECF04B">
    <w:name w:val="E9594295C53F4FADB70564445FECF04B"/>
    <w:rsid w:val="003573D2"/>
  </w:style>
  <w:style w:type="paragraph" w:customStyle="1" w:styleId="326AA8B9B68E417FBE518A42F1724D0A">
    <w:name w:val="326AA8B9B68E417FBE518A42F1724D0A"/>
    <w:rsid w:val="00357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98E10-3ED4-4B60-B80E-0F1EC6F7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2900</Words>
  <Characters>20698</Characters>
  <Application>Microsoft Office Word</Application>
  <DocSecurity>0</DocSecurity>
  <Lines>477</Lines>
  <Paragraphs>173</Paragraphs>
  <ScaleCrop>false</ScaleCrop>
  <HeadingPairs>
    <vt:vector size="2" baseType="variant">
      <vt:variant>
        <vt:lpstr>Title</vt:lpstr>
      </vt:variant>
      <vt:variant>
        <vt:i4>1</vt:i4>
      </vt:variant>
    </vt:vector>
  </HeadingPairs>
  <TitlesOfParts>
    <vt:vector size="1" baseType="lpstr">
      <vt:lpstr>Informatīvais ziņojums par AS „Pasažieru vilciens” ritošā sastāva modernizāciju</vt:lpstr>
    </vt:vector>
  </TitlesOfParts>
  <Company>Pasažieru vilciens, Satiksmes ministrija</Company>
  <LinksUpToDate>false</LinksUpToDate>
  <CharactersWithSpaces>23549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AS „Pasažieru vilciens” ritošā sastāva modernizāciju</dc:title>
  <dc:subject>informatīvais ziņojums</dc:subject>
  <dc:creator>Normunds Sinkevičs</dc:creator>
  <dc:description>normunds.sinkevics@pv.ldz.lv</dc:description>
  <cp:lastModifiedBy>Inguna Strautmane</cp:lastModifiedBy>
  <cp:revision>4</cp:revision>
  <cp:lastPrinted>2013-11-08T07:05:00Z</cp:lastPrinted>
  <dcterms:created xsi:type="dcterms:W3CDTF">2013-11-07T09:33:00Z</dcterms:created>
  <dcterms:modified xsi:type="dcterms:W3CDTF">2013-11-08T10:25:00Z</dcterms:modified>
</cp:coreProperties>
</file>