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83" w:rsidRDefault="009D1283" w:rsidP="00424186">
      <w:pPr>
        <w:pStyle w:val="Titreobjet"/>
        <w:spacing w:before="0" w:after="0"/>
        <w:rPr>
          <w:bCs/>
          <w:sz w:val="28"/>
          <w:szCs w:val="28"/>
        </w:rPr>
      </w:pPr>
      <w:bookmarkStart w:id="0" w:name="_GoBack"/>
      <w:bookmarkEnd w:id="0"/>
    </w:p>
    <w:p w:rsidR="009D1283" w:rsidRPr="00424186" w:rsidRDefault="009D1283" w:rsidP="00424186">
      <w:pPr>
        <w:jc w:val="center"/>
        <w:rPr>
          <w:b/>
          <w:sz w:val="28"/>
          <w:szCs w:val="28"/>
        </w:rPr>
      </w:pPr>
      <w:r w:rsidRPr="00424186">
        <w:rPr>
          <w:b/>
          <w:bCs/>
          <w:sz w:val="28"/>
          <w:szCs w:val="28"/>
        </w:rPr>
        <w:t xml:space="preserve">Informatīvais ziņojums par Satiksmes ministrijas sagatavoto nacionālo pozīciju Nr.1  </w:t>
      </w:r>
      <w:r w:rsidRPr="00424186">
        <w:rPr>
          <w:b/>
          <w:sz w:val="28"/>
          <w:szCs w:val="28"/>
        </w:rPr>
        <w:t xml:space="preserve">„Priekšlikums Eiropas Parlamenta un Padomes direktīvai par pasākumiem augsta kopējā tīklu un informācijas drošības līmeņa nodrošināšanai Eiropas Savienībā” </w:t>
      </w:r>
    </w:p>
    <w:p w:rsidR="009D1283" w:rsidRDefault="009D1283" w:rsidP="00424186">
      <w:pPr>
        <w:rPr>
          <w:b/>
          <w:noProof/>
          <w:snapToGrid w:val="0"/>
          <w:sz w:val="28"/>
          <w:szCs w:val="28"/>
          <w:lang w:eastAsia="en-GB"/>
        </w:rPr>
      </w:pPr>
    </w:p>
    <w:p w:rsidR="009D1283" w:rsidRPr="00424186" w:rsidRDefault="009D1283" w:rsidP="00424186">
      <w:pPr>
        <w:rPr>
          <w:bCs/>
          <w:sz w:val="28"/>
          <w:szCs w:val="28"/>
        </w:rPr>
      </w:pPr>
    </w:p>
    <w:p w:rsidR="009D1283" w:rsidRPr="00424186" w:rsidRDefault="009D1283" w:rsidP="00424186">
      <w:pPr>
        <w:ind w:firstLine="720"/>
        <w:jc w:val="both"/>
        <w:rPr>
          <w:noProof/>
          <w:snapToGrid w:val="0"/>
          <w:sz w:val="28"/>
          <w:szCs w:val="28"/>
          <w:lang w:eastAsia="en-GB"/>
        </w:rPr>
      </w:pPr>
      <w:r w:rsidRPr="00424186">
        <w:rPr>
          <w:sz w:val="28"/>
          <w:szCs w:val="28"/>
        </w:rPr>
        <w:t xml:space="preserve">Satiksmes ministrija ir sagatavojusi nacionālās pozīcijas projektu Nr.1 </w:t>
      </w:r>
      <w:r w:rsidRPr="00424186">
        <w:rPr>
          <w:bCs/>
          <w:sz w:val="28"/>
          <w:szCs w:val="28"/>
        </w:rPr>
        <w:t>„</w:t>
      </w:r>
      <w:r w:rsidRPr="00424186">
        <w:rPr>
          <w:sz w:val="28"/>
          <w:szCs w:val="28"/>
        </w:rPr>
        <w:t>Priekšlikums Eiropas Parlamenta un Padomes direktīvai par pasākumiem augsta kopējā tīklu un informācijas drošības līmeņa nodrošināšanai Eiropas Savienībā</w:t>
      </w:r>
      <w:r w:rsidRPr="00424186">
        <w:rPr>
          <w:noProof/>
          <w:snapToGrid w:val="0"/>
          <w:sz w:val="28"/>
          <w:szCs w:val="28"/>
          <w:lang w:eastAsia="en-GB"/>
        </w:rPr>
        <w:t>”.</w:t>
      </w:r>
    </w:p>
    <w:p w:rsidR="009D1283" w:rsidRDefault="009D1283" w:rsidP="00424186">
      <w:pPr>
        <w:ind w:firstLine="720"/>
        <w:jc w:val="both"/>
        <w:rPr>
          <w:sz w:val="28"/>
          <w:szCs w:val="28"/>
        </w:rPr>
      </w:pPr>
      <w:r>
        <w:rPr>
          <w:sz w:val="28"/>
          <w:szCs w:val="28"/>
        </w:rPr>
        <w:t>Pozīcijas projekts skar vairāku valsts pārvaldes iestāžu kompetenci,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rsidR="009D1283" w:rsidRDefault="009D1283" w:rsidP="00424186">
      <w:pPr>
        <w:jc w:val="both"/>
        <w:rPr>
          <w:sz w:val="28"/>
          <w:szCs w:val="28"/>
        </w:rPr>
      </w:pPr>
      <w:r>
        <w:rPr>
          <w:sz w:val="28"/>
          <w:szCs w:val="28"/>
        </w:rPr>
        <w:tab/>
        <w:t xml:space="preserve">Nacionālās pozīcijas projekts, atbilstoši Ministru kabineta 2009.gada 6.februāra instrukcijas Nr.4 „Latvijas Republikas nacionālo pozīciju Eiropas Savienības jautājumos un ar tām saistīto instrukciju izstrādes un informācijas aprites kārtība” noteiktajai kārtībai ir elektroniski saskaņots ar </w:t>
      </w:r>
      <w:r w:rsidRPr="00424186">
        <w:rPr>
          <w:sz w:val="28"/>
          <w:szCs w:val="28"/>
        </w:rPr>
        <w:t>Aizsardzības ministriju, Ārlietu ministriju, Iekšlietu ministriju, Tieslietu ministriju, Vides aizsardzības un reģionālās attīstības ministriju, CERT.LV (Informācijas tehnoloģiju drošības incidentu novēršanas institūcija), Drošības policiju, Satversmes aizsardzības biroju, Datu valsts inspekciju, Sabiedrisko pakalpojumu regulēšanas komisiju.</w:t>
      </w:r>
    </w:p>
    <w:p w:rsidR="009D1283" w:rsidRDefault="009D1283" w:rsidP="00D91E8A">
      <w:pPr>
        <w:ind w:firstLine="720"/>
        <w:jc w:val="both"/>
        <w:rPr>
          <w:sz w:val="28"/>
          <w:szCs w:val="28"/>
        </w:rPr>
      </w:pPr>
      <w:r w:rsidRPr="00D91E8A">
        <w:rPr>
          <w:sz w:val="28"/>
          <w:szCs w:val="28"/>
        </w:rPr>
        <w:t>Eiropas Komisija 2013. gada sākumā ir nākusi klajā ar Direktīvas projektu, kura nepieciešamību veicināja aizvien pieaugošā tīklu un informācijas nozīme, t.sk. ekonomikām un sabiedrībām, pastāvīgie drošības incidenti un to ietekme uz ikdienas dzīvi un pakalpojumu sniegšanu (t.sk. vienotā ciparu tirgus ietvaros), sabiedrības uztraukums par drošību elektroniskās informācijas telpā, kā arī, Eiropas Komisijas izpratnē, līdzšinējās brīvprātīgās pieejas neveiksme, kuras rezultāti ir: nepietiekams kopējais drošības līmenis, ļoti atšķirīgas dalībvalstu spējas un gatavība, nepietiekami regulēti būtisko pakalpojumu sniedzēju pienākumi šajā jomā.</w:t>
      </w:r>
    </w:p>
    <w:p w:rsidR="009D1283" w:rsidRDefault="009D1283" w:rsidP="000E33F2">
      <w:pPr>
        <w:tabs>
          <w:tab w:val="left" w:pos="192"/>
        </w:tabs>
        <w:jc w:val="both"/>
        <w:rPr>
          <w:sz w:val="28"/>
          <w:szCs w:val="28"/>
        </w:rPr>
      </w:pPr>
      <w:r>
        <w:rPr>
          <w:sz w:val="28"/>
          <w:szCs w:val="28"/>
        </w:rPr>
        <w:tab/>
      </w:r>
      <w:r>
        <w:rPr>
          <w:sz w:val="28"/>
          <w:szCs w:val="28"/>
        </w:rPr>
        <w:tab/>
        <w:t>Direktīvas projekts paredz, ka dalībvalstīm jāizstrādā nacionālā stratēģija un nacionālais sadarbības plāns informācijas un tīklu drošības jomā, tāpat dalībvalstīm jāizveido CERT (datoru drošības incidentu reaģēšanas vienība), kas darbotos nacionālās kompetentās iestādes par tīklu un informācijas sistēmu drošību pārraudzībā, un kas, cita starpā, atbildētu par darbu ar incidentiem un riskiem, kā arī dalībvalstīm būtu uzdots nodrošināt, ka valsts un pašvaldību institūcijas un tirgus operatori (neattieksies uz mikro uzņēmumiem, neattiektos uz Direktīvai 2002/21/EK 13a panta prasībām pakļautajiem telesakaru komersantiem) visus nepieciešamos pasākumus to tīklu un informācijas sistēmu risku pārvaldībai, kā arī ziņot tai par būtiskiem incidentiem (kas rada būtisku ietekmi uz to sniegtajiem pamatpakalpojumiem).</w:t>
      </w:r>
    </w:p>
    <w:p w:rsidR="009D1283" w:rsidRDefault="009D1283" w:rsidP="000E33F2">
      <w:pPr>
        <w:shd w:val="clear" w:color="auto" w:fill="FFFFFF"/>
        <w:tabs>
          <w:tab w:val="left" w:pos="284"/>
        </w:tabs>
        <w:jc w:val="both"/>
        <w:rPr>
          <w:sz w:val="28"/>
          <w:szCs w:val="28"/>
        </w:rPr>
      </w:pPr>
      <w:r>
        <w:rPr>
          <w:sz w:val="28"/>
          <w:szCs w:val="28"/>
        </w:rPr>
        <w:tab/>
      </w:r>
      <w:r>
        <w:rPr>
          <w:sz w:val="28"/>
          <w:szCs w:val="28"/>
        </w:rPr>
        <w:tab/>
      </w:r>
      <w:r>
        <w:rPr>
          <w:b/>
          <w:sz w:val="28"/>
          <w:szCs w:val="28"/>
        </w:rPr>
        <w:t>Latvija kopumā atbalsta Priekšlikumu</w:t>
      </w:r>
      <w:r>
        <w:rPr>
          <w:sz w:val="28"/>
          <w:szCs w:val="28"/>
        </w:rPr>
        <w:t xml:space="preserve">, jo, ņemot vērā asimetrisko draudu dabu elektroniskās informācijas telpā un faktisko robežu neesamību tajā, kā arī aizvien lielāko sabiedrības, valsts pārvaldes un ekonomikas atkarību no šīs telpas. Tāpēc ir būtiski, lai visā Eiropas Savienībā būtu minimālās un sinhronizētas gatavības un reaģēšanas spējas. Latvija uzskata, ka tā var tikai iegūt no spēju izlīdzināšanas visā Eiropas Savienībā. Tajā pat laikā Latvija uzskata, ka Priekšlikums ir būtiski jāuzlabo, un ir gatava aktīvi iesaistīties tā uzlabošanā un pilnveidošanā atbilstoši tālāk paustajam. </w:t>
      </w:r>
    </w:p>
    <w:p w:rsidR="009D1283" w:rsidRPr="0047336A" w:rsidRDefault="009D1283" w:rsidP="000E33F2">
      <w:pPr>
        <w:shd w:val="clear" w:color="auto" w:fill="FFFFFF"/>
        <w:tabs>
          <w:tab w:val="left" w:pos="284"/>
        </w:tabs>
        <w:jc w:val="both"/>
        <w:rPr>
          <w:sz w:val="28"/>
          <w:szCs w:val="28"/>
        </w:rPr>
      </w:pPr>
      <w:r>
        <w:rPr>
          <w:sz w:val="28"/>
          <w:szCs w:val="28"/>
        </w:rPr>
        <w:tab/>
      </w:r>
      <w:r>
        <w:rPr>
          <w:sz w:val="28"/>
          <w:szCs w:val="28"/>
        </w:rPr>
        <w:tab/>
        <w:t xml:space="preserve">Diskusijas par Direktīvas projektu ir notikušas arī Nacionālās informācijas tehnoloģiju drošības padomes 2013.gada 31.janvāta un 28.februāra sēdēs (pēdējā sēdē piedaloties arī Latvijas Komercbanku asociācijas, Latvijas Interneta asociācijas, </w:t>
      </w:r>
      <w:r>
        <w:rPr>
          <w:iCs/>
          <w:sz w:val="28"/>
          <w:szCs w:val="28"/>
        </w:rPr>
        <w:t xml:space="preserve">Latvijas Informācijas un komunikācijas tehnoloģijas asociācijas, </w:t>
      </w:r>
      <w:r>
        <w:rPr>
          <w:sz w:val="28"/>
          <w:szCs w:val="28"/>
        </w:rPr>
        <w:t xml:space="preserve">ISACA Latvijas nodaļas, Latvijas Atvērto tehnoloģiju asociācijas, </w:t>
      </w:r>
      <w:r>
        <w:rPr>
          <w:bCs/>
          <w:sz w:val="28"/>
          <w:szCs w:val="28"/>
        </w:rPr>
        <w:t xml:space="preserve">Latvijas Tirdzniecības un rūpniecības kameras un </w:t>
      </w:r>
      <w:r>
        <w:rPr>
          <w:sz w:val="28"/>
          <w:szCs w:val="28"/>
        </w:rPr>
        <w:t>Latvijas Pašvaldību savienības pārstāvjiem).</w:t>
      </w:r>
    </w:p>
    <w:p w:rsidR="009D1283" w:rsidRPr="00636A1A" w:rsidRDefault="009D1283" w:rsidP="00424186">
      <w:pPr>
        <w:tabs>
          <w:tab w:val="left" w:pos="0"/>
        </w:tabs>
        <w:jc w:val="both"/>
        <w:rPr>
          <w:color w:val="FF0000"/>
          <w:sz w:val="28"/>
          <w:szCs w:val="28"/>
        </w:rPr>
      </w:pPr>
    </w:p>
    <w:p w:rsidR="009D1283" w:rsidRPr="006138B7" w:rsidRDefault="009D1283" w:rsidP="00424186">
      <w:pPr>
        <w:ind w:firstLine="720"/>
        <w:jc w:val="both"/>
        <w:rPr>
          <w:sz w:val="28"/>
          <w:szCs w:val="28"/>
        </w:rPr>
      </w:pPr>
    </w:p>
    <w:p w:rsidR="009D1283" w:rsidRDefault="009D1283" w:rsidP="00424186">
      <w:pPr>
        <w:rPr>
          <w:sz w:val="28"/>
          <w:szCs w:val="28"/>
        </w:rPr>
      </w:pPr>
      <w:r>
        <w:rPr>
          <w:sz w:val="28"/>
          <w:szCs w:val="28"/>
        </w:rPr>
        <w:t>Iesniedzējs: Satiksmes ministrs</w:t>
      </w:r>
      <w:r>
        <w:rPr>
          <w:sz w:val="28"/>
          <w:szCs w:val="28"/>
        </w:rPr>
        <w:tab/>
      </w:r>
      <w:r>
        <w:rPr>
          <w:sz w:val="28"/>
          <w:szCs w:val="28"/>
        </w:rPr>
        <w:tab/>
      </w:r>
      <w:r>
        <w:rPr>
          <w:sz w:val="28"/>
          <w:szCs w:val="28"/>
        </w:rPr>
        <w:tab/>
      </w:r>
      <w:r>
        <w:rPr>
          <w:sz w:val="28"/>
          <w:szCs w:val="28"/>
        </w:rPr>
        <w:tab/>
      </w:r>
      <w:r>
        <w:rPr>
          <w:sz w:val="28"/>
          <w:szCs w:val="28"/>
        </w:rPr>
        <w:tab/>
        <w:t>A. Matīss</w:t>
      </w:r>
    </w:p>
    <w:p w:rsidR="009D1283" w:rsidRDefault="009D1283" w:rsidP="00424186">
      <w:pPr>
        <w:rPr>
          <w:sz w:val="28"/>
          <w:szCs w:val="28"/>
        </w:rPr>
      </w:pPr>
      <w:r>
        <w:rPr>
          <w:sz w:val="28"/>
          <w:szCs w:val="28"/>
        </w:rPr>
        <w:tab/>
      </w:r>
    </w:p>
    <w:p w:rsidR="009D1283" w:rsidRDefault="009D1283" w:rsidP="00424186">
      <w:pPr>
        <w:rPr>
          <w:sz w:val="28"/>
          <w:szCs w:val="28"/>
        </w:rPr>
      </w:pPr>
    </w:p>
    <w:p w:rsidR="009D1283" w:rsidRDefault="009D1283" w:rsidP="00424186">
      <w:pPr>
        <w:rPr>
          <w:sz w:val="28"/>
          <w:szCs w:val="28"/>
        </w:rPr>
      </w:pPr>
      <w:r>
        <w:rPr>
          <w:sz w:val="28"/>
          <w:szCs w:val="28"/>
        </w:rPr>
        <w:t>Vizē: valsts sekretāra p.i.</w:t>
      </w:r>
      <w:r>
        <w:rPr>
          <w:sz w:val="28"/>
          <w:szCs w:val="28"/>
        </w:rPr>
        <w:tab/>
      </w:r>
      <w:r>
        <w:rPr>
          <w:sz w:val="28"/>
          <w:szCs w:val="28"/>
        </w:rPr>
        <w:tab/>
      </w:r>
      <w:r>
        <w:rPr>
          <w:sz w:val="28"/>
          <w:szCs w:val="28"/>
        </w:rPr>
        <w:tab/>
      </w:r>
      <w:r>
        <w:rPr>
          <w:sz w:val="28"/>
          <w:szCs w:val="28"/>
        </w:rPr>
        <w:tab/>
      </w:r>
      <w:r>
        <w:rPr>
          <w:sz w:val="28"/>
          <w:szCs w:val="28"/>
        </w:rPr>
        <w:tab/>
      </w:r>
      <w:r>
        <w:rPr>
          <w:sz w:val="28"/>
          <w:szCs w:val="28"/>
        </w:rPr>
        <w:tab/>
        <w:t>Dž.Innusa</w:t>
      </w:r>
    </w:p>
    <w:p w:rsidR="009D1283" w:rsidRDefault="009D1283" w:rsidP="00424186">
      <w:pPr>
        <w:rPr>
          <w:sz w:val="28"/>
          <w:szCs w:val="28"/>
        </w:rPr>
      </w:pPr>
    </w:p>
    <w:p w:rsidR="009D1283" w:rsidRDefault="009D1283" w:rsidP="00424186">
      <w:pPr>
        <w:rPr>
          <w:sz w:val="28"/>
          <w:szCs w:val="28"/>
        </w:rPr>
      </w:pPr>
    </w:p>
    <w:p w:rsidR="009D1283" w:rsidRPr="00B01996" w:rsidRDefault="009D1283" w:rsidP="00424186">
      <w:pPr>
        <w:autoSpaceDE w:val="0"/>
        <w:autoSpaceDN w:val="0"/>
        <w:adjustRightInd w:val="0"/>
        <w:jc w:val="both"/>
      </w:pPr>
      <w:r w:rsidRPr="00B01996">
        <w:t>15.032013. 09:35</w:t>
      </w:r>
    </w:p>
    <w:p w:rsidR="009D1283" w:rsidRPr="00B01996" w:rsidRDefault="009D1283" w:rsidP="00424186">
      <w:pPr>
        <w:autoSpaceDE w:val="0"/>
        <w:autoSpaceDN w:val="0"/>
        <w:adjustRightInd w:val="0"/>
        <w:jc w:val="both"/>
      </w:pPr>
      <w:r>
        <w:t xml:space="preserve">486 </w:t>
      </w:r>
      <w:r w:rsidRPr="00B01996">
        <w:t>vārdi</w:t>
      </w:r>
    </w:p>
    <w:p w:rsidR="009D1283" w:rsidRPr="00B01996" w:rsidRDefault="009D1283" w:rsidP="00424186">
      <w:pPr>
        <w:rPr>
          <w:sz w:val="22"/>
          <w:szCs w:val="22"/>
        </w:rPr>
      </w:pPr>
      <w:r w:rsidRPr="00B01996">
        <w:rPr>
          <w:sz w:val="22"/>
          <w:szCs w:val="22"/>
        </w:rPr>
        <w:t>Elīna Šimiņa-Neverovska 67028254</w:t>
      </w:r>
    </w:p>
    <w:p w:rsidR="009D1283" w:rsidRPr="00557FB2" w:rsidRDefault="009D1283" w:rsidP="00424186">
      <w:pPr>
        <w:rPr>
          <w:sz w:val="22"/>
          <w:szCs w:val="22"/>
        </w:rPr>
      </w:pPr>
      <w:hyperlink r:id="rId7" w:history="1">
        <w:r w:rsidRPr="00B01996">
          <w:rPr>
            <w:rStyle w:val="Hyperlink"/>
            <w:sz w:val="22"/>
            <w:szCs w:val="22"/>
          </w:rPr>
          <w:t>elina.simina@sam.gov.lv</w:t>
        </w:r>
      </w:hyperlink>
      <w:r>
        <w:rPr>
          <w:sz w:val="22"/>
          <w:szCs w:val="22"/>
        </w:rPr>
        <w:t xml:space="preserve"> </w:t>
      </w:r>
    </w:p>
    <w:p w:rsidR="009D1283" w:rsidRDefault="009D1283"/>
    <w:p w:rsidR="009D1283" w:rsidRPr="00D91E8A" w:rsidRDefault="009D1283" w:rsidP="005A5FE0"/>
    <w:sectPr w:rsidR="009D1283" w:rsidRPr="00D91E8A" w:rsidSect="001F5A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83" w:rsidRDefault="009D1283" w:rsidP="00424186">
      <w:r>
        <w:separator/>
      </w:r>
    </w:p>
  </w:endnote>
  <w:endnote w:type="continuationSeparator" w:id="0">
    <w:p w:rsidR="009D1283" w:rsidRDefault="009D1283" w:rsidP="00424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Default="009D1283"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283" w:rsidRDefault="009D1283" w:rsidP="009E31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Pr="00424186" w:rsidRDefault="009D1283" w:rsidP="00424186">
    <w:pPr>
      <w:pStyle w:val="Titreobjet"/>
      <w:spacing w:before="0" w:after="0"/>
      <w:jc w:val="both"/>
      <w:rPr>
        <w:b w:val="0"/>
        <w:bCs/>
        <w:sz w:val="22"/>
        <w:szCs w:val="22"/>
      </w:rPr>
    </w:pPr>
    <w:r w:rsidRPr="00424186">
      <w:rPr>
        <w:b w:val="0"/>
        <w:bCs/>
        <w:sz w:val="22"/>
        <w:szCs w:val="22"/>
      </w:rPr>
      <w:t>SAMzino_</w:t>
    </w:r>
    <w:r>
      <w:rPr>
        <w:b w:val="0"/>
        <w:sz w:val="22"/>
        <w:szCs w:val="22"/>
      </w:rPr>
      <w:t>150313_IT_direktiva.doc</w:t>
    </w:r>
    <w:r w:rsidRPr="00424186">
      <w:rPr>
        <w:b w:val="0"/>
        <w:sz w:val="22"/>
        <w:szCs w:val="22"/>
      </w:rPr>
      <w:t>;</w:t>
    </w:r>
    <w:r w:rsidRPr="00424186">
      <w:rPr>
        <w:b w:val="0"/>
        <w:bCs/>
        <w:sz w:val="22"/>
        <w:szCs w:val="22"/>
      </w:rPr>
      <w:t xml:space="preserve"> Informatīvais ziņojums par Satiksmes ministrijas sagatavoto nacionālo pozīciju Nr.1  </w:t>
    </w:r>
    <w:r w:rsidRPr="00424186">
      <w:rPr>
        <w:b w:val="0"/>
        <w:sz w:val="22"/>
        <w:szCs w:val="22"/>
      </w:rPr>
      <w:t xml:space="preserve">„Priekšlikums Eiropas Parlamenta un Padomes direktīvai par pasākumiem augsta kopējā tīklu un informācijas drošības līmeņa nodrošināšanai Eiropas Savienībā” </w:t>
    </w:r>
  </w:p>
  <w:p w:rsidR="009D1283" w:rsidRPr="00561B6A" w:rsidRDefault="009D1283" w:rsidP="00561B6A">
    <w:pPr>
      <w:pStyle w:val="Titreobjet"/>
      <w:spacing w:before="0" w:after="0"/>
      <w:jc w:val="both"/>
      <w:rPr>
        <w:b w:val="0"/>
        <w:noProof/>
        <w:sz w:val="20"/>
        <w:szCs w:val="20"/>
      </w:rPr>
    </w:pPr>
  </w:p>
  <w:p w:rsidR="009D1283" w:rsidRDefault="009D1283" w:rsidP="00561B6A">
    <w:pPr>
      <w:pStyle w:val="Footer"/>
      <w:jc w:val="center"/>
    </w:pPr>
    <w:r>
      <w:t>NAV KLASIFICĒTS</w:t>
    </w:r>
  </w:p>
  <w:p w:rsidR="009D1283" w:rsidRDefault="009D1283">
    <w:pPr>
      <w:pStyle w:val="Footer"/>
      <w:jc w:val="right"/>
    </w:pPr>
    <w:fldSimple w:instr=" PAGE   \* MERGEFORMAT ">
      <w:r>
        <w:rPr>
          <w:noProof/>
        </w:rPr>
        <w:t>1</w:t>
      </w:r>
    </w:fldSimple>
    <w:r>
      <w:rPr>
        <w:noProof/>
      </w:rPr>
      <w:t>-2</w:t>
    </w:r>
  </w:p>
  <w:p w:rsidR="009D1283" w:rsidRDefault="009D1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Default="009D1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83" w:rsidRDefault="009D1283" w:rsidP="00424186">
      <w:r>
        <w:separator/>
      </w:r>
    </w:p>
  </w:footnote>
  <w:footnote w:type="continuationSeparator" w:id="0">
    <w:p w:rsidR="009D1283" w:rsidRDefault="009D1283" w:rsidP="00424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Default="009D12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547" o:spid="_x0000_s2049" type="#_x0000_t136" style="position:absolute;margin-left:0;margin-top:0;width:523.85pt;height:61.6pt;rotation:315;z-index:-251658752;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Default="009D1283" w:rsidP="009E314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548" o:spid="_x0000_s2050" type="#_x0000_t136" style="position:absolute;left:0;text-align:left;margin-left:0;margin-top:0;width:523.85pt;height:61.6pt;rotation:315;z-index:-251657728;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r>
      <w:t>NAV KLASIFICĒTS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Default="009D12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546" o:spid="_x0000_s2051" type="#_x0000_t136" style="position:absolute;margin-left:0;margin-top:0;width:523.85pt;height:61.6pt;rotation:315;z-index:-251659776;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7EDB"/>
    <w:multiLevelType w:val="hybridMultilevel"/>
    <w:tmpl w:val="9A0C697E"/>
    <w:lvl w:ilvl="0" w:tplc="87789F1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186"/>
    <w:rsid w:val="000E33F2"/>
    <w:rsid w:val="001F5A6E"/>
    <w:rsid w:val="002B0094"/>
    <w:rsid w:val="00424186"/>
    <w:rsid w:val="0047336A"/>
    <w:rsid w:val="00557FB2"/>
    <w:rsid w:val="00561B6A"/>
    <w:rsid w:val="005A5FE0"/>
    <w:rsid w:val="006138B7"/>
    <w:rsid w:val="00636A1A"/>
    <w:rsid w:val="006F4267"/>
    <w:rsid w:val="009D1283"/>
    <w:rsid w:val="009E314A"/>
    <w:rsid w:val="00B01996"/>
    <w:rsid w:val="00D91E8A"/>
    <w:rsid w:val="00E549AD"/>
    <w:rsid w:val="00E6370D"/>
    <w:rsid w:val="00F04FC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86"/>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186"/>
    <w:rPr>
      <w:rFonts w:cs="Times New Roman"/>
      <w:color w:val="0000FF"/>
      <w:u w:val="single"/>
    </w:rPr>
  </w:style>
  <w:style w:type="paragraph" w:styleId="Header">
    <w:name w:val="header"/>
    <w:basedOn w:val="Normal"/>
    <w:link w:val="HeaderChar"/>
    <w:uiPriority w:val="99"/>
    <w:rsid w:val="00424186"/>
    <w:pPr>
      <w:tabs>
        <w:tab w:val="center" w:pos="4153"/>
        <w:tab w:val="right" w:pos="8306"/>
      </w:tabs>
    </w:pPr>
  </w:style>
  <w:style w:type="character" w:customStyle="1" w:styleId="HeaderChar">
    <w:name w:val="Header Char"/>
    <w:basedOn w:val="DefaultParagraphFont"/>
    <w:link w:val="Header"/>
    <w:uiPriority w:val="99"/>
    <w:locked/>
    <w:rsid w:val="00424186"/>
    <w:rPr>
      <w:rFonts w:eastAsia="Times New Roman" w:cs="Times New Roman"/>
      <w:sz w:val="24"/>
      <w:szCs w:val="24"/>
      <w:lang w:eastAsia="lv-LV"/>
    </w:rPr>
  </w:style>
  <w:style w:type="paragraph" w:styleId="Footer">
    <w:name w:val="footer"/>
    <w:basedOn w:val="Normal"/>
    <w:link w:val="FooterChar"/>
    <w:uiPriority w:val="99"/>
    <w:rsid w:val="00424186"/>
    <w:pPr>
      <w:tabs>
        <w:tab w:val="center" w:pos="4153"/>
        <w:tab w:val="right" w:pos="8306"/>
      </w:tabs>
    </w:pPr>
  </w:style>
  <w:style w:type="character" w:customStyle="1" w:styleId="FooterChar">
    <w:name w:val="Footer Char"/>
    <w:basedOn w:val="DefaultParagraphFont"/>
    <w:link w:val="Footer"/>
    <w:uiPriority w:val="99"/>
    <w:locked/>
    <w:rsid w:val="00424186"/>
    <w:rPr>
      <w:rFonts w:eastAsia="Times New Roman" w:cs="Times New Roman"/>
      <w:sz w:val="24"/>
      <w:szCs w:val="24"/>
      <w:lang w:eastAsia="lv-LV"/>
    </w:rPr>
  </w:style>
  <w:style w:type="character" w:styleId="PageNumber">
    <w:name w:val="page number"/>
    <w:basedOn w:val="DefaultParagraphFont"/>
    <w:uiPriority w:val="99"/>
    <w:rsid w:val="00424186"/>
    <w:rPr>
      <w:rFonts w:cs="Times New Roman"/>
    </w:rPr>
  </w:style>
  <w:style w:type="paragraph" w:customStyle="1" w:styleId="Titreobjet">
    <w:name w:val="Titre objet"/>
    <w:basedOn w:val="Normal"/>
    <w:next w:val="Normal"/>
    <w:uiPriority w:val="99"/>
    <w:rsid w:val="00424186"/>
    <w:pPr>
      <w:spacing w:before="360" w:after="360"/>
      <w:jc w:val="center"/>
    </w:pPr>
    <w:rPr>
      <w:b/>
      <w:lang w:eastAsia="en-US"/>
    </w:rPr>
  </w:style>
  <w:style w:type="paragraph" w:styleId="FootnoteText">
    <w:name w:val="footnote text"/>
    <w:aliases w:val="Footnote,Fußnote"/>
    <w:basedOn w:val="Normal"/>
    <w:link w:val="FootnoteTextChar"/>
    <w:uiPriority w:val="99"/>
    <w:rsid w:val="00D91E8A"/>
    <w:rPr>
      <w:sz w:val="20"/>
      <w:szCs w:val="20"/>
      <w:lang w:eastAsia="en-US"/>
    </w:rPr>
  </w:style>
  <w:style w:type="character" w:customStyle="1" w:styleId="FootnoteTextChar">
    <w:name w:val="Footnote Text Char"/>
    <w:aliases w:val="Footnote Char,Fußnote Char"/>
    <w:basedOn w:val="DefaultParagraphFont"/>
    <w:link w:val="FootnoteText"/>
    <w:uiPriority w:val="99"/>
    <w:locked/>
    <w:rsid w:val="00D91E8A"/>
    <w:rPr>
      <w:rFonts w:eastAsia="Times New Roman" w:cs="Times New Roman"/>
      <w:sz w:val="20"/>
      <w:szCs w:val="20"/>
    </w:rPr>
  </w:style>
  <w:style w:type="character" w:styleId="FootnoteReference">
    <w:name w:val="footnote reference"/>
    <w:aliases w:val="Footnote Reference Number"/>
    <w:basedOn w:val="DefaultParagraphFont"/>
    <w:uiPriority w:val="99"/>
    <w:rsid w:val="00D91E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4449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gita@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494</Words>
  <Characters>3713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Satiksmes ministrijas sagatavoto nacionālo pozīciju Nr.1 „Priekšlikums Eiropas Parlamenta un Padomes  direktīvai par pasākumiem augsta kopējā tīklu  un informācijas drošības līmeņa nodrošināšanai  Eiropas Savienībā”</dc:title>
  <dc:subject>informatīvais zi;nojums</dc:subject>
  <dc:creator>Elīna Šimina-Neverovska</dc:creator>
  <cp:keywords/>
  <dc:description/>
  <cp:lastModifiedBy>Baiba Šterna</cp:lastModifiedBy>
  <cp:revision>6</cp:revision>
  <dcterms:created xsi:type="dcterms:W3CDTF">2013-03-14T07:43:00Z</dcterms:created>
  <dcterms:modified xsi:type="dcterms:W3CDTF">2013-03-18T07:38:00Z</dcterms:modified>
</cp:coreProperties>
</file>