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32" w:rsidRPr="00DF1B63" w:rsidRDefault="00F20D32" w:rsidP="002B6C67">
      <w:pPr>
        <w:jc w:val="center"/>
        <w:rPr>
          <w:b/>
          <w:bCs/>
          <w:sz w:val="28"/>
          <w:szCs w:val="28"/>
        </w:rPr>
      </w:pPr>
      <w:r w:rsidRPr="00DF1B63">
        <w:rPr>
          <w:b/>
          <w:bCs/>
          <w:sz w:val="28"/>
          <w:szCs w:val="28"/>
        </w:rPr>
        <w:t>Informatīvais ziņojums</w:t>
      </w:r>
    </w:p>
    <w:p w:rsidR="00F20D32" w:rsidRPr="00DF1B63" w:rsidRDefault="00F20D32" w:rsidP="002B6C67">
      <w:pPr>
        <w:jc w:val="center"/>
        <w:rPr>
          <w:b/>
          <w:bCs/>
          <w:sz w:val="28"/>
          <w:szCs w:val="28"/>
        </w:rPr>
      </w:pPr>
      <w:bookmarkStart w:id="0" w:name="OLE_LINK1"/>
      <w:r w:rsidRPr="00DF1B63">
        <w:rPr>
          <w:b/>
          <w:bCs/>
          <w:sz w:val="28"/>
          <w:szCs w:val="28"/>
        </w:rPr>
        <w:t>“Latvijas nacionālās pozīcijas Eiropas Savienības Transporta, telekomunikāciju un enerģētikas Ministru padomes 2012.gada         20. decembra sanāksmei”</w:t>
      </w:r>
      <w:bookmarkEnd w:id="0"/>
    </w:p>
    <w:p w:rsidR="00F20D32" w:rsidRPr="00DF1B63" w:rsidRDefault="00F20D32" w:rsidP="002B6C67">
      <w:pPr>
        <w:rPr>
          <w:b/>
          <w:bCs/>
          <w:sz w:val="28"/>
          <w:szCs w:val="28"/>
        </w:rPr>
      </w:pPr>
    </w:p>
    <w:p w:rsidR="00F20D32" w:rsidRPr="00DF1B63" w:rsidRDefault="00F20D32" w:rsidP="002B6C67">
      <w:pPr>
        <w:rPr>
          <w:b/>
          <w:bCs/>
          <w:sz w:val="28"/>
          <w:szCs w:val="28"/>
        </w:rPr>
      </w:pPr>
    </w:p>
    <w:p w:rsidR="00F20D32" w:rsidRPr="00DF1B63" w:rsidRDefault="00F20D32" w:rsidP="002B6C67">
      <w:pPr>
        <w:jc w:val="both"/>
        <w:rPr>
          <w:sz w:val="28"/>
          <w:szCs w:val="28"/>
        </w:rPr>
      </w:pPr>
      <w:r w:rsidRPr="00DF1B63">
        <w:rPr>
          <w:sz w:val="28"/>
          <w:szCs w:val="28"/>
        </w:rPr>
        <w:tab/>
        <w:t xml:space="preserve">2012. gada 20. decembrī Briselē notiks Eiropas Savienības Transporta, telekomunikāciju un enerģētikas Ministru padomes sanāksme, kuras darba kārtībā ir ietverti šādi Satiksmes ministrijas kompetencē esoši jautājumi, par kuriem </w:t>
      </w:r>
      <w:smartTag w:uri="urn:schemas-tilde-lv/tildestengine" w:element="firmas">
        <w:r w:rsidRPr="00DF1B63">
          <w:rPr>
            <w:sz w:val="28"/>
            <w:szCs w:val="28"/>
          </w:rPr>
          <w:t>Satiksmes ministrija</w:t>
        </w:r>
      </w:smartTag>
      <w:r w:rsidRPr="00DF1B63">
        <w:rPr>
          <w:sz w:val="28"/>
          <w:szCs w:val="28"/>
        </w:rPr>
        <w:t xml:space="preserve"> ir izstrādājusi nacionālās pozīcijas:</w:t>
      </w:r>
    </w:p>
    <w:p w:rsidR="00F20D32" w:rsidRPr="00DF1B63" w:rsidRDefault="00F20D32" w:rsidP="002B6C67">
      <w:pPr>
        <w:pStyle w:val="BodyText2"/>
        <w:spacing w:after="0" w:line="240" w:lineRule="auto"/>
        <w:jc w:val="both"/>
        <w:rPr>
          <w:sz w:val="28"/>
          <w:szCs w:val="28"/>
        </w:rPr>
      </w:pPr>
    </w:p>
    <w:p w:rsidR="00F20D32" w:rsidRPr="00DF1B63" w:rsidRDefault="00F20D32" w:rsidP="002B6C67">
      <w:pPr>
        <w:ind w:firstLine="720"/>
        <w:jc w:val="both"/>
        <w:rPr>
          <w:b/>
          <w:snapToGrid w:val="0"/>
          <w:sz w:val="28"/>
          <w:szCs w:val="28"/>
          <w:lang w:eastAsia="en-GB"/>
        </w:rPr>
      </w:pPr>
      <w:r w:rsidRPr="00DF1B63">
        <w:rPr>
          <w:b/>
          <w:snapToGrid w:val="0"/>
          <w:sz w:val="28"/>
          <w:szCs w:val="28"/>
          <w:lang w:eastAsia="en-GB"/>
        </w:rPr>
        <w:t xml:space="preserve">1. </w:t>
      </w:r>
      <w:r w:rsidRPr="00DF1B63">
        <w:rPr>
          <w:b/>
          <w:iCs/>
          <w:sz w:val="28"/>
          <w:szCs w:val="28"/>
        </w:rPr>
        <w:t>Priekšlikums Eiropas Parlamenta un Padomes Regulai par mehānisko transportlīdzekļu un to piekabju tehniskajām apskatēm un atceļ Direktīvu 2009/40/EK- vispārējā vienošanās</w:t>
      </w:r>
      <w:r w:rsidRPr="00DF1B63">
        <w:rPr>
          <w:b/>
          <w:sz w:val="28"/>
          <w:szCs w:val="28"/>
          <w:lang w:eastAsia="en-GB"/>
        </w:rPr>
        <w:t>.</w:t>
      </w:r>
      <w:r w:rsidRPr="00DF1B63">
        <w:rPr>
          <w:sz w:val="28"/>
          <w:szCs w:val="28"/>
          <w:lang w:eastAsia="en-GB"/>
        </w:rPr>
        <w:t xml:space="preserve">  </w:t>
      </w:r>
    </w:p>
    <w:p w:rsidR="00F20D32" w:rsidRPr="00DF1B63" w:rsidRDefault="00F20D32" w:rsidP="00EE6B4E">
      <w:pPr>
        <w:ind w:firstLine="720"/>
        <w:jc w:val="both"/>
        <w:rPr>
          <w:noProof/>
          <w:sz w:val="28"/>
          <w:szCs w:val="28"/>
        </w:rPr>
      </w:pPr>
      <w:r w:rsidRPr="00DF1B63">
        <w:rPr>
          <w:sz w:val="28"/>
          <w:szCs w:val="28"/>
        </w:rPr>
        <w:t xml:space="preserve">Priekšlikuma </w:t>
      </w:r>
      <w:r w:rsidRPr="00DF1B63">
        <w:rPr>
          <w:b/>
          <w:sz w:val="28"/>
          <w:szCs w:val="28"/>
        </w:rPr>
        <w:t>mērķis</w:t>
      </w:r>
      <w:r w:rsidRPr="00DF1B63">
        <w:rPr>
          <w:sz w:val="28"/>
          <w:szCs w:val="28"/>
        </w:rPr>
        <w:t xml:space="preserve"> </w:t>
      </w:r>
      <w:r>
        <w:rPr>
          <w:sz w:val="28"/>
          <w:szCs w:val="28"/>
        </w:rPr>
        <w:t>ir</w:t>
      </w:r>
      <w:r w:rsidRPr="00DF1B63">
        <w:rPr>
          <w:noProof/>
          <w:sz w:val="28"/>
          <w:szCs w:val="28"/>
        </w:rPr>
        <w:t xml:space="preserve"> stiprināt mehānisko transportlīdzekļu un to piekabju tehnisko apskašu sistēmu un panākt ar to saistīto noteikumu ievērošanu, lai uzlabotu ceļu satiksmes drošību un vides aizsardzību un tas ir viens no t.s. </w:t>
      </w:r>
      <w:r w:rsidRPr="00DF1B63">
        <w:rPr>
          <w:sz w:val="28"/>
          <w:szCs w:val="28"/>
          <w:lang w:eastAsia="en-GB"/>
        </w:rPr>
        <w:t>Transportlīdzekļu tehniskā stāvokļa n</w:t>
      </w:r>
      <w:bookmarkStart w:id="1" w:name="_GoBack"/>
      <w:bookmarkEnd w:id="1"/>
      <w:r w:rsidRPr="00DF1B63">
        <w:rPr>
          <w:sz w:val="28"/>
          <w:szCs w:val="28"/>
          <w:lang w:eastAsia="en-GB"/>
        </w:rPr>
        <w:t>oteikumu kopuma priekšlikumiem.</w:t>
      </w:r>
    </w:p>
    <w:p w:rsidR="00F20D32" w:rsidRPr="00DF1B63" w:rsidRDefault="00F20D32" w:rsidP="00460DA8">
      <w:pPr>
        <w:widowControl w:val="0"/>
        <w:suppressAutoHyphens/>
        <w:autoSpaceDE w:val="0"/>
        <w:ind w:firstLine="720"/>
        <w:jc w:val="both"/>
        <w:rPr>
          <w:b/>
          <w:sz w:val="28"/>
          <w:szCs w:val="28"/>
        </w:rPr>
      </w:pPr>
      <w:r w:rsidRPr="00DF1B63">
        <w:rPr>
          <w:b/>
          <w:snapToGrid w:val="0"/>
          <w:sz w:val="28"/>
          <w:szCs w:val="28"/>
          <w:lang w:eastAsia="en-GB"/>
        </w:rPr>
        <w:t>Padomē ir plānots</w:t>
      </w:r>
      <w:r w:rsidRPr="00DF1B63">
        <w:rPr>
          <w:b/>
          <w:sz w:val="28"/>
          <w:szCs w:val="28"/>
        </w:rPr>
        <w:t xml:space="preserve"> vienoties par atvērtajiem jautājumiem </w:t>
      </w:r>
      <w:r w:rsidRPr="0027531C">
        <w:rPr>
          <w:i/>
          <w:sz w:val="28"/>
          <w:szCs w:val="28"/>
        </w:rPr>
        <w:t>(tiesību akta juridiskais pamatojums, tvērums, tehnisko apskašu periodiskums),</w:t>
      </w:r>
      <w:r w:rsidRPr="00DF1B63">
        <w:rPr>
          <w:b/>
          <w:sz w:val="28"/>
          <w:szCs w:val="28"/>
        </w:rPr>
        <w:t xml:space="preserve"> lai vienotos par vispārējo pieeju Direktīvas projektam. </w:t>
      </w:r>
    </w:p>
    <w:p w:rsidR="00F20D32" w:rsidRPr="00DF1B63" w:rsidRDefault="00F20D32" w:rsidP="00EE6B4E">
      <w:pPr>
        <w:ind w:firstLine="720"/>
        <w:jc w:val="both"/>
        <w:rPr>
          <w:sz w:val="28"/>
          <w:szCs w:val="28"/>
        </w:rPr>
      </w:pPr>
      <w:r w:rsidRPr="00DF1B63">
        <w:rPr>
          <w:b/>
          <w:sz w:val="28"/>
          <w:szCs w:val="28"/>
        </w:rPr>
        <w:t>Latvija kopumā atbalsta Kipras Prezidentūras sagatavoto kompromisa teksta redakciju un atbalsta vienošanās panākšanu par Direktīvas projektu</w:t>
      </w:r>
      <w:r w:rsidRPr="00DF1B63">
        <w:rPr>
          <w:sz w:val="28"/>
          <w:szCs w:val="28"/>
        </w:rPr>
        <w:t xml:space="preserve">. Atvērtajos jautājumos Latvija, galvenokārt, atbalsta esošo Prezidentūras tekstu, kas paredz, ka izvēlētais tiesību akta veids ir – direktīva, tiek paredzēts izņēmums T5 kategorijai, ņemot vērā, ka nav izdevies T5 kategoriju izslēgt no tvēruma. </w:t>
      </w:r>
    </w:p>
    <w:p w:rsidR="00F20D32" w:rsidRPr="00DF1B63" w:rsidRDefault="00F20D32" w:rsidP="00EE6B4E">
      <w:pPr>
        <w:jc w:val="both"/>
        <w:rPr>
          <w:b/>
          <w:sz w:val="28"/>
          <w:szCs w:val="28"/>
        </w:rPr>
      </w:pPr>
    </w:p>
    <w:p w:rsidR="00F20D32" w:rsidRPr="00472874" w:rsidRDefault="00F20D32" w:rsidP="00EE6B4E">
      <w:pPr>
        <w:pStyle w:val="NoSpacing"/>
        <w:ind w:firstLine="720"/>
        <w:jc w:val="both"/>
        <w:rPr>
          <w:b/>
          <w:sz w:val="28"/>
          <w:szCs w:val="28"/>
          <w:lang w:val="lv-LV"/>
        </w:rPr>
      </w:pPr>
      <w:r w:rsidRPr="00472874">
        <w:rPr>
          <w:b/>
          <w:sz w:val="28"/>
          <w:szCs w:val="28"/>
          <w:lang w:val="lv-LV"/>
        </w:rPr>
        <w:t>2. Priekšlikums Eiropas Parlamenta un Padomes Regulai par Eiropas infrastruktūras savienošanas instrument</w:t>
      </w:r>
      <w:r>
        <w:rPr>
          <w:b/>
          <w:sz w:val="28"/>
          <w:szCs w:val="28"/>
          <w:lang w:val="lv-LV"/>
        </w:rPr>
        <w:t>s</w:t>
      </w:r>
      <w:r w:rsidRPr="00472874">
        <w:rPr>
          <w:b/>
          <w:sz w:val="28"/>
          <w:szCs w:val="28"/>
          <w:lang w:val="lv-LV"/>
        </w:rPr>
        <w:t xml:space="preserve"> - Progresa ziņojums.</w:t>
      </w:r>
    </w:p>
    <w:p w:rsidR="00F20D32" w:rsidRPr="00DF1B63" w:rsidRDefault="00F20D32" w:rsidP="00EE6B4E">
      <w:pPr>
        <w:ind w:firstLine="720"/>
        <w:jc w:val="both"/>
        <w:rPr>
          <w:sz w:val="28"/>
          <w:szCs w:val="28"/>
        </w:rPr>
      </w:pPr>
      <w:r w:rsidRPr="00DF1B63">
        <w:rPr>
          <w:sz w:val="28"/>
          <w:szCs w:val="28"/>
        </w:rPr>
        <w:t>Regulas p</w:t>
      </w:r>
      <w:r>
        <w:rPr>
          <w:sz w:val="28"/>
          <w:szCs w:val="28"/>
        </w:rPr>
        <w:t xml:space="preserve">rojekts </w:t>
      </w:r>
      <w:r w:rsidRPr="00DF1B63">
        <w:rPr>
          <w:sz w:val="28"/>
          <w:szCs w:val="28"/>
        </w:rPr>
        <w:t xml:space="preserve">paredz noteikumus, kas regulē </w:t>
      </w:r>
      <w:r>
        <w:rPr>
          <w:sz w:val="28"/>
          <w:szCs w:val="28"/>
        </w:rPr>
        <w:t>Eiropas Savienojuma instrumentu (</w:t>
      </w:r>
      <w:r w:rsidRPr="00DF1B63">
        <w:rPr>
          <w:sz w:val="28"/>
          <w:szCs w:val="28"/>
        </w:rPr>
        <w:t>CEF</w:t>
      </w:r>
      <w:r>
        <w:rPr>
          <w:sz w:val="28"/>
          <w:szCs w:val="28"/>
        </w:rPr>
        <w:t xml:space="preserve">) </w:t>
      </w:r>
      <w:r w:rsidRPr="00DF1B63">
        <w:rPr>
          <w:sz w:val="28"/>
          <w:szCs w:val="28"/>
        </w:rPr>
        <w:t xml:space="preserve">izveidi un darbību, kā arī nosaka nosacījumus, metodes un procedūras, lai nodrošinātu Eiropas Savienības finansiālo atbalstu Eiropas komunikāciju tīkliem transporta jomā, enerģētikas un telekomunikāciju infrastruktūrās. Kipras Prezidentūras laikā </w:t>
      </w:r>
      <w:r>
        <w:rPr>
          <w:sz w:val="28"/>
          <w:szCs w:val="28"/>
        </w:rPr>
        <w:t xml:space="preserve">darbs pie </w:t>
      </w:r>
      <w:r w:rsidRPr="00DF1B63">
        <w:rPr>
          <w:sz w:val="28"/>
          <w:szCs w:val="28"/>
        </w:rPr>
        <w:t xml:space="preserve">Regulas </w:t>
      </w:r>
      <w:r>
        <w:rPr>
          <w:sz w:val="28"/>
          <w:szCs w:val="28"/>
        </w:rPr>
        <w:t>projekta notika, lai</w:t>
      </w:r>
      <w:r w:rsidRPr="00DF1B63">
        <w:rPr>
          <w:sz w:val="28"/>
          <w:szCs w:val="28"/>
        </w:rPr>
        <w:t xml:space="preserve"> </w:t>
      </w:r>
      <w:r>
        <w:rPr>
          <w:sz w:val="28"/>
          <w:szCs w:val="28"/>
        </w:rPr>
        <w:t xml:space="preserve">to </w:t>
      </w:r>
      <w:r w:rsidRPr="00DF1B63">
        <w:rPr>
          <w:sz w:val="28"/>
          <w:szCs w:val="28"/>
        </w:rPr>
        <w:t>salā</w:t>
      </w:r>
      <w:r>
        <w:rPr>
          <w:sz w:val="28"/>
          <w:szCs w:val="28"/>
        </w:rPr>
        <w:t>gotu</w:t>
      </w:r>
      <w:r w:rsidRPr="00DF1B63">
        <w:rPr>
          <w:sz w:val="28"/>
          <w:szCs w:val="28"/>
        </w:rPr>
        <w:t xml:space="preserve"> ar jauno Finanšu regulu. </w:t>
      </w:r>
    </w:p>
    <w:p w:rsidR="00F20D32" w:rsidRPr="00DF1B63" w:rsidRDefault="00F20D32" w:rsidP="002B6C67">
      <w:pPr>
        <w:ind w:firstLine="720"/>
        <w:jc w:val="both"/>
        <w:rPr>
          <w:snapToGrid w:val="0"/>
          <w:sz w:val="28"/>
          <w:szCs w:val="28"/>
          <w:lang w:eastAsia="en-GB"/>
        </w:rPr>
      </w:pPr>
      <w:r w:rsidRPr="00DF1B63">
        <w:rPr>
          <w:b/>
          <w:sz w:val="28"/>
          <w:szCs w:val="28"/>
        </w:rPr>
        <w:t xml:space="preserve">Padomē ir plānots pieņemt zināšanai </w:t>
      </w:r>
      <w:r>
        <w:rPr>
          <w:b/>
          <w:sz w:val="28"/>
          <w:szCs w:val="28"/>
        </w:rPr>
        <w:t xml:space="preserve">Kipras </w:t>
      </w:r>
      <w:r w:rsidRPr="00DF1B63">
        <w:rPr>
          <w:b/>
          <w:sz w:val="28"/>
          <w:szCs w:val="28"/>
        </w:rPr>
        <w:t>Prezidentūras sagatavoto progresa ziņojumu par panā</w:t>
      </w:r>
      <w:r>
        <w:rPr>
          <w:b/>
          <w:sz w:val="28"/>
          <w:szCs w:val="28"/>
        </w:rPr>
        <w:t>kto progresu darba grupu līmenī</w:t>
      </w:r>
      <w:r w:rsidRPr="00DF1B63">
        <w:rPr>
          <w:b/>
          <w:snapToGrid w:val="0"/>
          <w:sz w:val="28"/>
          <w:szCs w:val="28"/>
          <w:lang w:eastAsia="en-GB"/>
        </w:rPr>
        <w:t xml:space="preserve">. </w:t>
      </w:r>
      <w:r w:rsidRPr="00DF1B63">
        <w:rPr>
          <w:snapToGrid w:val="0"/>
          <w:sz w:val="28"/>
          <w:szCs w:val="28"/>
          <w:lang w:eastAsia="en-GB"/>
        </w:rPr>
        <w:t>Diskusijas par Regulas projekta būtību nav paredzētas.</w:t>
      </w:r>
    </w:p>
    <w:p w:rsidR="00F20D32" w:rsidRPr="00DF1B63" w:rsidRDefault="00F20D32" w:rsidP="002B6C67">
      <w:pPr>
        <w:tabs>
          <w:tab w:val="left" w:pos="540"/>
        </w:tabs>
        <w:autoSpaceDE w:val="0"/>
        <w:autoSpaceDN w:val="0"/>
        <w:adjustRightInd w:val="0"/>
        <w:jc w:val="both"/>
        <w:rPr>
          <w:b/>
          <w:sz w:val="28"/>
          <w:szCs w:val="28"/>
        </w:rPr>
      </w:pPr>
      <w:r w:rsidRPr="00DF1B63">
        <w:rPr>
          <w:sz w:val="28"/>
          <w:szCs w:val="28"/>
        </w:rPr>
        <w:tab/>
      </w:r>
      <w:r w:rsidRPr="00DF1B63">
        <w:rPr>
          <w:sz w:val="28"/>
          <w:szCs w:val="28"/>
        </w:rPr>
        <w:tab/>
      </w:r>
      <w:r w:rsidRPr="00DF1B63">
        <w:rPr>
          <w:b/>
          <w:sz w:val="28"/>
          <w:szCs w:val="28"/>
        </w:rPr>
        <w:t xml:space="preserve">Latvija pieņem zināšanai progresa ziņojumu. </w:t>
      </w:r>
    </w:p>
    <w:p w:rsidR="00F20D32" w:rsidRPr="00DF1B63" w:rsidRDefault="00F20D32" w:rsidP="002B6C67">
      <w:pPr>
        <w:tabs>
          <w:tab w:val="left" w:pos="540"/>
        </w:tabs>
        <w:autoSpaceDE w:val="0"/>
        <w:autoSpaceDN w:val="0"/>
        <w:adjustRightInd w:val="0"/>
        <w:jc w:val="both"/>
        <w:rPr>
          <w:b/>
          <w:sz w:val="28"/>
          <w:szCs w:val="28"/>
        </w:rPr>
      </w:pPr>
    </w:p>
    <w:p w:rsidR="00F20D32" w:rsidRPr="00DF1B63" w:rsidRDefault="00F20D32" w:rsidP="002B6C67">
      <w:pPr>
        <w:tabs>
          <w:tab w:val="left" w:pos="1080"/>
        </w:tabs>
        <w:autoSpaceDE w:val="0"/>
        <w:autoSpaceDN w:val="0"/>
        <w:adjustRightInd w:val="0"/>
        <w:ind w:firstLine="720"/>
        <w:jc w:val="both"/>
        <w:rPr>
          <w:b/>
          <w:sz w:val="28"/>
          <w:szCs w:val="28"/>
          <w:lang w:eastAsia="en-GB"/>
        </w:rPr>
      </w:pPr>
      <w:r w:rsidRPr="00DF1B63">
        <w:rPr>
          <w:b/>
          <w:sz w:val="28"/>
          <w:szCs w:val="28"/>
        </w:rPr>
        <w:t>3. Priekšlikums Eiropas Parlamenta un Padomes Regulai par Eiropas satelītnavigācijas sistēmu īstenošanu un izmantošanu-Progresa ziņojums</w:t>
      </w:r>
      <w:r w:rsidRPr="00DF1B63">
        <w:rPr>
          <w:b/>
          <w:sz w:val="28"/>
          <w:szCs w:val="28"/>
          <w:lang w:eastAsia="en-GB"/>
        </w:rPr>
        <w:t>.</w:t>
      </w:r>
    </w:p>
    <w:p w:rsidR="00F20D32" w:rsidRPr="00DF1B63" w:rsidRDefault="00F20D32" w:rsidP="00FA522E">
      <w:pPr>
        <w:ind w:firstLine="720"/>
        <w:jc w:val="both"/>
        <w:rPr>
          <w:b/>
          <w:sz w:val="28"/>
          <w:szCs w:val="28"/>
        </w:rPr>
      </w:pPr>
      <w:r w:rsidRPr="00DF1B63">
        <w:rPr>
          <w:sz w:val="28"/>
          <w:szCs w:val="28"/>
        </w:rPr>
        <w:t xml:space="preserve">Eiropas Komisija 2011.gada 30.novembrī nāca klajā ar Regulas projektu, kura mērķis ir noteikt finansiālo un pārvaldības ietvaru Eiropas satelītnavigācijas programmām EGNOS un </w:t>
      </w:r>
      <w:r w:rsidRPr="00DF1B63">
        <w:rPr>
          <w:i/>
          <w:sz w:val="28"/>
          <w:szCs w:val="28"/>
        </w:rPr>
        <w:t>Galileo</w:t>
      </w:r>
      <w:r w:rsidRPr="00DF1B63">
        <w:rPr>
          <w:sz w:val="28"/>
          <w:szCs w:val="28"/>
        </w:rPr>
        <w:t xml:space="preserve"> no 2014.-2020.gadam. Ar šo priekšlikumu plānots aizstāt un atcelt Eiropas Parlamenta un Padomes Regulu (EK) Nr. 683/2008 par Eiropas satelītu radionavigācijas programmu (EGNOS un Galileo ) turpmāku īstenošanu. </w:t>
      </w:r>
    </w:p>
    <w:p w:rsidR="00F20D32" w:rsidRPr="00DF1B63" w:rsidRDefault="00F20D32" w:rsidP="00460DA8">
      <w:pPr>
        <w:ind w:firstLine="720"/>
        <w:jc w:val="both"/>
        <w:rPr>
          <w:snapToGrid w:val="0"/>
          <w:sz w:val="28"/>
          <w:szCs w:val="28"/>
          <w:lang w:eastAsia="en-GB"/>
        </w:rPr>
      </w:pPr>
      <w:r w:rsidRPr="00DF1B63">
        <w:rPr>
          <w:b/>
          <w:sz w:val="28"/>
          <w:szCs w:val="28"/>
        </w:rPr>
        <w:t xml:space="preserve">Padomē ir plānots pieņemt zināšanai </w:t>
      </w:r>
      <w:r>
        <w:rPr>
          <w:b/>
          <w:sz w:val="28"/>
          <w:szCs w:val="28"/>
        </w:rPr>
        <w:t xml:space="preserve">Kipras </w:t>
      </w:r>
      <w:r w:rsidRPr="00DF1B63">
        <w:rPr>
          <w:b/>
          <w:sz w:val="28"/>
          <w:szCs w:val="28"/>
        </w:rPr>
        <w:t>Prezidentūras sagatavoto progresa ziņojumu par panākto progresu darba grupu līmenī.</w:t>
      </w:r>
      <w:r>
        <w:rPr>
          <w:b/>
          <w:snapToGrid w:val="0"/>
          <w:sz w:val="28"/>
          <w:szCs w:val="28"/>
          <w:lang w:eastAsia="en-GB"/>
        </w:rPr>
        <w:t xml:space="preserve"> </w:t>
      </w:r>
      <w:r w:rsidRPr="00DF1B63">
        <w:rPr>
          <w:snapToGrid w:val="0"/>
          <w:sz w:val="28"/>
          <w:szCs w:val="28"/>
          <w:lang w:eastAsia="en-GB"/>
        </w:rPr>
        <w:t>Diskusijas par Regulas projekta būtību nav paredzētas.</w:t>
      </w:r>
    </w:p>
    <w:p w:rsidR="00F20D32" w:rsidRPr="00DF1B63" w:rsidRDefault="00F20D32" w:rsidP="00460DA8">
      <w:pPr>
        <w:tabs>
          <w:tab w:val="left" w:pos="540"/>
        </w:tabs>
        <w:autoSpaceDE w:val="0"/>
        <w:autoSpaceDN w:val="0"/>
        <w:adjustRightInd w:val="0"/>
        <w:jc w:val="both"/>
        <w:rPr>
          <w:b/>
          <w:sz w:val="28"/>
          <w:szCs w:val="28"/>
        </w:rPr>
      </w:pPr>
      <w:r w:rsidRPr="00DF1B63">
        <w:rPr>
          <w:sz w:val="28"/>
          <w:szCs w:val="28"/>
        </w:rPr>
        <w:tab/>
      </w:r>
      <w:r w:rsidRPr="00DF1B63">
        <w:rPr>
          <w:sz w:val="28"/>
          <w:szCs w:val="28"/>
        </w:rPr>
        <w:tab/>
      </w:r>
      <w:r w:rsidRPr="00DF1B63">
        <w:rPr>
          <w:b/>
          <w:sz w:val="28"/>
          <w:szCs w:val="28"/>
        </w:rPr>
        <w:t xml:space="preserve">Latvija pieņem zināšanai progresa ziņojumu. </w:t>
      </w:r>
    </w:p>
    <w:p w:rsidR="00F20D32" w:rsidRPr="00DF1B63" w:rsidRDefault="00F20D32" w:rsidP="002B6C67">
      <w:pPr>
        <w:tabs>
          <w:tab w:val="left" w:pos="1080"/>
        </w:tabs>
        <w:autoSpaceDE w:val="0"/>
        <w:autoSpaceDN w:val="0"/>
        <w:adjustRightInd w:val="0"/>
        <w:jc w:val="both"/>
        <w:rPr>
          <w:b/>
          <w:sz w:val="28"/>
          <w:szCs w:val="28"/>
        </w:rPr>
      </w:pPr>
    </w:p>
    <w:p w:rsidR="00F20D32" w:rsidRPr="00DF1B63" w:rsidRDefault="00F20D32" w:rsidP="002B6C67">
      <w:pPr>
        <w:tabs>
          <w:tab w:val="left" w:pos="1080"/>
        </w:tabs>
        <w:autoSpaceDE w:val="0"/>
        <w:autoSpaceDN w:val="0"/>
        <w:adjustRightInd w:val="0"/>
        <w:ind w:firstLine="720"/>
        <w:jc w:val="both"/>
        <w:rPr>
          <w:b/>
          <w:bCs/>
          <w:spacing w:val="-2"/>
          <w:sz w:val="28"/>
          <w:szCs w:val="28"/>
        </w:rPr>
      </w:pPr>
      <w:r w:rsidRPr="00DF1B63">
        <w:rPr>
          <w:b/>
          <w:sz w:val="28"/>
          <w:szCs w:val="28"/>
        </w:rPr>
        <w:t xml:space="preserve">4. </w:t>
      </w:r>
      <w:r w:rsidRPr="00DF1B63">
        <w:rPr>
          <w:b/>
          <w:bCs/>
          <w:iCs/>
          <w:sz w:val="28"/>
          <w:szCs w:val="28"/>
        </w:rPr>
        <w:t>Komisijas paziņojums Eiropas Parlamentam, Padomei, Eiropas Ekonomikas un sociālo lietu komitejai un Reģionu komitejai „ES ārējā aviācijas politika – nākotnes problēmu risinājums”</w:t>
      </w:r>
      <w:r w:rsidRPr="00DF1B63">
        <w:rPr>
          <w:b/>
          <w:sz w:val="28"/>
          <w:szCs w:val="28"/>
        </w:rPr>
        <w:t xml:space="preserve"> - </w:t>
      </w:r>
      <w:r w:rsidRPr="00DF1B63">
        <w:rPr>
          <w:b/>
          <w:bCs/>
          <w:iCs/>
          <w:sz w:val="28"/>
          <w:szCs w:val="28"/>
        </w:rPr>
        <w:t>Padomes secinājumu projekta apstiprināšana</w:t>
      </w:r>
      <w:r w:rsidRPr="00DF1B63">
        <w:rPr>
          <w:b/>
          <w:sz w:val="28"/>
          <w:szCs w:val="28"/>
          <w:lang w:eastAsia="en-GB"/>
        </w:rPr>
        <w:t>.</w:t>
      </w:r>
    </w:p>
    <w:p w:rsidR="00F20D32" w:rsidRPr="00DF1B63" w:rsidRDefault="00F20D32" w:rsidP="00DF1B63">
      <w:pPr>
        <w:ind w:firstLine="720"/>
        <w:jc w:val="both"/>
        <w:rPr>
          <w:rFonts w:eastAsia="SimSun"/>
          <w:noProof/>
          <w:sz w:val="28"/>
          <w:szCs w:val="28"/>
          <w:lang w:eastAsia="zh-CN"/>
        </w:rPr>
      </w:pPr>
      <w:r w:rsidRPr="00DF1B63">
        <w:rPr>
          <w:rFonts w:eastAsia="SimSun"/>
          <w:sz w:val="28"/>
          <w:szCs w:val="28"/>
          <w:lang w:eastAsia="zh-CN"/>
        </w:rPr>
        <w:t xml:space="preserve">2012.gada 27.septembrī Padome saņēma Eiropas </w:t>
      </w:r>
      <w:r w:rsidRPr="00DF1B63">
        <w:rPr>
          <w:sz w:val="28"/>
          <w:szCs w:val="28"/>
          <w:lang w:eastAsia="zh-CN"/>
        </w:rPr>
        <w:t xml:space="preserve">Komisijas paziņojumu Eiropas Parlamentam, Padomei, Eiropas Ekonomikas un sociālo lietu komitejai un Reģionu komitejai „ES ārējā aviācijas politika – nākotnes problēmu risinājums”. </w:t>
      </w:r>
      <w:r w:rsidRPr="00DF1B63">
        <w:rPr>
          <w:rFonts w:eastAsia="SimSun"/>
          <w:noProof/>
          <w:sz w:val="28"/>
          <w:szCs w:val="28"/>
          <w:lang w:eastAsia="zh-CN"/>
        </w:rPr>
        <w:t xml:space="preserve">Šajā paziņojumā tiek izvērtēts progress, kas sasniegts kopš Komisijas 2005.gada 28.jūnija paziņojuma „Izstrādājot ES aviācijas ārējo politiku”, un uzsvērts,  ka Eiropai ir jāsaglabā spēcīga un konkurētspējīga aviācijas nozare un jāsasniedz galvenie mērķi globālās aviācijas vidē, nostiprinot Eiropas Savienības centienus atbalstīt taisnīgu un atklātu konkurenci starptautiskajā tirgū, tipveida nosacījumu  iekļaušanu gaisa satiksmes  nolīgumos un </w:t>
      </w:r>
      <w:r w:rsidRPr="00DF1B63">
        <w:rPr>
          <w:rFonts w:eastAsia="SimSun"/>
          <w:color w:val="222222"/>
          <w:sz w:val="28"/>
          <w:szCs w:val="28"/>
          <w:lang w:eastAsia="zh-CN"/>
        </w:rPr>
        <w:t xml:space="preserve">aviācijas </w:t>
      </w:r>
      <w:r w:rsidRPr="00DF1B63">
        <w:rPr>
          <w:rFonts w:eastAsia="SimSun"/>
          <w:bCs/>
          <w:color w:val="222222"/>
          <w:sz w:val="28"/>
          <w:szCs w:val="28"/>
          <w:lang w:eastAsia="zh-CN"/>
        </w:rPr>
        <w:t>emisiju samazināšanu</w:t>
      </w:r>
      <w:r w:rsidRPr="00DF1B63">
        <w:rPr>
          <w:rFonts w:eastAsia="SimSun"/>
          <w:noProof/>
          <w:sz w:val="28"/>
          <w:szCs w:val="28"/>
          <w:lang w:eastAsia="zh-CN"/>
        </w:rPr>
        <w:t xml:space="preserve">.  Balstoties uz minēto Paziņojumu, tika izstrādāti Padomes Secinājumi, kas iezīmē turpmākos darbības virzienus. </w:t>
      </w:r>
    </w:p>
    <w:p w:rsidR="00F20D32" w:rsidRPr="00DF1B63" w:rsidRDefault="00F20D32" w:rsidP="002B6C67">
      <w:pPr>
        <w:jc w:val="both"/>
        <w:rPr>
          <w:b/>
          <w:sz w:val="28"/>
          <w:szCs w:val="28"/>
        </w:rPr>
      </w:pPr>
      <w:r w:rsidRPr="00DF1B63">
        <w:rPr>
          <w:b/>
          <w:sz w:val="28"/>
          <w:szCs w:val="28"/>
        </w:rPr>
        <w:tab/>
        <w:t xml:space="preserve">Padomē ir plānota Padomes secinājumu projekta apstiprināšana. </w:t>
      </w:r>
    </w:p>
    <w:p w:rsidR="00F20D32" w:rsidRPr="00DF1B63" w:rsidRDefault="00F20D32" w:rsidP="002B6C67">
      <w:pPr>
        <w:ind w:firstLine="720"/>
        <w:jc w:val="both"/>
        <w:rPr>
          <w:noProof/>
        </w:rPr>
      </w:pPr>
      <w:r w:rsidRPr="00DF1B63">
        <w:rPr>
          <w:b/>
          <w:sz w:val="28"/>
          <w:szCs w:val="28"/>
        </w:rPr>
        <w:t xml:space="preserve">Latvija kopumā atbalsta Padomes Secinājumu apstiprināšanu, </w:t>
      </w:r>
      <w:r w:rsidRPr="00DF1B63">
        <w:rPr>
          <w:noProof/>
          <w:sz w:val="28"/>
          <w:szCs w:val="28"/>
        </w:rPr>
        <w:t>jo tie iezīmē tālākos Eiropas Savienības aviācijas politikas virzienus, atzīmējot aviācijas sektora globālo nozīmi, attiecīgi  mēģinot rast risinājumus globālām problēmām ICAO līmenī, veicinot visaptverošo gaisa satiksmes nplīgumu slēgšanu ar trešajām valstīm, paplašinot kopējo gaisa telpu ar ES kaimiņvalstīm, kā arī sekmējot sadarbību aviācijas jomā ar Krieviju, Ķīnu, Turciju u.c. trešajām valstīm</w:t>
      </w:r>
      <w:r w:rsidRPr="00DF1B63">
        <w:rPr>
          <w:noProof/>
        </w:rPr>
        <w:t>.</w:t>
      </w:r>
    </w:p>
    <w:p w:rsidR="00F20D32" w:rsidRPr="00DF1B63" w:rsidRDefault="00F20D32" w:rsidP="002B6C67">
      <w:pPr>
        <w:pStyle w:val="NoSpacing"/>
        <w:ind w:firstLine="720"/>
        <w:jc w:val="both"/>
        <w:rPr>
          <w:sz w:val="30"/>
          <w:szCs w:val="30"/>
          <w:lang w:val="lv-LV"/>
        </w:rPr>
      </w:pPr>
    </w:p>
    <w:p w:rsidR="00F20D32" w:rsidRPr="00DF1B63" w:rsidRDefault="00F20D32" w:rsidP="002B6C67">
      <w:pPr>
        <w:tabs>
          <w:tab w:val="left" w:pos="1080"/>
        </w:tabs>
        <w:autoSpaceDE w:val="0"/>
        <w:autoSpaceDN w:val="0"/>
        <w:adjustRightInd w:val="0"/>
        <w:ind w:firstLine="720"/>
        <w:jc w:val="both"/>
        <w:rPr>
          <w:b/>
          <w:sz w:val="28"/>
          <w:szCs w:val="28"/>
        </w:rPr>
      </w:pPr>
      <w:r w:rsidRPr="00DF1B63">
        <w:rPr>
          <w:b/>
          <w:sz w:val="28"/>
          <w:szCs w:val="28"/>
        </w:rPr>
        <w:t xml:space="preserve">5. </w:t>
      </w:r>
      <w:r w:rsidRPr="00DF1B63">
        <w:rPr>
          <w:b/>
          <w:bCs/>
          <w:sz w:val="28"/>
          <w:szCs w:val="28"/>
        </w:rPr>
        <w:t xml:space="preserve">Priekšlikums Padomes lēmumam par Eiropas-Vidusjūras Aviācijas nolīguma starp Eiropas Savienību un tās dalībvalstīm, no vienas puses, un Izraēlas Valsti, no otras puses, parakstīšanu Eiropas Savienības vārdā un tā provizorisku piemērošanu; Priekšlikums Padomes lēmumam par Eiropas-Vidusjūras Aviācijas nolīguma noslēgšanu starp Eiropas Savienību un tās dalībvalstīm, no vienas puses, un </w:t>
      </w:r>
      <w:r>
        <w:rPr>
          <w:b/>
          <w:bCs/>
          <w:sz w:val="28"/>
          <w:szCs w:val="28"/>
        </w:rPr>
        <w:t>Izraēlas Valsti, no otras puses.</w:t>
      </w:r>
    </w:p>
    <w:p w:rsidR="00F20D32" w:rsidRPr="00DF1B63" w:rsidRDefault="00F20D32" w:rsidP="00E45CA8">
      <w:pPr>
        <w:tabs>
          <w:tab w:val="left" w:pos="1080"/>
        </w:tabs>
        <w:autoSpaceDE w:val="0"/>
        <w:autoSpaceDN w:val="0"/>
        <w:adjustRightInd w:val="0"/>
        <w:ind w:firstLine="720"/>
        <w:jc w:val="both"/>
        <w:rPr>
          <w:noProof/>
          <w:sz w:val="28"/>
          <w:szCs w:val="28"/>
        </w:rPr>
      </w:pPr>
      <w:r w:rsidRPr="00DF1B63">
        <w:rPr>
          <w:noProof/>
          <w:sz w:val="28"/>
          <w:szCs w:val="28"/>
        </w:rPr>
        <w:t xml:space="preserve">Lēmuma projekts rada vienotus nosacījumus visu Eiropas Savienības gaisa pārvadātāju piekļuvei tirgum un nosaka jaunus Eiropas Savienības un </w:t>
      </w:r>
      <w:r w:rsidRPr="00DF1B63">
        <w:rPr>
          <w:sz w:val="28"/>
          <w:szCs w:val="28"/>
        </w:rPr>
        <w:t>Izraēlas Valsts</w:t>
      </w:r>
      <w:r w:rsidRPr="00DF1B63">
        <w:rPr>
          <w:noProof/>
          <w:sz w:val="28"/>
          <w:szCs w:val="28"/>
        </w:rPr>
        <w:t xml:space="preserve"> regulatīvās sadarbības un konverģences pasākumus tādās jomās, kas ir būtiskas drošu, neapdraudētu un efektīvu gaisa pārvadājumu veikšanai. </w:t>
      </w:r>
    </w:p>
    <w:p w:rsidR="00F20D32" w:rsidRPr="00DF1B63" w:rsidRDefault="00F20D32" w:rsidP="00E45CA8">
      <w:pPr>
        <w:tabs>
          <w:tab w:val="left" w:pos="1080"/>
        </w:tabs>
        <w:autoSpaceDE w:val="0"/>
        <w:autoSpaceDN w:val="0"/>
        <w:adjustRightInd w:val="0"/>
        <w:ind w:firstLine="720"/>
        <w:jc w:val="both"/>
        <w:rPr>
          <w:b/>
          <w:sz w:val="28"/>
          <w:szCs w:val="28"/>
        </w:rPr>
      </w:pPr>
      <w:r w:rsidRPr="00DF1B63">
        <w:rPr>
          <w:b/>
          <w:sz w:val="28"/>
          <w:szCs w:val="28"/>
        </w:rPr>
        <w:t xml:space="preserve">Padomē ir plānotas apstiprināt Lēmuma projektu. </w:t>
      </w:r>
    </w:p>
    <w:p w:rsidR="00F20D32" w:rsidRPr="00DF1B63" w:rsidRDefault="00F20D32" w:rsidP="00E45CA8">
      <w:pPr>
        <w:tabs>
          <w:tab w:val="left" w:pos="1080"/>
        </w:tabs>
        <w:autoSpaceDE w:val="0"/>
        <w:autoSpaceDN w:val="0"/>
        <w:adjustRightInd w:val="0"/>
        <w:ind w:firstLine="720"/>
        <w:jc w:val="both"/>
        <w:rPr>
          <w:sz w:val="28"/>
          <w:szCs w:val="28"/>
        </w:rPr>
      </w:pPr>
      <w:r w:rsidRPr="00DF1B63">
        <w:rPr>
          <w:b/>
          <w:sz w:val="28"/>
          <w:szCs w:val="28"/>
        </w:rPr>
        <w:t xml:space="preserve">Latvija atbalsta Eiropas-Vidusjūras Aviācijas nolīguma noslēgšanu un Lēmuma projekta apstiprināšanu </w:t>
      </w:r>
      <w:r w:rsidRPr="00DF1B63">
        <w:rPr>
          <w:b/>
          <w:noProof/>
          <w:sz w:val="28"/>
          <w:szCs w:val="28"/>
        </w:rPr>
        <w:t>starp Eiropas Savienību un tās dalībvalstīm, no vienas puses, un Izraēlas Valsti, no otras puses</w:t>
      </w:r>
      <w:r w:rsidRPr="00DF1B63">
        <w:rPr>
          <w:sz w:val="28"/>
          <w:szCs w:val="28"/>
        </w:rPr>
        <w:t xml:space="preserve">, jo tas sniegs jaunas iespējas Eiropas Savienības un </w:t>
      </w:r>
      <w:r w:rsidRPr="00DF1B63">
        <w:rPr>
          <w:noProof/>
          <w:sz w:val="28"/>
          <w:szCs w:val="28"/>
        </w:rPr>
        <w:t xml:space="preserve">Izraēlas </w:t>
      </w:r>
      <w:r w:rsidRPr="00DF1B63">
        <w:rPr>
          <w:sz w:val="28"/>
          <w:szCs w:val="28"/>
        </w:rPr>
        <w:t>gaisa pārvadātājiem.</w:t>
      </w:r>
    </w:p>
    <w:p w:rsidR="00F20D32" w:rsidRPr="00DF1B63" w:rsidRDefault="00F20D32" w:rsidP="002B6C67">
      <w:pPr>
        <w:pStyle w:val="Tiret0"/>
        <w:numPr>
          <w:ilvl w:val="0"/>
          <w:numId w:val="0"/>
        </w:numPr>
        <w:spacing w:before="0" w:after="0"/>
        <w:ind w:left="720"/>
        <w:rPr>
          <w:sz w:val="28"/>
          <w:szCs w:val="28"/>
          <w:lang w:eastAsia="lv-LV"/>
        </w:rPr>
      </w:pPr>
    </w:p>
    <w:p w:rsidR="00F20D32" w:rsidRPr="00DF1B63" w:rsidRDefault="00F20D32" w:rsidP="00AE5DED">
      <w:pPr>
        <w:ind w:firstLine="720"/>
        <w:jc w:val="both"/>
        <w:rPr>
          <w:b/>
          <w:sz w:val="28"/>
          <w:szCs w:val="28"/>
        </w:rPr>
      </w:pPr>
      <w:r w:rsidRPr="00DF1B63">
        <w:rPr>
          <w:b/>
          <w:bCs/>
          <w:spacing w:val="-2"/>
          <w:sz w:val="28"/>
          <w:szCs w:val="28"/>
        </w:rPr>
        <w:t>6.</w:t>
      </w:r>
      <w:r w:rsidRPr="00DF1B63">
        <w:rPr>
          <w:b/>
          <w:sz w:val="28"/>
          <w:szCs w:val="28"/>
        </w:rPr>
        <w:t xml:space="preserve"> Priekšlikums Eiropas Parlamenta un Padomes Regulai par vadlīnijām Eiropas telekomunikāciju tīkliem un ar ko atceļ Lēmumu Nr. 1336/97/EK- Progresa ziņojums</w:t>
      </w:r>
    </w:p>
    <w:p w:rsidR="00F20D32" w:rsidRPr="00DF1B63" w:rsidRDefault="00F20D32" w:rsidP="00AE5DED">
      <w:pPr>
        <w:pStyle w:val="Text1"/>
        <w:spacing w:before="0" w:after="0"/>
        <w:ind w:left="0" w:firstLine="720"/>
        <w:rPr>
          <w:sz w:val="28"/>
          <w:szCs w:val="28"/>
        </w:rPr>
      </w:pPr>
      <w:r w:rsidRPr="00DF1B63">
        <w:rPr>
          <w:sz w:val="28"/>
          <w:szCs w:val="28"/>
        </w:rPr>
        <w:t xml:space="preserve">Eiropas Komisijas iniciatīva ir saistīta ar „Eiropa 2020” stratēģiju gudrai, ilgtspējīgai un iekļaujošai izaugsmei, kas izvirza digitālo infrastruktūru kā daļu no vadošās iniciatīvas „Digitālā programma Eiropai”. Tajā uzsvērta vajadzība nodrošināt platjoslas izvēršanu un visiem iespēju to izmantot ar arvien lielāku ātrumu, izmantojot fiksētās un bezvadu tehnoloģijas. Regulas projekta </w:t>
      </w:r>
      <w:r w:rsidRPr="00DF1B63">
        <w:rPr>
          <w:b/>
          <w:sz w:val="28"/>
          <w:szCs w:val="28"/>
        </w:rPr>
        <w:t>mērķis</w:t>
      </w:r>
      <w:r w:rsidRPr="00DF1B63">
        <w:rPr>
          <w:sz w:val="28"/>
          <w:szCs w:val="28"/>
        </w:rPr>
        <w:t xml:space="preserve"> ir izstrādāt vadlīnijas, kas nosaka mērķus un prioritātes, kas paredzētas platjoslas tīklu un digitālo pakalpojumu infrastruktūrai telekomunikāciju jomā, saistībā ar Eiropas infrastruktūras savienošanas instrumentu</w:t>
      </w:r>
      <w:r>
        <w:rPr>
          <w:sz w:val="28"/>
          <w:szCs w:val="28"/>
        </w:rPr>
        <w:t xml:space="preserve"> (CEF)</w:t>
      </w:r>
      <w:r w:rsidRPr="00DF1B63">
        <w:rPr>
          <w:sz w:val="28"/>
          <w:szCs w:val="28"/>
        </w:rPr>
        <w:t>.</w:t>
      </w:r>
    </w:p>
    <w:p w:rsidR="00F20D32" w:rsidRPr="00DF1B63" w:rsidRDefault="00F20D32" w:rsidP="00D9288B">
      <w:pPr>
        <w:ind w:firstLine="720"/>
        <w:jc w:val="both"/>
        <w:rPr>
          <w:snapToGrid w:val="0"/>
          <w:sz w:val="28"/>
          <w:szCs w:val="28"/>
          <w:lang w:eastAsia="en-GB"/>
        </w:rPr>
      </w:pPr>
      <w:r w:rsidRPr="00DF1B63">
        <w:rPr>
          <w:b/>
          <w:sz w:val="28"/>
          <w:szCs w:val="28"/>
        </w:rPr>
        <w:t xml:space="preserve">Padomē ir plānots pieņemt zināšanai Prezidentūras sagatavoto progresa ziņojumu par panākto progresu darba grupu līmenī. </w:t>
      </w:r>
      <w:r w:rsidRPr="00DF1B63">
        <w:rPr>
          <w:snapToGrid w:val="0"/>
          <w:sz w:val="28"/>
          <w:szCs w:val="28"/>
          <w:lang w:eastAsia="en-GB"/>
        </w:rPr>
        <w:t>Diskusijas par Regulas projekta būtību nav paredzētas.</w:t>
      </w:r>
    </w:p>
    <w:p w:rsidR="00F20D32" w:rsidRPr="00DF1B63" w:rsidRDefault="00F20D32" w:rsidP="002B6C67">
      <w:pPr>
        <w:pStyle w:val="NoSpacing"/>
        <w:ind w:firstLine="720"/>
        <w:jc w:val="both"/>
        <w:rPr>
          <w:sz w:val="28"/>
          <w:szCs w:val="28"/>
          <w:lang w:val="lv-LV" w:eastAsia="lv-LV"/>
        </w:rPr>
      </w:pPr>
      <w:r w:rsidRPr="00DF1B63">
        <w:rPr>
          <w:b/>
          <w:sz w:val="28"/>
          <w:szCs w:val="28"/>
          <w:lang w:val="lv-LV"/>
        </w:rPr>
        <w:t>Latvija pieņem zināšanai progresa ziņojumu.</w:t>
      </w:r>
    </w:p>
    <w:p w:rsidR="00F20D32" w:rsidRPr="00DF1B63" w:rsidRDefault="00F20D32" w:rsidP="002B6C67">
      <w:pPr>
        <w:pStyle w:val="Text1"/>
        <w:spacing w:before="0" w:after="0"/>
        <w:rPr>
          <w:sz w:val="28"/>
          <w:szCs w:val="28"/>
        </w:rPr>
      </w:pPr>
    </w:p>
    <w:p w:rsidR="00F20D32" w:rsidRPr="00DF1B63" w:rsidRDefault="00F20D32" w:rsidP="002B6C67">
      <w:pPr>
        <w:tabs>
          <w:tab w:val="left" w:pos="1080"/>
        </w:tabs>
        <w:autoSpaceDE w:val="0"/>
        <w:autoSpaceDN w:val="0"/>
        <w:adjustRightInd w:val="0"/>
        <w:jc w:val="both"/>
        <w:rPr>
          <w:sz w:val="28"/>
          <w:szCs w:val="28"/>
        </w:rPr>
      </w:pPr>
    </w:p>
    <w:p w:rsidR="00F20D32" w:rsidRPr="00DF1B63" w:rsidRDefault="00F20D32" w:rsidP="00564AA4">
      <w:pPr>
        <w:pStyle w:val="BodyText2"/>
        <w:spacing w:after="0" w:line="240" w:lineRule="auto"/>
        <w:ind w:firstLine="720"/>
        <w:jc w:val="both"/>
        <w:rPr>
          <w:sz w:val="28"/>
          <w:szCs w:val="28"/>
        </w:rPr>
      </w:pPr>
      <w:r w:rsidRPr="00DF1B63">
        <w:rPr>
          <w:sz w:val="28"/>
          <w:szCs w:val="28"/>
        </w:rPr>
        <w:t>Papildus darba kārtībā sadaļā „Dažādi jautājumi” ir iekļauti šādi jautājumi, par kuriem netiek gatavota nacionālā pozīcija:</w:t>
      </w:r>
    </w:p>
    <w:p w:rsidR="00F20D32" w:rsidRPr="00DF1B63" w:rsidRDefault="00F20D32" w:rsidP="00564AA4">
      <w:pPr>
        <w:pStyle w:val="BodyText2"/>
        <w:spacing w:after="0" w:line="240" w:lineRule="auto"/>
        <w:ind w:firstLine="720"/>
        <w:jc w:val="both"/>
        <w:rPr>
          <w:sz w:val="28"/>
          <w:szCs w:val="28"/>
        </w:rPr>
      </w:pPr>
      <w:r w:rsidRPr="00DF1B63">
        <w:rPr>
          <w:sz w:val="28"/>
          <w:szCs w:val="28"/>
        </w:rPr>
        <w:t>1. Emisijas kvotu tirdzniecības sistēma un aviācija- informācija no Eiropas Komisijas;</w:t>
      </w:r>
    </w:p>
    <w:p w:rsidR="00F20D32" w:rsidRPr="00DF1B63" w:rsidRDefault="00F20D32" w:rsidP="00564AA4">
      <w:pPr>
        <w:pStyle w:val="BodyText2"/>
        <w:spacing w:after="0" w:line="240" w:lineRule="auto"/>
        <w:ind w:firstLine="720"/>
        <w:jc w:val="both"/>
        <w:rPr>
          <w:sz w:val="28"/>
          <w:szCs w:val="28"/>
        </w:rPr>
      </w:pPr>
      <w:r w:rsidRPr="00DF1B63">
        <w:rPr>
          <w:sz w:val="28"/>
          <w:szCs w:val="28"/>
        </w:rPr>
        <w:t>2. Priekšlikumu Eiropas Parlamenta un Padomes Regulai par Eiropas Tīklu un informācijas drošības aģentūru (ENISA)- informācija no Prezidentūras;</w:t>
      </w:r>
    </w:p>
    <w:p w:rsidR="00F20D32" w:rsidRPr="00DF1B63" w:rsidRDefault="00F20D32" w:rsidP="00564AA4">
      <w:pPr>
        <w:pStyle w:val="BodyText2"/>
        <w:spacing w:after="0" w:line="240" w:lineRule="auto"/>
        <w:ind w:firstLine="720"/>
        <w:jc w:val="both"/>
        <w:rPr>
          <w:sz w:val="28"/>
          <w:szCs w:val="28"/>
        </w:rPr>
      </w:pPr>
      <w:r w:rsidRPr="00DF1B63">
        <w:rPr>
          <w:sz w:val="28"/>
          <w:szCs w:val="28"/>
        </w:rPr>
        <w:t xml:space="preserve">3. Nākamās Prezidentūras darba programma- informācija no Īrijas. </w:t>
      </w:r>
    </w:p>
    <w:p w:rsidR="00F20D32" w:rsidRPr="00DF1B63" w:rsidRDefault="00F20D32" w:rsidP="002B6C67">
      <w:pPr>
        <w:tabs>
          <w:tab w:val="left" w:pos="1080"/>
        </w:tabs>
        <w:autoSpaceDE w:val="0"/>
        <w:autoSpaceDN w:val="0"/>
        <w:adjustRightInd w:val="0"/>
        <w:jc w:val="both"/>
        <w:rPr>
          <w:sz w:val="28"/>
          <w:szCs w:val="28"/>
        </w:rPr>
      </w:pPr>
    </w:p>
    <w:p w:rsidR="00F20D32" w:rsidRPr="00DF1B63" w:rsidRDefault="00F20D32" w:rsidP="002B6C67">
      <w:pPr>
        <w:pStyle w:val="BodyText2"/>
        <w:spacing w:line="240" w:lineRule="auto"/>
        <w:ind w:firstLine="720"/>
        <w:jc w:val="both"/>
        <w:rPr>
          <w:b/>
          <w:bCs/>
          <w:sz w:val="28"/>
          <w:szCs w:val="28"/>
        </w:rPr>
      </w:pPr>
      <w:r w:rsidRPr="00DF1B63">
        <w:rPr>
          <w:sz w:val="28"/>
          <w:szCs w:val="28"/>
        </w:rPr>
        <w:t xml:space="preserve">Latvijas </w:t>
      </w:r>
      <w:r w:rsidRPr="00DF1B63">
        <w:rPr>
          <w:b/>
          <w:sz w:val="28"/>
          <w:szCs w:val="28"/>
        </w:rPr>
        <w:t>delegācijas vadītājs</w:t>
      </w:r>
      <w:r w:rsidRPr="00DF1B63">
        <w:rPr>
          <w:sz w:val="28"/>
          <w:szCs w:val="28"/>
        </w:rPr>
        <w:t xml:space="preserve"> 2012. gada 20. decembra sanāksmē par Satiksmes ministrijas kompetencē esošajiem jautājumiem ir </w:t>
      </w:r>
      <w:r>
        <w:rPr>
          <w:bCs/>
          <w:sz w:val="28"/>
          <w:szCs w:val="28"/>
        </w:rPr>
        <w:t>Pastāvīgā  pārstāvja</w:t>
      </w:r>
      <w:r w:rsidRPr="00DF1B63">
        <w:rPr>
          <w:bCs/>
          <w:sz w:val="28"/>
          <w:szCs w:val="28"/>
        </w:rPr>
        <w:t xml:space="preserve">  Eiropas Savienībā vietnieks,</w:t>
      </w:r>
      <w:r w:rsidRPr="00DF1B63">
        <w:rPr>
          <w:sz w:val="28"/>
          <w:szCs w:val="28"/>
        </w:rPr>
        <w:t xml:space="preserve"> </w:t>
      </w:r>
      <w:r w:rsidRPr="00DF1B63">
        <w:rPr>
          <w:bCs/>
          <w:sz w:val="28"/>
          <w:szCs w:val="28"/>
        </w:rPr>
        <w:t xml:space="preserve">vēstnieks </w:t>
      </w:r>
      <w:r w:rsidRPr="00DF1B63">
        <w:rPr>
          <w:b/>
          <w:bCs/>
          <w:sz w:val="28"/>
          <w:szCs w:val="28"/>
        </w:rPr>
        <w:t xml:space="preserve">Juris Štālmeistars. </w:t>
      </w:r>
    </w:p>
    <w:p w:rsidR="00F20D32" w:rsidRPr="00DF1B63" w:rsidRDefault="00F20D32" w:rsidP="002B6C67">
      <w:pPr>
        <w:rPr>
          <w:sz w:val="28"/>
          <w:szCs w:val="28"/>
        </w:rPr>
      </w:pPr>
    </w:p>
    <w:p w:rsidR="00F20D32" w:rsidRPr="00DF1B63" w:rsidRDefault="00F20D32" w:rsidP="002B6C67">
      <w:pPr>
        <w:pStyle w:val="BodyText2"/>
        <w:spacing w:line="240" w:lineRule="auto"/>
        <w:jc w:val="both"/>
      </w:pPr>
    </w:p>
    <w:p w:rsidR="00F20D32" w:rsidRPr="00DF1B63" w:rsidRDefault="00F20D32" w:rsidP="002B6C67">
      <w:pPr>
        <w:rPr>
          <w:sz w:val="28"/>
          <w:szCs w:val="28"/>
        </w:rPr>
      </w:pPr>
      <w:r w:rsidRPr="00DF1B63">
        <w:rPr>
          <w:sz w:val="28"/>
          <w:szCs w:val="28"/>
        </w:rPr>
        <w:t>Iesniedzējs:</w:t>
      </w:r>
    </w:p>
    <w:p w:rsidR="00F20D32" w:rsidRPr="00DF1B63" w:rsidRDefault="00F20D32" w:rsidP="002B6C67">
      <w:pPr>
        <w:rPr>
          <w:sz w:val="28"/>
          <w:szCs w:val="28"/>
        </w:rPr>
      </w:pPr>
    </w:p>
    <w:p w:rsidR="00F20D32" w:rsidRPr="00DF1B63" w:rsidRDefault="00F20D32" w:rsidP="002B6C67">
      <w:pPr>
        <w:rPr>
          <w:sz w:val="28"/>
          <w:szCs w:val="28"/>
        </w:rPr>
      </w:pPr>
      <w:r w:rsidRPr="00DF1B63">
        <w:rPr>
          <w:sz w:val="28"/>
          <w:szCs w:val="28"/>
        </w:rPr>
        <w:t>Satiksmes ministrs                                                              A. Ronis</w:t>
      </w:r>
    </w:p>
    <w:p w:rsidR="00F20D32" w:rsidRPr="00DF1B63" w:rsidRDefault="00F20D32" w:rsidP="002B6C67">
      <w:pPr>
        <w:rPr>
          <w:sz w:val="28"/>
          <w:szCs w:val="28"/>
        </w:rPr>
      </w:pPr>
      <w:r w:rsidRPr="00DF1B63">
        <w:rPr>
          <w:sz w:val="28"/>
          <w:szCs w:val="28"/>
        </w:rPr>
        <w:tab/>
      </w:r>
    </w:p>
    <w:p w:rsidR="00F20D32" w:rsidRPr="00DF1B63" w:rsidRDefault="00F20D32" w:rsidP="002B6C67">
      <w:pPr>
        <w:rPr>
          <w:sz w:val="28"/>
          <w:szCs w:val="28"/>
        </w:rPr>
      </w:pPr>
    </w:p>
    <w:p w:rsidR="00F20D32" w:rsidRPr="00DF1B63" w:rsidRDefault="00F20D32" w:rsidP="002B6C67">
      <w:pPr>
        <w:rPr>
          <w:sz w:val="28"/>
          <w:szCs w:val="28"/>
        </w:rPr>
      </w:pPr>
    </w:p>
    <w:p w:rsidR="00F20D32" w:rsidRPr="00DF1B63" w:rsidRDefault="00F20D32" w:rsidP="002B6C67">
      <w:pPr>
        <w:rPr>
          <w:sz w:val="28"/>
          <w:szCs w:val="28"/>
        </w:rPr>
      </w:pPr>
    </w:p>
    <w:p w:rsidR="00F20D32" w:rsidRPr="00DF1B63" w:rsidRDefault="00F20D32" w:rsidP="002B6C67">
      <w:pPr>
        <w:rPr>
          <w:sz w:val="28"/>
          <w:szCs w:val="28"/>
        </w:rPr>
      </w:pPr>
      <w:r w:rsidRPr="00DF1B63">
        <w:rPr>
          <w:sz w:val="28"/>
          <w:szCs w:val="28"/>
        </w:rPr>
        <w:t>Vizē: valsts sekretārs</w:t>
      </w:r>
      <w:r w:rsidRPr="00DF1B63">
        <w:rPr>
          <w:sz w:val="28"/>
          <w:szCs w:val="28"/>
        </w:rPr>
        <w:tab/>
      </w:r>
      <w:r w:rsidRPr="00DF1B63">
        <w:rPr>
          <w:sz w:val="28"/>
          <w:szCs w:val="28"/>
        </w:rPr>
        <w:tab/>
      </w:r>
      <w:r w:rsidRPr="00DF1B63">
        <w:rPr>
          <w:sz w:val="28"/>
          <w:szCs w:val="28"/>
        </w:rPr>
        <w:tab/>
      </w:r>
      <w:r w:rsidRPr="00DF1B63">
        <w:rPr>
          <w:sz w:val="28"/>
          <w:szCs w:val="28"/>
        </w:rPr>
        <w:tab/>
      </w:r>
      <w:r w:rsidRPr="00DF1B63">
        <w:rPr>
          <w:sz w:val="28"/>
          <w:szCs w:val="28"/>
        </w:rPr>
        <w:tab/>
      </w:r>
      <w:r w:rsidRPr="00DF1B63">
        <w:rPr>
          <w:sz w:val="28"/>
          <w:szCs w:val="28"/>
        </w:rPr>
        <w:tab/>
        <w:t>A. Matīss</w:t>
      </w:r>
    </w:p>
    <w:p w:rsidR="00F20D32" w:rsidRPr="00DF1B63" w:rsidRDefault="00F20D32" w:rsidP="002B6C67">
      <w:pPr>
        <w:rPr>
          <w:sz w:val="28"/>
          <w:szCs w:val="28"/>
        </w:rPr>
      </w:pPr>
    </w:p>
    <w:p w:rsidR="00F20D32" w:rsidRPr="00DF1B63" w:rsidRDefault="00F20D32" w:rsidP="002B6C67">
      <w:pPr>
        <w:rPr>
          <w:sz w:val="28"/>
          <w:szCs w:val="28"/>
        </w:rPr>
      </w:pPr>
    </w:p>
    <w:p w:rsidR="00F20D32" w:rsidRPr="00DF1B63" w:rsidRDefault="00F20D32" w:rsidP="002B6C67">
      <w:r w:rsidRPr="00DF1B63">
        <w:t>17.12.2012. 9:35</w:t>
      </w:r>
    </w:p>
    <w:p w:rsidR="00F20D32" w:rsidRPr="00DF1B63" w:rsidRDefault="00F20D32" w:rsidP="002B6C67">
      <w:r>
        <w:t>903</w:t>
      </w:r>
      <w:r w:rsidRPr="00DF1B63">
        <w:t xml:space="preserve"> vārdi</w:t>
      </w:r>
    </w:p>
    <w:p w:rsidR="00F20D32" w:rsidRPr="00DF1B63" w:rsidRDefault="00F20D32" w:rsidP="002B6C67">
      <w:pPr>
        <w:rPr>
          <w:sz w:val="22"/>
          <w:szCs w:val="22"/>
        </w:rPr>
      </w:pPr>
      <w:r w:rsidRPr="00DF1B63">
        <w:rPr>
          <w:sz w:val="22"/>
          <w:szCs w:val="22"/>
        </w:rPr>
        <w:t>Elīna Šimiņa-Neverovska 67028254</w:t>
      </w:r>
    </w:p>
    <w:p w:rsidR="00F20D32" w:rsidRPr="00F5328D" w:rsidRDefault="00F20D32" w:rsidP="002B6C67">
      <w:pPr>
        <w:rPr>
          <w:sz w:val="22"/>
          <w:szCs w:val="22"/>
        </w:rPr>
      </w:pPr>
      <w:hyperlink r:id="rId7" w:history="1">
        <w:r w:rsidRPr="00DF1B63">
          <w:rPr>
            <w:rStyle w:val="Hyperlink"/>
            <w:sz w:val="22"/>
            <w:szCs w:val="22"/>
          </w:rPr>
          <w:t>elina.simina@sam.gov.lv</w:t>
        </w:r>
      </w:hyperlink>
      <w:r>
        <w:rPr>
          <w:sz w:val="22"/>
          <w:szCs w:val="22"/>
        </w:rPr>
        <w:t xml:space="preserve"> </w:t>
      </w:r>
    </w:p>
    <w:p w:rsidR="00F20D32" w:rsidRPr="00BA65D0" w:rsidRDefault="00F20D32" w:rsidP="002B6C67">
      <w:pPr>
        <w:tabs>
          <w:tab w:val="left" w:pos="3630"/>
        </w:tabs>
      </w:pPr>
    </w:p>
    <w:p w:rsidR="00F20D32" w:rsidRDefault="00F20D32"/>
    <w:sectPr w:rsidR="00F20D32" w:rsidSect="00F7305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D32" w:rsidRDefault="00F20D32" w:rsidP="00E45CA8">
      <w:r>
        <w:separator/>
      </w:r>
    </w:p>
  </w:endnote>
  <w:endnote w:type="continuationSeparator" w:id="0">
    <w:p w:rsidR="00F20D32" w:rsidRDefault="00F20D32" w:rsidP="00E4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rsidP="007B0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D32" w:rsidRDefault="00F20D32" w:rsidP="007B02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rsidP="007B0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-4</w:t>
    </w:r>
  </w:p>
  <w:p w:rsidR="00F20D32" w:rsidRPr="00C740DD" w:rsidRDefault="00F20D32" w:rsidP="007B02A7">
    <w:pPr>
      <w:ind w:right="360"/>
      <w:jc w:val="both"/>
      <w:rPr>
        <w:bCs/>
      </w:rPr>
    </w:pPr>
    <w:r>
      <w:t>SAMzino_171212</w:t>
    </w:r>
    <w:r w:rsidRPr="00C740DD">
      <w:t xml:space="preserve">_TTE; </w:t>
    </w:r>
    <w:r w:rsidRPr="00C740DD">
      <w:rPr>
        <w:bCs/>
      </w:rPr>
      <w:t xml:space="preserve">Informatīvais </w:t>
    </w:r>
    <w:smartTag w:uri="schemas-tilde-lv/tildestengine" w:element="veidnes">
      <w:smartTagPr>
        <w:attr w:name="text" w:val="ziņojums"/>
        <w:attr w:name="id" w:val="-1"/>
        <w:attr w:name="baseform" w:val="ziņojum|s"/>
      </w:smartTagPr>
      <w:r w:rsidRPr="00C740DD">
        <w:rPr>
          <w:bCs/>
        </w:rPr>
        <w:t xml:space="preserve">ziņojums </w:t>
      </w:r>
    </w:smartTag>
    <w:r w:rsidRPr="00C740DD">
      <w:rPr>
        <w:bCs/>
      </w:rPr>
      <w:t>“Latvijas nacionālās pozīcijas Eiropas Savienības Transporta, telekomunikāciju un enerģētikas Ministru padomes 201</w:t>
    </w:r>
    <w:r>
      <w:rPr>
        <w:bCs/>
      </w:rPr>
      <w:t>2</w:t>
    </w:r>
    <w:r w:rsidRPr="00C740DD">
      <w:rPr>
        <w:bCs/>
      </w:rPr>
      <w:t xml:space="preserve">.gada </w:t>
    </w:r>
    <w:r>
      <w:rPr>
        <w:bCs/>
      </w:rPr>
      <w:t>20.decembra</w:t>
    </w:r>
    <w:r w:rsidRPr="00C740DD">
      <w:rPr>
        <w:bCs/>
      </w:rPr>
      <w:t xml:space="preserve"> sanāksmei”</w:t>
    </w:r>
  </w:p>
  <w:p w:rsidR="00F20D32" w:rsidRDefault="00F20D32" w:rsidP="007B02A7">
    <w:pPr>
      <w:pStyle w:val="Header"/>
      <w:jc w:val="center"/>
    </w:pPr>
    <w:r>
      <w:t>NAV KLASIFICĒTS</w:t>
    </w:r>
  </w:p>
  <w:p w:rsidR="00F20D32" w:rsidRDefault="00F20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D32" w:rsidRDefault="00F20D32" w:rsidP="00E45CA8">
      <w:r>
        <w:separator/>
      </w:r>
    </w:p>
  </w:footnote>
  <w:footnote w:type="continuationSeparator" w:id="0">
    <w:p w:rsidR="00F20D32" w:rsidRDefault="00F20D32" w:rsidP="00E4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4231" o:spid="_x0000_s2049" type="#_x0000_t136" style="position:absolute;margin-left:0;margin-top:0;width:526.9pt;height:58.5pt;rotation:315;z-index:-251658752;mso-position-horizontal:center;mso-position-horizontal-relative:margin;mso-position-vertical:center;mso-position-vertical-relative:margin" o:allowincell="f" fillcolor="silver" stroked="f">
          <v:fill opacity=".5"/>
          <v:textpath style="font-family:&quot;Times New Roman&quot;;font-size:1pt" string="VALSTS KANCELEJAI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rsidP="007B02A7">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4232" o:spid="_x0000_s2050" type="#_x0000_t136" style="position:absolute;left:0;text-align:left;margin-left:0;margin-top:0;width:526.9pt;height:58.5pt;rotation:315;z-index:-251657728;mso-position-horizontal:center;mso-position-horizontal-relative:margin;mso-position-vertical:center;mso-position-vertical-relative:margin" o:allowincell="f" fillcolor="silver" stroked="f">
          <v:fill opacity=".5"/>
          <v:textpath style="font-family:&quot;Times New Roman&quot;;font-size:1pt" string="VALSTS KANCELEJAI "/>
          <w10:wrap anchorx="margin" anchory="margin"/>
        </v:shape>
      </w:pict>
    </w:r>
    <w:r>
      <w:t>NAV KLASIFICĒTS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D32" w:rsidRDefault="00F20D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4230" o:spid="_x0000_s2051" type="#_x0000_t136" style="position:absolute;margin-left:0;margin-top:0;width:526.9pt;height:58.5pt;rotation:315;z-index:-251659776;mso-position-horizontal:center;mso-position-horizontal-relative:margin;mso-position-vertical:center;mso-position-vertical-relative:margin" o:allowincell="f" fillcolor="silver" stroked="f">
          <v:fill opacity=".5"/>
          <v:textpath style="font-family:&quot;Times New Roman&quot;;font-size:1pt" string="VALSTS KANCELEJAI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6A27"/>
    <w:multiLevelType w:val="hybridMultilevel"/>
    <w:tmpl w:val="C2BE69D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584C1925"/>
    <w:multiLevelType w:val="hybridMultilevel"/>
    <w:tmpl w:val="7D0826AA"/>
    <w:lvl w:ilvl="0" w:tplc="C5443AFE">
      <w:start w:val="1"/>
      <w:numFmt w:val="decimal"/>
      <w:lvlText w:val="%1)"/>
      <w:lvlJc w:val="left"/>
      <w:pPr>
        <w:tabs>
          <w:tab w:val="num" w:pos="1470"/>
        </w:tabs>
        <w:ind w:left="1470" w:hanging="39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7B4E2E52"/>
    <w:multiLevelType w:val="hybridMultilevel"/>
    <w:tmpl w:val="54BE5A6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E8224EA"/>
    <w:multiLevelType w:val="singleLevel"/>
    <w:tmpl w:val="34DEB8CE"/>
    <w:name w:val="LegalNumbering"/>
    <w:lvl w:ilvl="0">
      <w:start w:val="1"/>
      <w:numFmt w:val="bullet"/>
      <w:lvlRestart w:val="0"/>
      <w:pStyle w:val="Tiret0"/>
      <w:lvlText w:val="–"/>
      <w:lvlJc w:val="left"/>
      <w:pPr>
        <w:tabs>
          <w:tab w:val="num" w:pos="850"/>
        </w:tabs>
        <w:ind w:left="850" w:hanging="85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67"/>
    <w:rsid w:val="0027531C"/>
    <w:rsid w:val="002B6C67"/>
    <w:rsid w:val="002D386B"/>
    <w:rsid w:val="002D7D5B"/>
    <w:rsid w:val="00460DA8"/>
    <w:rsid w:val="00472874"/>
    <w:rsid w:val="00564AA4"/>
    <w:rsid w:val="00575ED4"/>
    <w:rsid w:val="00730A82"/>
    <w:rsid w:val="007B02A7"/>
    <w:rsid w:val="007B6A12"/>
    <w:rsid w:val="00867A9E"/>
    <w:rsid w:val="00AB195E"/>
    <w:rsid w:val="00AE5DED"/>
    <w:rsid w:val="00BA65D0"/>
    <w:rsid w:val="00C740DD"/>
    <w:rsid w:val="00D9288B"/>
    <w:rsid w:val="00DF1B63"/>
    <w:rsid w:val="00E45425"/>
    <w:rsid w:val="00E45CA8"/>
    <w:rsid w:val="00E64A6D"/>
    <w:rsid w:val="00E6517E"/>
    <w:rsid w:val="00E70054"/>
    <w:rsid w:val="00EE6B4E"/>
    <w:rsid w:val="00F20D32"/>
    <w:rsid w:val="00F5328D"/>
    <w:rsid w:val="00F7305F"/>
    <w:rsid w:val="00FA522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smartTagType w:namespaceuri="schemas-tilde-lv/tildestengine" w:name="veidn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B6C67"/>
    <w:rPr>
      <w:rFonts w:eastAsia="Times New Roman"/>
      <w:sz w:val="24"/>
      <w:szCs w:val="24"/>
    </w:rPr>
  </w:style>
  <w:style w:type="paragraph" w:styleId="Heading1">
    <w:name w:val="heading 1"/>
    <w:basedOn w:val="Normal"/>
    <w:next w:val="Normal"/>
    <w:link w:val="Heading1Char"/>
    <w:uiPriority w:val="99"/>
    <w:qFormat/>
    <w:rsid w:val="002B6C6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C67"/>
    <w:rPr>
      <w:rFonts w:ascii="Cambria" w:hAnsi="Cambria" w:cs="Times New Roman"/>
      <w:b/>
      <w:bCs/>
      <w:color w:val="365F91"/>
      <w:sz w:val="28"/>
      <w:szCs w:val="28"/>
      <w:lang w:eastAsia="lv-LV"/>
    </w:rPr>
  </w:style>
  <w:style w:type="character" w:styleId="Hyperlink">
    <w:name w:val="Hyperlink"/>
    <w:basedOn w:val="DefaultParagraphFont"/>
    <w:uiPriority w:val="99"/>
    <w:rsid w:val="002B6C67"/>
    <w:rPr>
      <w:rFonts w:cs="Times New Roman"/>
      <w:color w:val="0000FF"/>
      <w:u w:val="single"/>
    </w:rPr>
  </w:style>
  <w:style w:type="paragraph" w:styleId="BodyText2">
    <w:name w:val="Body Text 2"/>
    <w:basedOn w:val="Normal"/>
    <w:link w:val="BodyText2Char"/>
    <w:uiPriority w:val="99"/>
    <w:rsid w:val="002B6C67"/>
    <w:pPr>
      <w:spacing w:after="120" w:line="480" w:lineRule="auto"/>
    </w:pPr>
  </w:style>
  <w:style w:type="character" w:customStyle="1" w:styleId="BodyText2Char">
    <w:name w:val="Body Text 2 Char"/>
    <w:basedOn w:val="DefaultParagraphFont"/>
    <w:link w:val="BodyText2"/>
    <w:uiPriority w:val="99"/>
    <w:locked/>
    <w:rsid w:val="002B6C67"/>
    <w:rPr>
      <w:rFonts w:eastAsia="Times New Roman" w:cs="Times New Roman"/>
      <w:sz w:val="24"/>
      <w:szCs w:val="24"/>
      <w:lang w:eastAsia="lv-LV"/>
    </w:rPr>
  </w:style>
  <w:style w:type="paragraph" w:styleId="Header">
    <w:name w:val="header"/>
    <w:basedOn w:val="Normal"/>
    <w:link w:val="HeaderChar"/>
    <w:uiPriority w:val="99"/>
    <w:rsid w:val="002B6C67"/>
    <w:pPr>
      <w:tabs>
        <w:tab w:val="center" w:pos="4153"/>
        <w:tab w:val="right" w:pos="8306"/>
      </w:tabs>
    </w:pPr>
  </w:style>
  <w:style w:type="character" w:customStyle="1" w:styleId="HeaderChar">
    <w:name w:val="Header Char"/>
    <w:basedOn w:val="DefaultParagraphFont"/>
    <w:link w:val="Header"/>
    <w:uiPriority w:val="99"/>
    <w:locked/>
    <w:rsid w:val="002B6C67"/>
    <w:rPr>
      <w:rFonts w:eastAsia="Times New Roman" w:cs="Times New Roman"/>
      <w:sz w:val="24"/>
      <w:szCs w:val="24"/>
      <w:lang w:eastAsia="lv-LV"/>
    </w:rPr>
  </w:style>
  <w:style w:type="paragraph" w:styleId="Footer">
    <w:name w:val="footer"/>
    <w:basedOn w:val="Normal"/>
    <w:link w:val="FooterChar"/>
    <w:uiPriority w:val="99"/>
    <w:rsid w:val="002B6C67"/>
    <w:pPr>
      <w:tabs>
        <w:tab w:val="center" w:pos="4153"/>
        <w:tab w:val="right" w:pos="8306"/>
      </w:tabs>
    </w:pPr>
  </w:style>
  <w:style w:type="character" w:customStyle="1" w:styleId="FooterChar">
    <w:name w:val="Footer Char"/>
    <w:basedOn w:val="DefaultParagraphFont"/>
    <w:link w:val="Footer"/>
    <w:uiPriority w:val="99"/>
    <w:locked/>
    <w:rsid w:val="002B6C67"/>
    <w:rPr>
      <w:rFonts w:eastAsia="Times New Roman" w:cs="Times New Roman"/>
      <w:sz w:val="24"/>
      <w:szCs w:val="24"/>
      <w:lang w:eastAsia="lv-LV"/>
    </w:rPr>
  </w:style>
  <w:style w:type="character" w:styleId="PageNumber">
    <w:name w:val="page number"/>
    <w:basedOn w:val="DefaultParagraphFont"/>
    <w:uiPriority w:val="99"/>
    <w:rsid w:val="002B6C67"/>
    <w:rPr>
      <w:rFonts w:cs="Times New Roman"/>
    </w:rPr>
  </w:style>
  <w:style w:type="paragraph" w:customStyle="1" w:styleId="NumPar1">
    <w:name w:val="NumPar 1"/>
    <w:basedOn w:val="Heading1"/>
    <w:uiPriority w:val="99"/>
    <w:rsid w:val="002B6C67"/>
    <w:pPr>
      <w:keepNext w:val="0"/>
      <w:keepLines w:val="0"/>
      <w:tabs>
        <w:tab w:val="num" w:pos="360"/>
      </w:tabs>
      <w:spacing w:before="0" w:after="240"/>
      <w:jc w:val="both"/>
      <w:outlineLvl w:val="9"/>
    </w:pPr>
    <w:rPr>
      <w:rFonts w:ascii="Times New Roman" w:hAnsi="Times New Roman"/>
      <w:b w:val="0"/>
      <w:bCs w:val="0"/>
      <w:color w:val="auto"/>
      <w:sz w:val="24"/>
      <w:szCs w:val="24"/>
      <w:lang w:val="en-GB" w:eastAsia="fr-BE"/>
    </w:rPr>
  </w:style>
  <w:style w:type="paragraph" w:styleId="NoSpacing">
    <w:name w:val="No Spacing"/>
    <w:uiPriority w:val="99"/>
    <w:qFormat/>
    <w:rsid w:val="002B6C67"/>
    <w:rPr>
      <w:rFonts w:eastAsia="Times New Roman"/>
      <w:sz w:val="24"/>
      <w:szCs w:val="24"/>
      <w:lang w:val="en-GB" w:eastAsia="en-US"/>
    </w:rPr>
  </w:style>
  <w:style w:type="paragraph" w:customStyle="1" w:styleId="Text1">
    <w:name w:val="Text 1"/>
    <w:basedOn w:val="Normal"/>
    <w:uiPriority w:val="99"/>
    <w:rsid w:val="002B6C67"/>
    <w:pPr>
      <w:spacing w:before="120" w:after="120"/>
      <w:ind w:left="850"/>
      <w:jc w:val="both"/>
    </w:pPr>
    <w:rPr>
      <w:lang w:eastAsia="en-GB"/>
    </w:rPr>
  </w:style>
  <w:style w:type="paragraph" w:styleId="BodyText">
    <w:name w:val="Body Text"/>
    <w:basedOn w:val="Normal"/>
    <w:link w:val="BodyTextChar"/>
    <w:uiPriority w:val="99"/>
    <w:rsid w:val="002B6C67"/>
    <w:pPr>
      <w:spacing w:after="120"/>
    </w:pPr>
    <w:rPr>
      <w:lang w:val="en-GB" w:eastAsia="en-US"/>
    </w:rPr>
  </w:style>
  <w:style w:type="character" w:customStyle="1" w:styleId="BodyTextChar">
    <w:name w:val="Body Text Char"/>
    <w:basedOn w:val="DefaultParagraphFont"/>
    <w:link w:val="BodyText"/>
    <w:uiPriority w:val="99"/>
    <w:locked/>
    <w:rsid w:val="002B6C67"/>
    <w:rPr>
      <w:rFonts w:eastAsia="Times New Roman" w:cs="Times New Roman"/>
      <w:sz w:val="24"/>
      <w:szCs w:val="24"/>
      <w:lang w:val="en-GB"/>
    </w:rPr>
  </w:style>
  <w:style w:type="paragraph" w:customStyle="1" w:styleId="Tiret0">
    <w:name w:val="Tiret 0"/>
    <w:basedOn w:val="Normal"/>
    <w:uiPriority w:val="99"/>
    <w:rsid w:val="002B6C67"/>
    <w:pPr>
      <w:numPr>
        <w:numId w:val="2"/>
      </w:numPr>
      <w:spacing w:before="120" w:after="120"/>
      <w:jc w:val="both"/>
    </w:pPr>
    <w:rPr>
      <w:lang w:eastAsia="en-US"/>
    </w:rPr>
  </w:style>
  <w:style w:type="paragraph" w:customStyle="1" w:styleId="EntEmet">
    <w:name w:val="EntEmet"/>
    <w:basedOn w:val="Normal"/>
    <w:uiPriority w:val="99"/>
    <w:rsid w:val="00564AA4"/>
    <w:pPr>
      <w:widowControl w:val="0"/>
      <w:tabs>
        <w:tab w:val="left" w:pos="284"/>
        <w:tab w:val="left" w:pos="567"/>
        <w:tab w:val="left" w:pos="851"/>
        <w:tab w:val="left" w:pos="1134"/>
        <w:tab w:val="left" w:pos="1418"/>
      </w:tabs>
      <w:suppressAutoHyphens/>
      <w:spacing w:before="40"/>
    </w:pPr>
    <w:rPr>
      <w:szCs w:val="20"/>
      <w:lang w:val="en-GB" w:eastAsia="ar-SA"/>
    </w:rPr>
  </w:style>
  <w:style w:type="paragraph" w:styleId="FootnoteText">
    <w:name w:val="footnote text"/>
    <w:basedOn w:val="Normal"/>
    <w:link w:val="FootnoteTextChar"/>
    <w:uiPriority w:val="99"/>
    <w:semiHidden/>
    <w:rsid w:val="00DF1B63"/>
    <w:rPr>
      <w:rFonts w:eastAsia="Calibri"/>
      <w:sz w:val="20"/>
      <w:szCs w:val="20"/>
      <w:lang w:eastAsia="en-US"/>
    </w:rPr>
  </w:style>
  <w:style w:type="character" w:customStyle="1" w:styleId="FootnoteTextChar">
    <w:name w:val="Footnote Text Char"/>
    <w:basedOn w:val="DefaultParagraphFont"/>
    <w:link w:val="FootnoteText"/>
    <w:uiPriority w:val="99"/>
    <w:semiHidden/>
    <w:locked/>
    <w:rsid w:val="00DF1B63"/>
    <w:rPr>
      <w:rFonts w:cs="Times New Roman"/>
      <w:sz w:val="20"/>
      <w:szCs w:val="20"/>
    </w:rPr>
  </w:style>
  <w:style w:type="character" w:styleId="FootnoteReference">
    <w:name w:val="footnote reference"/>
    <w:aliases w:val="Footnote,Footnote call"/>
    <w:basedOn w:val="DefaultParagraphFont"/>
    <w:uiPriority w:val="99"/>
    <w:semiHidden/>
    <w:rsid w:val="00DF1B6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gita@sa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4</Pages>
  <Words>924</Words>
  <Characters>6646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“Latvijas nacionālās pozīcijas Eiropas Savienības Transporta, telekomunikāciju un enerģētikas Ministru padomes 2012.gada 20. decembra sanāksmei”</dc:title>
  <dc:subject>Informatīvais ziņojums</dc:subject>
  <dc:creator>Elīna Šimiņa-Neverovska</dc:creator>
  <cp:keywords/>
  <dc:description>elina.simina-neverovska@sam.gov.lv; 67028254</dc:description>
  <cp:lastModifiedBy>Baiba Šterna</cp:lastModifiedBy>
  <cp:revision>14</cp:revision>
  <dcterms:created xsi:type="dcterms:W3CDTF">2012-12-11T12:21:00Z</dcterms:created>
  <dcterms:modified xsi:type="dcterms:W3CDTF">2012-12-17T11:33:00Z</dcterms:modified>
</cp:coreProperties>
</file>