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E3" w:rsidRDefault="004346E3" w:rsidP="002426F1">
      <w:pPr>
        <w:jc w:val="center"/>
        <w:rPr>
          <w:b/>
          <w:bCs/>
          <w:sz w:val="28"/>
          <w:szCs w:val="28"/>
        </w:rPr>
      </w:pPr>
    </w:p>
    <w:p w:rsidR="004346E3" w:rsidRDefault="004346E3" w:rsidP="002426F1">
      <w:pPr>
        <w:jc w:val="center"/>
        <w:rPr>
          <w:b/>
          <w:bCs/>
          <w:sz w:val="28"/>
          <w:szCs w:val="28"/>
        </w:rPr>
      </w:pPr>
    </w:p>
    <w:p w:rsidR="002426F1" w:rsidRPr="002426F1" w:rsidRDefault="001D304E" w:rsidP="002426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Ministru kabineta noteikumu projekts</w:t>
      </w:r>
    </w:p>
    <w:p w:rsidR="002426F1" w:rsidRPr="002426F1" w:rsidRDefault="002426F1" w:rsidP="002426F1">
      <w:pPr>
        <w:jc w:val="center"/>
        <w:rPr>
          <w:b/>
          <w:bCs/>
          <w:sz w:val="28"/>
          <w:szCs w:val="28"/>
        </w:rPr>
      </w:pPr>
      <w:r w:rsidRPr="002426F1">
        <w:rPr>
          <w:b/>
          <w:bCs/>
          <w:sz w:val="28"/>
          <w:szCs w:val="28"/>
        </w:rPr>
        <w:t>„</w:t>
      </w:r>
      <w:r w:rsidR="001D304E" w:rsidRPr="001D304E">
        <w:rPr>
          <w:rFonts w:eastAsia="Calibri"/>
          <w:b/>
          <w:sz w:val="28"/>
          <w:szCs w:val="28"/>
          <w:lang w:eastAsia="en-US"/>
        </w:rPr>
        <w:t>Grozījum</w:t>
      </w:r>
      <w:r w:rsidR="00FC2EBC">
        <w:rPr>
          <w:rFonts w:eastAsia="Calibri"/>
          <w:b/>
          <w:sz w:val="28"/>
          <w:szCs w:val="28"/>
          <w:lang w:eastAsia="en-US"/>
        </w:rPr>
        <w:t>s</w:t>
      </w:r>
      <w:r w:rsidR="001D304E" w:rsidRPr="001D304E">
        <w:rPr>
          <w:rFonts w:eastAsia="Calibri"/>
          <w:b/>
          <w:sz w:val="28"/>
          <w:szCs w:val="28"/>
          <w:lang w:eastAsia="en-US"/>
        </w:rPr>
        <w:t xml:space="preserve"> Ministru kabineta 2006.gada 18.aprīļa noteikumos Nr.305 „Kadastrālās vērtēšanas noteikumi”</w:t>
      </w:r>
      <w:r w:rsidRPr="002426F1">
        <w:rPr>
          <w:b/>
          <w:bCs/>
          <w:sz w:val="28"/>
          <w:szCs w:val="28"/>
        </w:rPr>
        <w:t>”</w:t>
      </w:r>
    </w:p>
    <w:p w:rsidR="00D75266" w:rsidRDefault="002426F1" w:rsidP="00D75266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2426F1">
        <w:rPr>
          <w:b/>
          <w:bCs/>
          <w:sz w:val="28"/>
          <w:szCs w:val="28"/>
        </w:rPr>
        <w:t>sākotnējās ietekmes novērtējuma ziņojums (anotācija</w:t>
      </w:r>
      <w:r w:rsidRPr="002426F1">
        <w:rPr>
          <w:rFonts w:eastAsia="Calibri"/>
          <w:b/>
          <w:sz w:val="28"/>
          <w:szCs w:val="28"/>
          <w:lang w:eastAsia="en-US"/>
        </w:rPr>
        <w:t>)</w:t>
      </w:r>
    </w:p>
    <w:p w:rsidR="004346E3" w:rsidRDefault="004346E3" w:rsidP="00D75266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</w:p>
    <w:p w:rsidR="004346E3" w:rsidRPr="005A2F68" w:rsidRDefault="004346E3" w:rsidP="00D75266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49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4315"/>
        <w:gridCol w:w="4779"/>
      </w:tblGrid>
      <w:tr w:rsidR="00D75266" w:rsidRPr="005A2F68" w:rsidTr="00164D32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6" w:rsidRPr="005A2F68" w:rsidRDefault="00D75266" w:rsidP="00164D32">
            <w:pPr>
              <w:jc w:val="center"/>
              <w:rPr>
                <w:b/>
                <w:bCs/>
                <w:lang w:eastAsia="en-GB"/>
              </w:rPr>
            </w:pPr>
            <w:r w:rsidRPr="005A2F68">
              <w:rPr>
                <w:b/>
                <w:bCs/>
                <w:lang w:eastAsia="en-GB"/>
              </w:rPr>
              <w:t>I. Tiesību akta projekta izstrādes nepieciešamība</w:t>
            </w:r>
          </w:p>
        </w:tc>
      </w:tr>
      <w:tr w:rsidR="00D75266" w:rsidRPr="005A2F68" w:rsidTr="00164D32">
        <w:trPr>
          <w:trHeight w:val="63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6" w:rsidRPr="005A2F68" w:rsidRDefault="00D75266" w:rsidP="00164D32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6" w:rsidRPr="005A2F68" w:rsidRDefault="00D75266" w:rsidP="00164D32">
            <w:pPr>
              <w:ind w:hanging="10"/>
              <w:rPr>
                <w:lang w:eastAsia="en-GB"/>
              </w:rPr>
            </w:pPr>
            <w:r w:rsidRPr="005A2F68">
              <w:rPr>
                <w:lang w:eastAsia="en-GB"/>
              </w:rPr>
              <w:t>Pamatojums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6" w:rsidRPr="005A2F68" w:rsidRDefault="006E668A" w:rsidP="00D75266">
            <w:pPr>
              <w:jc w:val="both"/>
              <w:rPr>
                <w:color w:val="000000"/>
                <w:lang w:eastAsia="en-GB"/>
              </w:rPr>
            </w:pPr>
            <w:r w:rsidRPr="006E668A">
              <w:rPr>
                <w:i/>
                <w:iCs/>
              </w:rPr>
              <w:t xml:space="preserve">Euro </w:t>
            </w:r>
            <w:r w:rsidRPr="006E668A">
              <w:t xml:space="preserve">ieviešanas kārtības likuma 30.panta pirmā daļa, Ministru kabineta 2012.gada 27.jūnija rīkojuma Nr.282 „Par „Koncepciju par normatīvo aktu sakārtošanu saistībā ar eiro ieviešanu Latvijā”” 1.1.2.punkts un Latvijas Nacionālā </w:t>
            </w:r>
            <w:r w:rsidRPr="006E668A">
              <w:rPr>
                <w:i/>
                <w:iCs/>
              </w:rPr>
              <w:t>euro</w:t>
            </w:r>
            <w:r w:rsidRPr="006E668A">
              <w:t xml:space="preserve"> ieviešanas plāna (apstiprināts ar Ministru kabineta 2013.gada 4.aprīļa rīkojumu Nr.136) 1. pielikuma J.2.2.1. pasākums</w:t>
            </w:r>
            <w:r w:rsidRPr="006E668A">
              <w:rPr>
                <w:sz w:val="28"/>
                <w:szCs w:val="28"/>
              </w:rPr>
              <w:t>.</w:t>
            </w:r>
          </w:p>
        </w:tc>
      </w:tr>
      <w:tr w:rsidR="00D75266" w:rsidRPr="005A2F68" w:rsidTr="00164D32">
        <w:trPr>
          <w:trHeight w:val="47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6" w:rsidRPr="005A2F68" w:rsidRDefault="00D75266" w:rsidP="00164D32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6" w:rsidRPr="005A2F68" w:rsidRDefault="00D75266" w:rsidP="00164D32">
            <w:pPr>
              <w:tabs>
                <w:tab w:val="left" w:pos="170"/>
              </w:tabs>
              <w:rPr>
                <w:lang w:eastAsia="en-GB"/>
              </w:rPr>
            </w:pPr>
            <w:r w:rsidRPr="005A2F68">
              <w:rPr>
                <w:lang w:eastAsia="en-GB"/>
              </w:rPr>
              <w:t>Pašreizējā situācija un problēmas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6" w:rsidRPr="005A2F68" w:rsidRDefault="00D75266" w:rsidP="00D75266">
            <w:pPr>
              <w:jc w:val="both"/>
              <w:rPr>
                <w:lang w:eastAsia="en-GB"/>
              </w:rPr>
            </w:pPr>
            <w:r w:rsidRPr="005A2F68">
              <w:rPr>
                <w:lang w:eastAsia="en-GB"/>
              </w:rPr>
              <w:t xml:space="preserve">Ņemot </w:t>
            </w:r>
            <w:r w:rsidRPr="00F71A24">
              <w:rPr>
                <w:lang w:eastAsia="en-GB"/>
              </w:rPr>
              <w:t xml:space="preserve">vērā, ka ar 2014.gada 1.janvāri Latvijā plānots ieviest </w:t>
            </w:r>
            <w:r w:rsidRPr="00F71A24">
              <w:rPr>
                <w:i/>
                <w:lang w:eastAsia="en-GB"/>
              </w:rPr>
              <w:t>euro</w:t>
            </w:r>
            <w:r w:rsidRPr="00F71A24">
              <w:rPr>
                <w:lang w:eastAsia="en-GB"/>
              </w:rPr>
              <w:t>, ir nepieciešams veikt grozījumu</w:t>
            </w:r>
            <w:r w:rsidR="00205D57">
              <w:rPr>
                <w:lang w:eastAsia="en-GB"/>
              </w:rPr>
              <w:t xml:space="preserve"> </w:t>
            </w:r>
            <w:r w:rsidRPr="00D75266">
              <w:rPr>
                <w:lang w:eastAsia="en-GB"/>
              </w:rPr>
              <w:t>Ministru kabineta 2006.gada 18.aprīļa noteikumos Nr.305 „Kadastrālās vērtēšanas noteikumi”</w:t>
            </w:r>
            <w:r>
              <w:rPr>
                <w:lang w:eastAsia="en-GB"/>
              </w:rPr>
              <w:t xml:space="preserve">, </w:t>
            </w:r>
            <w:r w:rsidRPr="00F71A24">
              <w:rPr>
                <w:lang w:eastAsia="en-GB"/>
              </w:rPr>
              <w:t xml:space="preserve">aizstājot tajā latus ar </w:t>
            </w:r>
            <w:r w:rsidRPr="00F71A24">
              <w:rPr>
                <w:i/>
                <w:lang w:eastAsia="en-GB"/>
              </w:rPr>
              <w:t>euro</w:t>
            </w:r>
            <w:r w:rsidRPr="00F71A24">
              <w:rPr>
                <w:lang w:eastAsia="en-GB"/>
              </w:rPr>
              <w:t>.</w:t>
            </w:r>
          </w:p>
        </w:tc>
      </w:tr>
      <w:tr w:rsidR="00D75266" w:rsidRPr="005A2F68" w:rsidTr="00164D32">
        <w:trPr>
          <w:trHeight w:val="19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6" w:rsidRPr="005A2F68" w:rsidRDefault="00D75266" w:rsidP="00164D32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6" w:rsidRPr="005A2F68" w:rsidRDefault="00D75266" w:rsidP="00164D32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Saistītie politikas ietekmes novērtējumi un pētījumi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6" w:rsidRPr="005A2F68" w:rsidRDefault="00D75266" w:rsidP="00164D3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A2F68">
              <w:rPr>
                <w:rFonts w:eastAsia="Calibri"/>
                <w:lang w:eastAsia="en-US"/>
              </w:rPr>
              <w:t>Nav attiecināms.</w:t>
            </w:r>
          </w:p>
        </w:tc>
      </w:tr>
      <w:tr w:rsidR="00D75266" w:rsidRPr="005A2F68" w:rsidTr="00164D32">
        <w:trPr>
          <w:trHeight w:val="38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6" w:rsidRPr="005A2F68" w:rsidRDefault="00D75266" w:rsidP="00164D32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6" w:rsidRPr="005A2F68" w:rsidRDefault="00D75266" w:rsidP="00164D32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Tiesiskā regulējuma mērķis un būtība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6" w:rsidRDefault="00D75266" w:rsidP="00164D32">
            <w:pPr>
              <w:jc w:val="both"/>
              <w:rPr>
                <w:lang w:eastAsia="en-GB"/>
              </w:rPr>
            </w:pPr>
            <w:r w:rsidRPr="005A2F68">
              <w:rPr>
                <w:lang w:eastAsia="en-GB"/>
              </w:rPr>
              <w:t xml:space="preserve">Šā projekta mērķis ir pielāgot </w:t>
            </w:r>
            <w:r w:rsidRPr="00D75266">
              <w:rPr>
                <w:lang w:eastAsia="en-GB"/>
              </w:rPr>
              <w:t>Ministru kabineta 2006.gada 18.aprīļa noteikum</w:t>
            </w:r>
            <w:r>
              <w:rPr>
                <w:lang w:eastAsia="en-GB"/>
              </w:rPr>
              <w:t>u</w:t>
            </w:r>
            <w:r w:rsidRPr="00D75266">
              <w:rPr>
                <w:lang w:eastAsia="en-GB"/>
              </w:rPr>
              <w:t>s Nr.305 „Kadastrālās vērtēšanas noteikumi”</w:t>
            </w:r>
            <w:r w:rsidR="00205D57">
              <w:rPr>
                <w:lang w:eastAsia="en-GB"/>
              </w:rPr>
              <w:t xml:space="preserve"> </w:t>
            </w:r>
            <w:r w:rsidRPr="005A2F68">
              <w:rPr>
                <w:i/>
                <w:lang w:eastAsia="en-GB"/>
              </w:rPr>
              <w:t>euro</w:t>
            </w:r>
            <w:r w:rsidRPr="005A2F68">
              <w:rPr>
                <w:lang w:eastAsia="en-GB"/>
              </w:rPr>
              <w:t xml:space="preserve"> ieviešanai, aizstājot tajā latus ar </w:t>
            </w:r>
            <w:r w:rsidRPr="005A2F68">
              <w:rPr>
                <w:i/>
                <w:lang w:eastAsia="en-GB"/>
              </w:rPr>
              <w:t>euro</w:t>
            </w:r>
            <w:r>
              <w:rPr>
                <w:lang w:eastAsia="en-GB"/>
              </w:rPr>
              <w:t>.</w:t>
            </w:r>
          </w:p>
          <w:p w:rsidR="00D75266" w:rsidRPr="00912F4C" w:rsidRDefault="00D75266" w:rsidP="00164D32">
            <w:pPr>
              <w:jc w:val="both"/>
            </w:pPr>
            <w:r>
              <w:rPr>
                <w:lang w:eastAsia="en-GB"/>
              </w:rPr>
              <w:t>Papildus š</w:t>
            </w:r>
            <w:r w:rsidRPr="00F71A24">
              <w:t xml:space="preserve">is projekts paredz </w:t>
            </w:r>
            <w:r>
              <w:t xml:space="preserve">noteikt, ka   </w:t>
            </w:r>
            <w:r w:rsidR="00E85A18">
              <w:t>k</w:t>
            </w:r>
            <w:r w:rsidRPr="00D75266">
              <w:t xml:space="preserve">adastrālo vērtību aprēķina </w:t>
            </w:r>
            <w:r w:rsidRPr="00F71A24">
              <w:t>ar precizitāti</w:t>
            </w:r>
            <w:r>
              <w:t xml:space="preserve"> nevis līdz vienam latam, bet līdz </w:t>
            </w:r>
            <w:r w:rsidRPr="00912F4C">
              <w:t xml:space="preserve">vienam </w:t>
            </w:r>
            <w:r w:rsidRPr="00912F4C">
              <w:rPr>
                <w:i/>
              </w:rPr>
              <w:t xml:space="preserve">euro </w:t>
            </w:r>
            <w:r w:rsidRPr="00F71A24">
              <w:t xml:space="preserve">atbilstoši </w:t>
            </w:r>
            <w:r w:rsidRPr="00F71A24">
              <w:rPr>
                <w:i/>
                <w:color w:val="000000"/>
              </w:rPr>
              <w:t xml:space="preserve">Euro </w:t>
            </w:r>
            <w:r w:rsidRPr="00F71A24">
              <w:rPr>
                <w:color w:val="000000"/>
              </w:rPr>
              <w:t xml:space="preserve">ieviešanas kārtības likuma </w:t>
            </w:r>
            <w:r w:rsidRPr="00912F4C">
              <w:rPr>
                <w:color w:val="000000"/>
              </w:rPr>
              <w:t xml:space="preserve">32.panta piektajai daļai, kas nosaka, ka </w:t>
            </w:r>
            <w:r w:rsidRPr="00912F4C">
              <w:t xml:space="preserve"> t</w:t>
            </w:r>
            <w:r w:rsidRPr="00912F4C">
              <w:rPr>
                <w:color w:val="000000"/>
              </w:rPr>
              <w:t xml:space="preserve">iesību normās, kurās ir noteikti skaitlisko vērtību latos noapaļošanas principi, saglabā šos noapaļošanas principus arī attiecībā uz </w:t>
            </w:r>
            <w:r w:rsidRPr="00E85A18">
              <w:rPr>
                <w:i/>
                <w:color w:val="000000"/>
              </w:rPr>
              <w:t>euro</w:t>
            </w:r>
            <w:r w:rsidRPr="00912F4C">
              <w:rPr>
                <w:color w:val="000000"/>
              </w:rPr>
              <w:t>.</w:t>
            </w:r>
          </w:p>
          <w:p w:rsidR="00D75266" w:rsidRPr="005A2F68" w:rsidRDefault="00D75266" w:rsidP="00164D32">
            <w:pPr>
              <w:jc w:val="both"/>
              <w:rPr>
                <w:lang w:eastAsia="en-GB"/>
              </w:rPr>
            </w:pPr>
            <w:r w:rsidRPr="00912F4C">
              <w:rPr>
                <w:rFonts w:eastAsia="Calibri"/>
                <w:color w:val="000000"/>
                <w:lang w:eastAsia="en-US"/>
              </w:rPr>
              <w:t xml:space="preserve">Grozītās tiesību normas </w:t>
            </w:r>
            <w:r w:rsidRPr="00912F4C">
              <w:rPr>
                <w:rFonts w:eastAsia="Calibri"/>
                <w:i/>
                <w:color w:val="000000"/>
                <w:lang w:eastAsia="en-US"/>
              </w:rPr>
              <w:t xml:space="preserve">euro </w:t>
            </w:r>
            <w:r w:rsidRPr="00912F4C">
              <w:rPr>
                <w:rFonts w:eastAsia="Calibri"/>
                <w:color w:val="000000"/>
                <w:lang w:eastAsia="en-US"/>
              </w:rPr>
              <w:t>valūtā nav personām nelabvēlīgākas par sākotnējo tiesību normu latos un nerada vērā ņemamu negatīvu ietekmi uz valsts budžetu.</w:t>
            </w:r>
          </w:p>
        </w:tc>
      </w:tr>
      <w:tr w:rsidR="00D75266" w:rsidRPr="005A2F68" w:rsidTr="00164D32">
        <w:trPr>
          <w:trHeight w:val="20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6" w:rsidRPr="005A2F68" w:rsidRDefault="00D75266" w:rsidP="00164D32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6" w:rsidRPr="005A2F68" w:rsidRDefault="00D75266" w:rsidP="00164D32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Projekta izstrādē iesaistītās institūcijas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6" w:rsidRPr="005A2F68" w:rsidRDefault="00D75266" w:rsidP="00164D32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Nav attiecināms.</w:t>
            </w:r>
          </w:p>
        </w:tc>
      </w:tr>
      <w:tr w:rsidR="00D75266" w:rsidRPr="005A2F68" w:rsidTr="00164D32">
        <w:trPr>
          <w:trHeight w:val="42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6" w:rsidRPr="005A2F68" w:rsidRDefault="00D75266" w:rsidP="00164D32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6.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6" w:rsidRPr="005A2F68" w:rsidRDefault="00D75266" w:rsidP="00164D32">
            <w:pPr>
              <w:rPr>
                <w:i/>
                <w:highlight w:val="yellow"/>
                <w:lang w:eastAsia="en-GB"/>
              </w:rPr>
            </w:pPr>
            <w:r w:rsidRPr="005A2F68">
              <w:rPr>
                <w:lang w:eastAsia="en-GB"/>
              </w:rPr>
              <w:t>Iemesli, kādēļ netika nodrošināta sabiedrības līdzdalība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6" w:rsidRPr="005A2F68" w:rsidRDefault="00D75266" w:rsidP="00164D32">
            <w:pPr>
              <w:jc w:val="both"/>
              <w:rPr>
                <w:rFonts w:eastAsia="Calibri"/>
                <w:lang w:eastAsia="en-US"/>
              </w:rPr>
            </w:pPr>
            <w:r w:rsidRPr="005A2F68">
              <w:rPr>
                <w:rFonts w:eastAsia="Calibri"/>
                <w:lang w:eastAsia="en-US"/>
              </w:rPr>
              <w:t>Sabiedrības līdzdalība projekta izstrādē netika nodrošināta, jo projekts nemaina pastāvošo t</w:t>
            </w:r>
            <w:r>
              <w:rPr>
                <w:rFonts w:eastAsia="Calibri"/>
                <w:lang w:eastAsia="en-US"/>
              </w:rPr>
              <w:t>iesisko regulējumu pēc būtības.</w:t>
            </w:r>
          </w:p>
        </w:tc>
      </w:tr>
      <w:tr w:rsidR="00D75266" w:rsidRPr="005A2F68" w:rsidTr="00164D32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6" w:rsidRPr="005A2F68" w:rsidRDefault="00D75266" w:rsidP="00164D32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6" w:rsidRPr="005A2F68" w:rsidRDefault="00D75266" w:rsidP="00164D32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Cita informācija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6" w:rsidRPr="005A2F68" w:rsidRDefault="00D75266" w:rsidP="00164D32">
            <w:pPr>
              <w:jc w:val="both"/>
              <w:rPr>
                <w:lang w:eastAsia="en-GB"/>
              </w:rPr>
            </w:pPr>
            <w:r w:rsidRPr="005A2F68">
              <w:rPr>
                <w:lang w:eastAsia="en-GB"/>
              </w:rPr>
              <w:t xml:space="preserve">Šim projektam ir jābūt apstiprinātam un </w:t>
            </w:r>
            <w:r w:rsidRPr="005A2F68">
              <w:rPr>
                <w:lang w:eastAsia="en-GB"/>
              </w:rPr>
              <w:lastRenderedPageBreak/>
              <w:t xml:space="preserve">publicētam oficiālajā izdevumā „Latvijas Vēstnesis” līdz </w:t>
            </w:r>
            <w:r w:rsidRPr="005A2F68">
              <w:rPr>
                <w:i/>
                <w:lang w:eastAsia="en-GB"/>
              </w:rPr>
              <w:t>euro</w:t>
            </w:r>
            <w:r w:rsidRPr="005A2F68">
              <w:rPr>
                <w:lang w:eastAsia="en-GB"/>
              </w:rPr>
              <w:t xml:space="preserve"> ieviešanas dienai.</w:t>
            </w:r>
          </w:p>
        </w:tc>
      </w:tr>
    </w:tbl>
    <w:p w:rsidR="00D75266" w:rsidRDefault="00D75266" w:rsidP="00D75266">
      <w:pPr>
        <w:pStyle w:val="naisf"/>
        <w:spacing w:before="0" w:after="0"/>
        <w:jc w:val="left"/>
      </w:pPr>
    </w:p>
    <w:p w:rsidR="00886760" w:rsidRDefault="00886760" w:rsidP="00886760">
      <w:pPr>
        <w:pStyle w:val="naisf"/>
        <w:spacing w:before="0" w:after="0"/>
        <w:jc w:val="left"/>
        <w:rPr>
          <w:sz w:val="28"/>
          <w:szCs w:val="28"/>
        </w:rPr>
      </w:pPr>
      <w:r>
        <w:rPr>
          <w:i/>
          <w:iCs/>
        </w:rPr>
        <w:t>Anotācijas II, III, IV, V, VI un VII sadaļa – projekts šīs jomas neskar.</w:t>
      </w:r>
    </w:p>
    <w:p w:rsidR="00D75266" w:rsidRDefault="00D75266" w:rsidP="00D75266">
      <w:pPr>
        <w:rPr>
          <w:sz w:val="28"/>
          <w:szCs w:val="28"/>
        </w:rPr>
      </w:pPr>
    </w:p>
    <w:p w:rsidR="00D75266" w:rsidRPr="0034636E" w:rsidRDefault="00D75266" w:rsidP="00D75266">
      <w:pPr>
        <w:rPr>
          <w:sz w:val="28"/>
          <w:szCs w:val="28"/>
        </w:rPr>
      </w:pPr>
    </w:p>
    <w:p w:rsidR="00AE1604" w:rsidRPr="004556BC" w:rsidRDefault="00D75266" w:rsidP="00525BB7">
      <w:pPr>
        <w:jc w:val="both"/>
        <w:rPr>
          <w:sz w:val="28"/>
          <w:szCs w:val="28"/>
          <w:lang w:eastAsia="en-US"/>
        </w:rPr>
      </w:pPr>
      <w:r w:rsidRPr="0034636E">
        <w:rPr>
          <w:sz w:val="28"/>
          <w:szCs w:val="28"/>
          <w:lang w:eastAsia="en-US"/>
        </w:rPr>
        <w:t>Tieslietu ministrs</w:t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  <w:t>J.Bordāns</w:t>
      </w:r>
    </w:p>
    <w:p w:rsidR="00D75266" w:rsidRPr="0034636E" w:rsidRDefault="00D75266" w:rsidP="00D75266">
      <w:pPr>
        <w:jc w:val="both"/>
        <w:rPr>
          <w:sz w:val="28"/>
          <w:szCs w:val="28"/>
          <w:lang w:eastAsia="en-US"/>
        </w:rPr>
      </w:pPr>
    </w:p>
    <w:p w:rsidR="00D75266" w:rsidRPr="0034636E" w:rsidRDefault="00D75266" w:rsidP="00D75266">
      <w:pPr>
        <w:jc w:val="both"/>
        <w:rPr>
          <w:sz w:val="28"/>
          <w:szCs w:val="28"/>
          <w:lang w:eastAsia="en-US"/>
        </w:rPr>
      </w:pPr>
    </w:p>
    <w:p w:rsidR="00D75266" w:rsidRPr="0034636E" w:rsidRDefault="00FF530E" w:rsidP="00D75266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525BB7">
        <w:rPr>
          <w:sz w:val="22"/>
          <w:szCs w:val="22"/>
        </w:rPr>
        <w:t>1</w:t>
      </w:r>
      <w:r w:rsidR="00D75266" w:rsidRPr="0034636E">
        <w:rPr>
          <w:sz w:val="22"/>
          <w:szCs w:val="22"/>
        </w:rPr>
        <w:t>.0</w:t>
      </w:r>
      <w:r w:rsidR="00525BB7">
        <w:rPr>
          <w:sz w:val="22"/>
          <w:szCs w:val="22"/>
        </w:rPr>
        <w:t>8</w:t>
      </w:r>
      <w:r w:rsidR="00D75266" w:rsidRPr="0034636E">
        <w:rPr>
          <w:sz w:val="22"/>
          <w:szCs w:val="22"/>
        </w:rPr>
        <w:t>.2013. 1</w:t>
      </w:r>
      <w:r w:rsidR="00525BB7">
        <w:rPr>
          <w:sz w:val="22"/>
          <w:szCs w:val="22"/>
        </w:rPr>
        <w:t>5</w:t>
      </w:r>
      <w:r w:rsidR="00D75266" w:rsidRPr="0034636E">
        <w:rPr>
          <w:sz w:val="22"/>
          <w:szCs w:val="22"/>
        </w:rPr>
        <w:t>:</w:t>
      </w:r>
      <w:r w:rsidR="00525BB7">
        <w:rPr>
          <w:sz w:val="22"/>
          <w:szCs w:val="22"/>
        </w:rPr>
        <w:t>16</w:t>
      </w:r>
    </w:p>
    <w:p w:rsidR="00D75266" w:rsidRPr="0034636E" w:rsidRDefault="004346E3" w:rsidP="00D75266">
      <w:pPr>
        <w:rPr>
          <w:sz w:val="22"/>
          <w:szCs w:val="22"/>
        </w:rPr>
      </w:pPr>
      <w:r>
        <w:rPr>
          <w:sz w:val="22"/>
          <w:szCs w:val="22"/>
        </w:rPr>
        <w:t>277</w:t>
      </w:r>
      <w:bookmarkStart w:id="0" w:name="_GoBack"/>
      <w:bookmarkEnd w:id="0"/>
    </w:p>
    <w:p w:rsidR="00D75266" w:rsidRPr="0034636E" w:rsidRDefault="00D75266" w:rsidP="00D75266">
      <w:pPr>
        <w:rPr>
          <w:sz w:val="22"/>
          <w:szCs w:val="22"/>
        </w:rPr>
      </w:pPr>
      <w:r w:rsidRPr="0034636E">
        <w:rPr>
          <w:sz w:val="22"/>
          <w:szCs w:val="22"/>
        </w:rPr>
        <w:t>K.Tralmaks</w:t>
      </w:r>
    </w:p>
    <w:p w:rsidR="00D75266" w:rsidRDefault="00D75266" w:rsidP="00D75266">
      <w:pPr>
        <w:rPr>
          <w:sz w:val="28"/>
          <w:szCs w:val="28"/>
        </w:rPr>
      </w:pPr>
      <w:r w:rsidRPr="0034636E">
        <w:rPr>
          <w:sz w:val="22"/>
          <w:szCs w:val="22"/>
        </w:rPr>
        <w:t>67038604, kristaps.tralmaks@vzd.gov.lv</w:t>
      </w:r>
    </w:p>
    <w:p w:rsidR="00D75266" w:rsidRPr="006A2B2A" w:rsidRDefault="00D75266" w:rsidP="00D75266">
      <w:pPr>
        <w:jc w:val="both"/>
        <w:rPr>
          <w:sz w:val="22"/>
          <w:szCs w:val="22"/>
        </w:rPr>
      </w:pPr>
    </w:p>
    <w:p w:rsidR="0015060C" w:rsidRPr="006A2B2A" w:rsidRDefault="0015060C" w:rsidP="00D75266">
      <w:pPr>
        <w:jc w:val="center"/>
        <w:rPr>
          <w:sz w:val="22"/>
          <w:szCs w:val="22"/>
        </w:rPr>
      </w:pPr>
    </w:p>
    <w:sectPr w:rsidR="0015060C" w:rsidRPr="006A2B2A" w:rsidSect="00087A7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CC" w:rsidRDefault="00C777CC">
      <w:r>
        <w:separator/>
      </w:r>
    </w:p>
  </w:endnote>
  <w:endnote w:type="continuationSeparator" w:id="0">
    <w:p w:rsidR="00C777CC" w:rsidRDefault="00C7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Pr="00525BB7" w:rsidRDefault="00525BB7" w:rsidP="00525BB7">
    <w:pPr>
      <w:tabs>
        <w:tab w:val="center" w:pos="4153"/>
        <w:tab w:val="right" w:pos="8306"/>
      </w:tabs>
      <w:jc w:val="both"/>
    </w:pPr>
    <w:r w:rsidRPr="001D304E">
      <w:rPr>
        <w:sz w:val="22"/>
        <w:szCs w:val="22"/>
      </w:rPr>
      <w:t>TMAnot_</w:t>
    </w:r>
    <w:r>
      <w:rPr>
        <w:sz w:val="22"/>
        <w:szCs w:val="22"/>
      </w:rPr>
      <w:t>0108</w:t>
    </w:r>
    <w:r w:rsidRPr="00AE1604">
      <w:rPr>
        <w:sz w:val="22"/>
        <w:szCs w:val="22"/>
      </w:rPr>
      <w:t>13</w:t>
    </w:r>
    <w:r w:rsidRPr="001D304E">
      <w:rPr>
        <w:sz w:val="22"/>
        <w:szCs w:val="22"/>
      </w:rPr>
      <w:t>_eu_kv; Ministru kabineta noteikumu projekt</w:t>
    </w:r>
    <w:r>
      <w:rPr>
        <w:sz w:val="22"/>
        <w:szCs w:val="22"/>
      </w:rPr>
      <w:t>a</w:t>
    </w:r>
    <w:r w:rsidRPr="001D304E">
      <w:rPr>
        <w:sz w:val="22"/>
        <w:szCs w:val="22"/>
      </w:rPr>
      <w:t xml:space="preserve"> „Grozījum</w:t>
    </w:r>
    <w:r w:rsidR="00FC2EBC">
      <w:rPr>
        <w:sz w:val="22"/>
        <w:szCs w:val="22"/>
      </w:rPr>
      <w:t>s</w:t>
    </w:r>
    <w:r w:rsidRPr="001D304E">
      <w:rPr>
        <w:sz w:val="22"/>
        <w:szCs w:val="22"/>
      </w:rPr>
      <w:t xml:space="preserve"> Ministru kabineta 2006.gada 18.aprīļa noteikumos Nr.305 „Kadastrālās vērtēšanas noteikumi””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Pr="002426F1" w:rsidRDefault="002426F1" w:rsidP="001D304E">
    <w:pPr>
      <w:tabs>
        <w:tab w:val="center" w:pos="4153"/>
        <w:tab w:val="right" w:pos="8306"/>
      </w:tabs>
      <w:jc w:val="both"/>
    </w:pPr>
    <w:r w:rsidRPr="001D304E">
      <w:rPr>
        <w:sz w:val="22"/>
        <w:szCs w:val="22"/>
      </w:rPr>
      <w:t>TMAnot_</w:t>
    </w:r>
    <w:r w:rsidR="00525BB7">
      <w:rPr>
        <w:sz w:val="22"/>
        <w:szCs w:val="22"/>
      </w:rPr>
      <w:t>0108</w:t>
    </w:r>
    <w:r w:rsidR="00AE1604" w:rsidRPr="00AE1604">
      <w:rPr>
        <w:sz w:val="22"/>
        <w:szCs w:val="22"/>
      </w:rPr>
      <w:t>13</w:t>
    </w:r>
    <w:r w:rsidRPr="001D304E">
      <w:rPr>
        <w:sz w:val="22"/>
        <w:szCs w:val="22"/>
      </w:rPr>
      <w:t>_</w:t>
    </w:r>
    <w:r w:rsidR="001D304E" w:rsidRPr="001D304E">
      <w:rPr>
        <w:sz w:val="22"/>
        <w:szCs w:val="22"/>
      </w:rPr>
      <w:t>eu_kv</w:t>
    </w:r>
    <w:r w:rsidRPr="001D304E">
      <w:rPr>
        <w:sz w:val="22"/>
        <w:szCs w:val="22"/>
      </w:rPr>
      <w:t xml:space="preserve">; </w:t>
    </w:r>
    <w:r w:rsidR="001D304E" w:rsidRPr="001D304E">
      <w:rPr>
        <w:sz w:val="22"/>
        <w:szCs w:val="22"/>
      </w:rPr>
      <w:t>Ministru kabineta noteikumu projekt</w:t>
    </w:r>
    <w:r w:rsidR="00525BB7">
      <w:rPr>
        <w:sz w:val="22"/>
        <w:szCs w:val="22"/>
      </w:rPr>
      <w:t>a</w:t>
    </w:r>
    <w:r w:rsidR="001D304E" w:rsidRPr="001D304E">
      <w:rPr>
        <w:sz w:val="22"/>
        <w:szCs w:val="22"/>
      </w:rPr>
      <w:t xml:space="preserve"> „Grozījum</w:t>
    </w:r>
    <w:r w:rsidR="00FC2EBC">
      <w:rPr>
        <w:sz w:val="22"/>
        <w:szCs w:val="22"/>
      </w:rPr>
      <w:t>s</w:t>
    </w:r>
    <w:r w:rsidR="001D304E" w:rsidRPr="001D304E">
      <w:rPr>
        <w:sz w:val="22"/>
        <w:szCs w:val="22"/>
      </w:rPr>
      <w:t xml:space="preserve"> Ministru kabineta 2006.gada 18.aprīļa noteikumos Nr.305 „Kadastrālās vērtēšanas noteikumi””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CC" w:rsidRDefault="00C777CC">
      <w:r>
        <w:separator/>
      </w:r>
    </w:p>
  </w:footnote>
  <w:footnote w:type="continuationSeparator" w:id="0">
    <w:p w:rsidR="00C777CC" w:rsidRDefault="00C77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Default="00AF42CD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5F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5FA7" w:rsidRDefault="00275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Default="00AF42CD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5F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6E3">
      <w:rPr>
        <w:rStyle w:val="PageNumber"/>
        <w:noProof/>
      </w:rPr>
      <w:t>2</w:t>
    </w:r>
    <w:r>
      <w:rPr>
        <w:rStyle w:val="PageNumber"/>
      </w:rPr>
      <w:fldChar w:fldCharType="end"/>
    </w:r>
  </w:p>
  <w:p w:rsidR="00275FA7" w:rsidRDefault="00275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649"/>
    <w:rsid w:val="00011D24"/>
    <w:rsid w:val="00013FF4"/>
    <w:rsid w:val="00020FE1"/>
    <w:rsid w:val="00022E13"/>
    <w:rsid w:val="00032388"/>
    <w:rsid w:val="00035CE2"/>
    <w:rsid w:val="0005553B"/>
    <w:rsid w:val="000604D2"/>
    <w:rsid w:val="00087A71"/>
    <w:rsid w:val="0009005E"/>
    <w:rsid w:val="000941C5"/>
    <w:rsid w:val="000A6451"/>
    <w:rsid w:val="000B064E"/>
    <w:rsid w:val="000B69CF"/>
    <w:rsid w:val="000C790C"/>
    <w:rsid w:val="000F061D"/>
    <w:rsid w:val="000F4794"/>
    <w:rsid w:val="00124F12"/>
    <w:rsid w:val="00144E3A"/>
    <w:rsid w:val="0015060C"/>
    <w:rsid w:val="0016018A"/>
    <w:rsid w:val="00161F0E"/>
    <w:rsid w:val="00165282"/>
    <w:rsid w:val="00170E2A"/>
    <w:rsid w:val="00177394"/>
    <w:rsid w:val="00182C18"/>
    <w:rsid w:val="00183CC2"/>
    <w:rsid w:val="001900E4"/>
    <w:rsid w:val="00190F88"/>
    <w:rsid w:val="001A4066"/>
    <w:rsid w:val="001A6AE4"/>
    <w:rsid w:val="001B01FD"/>
    <w:rsid w:val="001B4A71"/>
    <w:rsid w:val="001D304E"/>
    <w:rsid w:val="001D5B54"/>
    <w:rsid w:val="001D5C17"/>
    <w:rsid w:val="001E13B0"/>
    <w:rsid w:val="001E1DBF"/>
    <w:rsid w:val="001E4639"/>
    <w:rsid w:val="001E4A7D"/>
    <w:rsid w:val="001F4209"/>
    <w:rsid w:val="001F43A8"/>
    <w:rsid w:val="001F5CD6"/>
    <w:rsid w:val="00205D57"/>
    <w:rsid w:val="0021263D"/>
    <w:rsid w:val="00213F0C"/>
    <w:rsid w:val="00214094"/>
    <w:rsid w:val="0021592D"/>
    <w:rsid w:val="00222D76"/>
    <w:rsid w:val="00223EB1"/>
    <w:rsid w:val="00231344"/>
    <w:rsid w:val="0023436E"/>
    <w:rsid w:val="002347C0"/>
    <w:rsid w:val="00241A6C"/>
    <w:rsid w:val="002426F1"/>
    <w:rsid w:val="00242D2B"/>
    <w:rsid w:val="00262E2B"/>
    <w:rsid w:val="00270429"/>
    <w:rsid w:val="002723E9"/>
    <w:rsid w:val="00275FA7"/>
    <w:rsid w:val="00277929"/>
    <w:rsid w:val="00283B82"/>
    <w:rsid w:val="002846E9"/>
    <w:rsid w:val="00284C34"/>
    <w:rsid w:val="0029066C"/>
    <w:rsid w:val="002B50DB"/>
    <w:rsid w:val="002C062C"/>
    <w:rsid w:val="002C12AB"/>
    <w:rsid w:val="002C7CAC"/>
    <w:rsid w:val="002D3306"/>
    <w:rsid w:val="002D48AA"/>
    <w:rsid w:val="002D7BAA"/>
    <w:rsid w:val="002D7F54"/>
    <w:rsid w:val="002E3FF4"/>
    <w:rsid w:val="002F78C8"/>
    <w:rsid w:val="00301CF3"/>
    <w:rsid w:val="003210A1"/>
    <w:rsid w:val="0032715C"/>
    <w:rsid w:val="00337CA5"/>
    <w:rsid w:val="003572F3"/>
    <w:rsid w:val="00362478"/>
    <w:rsid w:val="00375B25"/>
    <w:rsid w:val="0038132C"/>
    <w:rsid w:val="00396542"/>
    <w:rsid w:val="0039685B"/>
    <w:rsid w:val="003A31A6"/>
    <w:rsid w:val="003A7F0C"/>
    <w:rsid w:val="003A7F79"/>
    <w:rsid w:val="003B6404"/>
    <w:rsid w:val="003C449B"/>
    <w:rsid w:val="003D21FF"/>
    <w:rsid w:val="003D44A7"/>
    <w:rsid w:val="003F0112"/>
    <w:rsid w:val="003F071A"/>
    <w:rsid w:val="003F160B"/>
    <w:rsid w:val="00400032"/>
    <w:rsid w:val="00400B5B"/>
    <w:rsid w:val="00405A00"/>
    <w:rsid w:val="00420870"/>
    <w:rsid w:val="00432D0C"/>
    <w:rsid w:val="004346E3"/>
    <w:rsid w:val="0043791B"/>
    <w:rsid w:val="00441483"/>
    <w:rsid w:val="00441BCB"/>
    <w:rsid w:val="0045176A"/>
    <w:rsid w:val="00456332"/>
    <w:rsid w:val="00461826"/>
    <w:rsid w:val="004800F9"/>
    <w:rsid w:val="0049134A"/>
    <w:rsid w:val="004A41B6"/>
    <w:rsid w:val="004A58CB"/>
    <w:rsid w:val="004B1795"/>
    <w:rsid w:val="004B56DD"/>
    <w:rsid w:val="004C020F"/>
    <w:rsid w:val="004C1AFD"/>
    <w:rsid w:val="004C558B"/>
    <w:rsid w:val="004F1F88"/>
    <w:rsid w:val="004F5F1B"/>
    <w:rsid w:val="00502374"/>
    <w:rsid w:val="005060A1"/>
    <w:rsid w:val="00516072"/>
    <w:rsid w:val="00525BB7"/>
    <w:rsid w:val="005332EC"/>
    <w:rsid w:val="00534418"/>
    <w:rsid w:val="005353AB"/>
    <w:rsid w:val="005560BC"/>
    <w:rsid w:val="005573BE"/>
    <w:rsid w:val="00572700"/>
    <w:rsid w:val="00580468"/>
    <w:rsid w:val="00582231"/>
    <w:rsid w:val="0058603B"/>
    <w:rsid w:val="0059431B"/>
    <w:rsid w:val="005A39CC"/>
    <w:rsid w:val="005B4730"/>
    <w:rsid w:val="005E05D7"/>
    <w:rsid w:val="005E41E7"/>
    <w:rsid w:val="005E450F"/>
    <w:rsid w:val="0062298A"/>
    <w:rsid w:val="00626514"/>
    <w:rsid w:val="00626589"/>
    <w:rsid w:val="006339A0"/>
    <w:rsid w:val="006413A8"/>
    <w:rsid w:val="00642E56"/>
    <w:rsid w:val="00651E00"/>
    <w:rsid w:val="00674572"/>
    <w:rsid w:val="00687763"/>
    <w:rsid w:val="00692B0D"/>
    <w:rsid w:val="00693E0E"/>
    <w:rsid w:val="006A1AE3"/>
    <w:rsid w:val="006A2B2A"/>
    <w:rsid w:val="006C30E1"/>
    <w:rsid w:val="006C4607"/>
    <w:rsid w:val="006D48F1"/>
    <w:rsid w:val="006E668A"/>
    <w:rsid w:val="006F45BE"/>
    <w:rsid w:val="007004FC"/>
    <w:rsid w:val="00706670"/>
    <w:rsid w:val="00711F59"/>
    <w:rsid w:val="0072417C"/>
    <w:rsid w:val="00734450"/>
    <w:rsid w:val="00745F67"/>
    <w:rsid w:val="0075039E"/>
    <w:rsid w:val="00752D9D"/>
    <w:rsid w:val="00754784"/>
    <w:rsid w:val="00757C6E"/>
    <w:rsid w:val="00762BDA"/>
    <w:rsid w:val="007805FD"/>
    <w:rsid w:val="00784422"/>
    <w:rsid w:val="007B3B54"/>
    <w:rsid w:val="007B3FA0"/>
    <w:rsid w:val="007C0F2C"/>
    <w:rsid w:val="007C2BCC"/>
    <w:rsid w:val="007C4EF0"/>
    <w:rsid w:val="007D099D"/>
    <w:rsid w:val="007E2664"/>
    <w:rsid w:val="007E3ABF"/>
    <w:rsid w:val="007E5BFA"/>
    <w:rsid w:val="007E6689"/>
    <w:rsid w:val="007E731C"/>
    <w:rsid w:val="007F0A03"/>
    <w:rsid w:val="008019BF"/>
    <w:rsid w:val="00810040"/>
    <w:rsid w:val="0082023A"/>
    <w:rsid w:val="00821A7A"/>
    <w:rsid w:val="008253F8"/>
    <w:rsid w:val="008325E4"/>
    <w:rsid w:val="00832A2B"/>
    <w:rsid w:val="00845811"/>
    <w:rsid w:val="00846994"/>
    <w:rsid w:val="00850451"/>
    <w:rsid w:val="00852042"/>
    <w:rsid w:val="008534C9"/>
    <w:rsid w:val="0085599D"/>
    <w:rsid w:val="0087510C"/>
    <w:rsid w:val="00886760"/>
    <w:rsid w:val="008968D2"/>
    <w:rsid w:val="0089738E"/>
    <w:rsid w:val="008B5FDB"/>
    <w:rsid w:val="008C2482"/>
    <w:rsid w:val="008C50F4"/>
    <w:rsid w:val="008C5649"/>
    <w:rsid w:val="008E44A2"/>
    <w:rsid w:val="008E697D"/>
    <w:rsid w:val="00903263"/>
    <w:rsid w:val="00906A21"/>
    <w:rsid w:val="009079C3"/>
    <w:rsid w:val="00910462"/>
    <w:rsid w:val="00915AB1"/>
    <w:rsid w:val="00917532"/>
    <w:rsid w:val="009235BA"/>
    <w:rsid w:val="00924023"/>
    <w:rsid w:val="00924CE2"/>
    <w:rsid w:val="00925B9F"/>
    <w:rsid w:val="00931AED"/>
    <w:rsid w:val="009476A3"/>
    <w:rsid w:val="0095334F"/>
    <w:rsid w:val="00965897"/>
    <w:rsid w:val="0096765C"/>
    <w:rsid w:val="009727E4"/>
    <w:rsid w:val="009934C5"/>
    <w:rsid w:val="00994C0F"/>
    <w:rsid w:val="009B22D7"/>
    <w:rsid w:val="009B72ED"/>
    <w:rsid w:val="009C3CCE"/>
    <w:rsid w:val="009C6DEB"/>
    <w:rsid w:val="009D6504"/>
    <w:rsid w:val="009E12D7"/>
    <w:rsid w:val="009E661A"/>
    <w:rsid w:val="00A04237"/>
    <w:rsid w:val="00A06781"/>
    <w:rsid w:val="00A074C3"/>
    <w:rsid w:val="00A1509C"/>
    <w:rsid w:val="00A249B9"/>
    <w:rsid w:val="00A34260"/>
    <w:rsid w:val="00A70CFD"/>
    <w:rsid w:val="00A72A0B"/>
    <w:rsid w:val="00A81E42"/>
    <w:rsid w:val="00A864FE"/>
    <w:rsid w:val="00A86F41"/>
    <w:rsid w:val="00A87D04"/>
    <w:rsid w:val="00A950C5"/>
    <w:rsid w:val="00AA1D25"/>
    <w:rsid w:val="00AB2B1A"/>
    <w:rsid w:val="00AB397F"/>
    <w:rsid w:val="00AB5832"/>
    <w:rsid w:val="00AC51F2"/>
    <w:rsid w:val="00AD3269"/>
    <w:rsid w:val="00AE1604"/>
    <w:rsid w:val="00AE5066"/>
    <w:rsid w:val="00AE5E24"/>
    <w:rsid w:val="00AE61B7"/>
    <w:rsid w:val="00AE6CBA"/>
    <w:rsid w:val="00AE79AD"/>
    <w:rsid w:val="00AF35E4"/>
    <w:rsid w:val="00AF42CD"/>
    <w:rsid w:val="00AF5CDE"/>
    <w:rsid w:val="00B03BBC"/>
    <w:rsid w:val="00B11A57"/>
    <w:rsid w:val="00B211C3"/>
    <w:rsid w:val="00B25597"/>
    <w:rsid w:val="00B267B9"/>
    <w:rsid w:val="00B33E09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8426C"/>
    <w:rsid w:val="00B91B8D"/>
    <w:rsid w:val="00B94E90"/>
    <w:rsid w:val="00BB0A82"/>
    <w:rsid w:val="00BB7C94"/>
    <w:rsid w:val="00BC0A9D"/>
    <w:rsid w:val="00BF40ED"/>
    <w:rsid w:val="00BF5BC2"/>
    <w:rsid w:val="00C1133D"/>
    <w:rsid w:val="00C22D10"/>
    <w:rsid w:val="00C27A08"/>
    <w:rsid w:val="00C31312"/>
    <w:rsid w:val="00C31E36"/>
    <w:rsid w:val="00C326C6"/>
    <w:rsid w:val="00C35295"/>
    <w:rsid w:val="00C36ADD"/>
    <w:rsid w:val="00C36E74"/>
    <w:rsid w:val="00C40595"/>
    <w:rsid w:val="00C41621"/>
    <w:rsid w:val="00C449FA"/>
    <w:rsid w:val="00C5384F"/>
    <w:rsid w:val="00C56964"/>
    <w:rsid w:val="00C656D5"/>
    <w:rsid w:val="00C67103"/>
    <w:rsid w:val="00C71BB9"/>
    <w:rsid w:val="00C777CC"/>
    <w:rsid w:val="00C94C28"/>
    <w:rsid w:val="00CB0247"/>
    <w:rsid w:val="00CB3440"/>
    <w:rsid w:val="00CC1692"/>
    <w:rsid w:val="00CD138B"/>
    <w:rsid w:val="00CD3E31"/>
    <w:rsid w:val="00CD74A3"/>
    <w:rsid w:val="00CE0527"/>
    <w:rsid w:val="00CE5B23"/>
    <w:rsid w:val="00CF70AD"/>
    <w:rsid w:val="00CF7729"/>
    <w:rsid w:val="00D00059"/>
    <w:rsid w:val="00D107FA"/>
    <w:rsid w:val="00D12275"/>
    <w:rsid w:val="00D12766"/>
    <w:rsid w:val="00D20FF4"/>
    <w:rsid w:val="00D24D2C"/>
    <w:rsid w:val="00D35881"/>
    <w:rsid w:val="00D75266"/>
    <w:rsid w:val="00D81C18"/>
    <w:rsid w:val="00DA7DA5"/>
    <w:rsid w:val="00DB073B"/>
    <w:rsid w:val="00DB78F0"/>
    <w:rsid w:val="00DC0CEA"/>
    <w:rsid w:val="00DC2E43"/>
    <w:rsid w:val="00DD095C"/>
    <w:rsid w:val="00DD1020"/>
    <w:rsid w:val="00DD1330"/>
    <w:rsid w:val="00DE0B83"/>
    <w:rsid w:val="00DE1A81"/>
    <w:rsid w:val="00DE1C13"/>
    <w:rsid w:val="00DE4E10"/>
    <w:rsid w:val="00E02ABF"/>
    <w:rsid w:val="00E14995"/>
    <w:rsid w:val="00E179CD"/>
    <w:rsid w:val="00E23E8D"/>
    <w:rsid w:val="00E37F98"/>
    <w:rsid w:val="00E46559"/>
    <w:rsid w:val="00E60474"/>
    <w:rsid w:val="00E6670C"/>
    <w:rsid w:val="00E776E8"/>
    <w:rsid w:val="00E85A18"/>
    <w:rsid w:val="00E92C1F"/>
    <w:rsid w:val="00E95D4B"/>
    <w:rsid w:val="00EB199F"/>
    <w:rsid w:val="00EC23F7"/>
    <w:rsid w:val="00EC4BD8"/>
    <w:rsid w:val="00EC63EB"/>
    <w:rsid w:val="00ED412F"/>
    <w:rsid w:val="00EF36B2"/>
    <w:rsid w:val="00EF51EF"/>
    <w:rsid w:val="00F1246B"/>
    <w:rsid w:val="00F1327D"/>
    <w:rsid w:val="00F201EC"/>
    <w:rsid w:val="00F208A9"/>
    <w:rsid w:val="00F41D75"/>
    <w:rsid w:val="00F5139D"/>
    <w:rsid w:val="00F63DAC"/>
    <w:rsid w:val="00F7454F"/>
    <w:rsid w:val="00F77988"/>
    <w:rsid w:val="00F77F48"/>
    <w:rsid w:val="00FA4136"/>
    <w:rsid w:val="00FB30F1"/>
    <w:rsid w:val="00FB53E7"/>
    <w:rsid w:val="00FC2EBC"/>
    <w:rsid w:val="00FD2A8A"/>
    <w:rsid w:val="00FE566C"/>
    <w:rsid w:val="00FE70DE"/>
    <w:rsid w:val="00FF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stais">
    <w:name w:val="Parastais"/>
    <w:qFormat/>
    <w:rsid w:val="00AE16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277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2006.gada 18.aprīļa noteikumos Nr.305 „Kadastrālās vērtēšanas noteikumi”</vt:lpstr>
      <vt:lpstr>Ministru kabineta instrukcijas projekts “Tiesību akta projekta sākotnējās ietekmes izvērtēšanas kārtība”</vt:lpstr>
    </vt:vector>
  </TitlesOfParts>
  <Company>Tieslietu ministrija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18.aprīļa noteikumos Nr.305 „Kadastrālās vērtēšanas noteikumi”</dc:title>
  <dc:subject>Sākotnējās ietekmes novērtējuma ziņojums (anotācija)</dc:subject>
  <dc:creator>K.Tralmaks</dc:creator>
  <dc:description>K.Tralmaks, 67038604, kristaps.tralmaks@vzd.gov.lv</dc:description>
  <cp:lastModifiedBy>Kristaps Tralmaks</cp:lastModifiedBy>
  <cp:revision>21</cp:revision>
  <cp:lastPrinted>2010-01-04T11:31:00Z</cp:lastPrinted>
  <dcterms:created xsi:type="dcterms:W3CDTF">2012-10-15T14:01:00Z</dcterms:created>
  <dcterms:modified xsi:type="dcterms:W3CDTF">2013-08-06T07:02:00Z</dcterms:modified>
</cp:coreProperties>
</file>