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A6" w:rsidRDefault="00895CA6" w:rsidP="002426F1">
      <w:pPr>
        <w:jc w:val="center"/>
        <w:rPr>
          <w:b/>
          <w:bCs/>
          <w:sz w:val="28"/>
          <w:szCs w:val="28"/>
        </w:rPr>
      </w:pPr>
      <w:r w:rsidRPr="00895CA6">
        <w:rPr>
          <w:b/>
          <w:bCs/>
          <w:sz w:val="28"/>
          <w:szCs w:val="28"/>
        </w:rPr>
        <w:t xml:space="preserve">Ministru kabineta noteikumu projekta </w:t>
      </w:r>
    </w:p>
    <w:p w:rsidR="002426F1" w:rsidRPr="002426F1" w:rsidRDefault="002426F1" w:rsidP="002426F1">
      <w:pPr>
        <w:jc w:val="center"/>
        <w:rPr>
          <w:b/>
          <w:bCs/>
          <w:sz w:val="28"/>
          <w:szCs w:val="28"/>
        </w:rPr>
      </w:pPr>
      <w:r w:rsidRPr="002426F1">
        <w:rPr>
          <w:b/>
          <w:bCs/>
          <w:sz w:val="28"/>
          <w:szCs w:val="28"/>
        </w:rPr>
        <w:t>„</w:t>
      </w:r>
      <w:r w:rsidR="00895CA6" w:rsidRPr="00895CA6">
        <w:rPr>
          <w:rFonts w:eastAsia="Calibri"/>
          <w:b/>
          <w:sz w:val="28"/>
          <w:szCs w:val="28"/>
          <w:lang w:eastAsia="en-US"/>
        </w:rPr>
        <w:t>Grozījumi Ministru kabineta 2008.gada 19.maija noteikumos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w:t>
      </w:r>
      <w:r w:rsidRPr="002426F1">
        <w:rPr>
          <w:b/>
          <w:bCs/>
          <w:sz w:val="28"/>
          <w:szCs w:val="28"/>
        </w:rPr>
        <w:t>”</w:t>
      </w:r>
    </w:p>
    <w:p w:rsidR="00DF72D5" w:rsidRPr="005A2F68" w:rsidRDefault="002426F1" w:rsidP="00DF72D5">
      <w:pPr>
        <w:jc w:val="center"/>
        <w:rPr>
          <w:rFonts w:eastAsia="Calibri"/>
          <w:b/>
          <w:sz w:val="28"/>
          <w:szCs w:val="28"/>
          <w:lang w:eastAsia="en-US"/>
        </w:rPr>
      </w:pPr>
      <w:r w:rsidRPr="002426F1">
        <w:rPr>
          <w:b/>
          <w:bCs/>
          <w:sz w:val="28"/>
          <w:szCs w:val="28"/>
        </w:rPr>
        <w:t>sākotnējās ietekmes novērtējuma ziņojums (anotācija</w:t>
      </w:r>
      <w:r w:rsidRPr="002426F1">
        <w:rPr>
          <w:rFonts w:eastAsia="Calibri"/>
          <w:b/>
          <w:sz w:val="28"/>
          <w:szCs w:val="28"/>
          <w:lang w:eastAsia="en-US"/>
        </w:rPr>
        <w:t>)</w:t>
      </w:r>
    </w:p>
    <w:tbl>
      <w:tblPr>
        <w:tblpPr w:leftFromText="180" w:rightFromText="180" w:vertAnchor="text" w:horzAnchor="margin" w:tblpX="-137"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4315"/>
        <w:gridCol w:w="4506"/>
      </w:tblGrid>
      <w:tr w:rsidR="00DF72D5" w:rsidRPr="005A2F68" w:rsidTr="002A0DEC">
        <w:tc>
          <w:tcPr>
            <w:tcW w:w="9361" w:type="dxa"/>
            <w:gridSpan w:val="3"/>
            <w:tcBorders>
              <w:top w:val="single" w:sz="4" w:space="0" w:color="auto"/>
              <w:left w:val="single" w:sz="4" w:space="0" w:color="auto"/>
              <w:bottom w:val="single" w:sz="4" w:space="0" w:color="auto"/>
              <w:right w:val="single" w:sz="4" w:space="0" w:color="auto"/>
            </w:tcBorders>
            <w:vAlign w:val="center"/>
            <w:hideMark/>
          </w:tcPr>
          <w:p w:rsidR="00DF72D5" w:rsidRPr="005A2F68" w:rsidRDefault="00DF72D5" w:rsidP="002A0DEC">
            <w:pPr>
              <w:jc w:val="center"/>
              <w:rPr>
                <w:b/>
                <w:bCs/>
                <w:lang w:eastAsia="en-GB"/>
              </w:rPr>
            </w:pPr>
            <w:r w:rsidRPr="005A2F68">
              <w:rPr>
                <w:b/>
                <w:bCs/>
                <w:lang w:eastAsia="en-GB"/>
              </w:rPr>
              <w:t>I. Tiesību akta projekta izstrādes nepieciešamība</w:t>
            </w:r>
          </w:p>
        </w:tc>
      </w:tr>
      <w:tr w:rsidR="00DF72D5" w:rsidRPr="005A2F68" w:rsidTr="002A0DEC">
        <w:trPr>
          <w:trHeight w:val="630"/>
        </w:trPr>
        <w:tc>
          <w:tcPr>
            <w:tcW w:w="540"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1.</w:t>
            </w:r>
          </w:p>
        </w:tc>
        <w:tc>
          <w:tcPr>
            <w:tcW w:w="4315"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ind w:hanging="10"/>
              <w:rPr>
                <w:lang w:eastAsia="en-GB"/>
              </w:rPr>
            </w:pPr>
            <w:r w:rsidRPr="005A2F68">
              <w:rPr>
                <w:lang w:eastAsia="en-GB"/>
              </w:rPr>
              <w:t>Pamatojums</w:t>
            </w:r>
          </w:p>
        </w:tc>
        <w:tc>
          <w:tcPr>
            <w:tcW w:w="4506" w:type="dxa"/>
            <w:tcBorders>
              <w:top w:val="single" w:sz="4" w:space="0" w:color="auto"/>
              <w:left w:val="single" w:sz="4" w:space="0" w:color="auto"/>
              <w:bottom w:val="single" w:sz="4" w:space="0" w:color="auto"/>
              <w:right w:val="single" w:sz="4" w:space="0" w:color="auto"/>
            </w:tcBorders>
            <w:hideMark/>
          </w:tcPr>
          <w:p w:rsidR="00DF72D5" w:rsidRPr="005A2F68" w:rsidRDefault="000D2B21" w:rsidP="002C03D9">
            <w:pPr>
              <w:jc w:val="both"/>
              <w:rPr>
                <w:color w:val="000000"/>
                <w:lang w:eastAsia="en-GB"/>
              </w:rPr>
            </w:pPr>
            <w:r w:rsidRPr="000D2B21">
              <w:rPr>
                <w:i/>
                <w:iCs/>
              </w:rPr>
              <w:t xml:space="preserve">Euro </w:t>
            </w:r>
            <w:r w:rsidRPr="000D2B21">
              <w:t xml:space="preserve">ieviešanas kārtības likuma 30.panta pirmā daļa, Ministru kabineta 2012.gada 27.jūnija rīkojuma Nr.282 „Par „Koncepciju par normatīvo aktu sakārtošanu saistībā ar eiro ieviešanu Latvijā”” 1.1.2.punkts un Latvijas Nacionālā </w:t>
            </w:r>
            <w:r w:rsidRPr="000D2B21">
              <w:rPr>
                <w:i/>
                <w:iCs/>
              </w:rPr>
              <w:t>euro</w:t>
            </w:r>
            <w:r w:rsidRPr="000D2B21">
              <w:t xml:space="preserve"> ieviešanas plāna (apstiprināts ar Ministru kabineta 2013.ga</w:t>
            </w:r>
            <w:r w:rsidR="002C03D9">
              <w:t xml:space="preserve">da 4.aprīļa rīkojumu Nr.136) 1.pielikuma </w:t>
            </w:r>
            <w:r w:rsidRPr="000D2B21">
              <w:t>J.2.2.1.pasākums</w:t>
            </w:r>
            <w:r w:rsidRPr="000D2B21">
              <w:rPr>
                <w:sz w:val="28"/>
                <w:szCs w:val="28"/>
              </w:rPr>
              <w:t>.</w:t>
            </w:r>
          </w:p>
        </w:tc>
      </w:tr>
      <w:tr w:rsidR="00DF72D5" w:rsidRPr="005A2F68" w:rsidTr="002A0DEC">
        <w:trPr>
          <w:trHeight w:val="472"/>
        </w:trPr>
        <w:tc>
          <w:tcPr>
            <w:tcW w:w="540"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2.</w:t>
            </w:r>
          </w:p>
        </w:tc>
        <w:tc>
          <w:tcPr>
            <w:tcW w:w="4315"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tabs>
                <w:tab w:val="left" w:pos="170"/>
              </w:tabs>
              <w:rPr>
                <w:lang w:eastAsia="en-GB"/>
              </w:rPr>
            </w:pPr>
            <w:r w:rsidRPr="005A2F68">
              <w:rPr>
                <w:lang w:eastAsia="en-GB"/>
              </w:rPr>
              <w:t>Pašreizējā situācija un problēmas</w:t>
            </w:r>
          </w:p>
        </w:tc>
        <w:tc>
          <w:tcPr>
            <w:tcW w:w="4506"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jc w:val="both"/>
              <w:rPr>
                <w:lang w:eastAsia="en-GB"/>
              </w:rPr>
            </w:pPr>
            <w:r w:rsidRPr="005A2F68">
              <w:rPr>
                <w:lang w:eastAsia="en-GB"/>
              </w:rPr>
              <w:t xml:space="preserve">Ņemot </w:t>
            </w:r>
            <w:r w:rsidRPr="00F71A24">
              <w:rPr>
                <w:lang w:eastAsia="en-GB"/>
              </w:rPr>
              <w:t xml:space="preserve">vērā, ka ar 2014.gada 1.janvāri Latvijā plānots ieviest </w:t>
            </w:r>
            <w:r w:rsidRPr="00F71A24">
              <w:rPr>
                <w:i/>
                <w:lang w:eastAsia="en-GB"/>
              </w:rPr>
              <w:t>euro</w:t>
            </w:r>
            <w:r w:rsidRPr="00F71A24">
              <w:rPr>
                <w:lang w:eastAsia="en-GB"/>
              </w:rPr>
              <w:t>, ir nepieciešams veikt grozījumu</w:t>
            </w:r>
            <w:r>
              <w:rPr>
                <w:lang w:eastAsia="en-GB"/>
              </w:rPr>
              <w:t>s</w:t>
            </w:r>
            <w:r w:rsidR="001A09D8">
              <w:rPr>
                <w:lang w:eastAsia="en-GB"/>
              </w:rPr>
              <w:t xml:space="preserve"> </w:t>
            </w:r>
            <w:r w:rsidR="005254C3" w:rsidRPr="005254C3">
              <w:rPr>
                <w:lang w:eastAsia="en-GB"/>
              </w:rPr>
              <w:t>Ministru kabineta 2008.gada 19.maija noteikumos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w:t>
            </w:r>
            <w:r w:rsidR="005254C3">
              <w:rPr>
                <w:lang w:eastAsia="en-GB"/>
              </w:rPr>
              <w:t xml:space="preserve">, </w:t>
            </w:r>
            <w:r w:rsidRPr="00F71A24">
              <w:rPr>
                <w:lang w:eastAsia="en-GB"/>
              </w:rPr>
              <w:t xml:space="preserve">aizstājot tajā latus ar </w:t>
            </w:r>
            <w:r w:rsidRPr="00F71A24">
              <w:rPr>
                <w:i/>
                <w:lang w:eastAsia="en-GB"/>
              </w:rPr>
              <w:t>euro</w:t>
            </w:r>
            <w:r w:rsidRPr="00F71A24">
              <w:rPr>
                <w:lang w:eastAsia="en-GB"/>
              </w:rPr>
              <w:t>.</w:t>
            </w:r>
          </w:p>
        </w:tc>
      </w:tr>
      <w:tr w:rsidR="00DF72D5" w:rsidRPr="005A2F68" w:rsidTr="002A0DEC">
        <w:trPr>
          <w:trHeight w:val="196"/>
        </w:trPr>
        <w:tc>
          <w:tcPr>
            <w:tcW w:w="540"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3.</w:t>
            </w:r>
          </w:p>
        </w:tc>
        <w:tc>
          <w:tcPr>
            <w:tcW w:w="4315"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Saistītie politikas ietekmes novērtējumi un pētījumi</w:t>
            </w:r>
          </w:p>
        </w:tc>
        <w:tc>
          <w:tcPr>
            <w:tcW w:w="4506"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spacing w:after="200" w:line="276" w:lineRule="auto"/>
              <w:rPr>
                <w:rFonts w:eastAsia="Calibri"/>
                <w:lang w:eastAsia="en-US"/>
              </w:rPr>
            </w:pPr>
            <w:r w:rsidRPr="005A2F68">
              <w:rPr>
                <w:rFonts w:eastAsia="Calibri"/>
                <w:lang w:eastAsia="en-US"/>
              </w:rPr>
              <w:t>Nav attiecināms.</w:t>
            </w:r>
          </w:p>
        </w:tc>
      </w:tr>
      <w:tr w:rsidR="00DF72D5" w:rsidRPr="005A2F68" w:rsidTr="002A0DEC">
        <w:trPr>
          <w:trHeight w:val="70"/>
        </w:trPr>
        <w:tc>
          <w:tcPr>
            <w:tcW w:w="540"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4.</w:t>
            </w:r>
          </w:p>
        </w:tc>
        <w:tc>
          <w:tcPr>
            <w:tcW w:w="4315"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Tiesiskā regulējuma mērķis un būtība</w:t>
            </w:r>
          </w:p>
        </w:tc>
        <w:tc>
          <w:tcPr>
            <w:tcW w:w="4506" w:type="dxa"/>
            <w:tcBorders>
              <w:top w:val="single" w:sz="4" w:space="0" w:color="auto"/>
              <w:left w:val="single" w:sz="4" w:space="0" w:color="auto"/>
              <w:bottom w:val="single" w:sz="4" w:space="0" w:color="auto"/>
              <w:right w:val="single" w:sz="4" w:space="0" w:color="auto"/>
            </w:tcBorders>
            <w:hideMark/>
          </w:tcPr>
          <w:p w:rsidR="00FD3DF3" w:rsidRDefault="00DF72D5" w:rsidP="002A0DEC">
            <w:pPr>
              <w:jc w:val="both"/>
              <w:rPr>
                <w:i/>
                <w:lang w:eastAsia="en-GB"/>
              </w:rPr>
            </w:pPr>
            <w:r w:rsidRPr="005A2F68">
              <w:rPr>
                <w:lang w:eastAsia="en-GB"/>
              </w:rPr>
              <w:t xml:space="preserve">Šā projekta mērķis ir pielāgot </w:t>
            </w:r>
            <w:r w:rsidR="005254C3" w:rsidRPr="005254C3">
              <w:rPr>
                <w:lang w:eastAsia="en-GB"/>
              </w:rPr>
              <w:t>Ministru kabineta 2008.gada 19.maija noteikum</w:t>
            </w:r>
            <w:r w:rsidR="005254C3">
              <w:rPr>
                <w:lang w:eastAsia="en-GB"/>
              </w:rPr>
              <w:t>u</w:t>
            </w:r>
            <w:r w:rsidR="005254C3" w:rsidRPr="005254C3">
              <w:rPr>
                <w:lang w:eastAsia="en-GB"/>
              </w:rPr>
              <w:t>s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w:t>
            </w:r>
            <w:r w:rsidR="001A09D8">
              <w:rPr>
                <w:lang w:eastAsia="en-GB"/>
              </w:rPr>
              <w:t xml:space="preserve"> </w:t>
            </w:r>
            <w:r w:rsidRPr="005A2F68">
              <w:rPr>
                <w:i/>
                <w:lang w:eastAsia="en-GB"/>
              </w:rPr>
              <w:t>euro</w:t>
            </w:r>
            <w:r w:rsidRPr="005A2F68">
              <w:rPr>
                <w:lang w:eastAsia="en-GB"/>
              </w:rPr>
              <w:t xml:space="preserve"> ieviešanai, aizstājot tajā latus ar </w:t>
            </w:r>
            <w:r w:rsidRPr="005A2F68">
              <w:rPr>
                <w:i/>
                <w:lang w:eastAsia="en-GB"/>
              </w:rPr>
              <w:t>euro</w:t>
            </w:r>
            <w:r w:rsidR="00FD3DF3">
              <w:rPr>
                <w:i/>
                <w:lang w:eastAsia="en-GB"/>
              </w:rPr>
              <w:t>.</w:t>
            </w:r>
          </w:p>
          <w:p w:rsidR="001A09D8" w:rsidRPr="00912F4C" w:rsidRDefault="00FD3DF3" w:rsidP="002A0DEC">
            <w:pPr>
              <w:jc w:val="both"/>
            </w:pPr>
            <w:r>
              <w:rPr>
                <w:lang w:eastAsia="en-GB"/>
              </w:rPr>
              <w:t xml:space="preserve">Papildus 31.2.apakšpunktā ir paredzēts aizstāt </w:t>
            </w:r>
            <w:r>
              <w:t xml:space="preserve"> viena ballhektāra vērtību latos </w:t>
            </w:r>
            <w:r w:rsidR="001A09D8">
              <w:t xml:space="preserve">(skaitlis </w:t>
            </w:r>
            <w:r w:rsidR="001A09D8" w:rsidRPr="001A09D8">
              <w:t>3,71</w:t>
            </w:r>
            <w:r w:rsidR="001A09D8">
              <w:t xml:space="preserve">) </w:t>
            </w:r>
            <w:r>
              <w:t xml:space="preserve">uz vērtību </w:t>
            </w:r>
            <w:r w:rsidRPr="00FD3DF3">
              <w:rPr>
                <w:i/>
              </w:rPr>
              <w:t>euro</w:t>
            </w:r>
            <w:r>
              <w:t xml:space="preserve"> </w:t>
            </w:r>
            <w:r w:rsidR="001A09D8">
              <w:t xml:space="preserve">(skaitlis </w:t>
            </w:r>
            <w:r w:rsidR="001A09D8" w:rsidRPr="001A09D8">
              <w:t>5,28</w:t>
            </w:r>
            <w:r w:rsidR="001A09D8">
              <w:t xml:space="preserve">) </w:t>
            </w:r>
            <w:r>
              <w:t xml:space="preserve">atbilstoši </w:t>
            </w:r>
            <w:r w:rsidRPr="005A3C61">
              <w:rPr>
                <w:i/>
                <w:color w:val="000000" w:themeColor="text1"/>
              </w:rPr>
              <w:t>Euro</w:t>
            </w:r>
            <w:r w:rsidRPr="005A3C61">
              <w:rPr>
                <w:color w:val="000000" w:themeColor="text1"/>
              </w:rPr>
              <w:t xml:space="preserve"> ieviešanas kārtības likum</w:t>
            </w:r>
            <w:r>
              <w:rPr>
                <w:color w:val="000000" w:themeColor="text1"/>
              </w:rPr>
              <w:t xml:space="preserve">a 6.pantam, kas </w:t>
            </w:r>
            <w:r w:rsidRPr="005A3C61">
              <w:rPr>
                <w:color w:val="000000" w:themeColor="text1"/>
              </w:rPr>
              <w:t>balstīts uz Eiropas Savienības Padomes noteikto valūtas maiņas kursu un matemātiskās noapaļošanas principiem</w:t>
            </w:r>
            <w:r w:rsidR="00391689">
              <w:rPr>
                <w:color w:val="000000" w:themeColor="text1"/>
              </w:rPr>
              <w:t>.</w:t>
            </w:r>
            <w:r w:rsidR="001A09D8">
              <w:rPr>
                <w:color w:val="000000" w:themeColor="text1"/>
              </w:rPr>
              <w:t xml:space="preserve"> </w:t>
            </w:r>
            <w:r w:rsidR="001A09D8">
              <w:rPr>
                <w:color w:val="000000" w:themeColor="text1"/>
              </w:rPr>
              <w:lastRenderedPageBreak/>
              <w:t>Izdarot šādus grozījumus, nav nepieciešams grozīt šo noteikumu 5.pielikumu „</w:t>
            </w:r>
            <w:r w:rsidR="001A09D8" w:rsidRPr="001A09D8">
              <w:rPr>
                <w:color w:val="000000" w:themeColor="text1"/>
              </w:rPr>
              <w:t>Vidējais viena hektāra zemes novērtējums zemes nacionalizācijas dienā</w:t>
            </w:r>
            <w:r w:rsidR="001A09D8">
              <w:rPr>
                <w:color w:val="000000" w:themeColor="text1"/>
              </w:rPr>
              <w:t>”.</w:t>
            </w:r>
          </w:p>
          <w:p w:rsidR="00DF72D5" w:rsidRPr="005A2F68" w:rsidRDefault="00FD3DF3" w:rsidP="002A0DEC">
            <w:pPr>
              <w:jc w:val="both"/>
              <w:rPr>
                <w:lang w:eastAsia="en-GB"/>
              </w:rPr>
            </w:pPr>
            <w:r w:rsidRPr="00912F4C">
              <w:rPr>
                <w:rFonts w:eastAsia="Calibri"/>
                <w:color w:val="000000"/>
                <w:lang w:eastAsia="en-US"/>
              </w:rPr>
              <w:t xml:space="preserve">Grozītās tiesību normas </w:t>
            </w:r>
            <w:r w:rsidRPr="00912F4C">
              <w:rPr>
                <w:rFonts w:eastAsia="Calibri"/>
                <w:i/>
                <w:color w:val="000000"/>
                <w:lang w:eastAsia="en-US"/>
              </w:rPr>
              <w:t xml:space="preserve">euro </w:t>
            </w:r>
            <w:r w:rsidRPr="00912F4C">
              <w:rPr>
                <w:rFonts w:eastAsia="Calibri"/>
                <w:color w:val="000000"/>
                <w:lang w:eastAsia="en-US"/>
              </w:rPr>
              <w:t>valūtā nav personām nelabvēlīgākas par sākotnējo tiesību normu latos un nerada ietekmi uz valsts budžetu.</w:t>
            </w:r>
          </w:p>
        </w:tc>
      </w:tr>
      <w:tr w:rsidR="00DF72D5" w:rsidRPr="005A2F68" w:rsidTr="002A0DEC">
        <w:trPr>
          <w:trHeight w:val="208"/>
        </w:trPr>
        <w:tc>
          <w:tcPr>
            <w:tcW w:w="540"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lastRenderedPageBreak/>
              <w:t>5.</w:t>
            </w:r>
          </w:p>
        </w:tc>
        <w:tc>
          <w:tcPr>
            <w:tcW w:w="4315"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Projekta izstrādē iesaistītās institūcijas</w:t>
            </w:r>
          </w:p>
        </w:tc>
        <w:tc>
          <w:tcPr>
            <w:tcW w:w="4506"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Nav attiecināms.</w:t>
            </w:r>
          </w:p>
        </w:tc>
      </w:tr>
      <w:tr w:rsidR="00DF72D5" w:rsidRPr="005A2F68" w:rsidTr="002A0DEC">
        <w:trPr>
          <w:trHeight w:val="421"/>
        </w:trPr>
        <w:tc>
          <w:tcPr>
            <w:tcW w:w="540"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6.</w:t>
            </w:r>
          </w:p>
        </w:tc>
        <w:tc>
          <w:tcPr>
            <w:tcW w:w="4315"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i/>
                <w:highlight w:val="yellow"/>
                <w:lang w:eastAsia="en-GB"/>
              </w:rPr>
            </w:pPr>
            <w:r w:rsidRPr="005A2F68">
              <w:rPr>
                <w:lang w:eastAsia="en-GB"/>
              </w:rPr>
              <w:t>Iemesli, kādēļ netika nodrošināta sabiedrības līdzdalība</w:t>
            </w:r>
          </w:p>
        </w:tc>
        <w:tc>
          <w:tcPr>
            <w:tcW w:w="4506"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jc w:val="both"/>
              <w:rPr>
                <w:rFonts w:eastAsia="Calibri"/>
                <w:lang w:eastAsia="en-US"/>
              </w:rPr>
            </w:pPr>
            <w:r w:rsidRPr="005A2F68">
              <w:rPr>
                <w:rFonts w:eastAsia="Calibri"/>
                <w:lang w:eastAsia="en-US"/>
              </w:rPr>
              <w:t>Sabiedrības līdzdalība projekta izstrādē netika nodrošināta, jo projekts nemaina pastāvošo t</w:t>
            </w:r>
            <w:r>
              <w:rPr>
                <w:rFonts w:eastAsia="Calibri"/>
                <w:lang w:eastAsia="en-US"/>
              </w:rPr>
              <w:t>iesisko regulējumu pēc būtības.</w:t>
            </w:r>
          </w:p>
        </w:tc>
      </w:tr>
      <w:tr w:rsidR="00DF72D5" w:rsidRPr="005A2F68" w:rsidTr="002A0DEC">
        <w:tc>
          <w:tcPr>
            <w:tcW w:w="540"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7.</w:t>
            </w:r>
          </w:p>
        </w:tc>
        <w:tc>
          <w:tcPr>
            <w:tcW w:w="4315"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rPr>
                <w:lang w:eastAsia="en-GB"/>
              </w:rPr>
            </w:pPr>
            <w:r w:rsidRPr="005A2F68">
              <w:rPr>
                <w:lang w:eastAsia="en-GB"/>
              </w:rPr>
              <w:t>Cita informācija</w:t>
            </w:r>
          </w:p>
        </w:tc>
        <w:tc>
          <w:tcPr>
            <w:tcW w:w="4506" w:type="dxa"/>
            <w:tcBorders>
              <w:top w:val="single" w:sz="4" w:space="0" w:color="auto"/>
              <w:left w:val="single" w:sz="4" w:space="0" w:color="auto"/>
              <w:bottom w:val="single" w:sz="4" w:space="0" w:color="auto"/>
              <w:right w:val="single" w:sz="4" w:space="0" w:color="auto"/>
            </w:tcBorders>
            <w:hideMark/>
          </w:tcPr>
          <w:p w:rsidR="00DF72D5" w:rsidRPr="005A2F68" w:rsidRDefault="00DF72D5" w:rsidP="002A0DEC">
            <w:pPr>
              <w:jc w:val="both"/>
              <w:rPr>
                <w:lang w:eastAsia="en-GB"/>
              </w:rPr>
            </w:pPr>
            <w:r w:rsidRPr="005A2F68">
              <w:rPr>
                <w:lang w:eastAsia="en-GB"/>
              </w:rPr>
              <w:t xml:space="preserve">Šim projektam ir jābūt apstiprinātam un publicētam oficiālajā izdevumā „Latvijas Vēstnesis” līdz </w:t>
            </w:r>
            <w:r w:rsidRPr="005A2F68">
              <w:rPr>
                <w:i/>
                <w:lang w:eastAsia="en-GB"/>
              </w:rPr>
              <w:t>euro</w:t>
            </w:r>
            <w:r w:rsidRPr="005A2F68">
              <w:rPr>
                <w:lang w:eastAsia="en-GB"/>
              </w:rPr>
              <w:t xml:space="preserve"> ieviešanas dienai.</w:t>
            </w:r>
          </w:p>
        </w:tc>
      </w:tr>
    </w:tbl>
    <w:p w:rsidR="00DF72D5" w:rsidRDefault="00DF72D5" w:rsidP="00DF72D5">
      <w:pPr>
        <w:pStyle w:val="naisf"/>
        <w:spacing w:before="0" w:after="0"/>
        <w:jc w:val="left"/>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331"/>
        <w:gridCol w:w="1354"/>
        <w:gridCol w:w="1354"/>
        <w:gridCol w:w="1355"/>
        <w:gridCol w:w="1293"/>
      </w:tblGrid>
      <w:tr w:rsidR="00AD2816" w:rsidRPr="00AD2816" w:rsidTr="00AD2816">
        <w:trPr>
          <w:trHeight w:val="124"/>
        </w:trPr>
        <w:tc>
          <w:tcPr>
            <w:tcW w:w="9356" w:type="dxa"/>
            <w:gridSpan w:val="6"/>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center"/>
              <w:rPr>
                <w:b/>
                <w:bCs/>
                <w:i/>
                <w:sz w:val="22"/>
                <w:szCs w:val="22"/>
              </w:rPr>
            </w:pPr>
            <w:r w:rsidRPr="00AD2816">
              <w:rPr>
                <w:b/>
                <w:bCs/>
                <w:sz w:val="22"/>
                <w:szCs w:val="22"/>
              </w:rPr>
              <w:br w:type="page"/>
            </w:r>
            <w:r w:rsidRPr="00AD2816">
              <w:rPr>
                <w:b/>
                <w:bCs/>
              </w:rPr>
              <w:t>III. Tiesību akta projekta ietekme uz valsts budžetu un pašvaldību budžetiem</w:t>
            </w:r>
          </w:p>
        </w:tc>
      </w:tr>
      <w:tr w:rsidR="00AD2816" w:rsidRPr="00AD2816" w:rsidTr="00AD2816">
        <w:tc>
          <w:tcPr>
            <w:tcW w:w="2669" w:type="dxa"/>
            <w:vMerge w:val="restart"/>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sz w:val="22"/>
                <w:szCs w:val="22"/>
                <w:lang w:eastAsia="en-US"/>
              </w:rPr>
            </w:pPr>
            <w:r w:rsidRPr="00AD2816">
              <w:rPr>
                <w:b/>
                <w:sz w:val="22"/>
                <w:szCs w:val="22"/>
                <w:lang w:eastAsia="en-US"/>
              </w:rPr>
              <w:t>Rādītāji</w:t>
            </w:r>
          </w:p>
        </w:tc>
        <w:tc>
          <w:tcPr>
            <w:tcW w:w="2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sz w:val="22"/>
                <w:szCs w:val="22"/>
                <w:lang w:eastAsia="en-US"/>
              </w:rPr>
            </w:pPr>
            <w:r w:rsidRPr="00AD2816">
              <w:rPr>
                <w:b/>
                <w:sz w:val="22"/>
                <w:szCs w:val="22"/>
                <w:lang w:eastAsia="en-US"/>
              </w:rPr>
              <w:t>2013.gads</w:t>
            </w:r>
          </w:p>
        </w:tc>
        <w:tc>
          <w:tcPr>
            <w:tcW w:w="4002" w:type="dxa"/>
            <w:gridSpan w:val="3"/>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sz w:val="22"/>
                <w:szCs w:val="22"/>
                <w:lang w:eastAsia="en-US"/>
              </w:rPr>
              <w:t>Turpmākie trīs gadi (tūkst. latu)</w:t>
            </w:r>
          </w:p>
        </w:tc>
      </w:tr>
      <w:tr w:rsidR="00AD2816" w:rsidRPr="00AD2816" w:rsidTr="00AD2816">
        <w:tc>
          <w:tcPr>
            <w:tcW w:w="2669" w:type="dxa"/>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b/>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b/>
                <w:sz w:val="22"/>
                <w:szCs w:val="22"/>
                <w:lang w:eastAsia="en-US"/>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b/>
                <w:bCs/>
                <w:sz w:val="22"/>
                <w:szCs w:val="22"/>
                <w:lang w:eastAsia="en-US"/>
              </w:rPr>
              <w:t>2014</w:t>
            </w:r>
          </w:p>
        </w:tc>
        <w:tc>
          <w:tcPr>
            <w:tcW w:w="1355"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b/>
                <w:bCs/>
                <w:sz w:val="22"/>
                <w:szCs w:val="22"/>
                <w:lang w:eastAsia="en-US"/>
              </w:rPr>
              <w:t>2015</w:t>
            </w:r>
          </w:p>
        </w:tc>
        <w:tc>
          <w:tcPr>
            <w:tcW w:w="1293"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b/>
                <w:bCs/>
                <w:sz w:val="22"/>
                <w:szCs w:val="22"/>
                <w:lang w:eastAsia="en-US"/>
              </w:rPr>
              <w:t>2016</w:t>
            </w:r>
          </w:p>
        </w:tc>
      </w:tr>
      <w:tr w:rsidR="00AD2816" w:rsidRPr="00AD2816" w:rsidTr="00AD2816">
        <w:tc>
          <w:tcPr>
            <w:tcW w:w="2669" w:type="dxa"/>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b/>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sz w:val="22"/>
                <w:szCs w:val="22"/>
                <w:lang w:eastAsia="en-US"/>
              </w:rPr>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sz w:val="22"/>
                <w:szCs w:val="22"/>
                <w:lang w:eastAsia="en-US"/>
              </w:rPr>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sz w:val="22"/>
                <w:szCs w:val="22"/>
                <w:lang w:eastAsia="en-US"/>
              </w:rPr>
              <w:t>Izmaiņas, salīdzinot ar kārtējo (2013) gadu</w:t>
            </w:r>
          </w:p>
        </w:tc>
        <w:tc>
          <w:tcPr>
            <w:tcW w:w="1355"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sz w:val="22"/>
                <w:szCs w:val="22"/>
                <w:lang w:eastAsia="en-US"/>
              </w:rPr>
              <w:t>Izmaiņas, salīdzinot ar kārtējo (2013) gadu</w:t>
            </w:r>
          </w:p>
        </w:tc>
        <w:tc>
          <w:tcPr>
            <w:tcW w:w="1293"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i/>
                <w:sz w:val="22"/>
                <w:szCs w:val="22"/>
                <w:lang w:eastAsia="en-US"/>
              </w:rPr>
            </w:pPr>
            <w:r w:rsidRPr="00AD2816">
              <w:rPr>
                <w:sz w:val="22"/>
                <w:szCs w:val="22"/>
                <w:lang w:eastAsia="en-US"/>
              </w:rPr>
              <w:t>Izmaiņas, salīdzinot ar kārtējo (2013) gadu</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Cs/>
                <w:sz w:val="22"/>
                <w:szCs w:val="22"/>
                <w:lang w:eastAsia="en-US"/>
              </w:rPr>
            </w:pPr>
            <w:r w:rsidRPr="00AD2816">
              <w:rPr>
                <w:bCs/>
                <w:sz w:val="22"/>
                <w:szCs w:val="22"/>
                <w:lang w:eastAsia="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Cs/>
                <w:sz w:val="22"/>
                <w:szCs w:val="22"/>
                <w:lang w:eastAsia="en-US"/>
              </w:rPr>
            </w:pPr>
            <w:r w:rsidRPr="00AD2816">
              <w:rPr>
                <w:bCs/>
                <w:sz w:val="22"/>
                <w:szCs w:val="22"/>
                <w:lang w:eastAsia="en-US"/>
              </w:rPr>
              <w:t>2</w:t>
            </w:r>
          </w:p>
        </w:tc>
        <w:tc>
          <w:tcPr>
            <w:tcW w:w="1354"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Cs/>
                <w:sz w:val="22"/>
                <w:szCs w:val="22"/>
                <w:lang w:eastAsia="en-US"/>
              </w:rPr>
            </w:pPr>
            <w:r w:rsidRPr="00AD2816">
              <w:rPr>
                <w:bCs/>
                <w:sz w:val="22"/>
                <w:szCs w:val="22"/>
                <w:lang w:eastAsia="en-US"/>
              </w:rPr>
              <w:t>3</w:t>
            </w:r>
          </w:p>
        </w:tc>
        <w:tc>
          <w:tcPr>
            <w:tcW w:w="1354"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Cs/>
                <w:sz w:val="22"/>
                <w:szCs w:val="22"/>
                <w:lang w:eastAsia="en-US"/>
              </w:rPr>
            </w:pPr>
            <w:r w:rsidRPr="00AD2816">
              <w:rPr>
                <w:bCs/>
                <w:sz w:val="22"/>
                <w:szCs w:val="22"/>
                <w:lang w:eastAsia="en-U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Cs/>
                <w:sz w:val="22"/>
                <w:szCs w:val="22"/>
                <w:lang w:eastAsia="en-US"/>
              </w:rPr>
            </w:pPr>
            <w:r w:rsidRPr="00AD2816">
              <w:rPr>
                <w:bCs/>
                <w:sz w:val="22"/>
                <w:szCs w:val="22"/>
                <w:lang w:eastAsia="en-US"/>
              </w:rPr>
              <w:t>5</w:t>
            </w:r>
          </w:p>
        </w:tc>
        <w:tc>
          <w:tcPr>
            <w:tcW w:w="1293"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Cs/>
                <w:sz w:val="22"/>
                <w:szCs w:val="22"/>
                <w:lang w:eastAsia="en-US"/>
              </w:rPr>
            </w:pPr>
            <w:r w:rsidRPr="00AD2816">
              <w:rPr>
                <w:bCs/>
                <w:sz w:val="22"/>
                <w:szCs w:val="22"/>
                <w:lang w:eastAsia="en-US"/>
              </w:rPr>
              <w:t>6</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both"/>
              <w:rPr>
                <w:i/>
                <w:sz w:val="22"/>
                <w:szCs w:val="22"/>
                <w:lang w:eastAsia="en-US"/>
              </w:rPr>
            </w:pPr>
            <w:r w:rsidRPr="00AD2816">
              <w:rPr>
                <w:sz w:val="22"/>
                <w:szCs w:val="22"/>
                <w:lang w:eastAsia="en-US"/>
              </w:rPr>
              <w:t>1. Budžeta ieņēmumi:</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sz w:val="22"/>
                <w:szCs w:val="22"/>
                <w:lang w:eastAsia="en-US"/>
              </w:rPr>
            </w:pPr>
            <w:r w:rsidRPr="00AD2816">
              <w:rPr>
                <w:b/>
                <w:sz w:val="22"/>
                <w:szCs w:val="22"/>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both"/>
              <w:rPr>
                <w:i/>
                <w:sz w:val="22"/>
                <w:szCs w:val="22"/>
                <w:lang w:eastAsia="en-US"/>
              </w:rPr>
            </w:pPr>
            <w:r w:rsidRPr="00AD2816">
              <w:rPr>
                <w:sz w:val="22"/>
                <w:szCs w:val="22"/>
                <w:lang w:eastAsia="en-US"/>
              </w:rPr>
              <w:t>1.1. valsts pamatbudžets, tai skaitā ieņēmumi no maksas pakalpojumiem un citi pašu ieņēmumi</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sz w:val="22"/>
                <w:szCs w:val="22"/>
                <w:lang w:eastAsia="en-US"/>
              </w:rPr>
            </w:pPr>
            <w:r w:rsidRPr="00AD2816">
              <w:rPr>
                <w:b/>
                <w:sz w:val="22"/>
                <w:szCs w:val="22"/>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both"/>
              <w:rPr>
                <w:i/>
                <w:sz w:val="22"/>
                <w:szCs w:val="22"/>
                <w:lang w:eastAsia="en-US"/>
              </w:rPr>
            </w:pPr>
            <w:r w:rsidRPr="00AD2816">
              <w:rPr>
                <w:sz w:val="22"/>
                <w:szCs w:val="22"/>
                <w:lang w:eastAsia="en-US"/>
              </w:rPr>
              <w:t>1.2. valsts speciālais budžets</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both"/>
              <w:rPr>
                <w:i/>
                <w:sz w:val="22"/>
                <w:szCs w:val="22"/>
                <w:lang w:eastAsia="en-US"/>
              </w:rPr>
            </w:pPr>
            <w:r w:rsidRPr="00AD2816">
              <w:rPr>
                <w:sz w:val="22"/>
                <w:szCs w:val="22"/>
                <w:lang w:eastAsia="en-US"/>
              </w:rPr>
              <w:t>1.3. pašvaldību budžets</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2. Budžeta izdevumi:</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sz w:val="22"/>
                <w:szCs w:val="22"/>
                <w:lang w:eastAsia="en-US"/>
              </w:rPr>
            </w:pPr>
            <w:r w:rsidRPr="00AD2816">
              <w:rPr>
                <w:b/>
                <w:sz w:val="22"/>
                <w:szCs w:val="22"/>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2.1. valsts pamatbudžets</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sz w:val="22"/>
                <w:szCs w:val="22"/>
                <w:lang w:eastAsia="en-US"/>
              </w:rPr>
            </w:pPr>
            <w:r w:rsidRPr="00AD2816">
              <w:rPr>
                <w:b/>
                <w:sz w:val="22"/>
                <w:szCs w:val="22"/>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2.2. valsts speciālais budžets</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 xml:space="preserve">2.3. pašvaldību budžets </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3. Finansiālā ietekme:</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jc w:val="center"/>
              <w:rPr>
                <w:b/>
                <w:szCs w:val="20"/>
                <w:lang w:eastAsia="en-US"/>
              </w:rPr>
            </w:pPr>
            <w:r w:rsidRPr="00AD2816">
              <w:rPr>
                <w:b/>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3.1. valsts pamatbudžets</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szCs w:val="20"/>
                <w:lang w:eastAsia="en-US"/>
              </w:rPr>
            </w:pPr>
            <w:r w:rsidRPr="00AD2816">
              <w:rPr>
                <w:b/>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3.2. speciālais budžets</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 xml:space="preserve">3.3. pašvaldību budžets </w:t>
            </w:r>
          </w:p>
        </w:tc>
        <w:tc>
          <w:tcPr>
            <w:tcW w:w="1331"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vMerge w:val="restart"/>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lastRenderedPageBreak/>
              <w:t>4. Finanšu līdzekļi papildu izde</w:t>
            </w:r>
            <w:r w:rsidRPr="00AD2816">
              <w:rPr>
                <w:sz w:val="22"/>
                <w:szCs w:val="22"/>
              </w:rPr>
              <w:softHyphen/>
              <w:t>vumu finansēšanai (kompensējošu izdevumu samazinājumu norāda ar "+" zīmi)</w:t>
            </w:r>
          </w:p>
        </w:tc>
        <w:tc>
          <w:tcPr>
            <w:tcW w:w="1331" w:type="dxa"/>
            <w:vMerge w:val="restart"/>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szCs w:val="20"/>
                <w:lang w:eastAsia="en-US"/>
              </w:rPr>
            </w:pPr>
            <w:r w:rsidRPr="00AD2816">
              <w:rPr>
                <w:szCs w:val="20"/>
                <w:lang w:eastAsia="en-US"/>
              </w:rPr>
              <w:t>X</w:t>
            </w: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245D6C" w:rsidP="00245D6C">
            <w:pPr>
              <w:spacing w:before="100" w:beforeAutospacing="1" w:after="100" w:afterAutospacing="1"/>
              <w:jc w:val="center"/>
              <w:rPr>
                <w:lang w:eastAsia="en-US"/>
              </w:rPr>
            </w:pPr>
            <w:r w:rsidRPr="00245D6C">
              <w:rPr>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245D6C" w:rsidP="00245D6C">
            <w:pPr>
              <w:jc w:val="center"/>
              <w:rPr>
                <w:rFonts w:eastAsia="Calibri"/>
              </w:rPr>
            </w:pPr>
            <w:r w:rsidRPr="00245D6C">
              <w:rPr>
                <w:rFonts w:eastAsia="Calibri"/>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245D6C" w:rsidRDefault="00245D6C" w:rsidP="00245D6C">
            <w:pPr>
              <w:jc w:val="center"/>
              <w:rPr>
                <w:rFonts w:eastAsia="Calibri"/>
              </w:rPr>
            </w:pPr>
            <w:r w:rsidRPr="00245D6C">
              <w:rPr>
                <w:rFonts w:eastAsia="Calibri"/>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245D6C" w:rsidRDefault="00245D6C" w:rsidP="00245D6C">
            <w:pPr>
              <w:jc w:val="center"/>
              <w:rPr>
                <w:rFonts w:eastAsia="Calibri"/>
              </w:rPr>
            </w:pPr>
            <w:r w:rsidRPr="00245D6C">
              <w:rPr>
                <w:rFonts w:eastAsia="Calibri"/>
              </w:rPr>
              <w:t>0</w:t>
            </w:r>
          </w:p>
        </w:tc>
      </w:tr>
      <w:tr w:rsidR="00AD2816" w:rsidRPr="00AD2816" w:rsidTr="00AD2816">
        <w:tc>
          <w:tcPr>
            <w:tcW w:w="2669" w:type="dxa"/>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szCs w:val="20"/>
                <w:lang w:eastAsia="en-US"/>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spacing w:before="100" w:beforeAutospacing="1" w:after="100" w:afterAutospacing="1"/>
              <w:jc w:val="center"/>
              <w:rPr>
                <w:b/>
                <w:i/>
                <w:lang w:eastAsia="en-US"/>
              </w:rPr>
            </w:pPr>
            <w:r w:rsidRPr="00245D6C">
              <w:rPr>
                <w:b/>
                <w:i/>
                <w:lang w:eastAsia="en-US"/>
              </w:rPr>
              <w:t xml:space="preserve"> </w:t>
            </w: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rPr>
                <w:rFonts w:ascii="Calibri" w:eastAsia="Calibri" w:hAnsi="Calibri"/>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rPr>
                <w:rFonts w:ascii="Calibri" w:eastAsia="Calibri" w:hAnsi="Calibri"/>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rPr>
                <w:rFonts w:ascii="Calibri" w:eastAsia="Calibri" w:hAnsi="Calibri"/>
              </w:rPr>
            </w:pPr>
          </w:p>
        </w:tc>
      </w:tr>
      <w:tr w:rsidR="00AD2816" w:rsidRPr="00AD2816" w:rsidTr="00AD2816">
        <w:tc>
          <w:tcPr>
            <w:tcW w:w="2669" w:type="dxa"/>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szCs w:val="20"/>
                <w:lang w:eastAsia="en-US"/>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rPr>
                <w:rFonts w:ascii="Calibri" w:eastAsia="Calibri" w:hAnsi="Calibri"/>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rPr>
                <w:rFonts w:ascii="Calibri" w:eastAsia="Calibri" w:hAnsi="Calibri"/>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rPr>
                <w:rFonts w:ascii="Calibri" w:eastAsia="Calibri" w:hAnsi="Calibri"/>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rPr>
                <w:rFonts w:ascii="Calibri" w:eastAsia="Calibri" w:hAnsi="Calibri"/>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5. Precizēta finansiālā ietekme:</w:t>
            </w:r>
          </w:p>
        </w:tc>
        <w:tc>
          <w:tcPr>
            <w:tcW w:w="1331" w:type="dxa"/>
            <w:vMerge w:val="restart"/>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szCs w:val="20"/>
                <w:lang w:eastAsia="en-US"/>
              </w:rPr>
            </w:pPr>
            <w:r w:rsidRPr="00AD2816">
              <w:rPr>
                <w:szCs w:val="20"/>
                <w:lang w:eastAsia="en-US"/>
              </w:rPr>
              <w:t>X</w:t>
            </w: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spacing w:before="100" w:beforeAutospacing="1" w:after="100" w:afterAutospacing="1"/>
              <w:jc w:val="center"/>
              <w:rPr>
                <w:b/>
                <w:i/>
                <w:lang w:eastAsia="en-US"/>
              </w:rPr>
            </w:pPr>
            <w:r w:rsidRPr="00245D6C">
              <w:rPr>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spacing w:before="100" w:beforeAutospacing="1" w:after="100" w:afterAutospacing="1"/>
              <w:jc w:val="center"/>
              <w:rPr>
                <w:b/>
                <w:i/>
                <w:lang w:eastAsia="en-US"/>
              </w:rPr>
            </w:pPr>
            <w:r w:rsidRPr="00245D6C">
              <w:rPr>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spacing w:before="100" w:beforeAutospacing="1" w:after="100" w:afterAutospacing="1"/>
              <w:jc w:val="center"/>
              <w:rPr>
                <w:b/>
                <w:i/>
                <w:lang w:eastAsia="en-US"/>
              </w:rPr>
            </w:pPr>
            <w:r w:rsidRPr="00245D6C">
              <w:rPr>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245D6C" w:rsidRDefault="00AD2816" w:rsidP="00AD2816">
            <w:pPr>
              <w:spacing w:before="100" w:beforeAutospacing="1" w:after="100" w:afterAutospacing="1"/>
              <w:jc w:val="center"/>
              <w:rPr>
                <w:b/>
                <w:i/>
                <w:lang w:eastAsia="en-US"/>
              </w:rPr>
            </w:pPr>
            <w:r w:rsidRPr="00245D6C">
              <w:rPr>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szCs w:val="20"/>
                <w:lang w:eastAsia="en-US"/>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spacing w:before="100" w:beforeAutospacing="1" w:after="100" w:afterAutospacing="1"/>
              <w:jc w:val="center"/>
              <w:rPr>
                <w:b/>
                <w:i/>
                <w:sz w:val="22"/>
                <w:szCs w:val="22"/>
                <w:lang w:eastAsia="en-US"/>
              </w:rPr>
            </w:pPr>
            <w:r w:rsidRPr="00AD2816">
              <w:rPr>
                <w:szCs w:val="20"/>
                <w:lang w:eastAsia="en-US"/>
              </w:rPr>
              <w:t>0</w:t>
            </w: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szCs w:val="20"/>
                <w:lang w:eastAsia="en-US"/>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rPr>
                <w:szCs w:val="20"/>
                <w:lang w:eastAsia="en-US"/>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4"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c>
          <w:tcPr>
            <w:tcW w:w="1293"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rPr>
                <w:rFonts w:ascii="Calibri" w:eastAsia="Calibri" w:hAnsi="Calibri"/>
                <w:sz w:val="20"/>
                <w:szCs w:val="20"/>
              </w:rPr>
            </w:pPr>
          </w:p>
        </w:tc>
      </w:tr>
      <w:tr w:rsidR="00AD2816" w:rsidRPr="00AD2816" w:rsidTr="00AD2816">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rPr>
                <w:sz w:val="22"/>
                <w:szCs w:val="22"/>
              </w:rPr>
            </w:pPr>
            <w:r w:rsidRPr="00AD2816">
              <w:rPr>
                <w:sz w:val="22"/>
                <w:szCs w:val="22"/>
              </w:rPr>
              <w:t>6. Detalizēts ieņēmumu un izdevu</w:t>
            </w:r>
            <w:r w:rsidRPr="00AD2816">
              <w:rPr>
                <w:sz w:val="22"/>
                <w:szCs w:val="22"/>
              </w:rPr>
              <w:softHyphen/>
              <w:t>mu aprēķins (ja nepieciešams, detalizētu ieņēmumu un izdevumu aprēķinu var pievienot anotācijas pielikumā):</w:t>
            </w:r>
          </w:p>
        </w:tc>
        <w:tc>
          <w:tcPr>
            <w:tcW w:w="6687" w:type="dxa"/>
            <w:gridSpan w:val="5"/>
            <w:tcBorders>
              <w:top w:val="single" w:sz="4" w:space="0" w:color="auto"/>
              <w:left w:val="single" w:sz="4" w:space="0" w:color="auto"/>
              <w:bottom w:val="single" w:sz="4" w:space="0" w:color="auto"/>
              <w:right w:val="single" w:sz="4" w:space="0" w:color="auto"/>
            </w:tcBorders>
            <w:vAlign w:val="center"/>
            <w:hideMark/>
          </w:tcPr>
          <w:p w:rsidR="00AD2816" w:rsidRPr="00AD2816" w:rsidRDefault="00AD2816" w:rsidP="00AD2816">
            <w:pPr>
              <w:spacing w:before="100" w:beforeAutospacing="1" w:after="100" w:afterAutospacing="1"/>
              <w:ind w:firstLine="93"/>
              <w:rPr>
                <w:lang w:eastAsia="en-US"/>
              </w:rPr>
            </w:pPr>
            <w:r w:rsidRPr="00AD2816">
              <w:rPr>
                <w:lang w:eastAsia="en-US"/>
              </w:rPr>
              <w:t>Nav.</w:t>
            </w:r>
          </w:p>
        </w:tc>
      </w:tr>
      <w:tr w:rsidR="00AD2816" w:rsidRPr="00AD2816" w:rsidTr="00AD2816">
        <w:trPr>
          <w:trHeight w:val="575"/>
        </w:trPr>
        <w:tc>
          <w:tcPr>
            <w:tcW w:w="2669" w:type="dxa"/>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pPr>
            <w:r w:rsidRPr="00AD2816">
              <w:t>7. Cita informācija</w:t>
            </w:r>
          </w:p>
        </w:tc>
        <w:tc>
          <w:tcPr>
            <w:tcW w:w="6687" w:type="dxa"/>
            <w:gridSpan w:val="5"/>
            <w:tcBorders>
              <w:top w:val="single" w:sz="4" w:space="0" w:color="auto"/>
              <w:left w:val="single" w:sz="4" w:space="0" w:color="auto"/>
              <w:bottom w:val="single" w:sz="4" w:space="0" w:color="auto"/>
              <w:right w:val="single" w:sz="4" w:space="0" w:color="auto"/>
            </w:tcBorders>
            <w:hideMark/>
          </w:tcPr>
          <w:p w:rsidR="00AD2816" w:rsidRPr="00AD2816" w:rsidRDefault="00AD2816" w:rsidP="00AD2816">
            <w:pPr>
              <w:jc w:val="both"/>
            </w:pPr>
            <w:r w:rsidRPr="002A0DEC">
              <w:rPr>
                <w:rFonts w:eastAsia="Calibri"/>
                <w:color w:val="000000"/>
                <w:lang w:eastAsia="en-US"/>
              </w:rPr>
              <w:t>Projekts nerada ietekmi uz valsts budžetu, jo grozāmais normatīvais akts neparedz ieņēmumus valsts vai pašvaldības budžetā, kā arī izmaksas no valsts vai pašvaldības budžeta.</w:t>
            </w:r>
          </w:p>
        </w:tc>
      </w:tr>
    </w:tbl>
    <w:p w:rsidR="00AD2816" w:rsidRDefault="00AD2816" w:rsidP="00E23C0A">
      <w:pPr>
        <w:pStyle w:val="naisf"/>
        <w:spacing w:before="0" w:after="0"/>
        <w:jc w:val="left"/>
        <w:rPr>
          <w:i/>
          <w:iCs/>
        </w:rPr>
      </w:pPr>
    </w:p>
    <w:p w:rsidR="00E23C0A" w:rsidRDefault="00E23C0A" w:rsidP="00E23C0A">
      <w:pPr>
        <w:pStyle w:val="naisf"/>
        <w:spacing w:before="0" w:after="0"/>
        <w:jc w:val="left"/>
        <w:rPr>
          <w:sz w:val="28"/>
          <w:szCs w:val="28"/>
        </w:rPr>
      </w:pPr>
      <w:r>
        <w:rPr>
          <w:i/>
          <w:iCs/>
        </w:rPr>
        <w:t>Anotācijas II, IV, V, VI un VII sadaļa – projekts šīs jomas neskar.</w:t>
      </w:r>
    </w:p>
    <w:p w:rsidR="00DF72D5" w:rsidRDefault="00DF72D5" w:rsidP="00DF72D5">
      <w:pPr>
        <w:rPr>
          <w:sz w:val="28"/>
          <w:szCs w:val="28"/>
        </w:rPr>
      </w:pPr>
      <w:bookmarkStart w:id="0" w:name="OLE_LINK1"/>
    </w:p>
    <w:p w:rsidR="00DF72D5" w:rsidRPr="0034636E" w:rsidRDefault="00DF72D5" w:rsidP="00DF72D5">
      <w:pPr>
        <w:rPr>
          <w:sz w:val="28"/>
          <w:szCs w:val="28"/>
        </w:rPr>
      </w:pPr>
    </w:p>
    <w:p w:rsidR="001B3534" w:rsidRPr="004556BC" w:rsidRDefault="00DF72D5" w:rsidP="00245D6C">
      <w:pPr>
        <w:jc w:val="both"/>
        <w:rPr>
          <w:sz w:val="28"/>
          <w:szCs w:val="28"/>
          <w:lang w:eastAsia="en-US"/>
        </w:rPr>
      </w:pPr>
      <w:r w:rsidRPr="0034636E">
        <w:rPr>
          <w:sz w:val="28"/>
          <w:szCs w:val="28"/>
          <w:lang w:eastAsia="en-US"/>
        </w:rPr>
        <w:t>Tieslietu ministrs</w:t>
      </w:r>
      <w:r w:rsidRPr="0034636E">
        <w:rPr>
          <w:sz w:val="28"/>
          <w:szCs w:val="28"/>
          <w:lang w:eastAsia="en-US"/>
        </w:rPr>
        <w:tab/>
      </w:r>
      <w:r w:rsidRPr="0034636E">
        <w:rPr>
          <w:sz w:val="28"/>
          <w:szCs w:val="28"/>
          <w:lang w:eastAsia="en-US"/>
        </w:rPr>
        <w:tab/>
      </w:r>
      <w:r w:rsidRPr="0034636E">
        <w:rPr>
          <w:sz w:val="28"/>
          <w:szCs w:val="28"/>
          <w:lang w:eastAsia="en-US"/>
        </w:rPr>
        <w:tab/>
      </w:r>
      <w:r w:rsidRPr="0034636E">
        <w:rPr>
          <w:sz w:val="28"/>
          <w:szCs w:val="28"/>
          <w:lang w:eastAsia="en-US"/>
        </w:rPr>
        <w:tab/>
      </w:r>
      <w:r w:rsidRPr="0034636E">
        <w:rPr>
          <w:sz w:val="28"/>
          <w:szCs w:val="28"/>
          <w:lang w:eastAsia="en-US"/>
        </w:rPr>
        <w:tab/>
      </w:r>
      <w:r w:rsidRPr="0034636E">
        <w:rPr>
          <w:sz w:val="28"/>
          <w:szCs w:val="28"/>
          <w:lang w:eastAsia="en-US"/>
        </w:rPr>
        <w:tab/>
      </w:r>
      <w:r w:rsidRPr="0034636E">
        <w:rPr>
          <w:sz w:val="28"/>
          <w:szCs w:val="28"/>
          <w:lang w:eastAsia="en-US"/>
        </w:rPr>
        <w:tab/>
        <w:t>J.Bordāns</w:t>
      </w:r>
    </w:p>
    <w:p w:rsidR="00DF72D5" w:rsidRPr="0034636E" w:rsidRDefault="00DF72D5" w:rsidP="00DF72D5">
      <w:pPr>
        <w:jc w:val="both"/>
        <w:rPr>
          <w:sz w:val="28"/>
          <w:szCs w:val="28"/>
          <w:lang w:eastAsia="en-US"/>
        </w:rPr>
      </w:pPr>
    </w:p>
    <w:p w:rsidR="00DF72D5" w:rsidRPr="0034636E" w:rsidRDefault="00DF72D5" w:rsidP="00DF72D5">
      <w:pPr>
        <w:jc w:val="both"/>
        <w:rPr>
          <w:sz w:val="28"/>
          <w:szCs w:val="28"/>
          <w:lang w:eastAsia="en-US"/>
        </w:rPr>
      </w:pPr>
    </w:p>
    <w:p w:rsidR="00DF72D5" w:rsidRPr="0034636E" w:rsidRDefault="00245D6C" w:rsidP="00DF72D5">
      <w:pPr>
        <w:rPr>
          <w:sz w:val="22"/>
          <w:szCs w:val="22"/>
        </w:rPr>
      </w:pPr>
      <w:r>
        <w:rPr>
          <w:sz w:val="22"/>
          <w:szCs w:val="22"/>
        </w:rPr>
        <w:t>01</w:t>
      </w:r>
      <w:r w:rsidR="00DF72D5" w:rsidRPr="0034636E">
        <w:rPr>
          <w:sz w:val="22"/>
          <w:szCs w:val="22"/>
        </w:rPr>
        <w:t>.0</w:t>
      </w:r>
      <w:r>
        <w:rPr>
          <w:sz w:val="22"/>
          <w:szCs w:val="22"/>
        </w:rPr>
        <w:t>8</w:t>
      </w:r>
      <w:r w:rsidR="00DF72D5" w:rsidRPr="0034636E">
        <w:rPr>
          <w:sz w:val="22"/>
          <w:szCs w:val="22"/>
        </w:rPr>
        <w:t>.2013. 1</w:t>
      </w:r>
      <w:r>
        <w:rPr>
          <w:sz w:val="22"/>
          <w:szCs w:val="22"/>
        </w:rPr>
        <w:t>5</w:t>
      </w:r>
      <w:r w:rsidR="00DF72D5" w:rsidRPr="0034636E">
        <w:rPr>
          <w:sz w:val="22"/>
          <w:szCs w:val="22"/>
        </w:rPr>
        <w:t>:</w:t>
      </w:r>
      <w:r>
        <w:rPr>
          <w:sz w:val="22"/>
          <w:szCs w:val="22"/>
        </w:rPr>
        <w:t>37</w:t>
      </w:r>
    </w:p>
    <w:p w:rsidR="00DF72D5" w:rsidRPr="0034636E" w:rsidRDefault="00BB1C75" w:rsidP="00DF72D5">
      <w:pPr>
        <w:rPr>
          <w:sz w:val="22"/>
          <w:szCs w:val="22"/>
        </w:rPr>
      </w:pPr>
      <w:r>
        <w:rPr>
          <w:sz w:val="22"/>
          <w:szCs w:val="22"/>
        </w:rPr>
        <w:t>5</w:t>
      </w:r>
      <w:bookmarkStart w:id="1" w:name="_GoBack"/>
      <w:bookmarkEnd w:id="1"/>
      <w:r>
        <w:rPr>
          <w:sz w:val="22"/>
          <w:szCs w:val="22"/>
        </w:rPr>
        <w:t>88</w:t>
      </w:r>
    </w:p>
    <w:p w:rsidR="00DF72D5" w:rsidRPr="0034636E" w:rsidRDefault="00DF72D5" w:rsidP="00DF72D5">
      <w:pPr>
        <w:rPr>
          <w:sz w:val="22"/>
          <w:szCs w:val="22"/>
        </w:rPr>
      </w:pPr>
      <w:r w:rsidRPr="0034636E">
        <w:rPr>
          <w:sz w:val="22"/>
          <w:szCs w:val="22"/>
        </w:rPr>
        <w:t>K.Tralmaks</w:t>
      </w:r>
    </w:p>
    <w:p w:rsidR="00895CA6" w:rsidRDefault="00DF72D5" w:rsidP="00DF72D5">
      <w:pPr>
        <w:rPr>
          <w:sz w:val="28"/>
          <w:szCs w:val="28"/>
        </w:rPr>
      </w:pPr>
      <w:r w:rsidRPr="0034636E">
        <w:rPr>
          <w:sz w:val="22"/>
          <w:szCs w:val="22"/>
        </w:rPr>
        <w:t>67038604, kristaps.tralmaks@vzd.gov.lv</w:t>
      </w:r>
    </w:p>
    <w:bookmarkEnd w:id="0"/>
    <w:p w:rsidR="0015060C" w:rsidRPr="006A2B2A" w:rsidRDefault="0015060C" w:rsidP="00895CA6">
      <w:pPr>
        <w:jc w:val="both"/>
        <w:rPr>
          <w:sz w:val="22"/>
          <w:szCs w:val="22"/>
        </w:rPr>
      </w:pPr>
    </w:p>
    <w:sectPr w:rsidR="0015060C" w:rsidRPr="006A2B2A" w:rsidSect="002A0DE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4E" w:rsidRDefault="0055064E">
      <w:r>
        <w:separator/>
      </w:r>
    </w:p>
  </w:endnote>
  <w:endnote w:type="continuationSeparator" w:id="0">
    <w:p w:rsidR="0055064E" w:rsidRDefault="0055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A7" w:rsidRPr="00DF72D5" w:rsidRDefault="00DF72D5" w:rsidP="00DF72D5">
    <w:pPr>
      <w:tabs>
        <w:tab w:val="center" w:pos="4153"/>
        <w:tab w:val="right" w:pos="8306"/>
      </w:tabs>
      <w:jc w:val="both"/>
    </w:pPr>
    <w:r w:rsidRPr="00AB11E2">
      <w:rPr>
        <w:sz w:val="22"/>
        <w:szCs w:val="22"/>
      </w:rPr>
      <w:t>TMAnot_</w:t>
    </w:r>
    <w:r w:rsidR="00245D6C">
      <w:rPr>
        <w:sz w:val="22"/>
        <w:szCs w:val="22"/>
      </w:rPr>
      <w:t>0108</w:t>
    </w:r>
    <w:r w:rsidR="001B3534" w:rsidRPr="001B3534">
      <w:rPr>
        <w:sz w:val="22"/>
        <w:szCs w:val="22"/>
      </w:rPr>
      <w:t>13</w:t>
    </w:r>
    <w:r w:rsidRPr="00AB11E2">
      <w:rPr>
        <w:sz w:val="22"/>
        <w:szCs w:val="22"/>
      </w:rPr>
      <w:t>_eu_lzkf; Ministru kabineta noteikumu projekta „Grozījumi Ministru kabineta 2008.gada 19.maija noteikumos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A7" w:rsidRPr="002426F1" w:rsidRDefault="002426F1" w:rsidP="00AB11E2">
    <w:pPr>
      <w:tabs>
        <w:tab w:val="center" w:pos="4153"/>
        <w:tab w:val="right" w:pos="8306"/>
      </w:tabs>
      <w:jc w:val="both"/>
    </w:pPr>
    <w:r w:rsidRPr="00AB11E2">
      <w:rPr>
        <w:sz w:val="22"/>
        <w:szCs w:val="22"/>
      </w:rPr>
      <w:t>TMAnot_</w:t>
    </w:r>
    <w:r w:rsidR="00245D6C">
      <w:rPr>
        <w:sz w:val="22"/>
        <w:szCs w:val="22"/>
      </w:rPr>
      <w:t>0108</w:t>
    </w:r>
    <w:r w:rsidR="001B3534" w:rsidRPr="001B3534">
      <w:rPr>
        <w:sz w:val="22"/>
        <w:szCs w:val="22"/>
      </w:rPr>
      <w:t>13</w:t>
    </w:r>
    <w:r w:rsidRPr="00AB11E2">
      <w:rPr>
        <w:sz w:val="22"/>
        <w:szCs w:val="22"/>
      </w:rPr>
      <w:t>_</w:t>
    </w:r>
    <w:r w:rsidR="00AB11E2" w:rsidRPr="00AB11E2">
      <w:rPr>
        <w:sz w:val="22"/>
        <w:szCs w:val="22"/>
      </w:rPr>
      <w:t>eu_lzkf</w:t>
    </w:r>
    <w:r w:rsidRPr="00AB11E2">
      <w:rPr>
        <w:sz w:val="22"/>
        <w:szCs w:val="22"/>
      </w:rPr>
      <w:t xml:space="preserve">; </w:t>
    </w:r>
    <w:r w:rsidR="00AB11E2" w:rsidRPr="00AB11E2">
      <w:rPr>
        <w:sz w:val="22"/>
        <w:szCs w:val="22"/>
      </w:rPr>
      <w:t>Ministru kabineta noteikumu projekta „Grozījumi Ministru kabineta 2008.gada 19.maija noteikumos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4E" w:rsidRDefault="0055064E">
      <w:r>
        <w:separator/>
      </w:r>
    </w:p>
  </w:footnote>
  <w:footnote w:type="continuationSeparator" w:id="0">
    <w:p w:rsidR="0055064E" w:rsidRDefault="0055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A7" w:rsidRDefault="00133D2E" w:rsidP="003C449B">
    <w:pPr>
      <w:pStyle w:val="Header"/>
      <w:framePr w:wrap="around" w:vAnchor="text" w:hAnchor="margin" w:xAlign="center" w:y="1"/>
      <w:rPr>
        <w:rStyle w:val="PageNumber"/>
      </w:rPr>
    </w:pPr>
    <w:r>
      <w:rPr>
        <w:rStyle w:val="PageNumber"/>
      </w:rPr>
      <w:fldChar w:fldCharType="begin"/>
    </w:r>
    <w:r w:rsidR="00275FA7">
      <w:rPr>
        <w:rStyle w:val="PageNumber"/>
      </w:rPr>
      <w:instrText xml:space="preserve">PAGE  </w:instrText>
    </w:r>
    <w:r>
      <w:rPr>
        <w:rStyle w:val="PageNumber"/>
      </w:rPr>
      <w:fldChar w:fldCharType="end"/>
    </w:r>
  </w:p>
  <w:p w:rsidR="00275FA7" w:rsidRDefault="0027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A7" w:rsidRDefault="00133D2E" w:rsidP="003C449B">
    <w:pPr>
      <w:pStyle w:val="Header"/>
      <w:framePr w:wrap="around" w:vAnchor="text" w:hAnchor="margin" w:xAlign="center" w:y="1"/>
      <w:rPr>
        <w:rStyle w:val="PageNumber"/>
      </w:rPr>
    </w:pPr>
    <w:r>
      <w:rPr>
        <w:rStyle w:val="PageNumber"/>
      </w:rPr>
      <w:fldChar w:fldCharType="begin"/>
    </w:r>
    <w:r w:rsidR="00275FA7">
      <w:rPr>
        <w:rStyle w:val="PageNumber"/>
      </w:rPr>
      <w:instrText xml:space="preserve">PAGE  </w:instrText>
    </w:r>
    <w:r>
      <w:rPr>
        <w:rStyle w:val="PageNumber"/>
      </w:rPr>
      <w:fldChar w:fldCharType="separate"/>
    </w:r>
    <w:r w:rsidR="00BB1C75">
      <w:rPr>
        <w:rStyle w:val="PageNumber"/>
        <w:noProof/>
      </w:rPr>
      <w:t>3</w:t>
    </w:r>
    <w:r>
      <w:rPr>
        <w:rStyle w:val="PageNumber"/>
      </w:rPr>
      <w:fldChar w:fldCharType="end"/>
    </w:r>
  </w:p>
  <w:p w:rsidR="00275FA7" w:rsidRDefault="0027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5649"/>
    <w:rsid w:val="00011D24"/>
    <w:rsid w:val="00013FF4"/>
    <w:rsid w:val="00020FE1"/>
    <w:rsid w:val="00022E13"/>
    <w:rsid w:val="00032388"/>
    <w:rsid w:val="00035CE2"/>
    <w:rsid w:val="0005553B"/>
    <w:rsid w:val="000604D2"/>
    <w:rsid w:val="0009005E"/>
    <w:rsid w:val="000941C5"/>
    <w:rsid w:val="000A6451"/>
    <w:rsid w:val="000B064E"/>
    <w:rsid w:val="000B69CF"/>
    <w:rsid w:val="000C790C"/>
    <w:rsid w:val="000D2B21"/>
    <w:rsid w:val="000F061D"/>
    <w:rsid w:val="000F4794"/>
    <w:rsid w:val="00124F12"/>
    <w:rsid w:val="00133D2E"/>
    <w:rsid w:val="00144E3A"/>
    <w:rsid w:val="0015060C"/>
    <w:rsid w:val="0016018A"/>
    <w:rsid w:val="00161F0E"/>
    <w:rsid w:val="00163F71"/>
    <w:rsid w:val="00165282"/>
    <w:rsid w:val="00170E2A"/>
    <w:rsid w:val="00177394"/>
    <w:rsid w:val="00182C18"/>
    <w:rsid w:val="00183CC2"/>
    <w:rsid w:val="001900E4"/>
    <w:rsid w:val="00190F88"/>
    <w:rsid w:val="001A09D8"/>
    <w:rsid w:val="001A4066"/>
    <w:rsid w:val="001A6AE4"/>
    <w:rsid w:val="001B01FD"/>
    <w:rsid w:val="001B3534"/>
    <w:rsid w:val="001B4A71"/>
    <w:rsid w:val="001C332E"/>
    <w:rsid w:val="001D12E0"/>
    <w:rsid w:val="001D5B54"/>
    <w:rsid w:val="001D5C17"/>
    <w:rsid w:val="001E13B0"/>
    <w:rsid w:val="001E1DBF"/>
    <w:rsid w:val="001E4639"/>
    <w:rsid w:val="001E4A7D"/>
    <w:rsid w:val="001F3A86"/>
    <w:rsid w:val="001F4209"/>
    <w:rsid w:val="001F43A8"/>
    <w:rsid w:val="001F5CD6"/>
    <w:rsid w:val="0021263D"/>
    <w:rsid w:val="00213F0C"/>
    <w:rsid w:val="00214094"/>
    <w:rsid w:val="0021592D"/>
    <w:rsid w:val="00222D76"/>
    <w:rsid w:val="00223EB1"/>
    <w:rsid w:val="00231344"/>
    <w:rsid w:val="0023436E"/>
    <w:rsid w:val="002347C0"/>
    <w:rsid w:val="00241A6C"/>
    <w:rsid w:val="002426F1"/>
    <w:rsid w:val="00242D2B"/>
    <w:rsid w:val="00245D6C"/>
    <w:rsid w:val="00262E2B"/>
    <w:rsid w:val="00270429"/>
    <w:rsid w:val="002723E9"/>
    <w:rsid w:val="00275FA7"/>
    <w:rsid w:val="00277929"/>
    <w:rsid w:val="00283B82"/>
    <w:rsid w:val="002846E9"/>
    <w:rsid w:val="00284C34"/>
    <w:rsid w:val="0029066C"/>
    <w:rsid w:val="002A0DEC"/>
    <w:rsid w:val="002B50DB"/>
    <w:rsid w:val="002C03D9"/>
    <w:rsid w:val="002C062C"/>
    <w:rsid w:val="002C12AB"/>
    <w:rsid w:val="002C7CAC"/>
    <w:rsid w:val="002D3306"/>
    <w:rsid w:val="002D48AA"/>
    <w:rsid w:val="002D7BAA"/>
    <w:rsid w:val="002D7F54"/>
    <w:rsid w:val="002E3FF4"/>
    <w:rsid w:val="002F78C8"/>
    <w:rsid w:val="00301CF3"/>
    <w:rsid w:val="003210A1"/>
    <w:rsid w:val="0032715C"/>
    <w:rsid w:val="00337CA5"/>
    <w:rsid w:val="00362478"/>
    <w:rsid w:val="00365FF8"/>
    <w:rsid w:val="00375B25"/>
    <w:rsid w:val="0038132C"/>
    <w:rsid w:val="00391689"/>
    <w:rsid w:val="00396542"/>
    <w:rsid w:val="0039685B"/>
    <w:rsid w:val="003A31A6"/>
    <w:rsid w:val="003A7F0C"/>
    <w:rsid w:val="003A7F79"/>
    <w:rsid w:val="003B6404"/>
    <w:rsid w:val="003C449B"/>
    <w:rsid w:val="003D21FF"/>
    <w:rsid w:val="003D44A7"/>
    <w:rsid w:val="003F0112"/>
    <w:rsid w:val="003F071A"/>
    <w:rsid w:val="003F160B"/>
    <w:rsid w:val="00400032"/>
    <w:rsid w:val="00400B5B"/>
    <w:rsid w:val="00405A00"/>
    <w:rsid w:val="00420870"/>
    <w:rsid w:val="00432D0C"/>
    <w:rsid w:val="0043791B"/>
    <w:rsid w:val="00441483"/>
    <w:rsid w:val="00441BCB"/>
    <w:rsid w:val="0045176A"/>
    <w:rsid w:val="00456332"/>
    <w:rsid w:val="00461826"/>
    <w:rsid w:val="004800F9"/>
    <w:rsid w:val="0049134A"/>
    <w:rsid w:val="004A41B6"/>
    <w:rsid w:val="004A58CB"/>
    <w:rsid w:val="004B017C"/>
    <w:rsid w:val="004B1795"/>
    <w:rsid w:val="004B56DD"/>
    <w:rsid w:val="004C020F"/>
    <w:rsid w:val="004C1AFD"/>
    <w:rsid w:val="004C558B"/>
    <w:rsid w:val="004F1F88"/>
    <w:rsid w:val="004F5F1B"/>
    <w:rsid w:val="00502374"/>
    <w:rsid w:val="005060A1"/>
    <w:rsid w:val="00516072"/>
    <w:rsid w:val="005254C3"/>
    <w:rsid w:val="005332EC"/>
    <w:rsid w:val="00534418"/>
    <w:rsid w:val="005353AB"/>
    <w:rsid w:val="0055064E"/>
    <w:rsid w:val="005560BC"/>
    <w:rsid w:val="005573BE"/>
    <w:rsid w:val="00572700"/>
    <w:rsid w:val="00580468"/>
    <w:rsid w:val="00582231"/>
    <w:rsid w:val="0058603B"/>
    <w:rsid w:val="0059431B"/>
    <w:rsid w:val="005A39CC"/>
    <w:rsid w:val="005B4730"/>
    <w:rsid w:val="005E05D7"/>
    <w:rsid w:val="005E41E7"/>
    <w:rsid w:val="005E450F"/>
    <w:rsid w:val="0062298A"/>
    <w:rsid w:val="00626514"/>
    <w:rsid w:val="00626589"/>
    <w:rsid w:val="006339A0"/>
    <w:rsid w:val="006413A8"/>
    <w:rsid w:val="006424E0"/>
    <w:rsid w:val="00642E56"/>
    <w:rsid w:val="00651E00"/>
    <w:rsid w:val="00674572"/>
    <w:rsid w:val="00687763"/>
    <w:rsid w:val="00692B0D"/>
    <w:rsid w:val="00693E0E"/>
    <w:rsid w:val="006A1AE3"/>
    <w:rsid w:val="006A2B2A"/>
    <w:rsid w:val="006C30E1"/>
    <w:rsid w:val="006C4607"/>
    <w:rsid w:val="006D48F1"/>
    <w:rsid w:val="006F45BE"/>
    <w:rsid w:val="007004FC"/>
    <w:rsid w:val="00706670"/>
    <w:rsid w:val="00711F59"/>
    <w:rsid w:val="0072417C"/>
    <w:rsid w:val="00734450"/>
    <w:rsid w:val="00745F67"/>
    <w:rsid w:val="0075039E"/>
    <w:rsid w:val="00752D9D"/>
    <w:rsid w:val="00754784"/>
    <w:rsid w:val="00757C6E"/>
    <w:rsid w:val="00762BDA"/>
    <w:rsid w:val="007805FD"/>
    <w:rsid w:val="00784422"/>
    <w:rsid w:val="007B3B54"/>
    <w:rsid w:val="007B3FA0"/>
    <w:rsid w:val="007C0F2C"/>
    <w:rsid w:val="007C2BCC"/>
    <w:rsid w:val="007C4EF0"/>
    <w:rsid w:val="007D099D"/>
    <w:rsid w:val="007E2664"/>
    <w:rsid w:val="007E3ABF"/>
    <w:rsid w:val="007E5BFA"/>
    <w:rsid w:val="007E6689"/>
    <w:rsid w:val="007E731C"/>
    <w:rsid w:val="007F0A03"/>
    <w:rsid w:val="007F5415"/>
    <w:rsid w:val="008019BF"/>
    <w:rsid w:val="00810040"/>
    <w:rsid w:val="0082023A"/>
    <w:rsid w:val="00821A7A"/>
    <w:rsid w:val="008253F8"/>
    <w:rsid w:val="008325E4"/>
    <w:rsid w:val="00832A2B"/>
    <w:rsid w:val="00845811"/>
    <w:rsid w:val="00846994"/>
    <w:rsid w:val="00850451"/>
    <w:rsid w:val="00852042"/>
    <w:rsid w:val="008534C9"/>
    <w:rsid w:val="0085599D"/>
    <w:rsid w:val="0087510C"/>
    <w:rsid w:val="00895CA6"/>
    <w:rsid w:val="008968D2"/>
    <w:rsid w:val="0089738E"/>
    <w:rsid w:val="008B5FDB"/>
    <w:rsid w:val="008C2482"/>
    <w:rsid w:val="008C50F4"/>
    <w:rsid w:val="008C5649"/>
    <w:rsid w:val="008E44A2"/>
    <w:rsid w:val="008E697D"/>
    <w:rsid w:val="00902A2B"/>
    <w:rsid w:val="00903263"/>
    <w:rsid w:val="00906A21"/>
    <w:rsid w:val="009079C3"/>
    <w:rsid w:val="00910462"/>
    <w:rsid w:val="00915AB1"/>
    <w:rsid w:val="00917532"/>
    <w:rsid w:val="009235BA"/>
    <w:rsid w:val="00924023"/>
    <w:rsid w:val="00924CE2"/>
    <w:rsid w:val="00925B9F"/>
    <w:rsid w:val="00931AED"/>
    <w:rsid w:val="009476A3"/>
    <w:rsid w:val="0095334F"/>
    <w:rsid w:val="00965897"/>
    <w:rsid w:val="0096765C"/>
    <w:rsid w:val="009727E4"/>
    <w:rsid w:val="009934C5"/>
    <w:rsid w:val="00994C0F"/>
    <w:rsid w:val="009B22D7"/>
    <w:rsid w:val="009B72ED"/>
    <w:rsid w:val="009C6DEB"/>
    <w:rsid w:val="009D6504"/>
    <w:rsid w:val="009E12D7"/>
    <w:rsid w:val="009E661A"/>
    <w:rsid w:val="00A04237"/>
    <w:rsid w:val="00A06781"/>
    <w:rsid w:val="00A074C3"/>
    <w:rsid w:val="00A1509C"/>
    <w:rsid w:val="00A249B9"/>
    <w:rsid w:val="00A34260"/>
    <w:rsid w:val="00A501A3"/>
    <w:rsid w:val="00A65FEE"/>
    <w:rsid w:val="00A70CFD"/>
    <w:rsid w:val="00A72A0B"/>
    <w:rsid w:val="00A81E42"/>
    <w:rsid w:val="00A864FE"/>
    <w:rsid w:val="00A86F41"/>
    <w:rsid w:val="00A87D04"/>
    <w:rsid w:val="00A950C5"/>
    <w:rsid w:val="00AA1D25"/>
    <w:rsid w:val="00AB11E2"/>
    <w:rsid w:val="00AB2B1A"/>
    <w:rsid w:val="00AB397F"/>
    <w:rsid w:val="00AB5832"/>
    <w:rsid w:val="00AC51F2"/>
    <w:rsid w:val="00AD2816"/>
    <w:rsid w:val="00AD3269"/>
    <w:rsid w:val="00AE5066"/>
    <w:rsid w:val="00AE5E24"/>
    <w:rsid w:val="00AE61B7"/>
    <w:rsid w:val="00AE6CBA"/>
    <w:rsid w:val="00AE79AD"/>
    <w:rsid w:val="00AF35E4"/>
    <w:rsid w:val="00AF5CDE"/>
    <w:rsid w:val="00B11A57"/>
    <w:rsid w:val="00B211C3"/>
    <w:rsid w:val="00B25597"/>
    <w:rsid w:val="00B267B9"/>
    <w:rsid w:val="00B33E09"/>
    <w:rsid w:val="00B50708"/>
    <w:rsid w:val="00B50C68"/>
    <w:rsid w:val="00B51293"/>
    <w:rsid w:val="00B52B1E"/>
    <w:rsid w:val="00B55481"/>
    <w:rsid w:val="00B56C32"/>
    <w:rsid w:val="00B57ACF"/>
    <w:rsid w:val="00B64BB1"/>
    <w:rsid w:val="00B73166"/>
    <w:rsid w:val="00B8426C"/>
    <w:rsid w:val="00B91B8D"/>
    <w:rsid w:val="00B92318"/>
    <w:rsid w:val="00B94E90"/>
    <w:rsid w:val="00BB0A82"/>
    <w:rsid w:val="00BB1C75"/>
    <w:rsid w:val="00BB7C94"/>
    <w:rsid w:val="00BC0A9D"/>
    <w:rsid w:val="00BF40ED"/>
    <w:rsid w:val="00BF5BC2"/>
    <w:rsid w:val="00C1133D"/>
    <w:rsid w:val="00C27A08"/>
    <w:rsid w:val="00C31312"/>
    <w:rsid w:val="00C31E36"/>
    <w:rsid w:val="00C326C6"/>
    <w:rsid w:val="00C35295"/>
    <w:rsid w:val="00C36ADD"/>
    <w:rsid w:val="00C36E74"/>
    <w:rsid w:val="00C40595"/>
    <w:rsid w:val="00C41621"/>
    <w:rsid w:val="00C449FA"/>
    <w:rsid w:val="00C5384F"/>
    <w:rsid w:val="00C56964"/>
    <w:rsid w:val="00C656D5"/>
    <w:rsid w:val="00C67103"/>
    <w:rsid w:val="00C71BB9"/>
    <w:rsid w:val="00C94C28"/>
    <w:rsid w:val="00CB0247"/>
    <w:rsid w:val="00CB3440"/>
    <w:rsid w:val="00CB7FF9"/>
    <w:rsid w:val="00CC1692"/>
    <w:rsid w:val="00CD138B"/>
    <w:rsid w:val="00CD3E31"/>
    <w:rsid w:val="00CD74A3"/>
    <w:rsid w:val="00CE0527"/>
    <w:rsid w:val="00CE5B23"/>
    <w:rsid w:val="00CF70AD"/>
    <w:rsid w:val="00CF7729"/>
    <w:rsid w:val="00D00059"/>
    <w:rsid w:val="00D107FA"/>
    <w:rsid w:val="00D12275"/>
    <w:rsid w:val="00D12766"/>
    <w:rsid w:val="00D20FF4"/>
    <w:rsid w:val="00D21C5A"/>
    <w:rsid w:val="00D24D2C"/>
    <w:rsid w:val="00D35881"/>
    <w:rsid w:val="00DA7DA5"/>
    <w:rsid w:val="00DB073B"/>
    <w:rsid w:val="00DB78F0"/>
    <w:rsid w:val="00DC0CEA"/>
    <w:rsid w:val="00DC104C"/>
    <w:rsid w:val="00DC2E43"/>
    <w:rsid w:val="00DD095C"/>
    <w:rsid w:val="00DD1020"/>
    <w:rsid w:val="00DD1330"/>
    <w:rsid w:val="00DE0B83"/>
    <w:rsid w:val="00DE1A81"/>
    <w:rsid w:val="00DE1C13"/>
    <w:rsid w:val="00DE4E10"/>
    <w:rsid w:val="00DF72D5"/>
    <w:rsid w:val="00E02ABF"/>
    <w:rsid w:val="00E14995"/>
    <w:rsid w:val="00E179CD"/>
    <w:rsid w:val="00E23C0A"/>
    <w:rsid w:val="00E23E8D"/>
    <w:rsid w:val="00E37F98"/>
    <w:rsid w:val="00E46559"/>
    <w:rsid w:val="00E6670C"/>
    <w:rsid w:val="00E776E8"/>
    <w:rsid w:val="00E92C1F"/>
    <w:rsid w:val="00E95D4B"/>
    <w:rsid w:val="00EB199F"/>
    <w:rsid w:val="00EC23F7"/>
    <w:rsid w:val="00EC4BD8"/>
    <w:rsid w:val="00EC63EB"/>
    <w:rsid w:val="00ED412F"/>
    <w:rsid w:val="00EF36B2"/>
    <w:rsid w:val="00EF51EF"/>
    <w:rsid w:val="00F1246B"/>
    <w:rsid w:val="00F201EC"/>
    <w:rsid w:val="00F208A9"/>
    <w:rsid w:val="00F41D75"/>
    <w:rsid w:val="00F5139D"/>
    <w:rsid w:val="00F63DAC"/>
    <w:rsid w:val="00F7454F"/>
    <w:rsid w:val="00F77988"/>
    <w:rsid w:val="00F77F48"/>
    <w:rsid w:val="00FA4136"/>
    <w:rsid w:val="00FB30F1"/>
    <w:rsid w:val="00FB53E7"/>
    <w:rsid w:val="00FD2A8A"/>
    <w:rsid w:val="00FD3DF3"/>
    <w:rsid w:val="00FE566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Parastais">
    <w:name w:val="Parastais"/>
    <w:qFormat/>
    <w:rsid w:val="00895CA6"/>
    <w:rPr>
      <w:sz w:val="24"/>
      <w:szCs w:val="24"/>
    </w:rPr>
  </w:style>
  <w:style w:type="character" w:customStyle="1" w:styleId="FootnoteTextChar">
    <w:name w:val="Footnote Text Char"/>
    <w:link w:val="FootnoteText"/>
    <w:rsid w:val="00FD3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Parastais">
    <w:name w:val="Parastais"/>
    <w:qFormat/>
    <w:rsid w:val="00895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9719">
      <w:bodyDiv w:val="1"/>
      <w:marLeft w:val="0"/>
      <w:marRight w:val="0"/>
      <w:marTop w:val="0"/>
      <w:marBottom w:val="0"/>
      <w:divBdr>
        <w:top w:val="none" w:sz="0" w:space="0" w:color="auto"/>
        <w:left w:val="none" w:sz="0" w:space="0" w:color="auto"/>
        <w:bottom w:val="none" w:sz="0" w:space="0" w:color="auto"/>
        <w:right w:val="none" w:sz="0" w:space="0" w:color="auto"/>
      </w:divBdr>
    </w:div>
    <w:div w:id="597375563">
      <w:bodyDiv w:val="1"/>
      <w:marLeft w:val="0"/>
      <w:marRight w:val="0"/>
      <w:marTop w:val="0"/>
      <w:marBottom w:val="0"/>
      <w:divBdr>
        <w:top w:val="none" w:sz="0" w:space="0" w:color="auto"/>
        <w:left w:val="none" w:sz="0" w:space="0" w:color="auto"/>
        <w:bottom w:val="none" w:sz="0" w:space="0" w:color="auto"/>
        <w:right w:val="none" w:sz="0" w:space="0" w:color="auto"/>
      </w:divBdr>
    </w:div>
    <w:div w:id="17295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588</Words>
  <Characters>3867</Characters>
  <Application>Microsoft Office Word</Application>
  <DocSecurity>0</DocSecurity>
  <Lines>32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2008.gada 19.maija noteikumos Nr.352 „Līdzvērtīgas zemes kompensācijas fonda izveidošanas kārtība, kā arī kārtība, kādā aprēķina bijušā zemes īpašuma vērtību, kāda tā bija 1940.gada 21.jūlijā, un kārtība, kādā tiek piešķirta lī</vt:lpstr>
      <vt:lpstr>Grozījumi Ministru kabineta 2008.gada 19.maija noteikumos Nr.352 „Līdzvērtīgas zemes kompensācijas fonda izveidošanas kārtība, kā arī kārtība, kādā aprēķina bijušā zemes īpašuma vērtību, kāda tā bija 1940.gada 21.jūlijā, un kārtība, kādā tiek piešķirta lī</vt:lpstr>
    </vt:vector>
  </TitlesOfParts>
  <Company>Tieslietu ministrija</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19.maija noteikumos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dc:title>
  <dc:subject>Sākotnējās ietekmes novērtējuma ziņojums (anotācija)</dc:subject>
  <dc:creator>K.Tralmaks</dc:creator>
  <dc:description>K.Tralmaks, 67038604, kristaps.tralmaks@vzd.gov.lv</dc:description>
  <cp:lastModifiedBy>Kristaps Tralmaks</cp:lastModifiedBy>
  <cp:revision>26</cp:revision>
  <cp:lastPrinted>2010-01-04T11:31:00Z</cp:lastPrinted>
  <dcterms:created xsi:type="dcterms:W3CDTF">2012-10-15T14:02:00Z</dcterms:created>
  <dcterms:modified xsi:type="dcterms:W3CDTF">2013-08-06T07:08:00Z</dcterms:modified>
</cp:coreProperties>
</file>