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3A" w:rsidRDefault="00F5413D" w:rsidP="00B6123A">
      <w:pPr>
        <w:jc w:val="center"/>
        <w:rPr>
          <w:b/>
        </w:rPr>
      </w:pPr>
      <w:bookmarkStart w:id="0" w:name="OLE_LINK1"/>
      <w:bookmarkStart w:id="1" w:name="OLE_LINK2"/>
      <w:r w:rsidRPr="00F5413D">
        <w:rPr>
          <w:b/>
          <w:bCs/>
        </w:rPr>
        <w:t>Ministru kabineta noteikumu projekt</w:t>
      </w:r>
      <w:r>
        <w:rPr>
          <w:b/>
          <w:bCs/>
        </w:rPr>
        <w:t>a</w:t>
      </w:r>
      <w:r w:rsidRPr="00F5413D">
        <w:rPr>
          <w:b/>
          <w:bCs/>
        </w:rPr>
        <w:t xml:space="preserve"> „Noteikumi par </w:t>
      </w:r>
      <w:r w:rsidR="000175EC">
        <w:rPr>
          <w:b/>
          <w:bCs/>
        </w:rPr>
        <w:t>zvērinātu notāru atlīdzības taksēm un to noteikšanas kārtību</w:t>
      </w:r>
      <w:r w:rsidRPr="00F5413D">
        <w:rPr>
          <w:b/>
          <w:bCs/>
        </w:rPr>
        <w:t>”</w:t>
      </w:r>
      <w:r w:rsidR="00CC1729" w:rsidRPr="007D058B">
        <w:rPr>
          <w:b/>
        </w:rPr>
        <w:t xml:space="preserve"> </w:t>
      </w:r>
      <w:r w:rsidR="00846547" w:rsidRPr="007D058B">
        <w:rPr>
          <w:b/>
        </w:rPr>
        <w:t>sākotnējās ietekmes novērtējuma ziņojums</w:t>
      </w:r>
      <w:r w:rsidR="001A150A" w:rsidRPr="007D058B">
        <w:rPr>
          <w:b/>
        </w:rPr>
        <w:t xml:space="preserve"> (anotācija)</w:t>
      </w:r>
      <w:r w:rsidR="00DA3005">
        <w:rPr>
          <w:b/>
        </w:rPr>
        <w:t xml:space="preserve"> </w:t>
      </w:r>
    </w:p>
    <w:p w:rsidR="00E14BD4" w:rsidRPr="007D058B" w:rsidRDefault="00E14BD4" w:rsidP="00B6123A">
      <w:pPr>
        <w:jc w:val="center"/>
        <w:rPr>
          <w:b/>
        </w:rPr>
      </w:pP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41"/>
        <w:gridCol w:w="2126"/>
        <w:gridCol w:w="6520"/>
      </w:tblGrid>
      <w:tr w:rsidR="00846547" w:rsidRPr="007D058B" w:rsidTr="00FE5BA3">
        <w:trPr>
          <w:trHeight w:val="273"/>
          <w:tblCellSpacing w:w="0" w:type="dxa"/>
        </w:trPr>
        <w:tc>
          <w:tcPr>
            <w:tcW w:w="9087" w:type="dxa"/>
            <w:gridSpan w:val="3"/>
            <w:tcBorders>
              <w:top w:val="outset" w:sz="6" w:space="0" w:color="auto"/>
              <w:left w:val="outset" w:sz="6" w:space="0" w:color="auto"/>
              <w:bottom w:val="outset" w:sz="6" w:space="0" w:color="auto"/>
              <w:right w:val="outset" w:sz="6" w:space="0" w:color="auto"/>
            </w:tcBorders>
            <w:vAlign w:val="center"/>
          </w:tcPr>
          <w:bookmarkEnd w:id="0"/>
          <w:bookmarkEnd w:id="1"/>
          <w:p w:rsidR="00846547" w:rsidRPr="007D058B" w:rsidRDefault="00846547" w:rsidP="004C4A7F">
            <w:pPr>
              <w:pStyle w:val="naisc"/>
              <w:spacing w:before="0" w:after="120"/>
            </w:pPr>
            <w:r w:rsidRPr="007D058B">
              <w:rPr>
                <w:b/>
                <w:bCs/>
              </w:rPr>
              <w:t> I. Tiesību akta projekta izstrādes nepieciešamība</w:t>
            </w:r>
          </w:p>
        </w:tc>
      </w:tr>
      <w:tr w:rsidR="00846547" w:rsidRPr="007D058B" w:rsidTr="00CA0C68">
        <w:trPr>
          <w:trHeight w:val="630"/>
          <w:tblCellSpacing w:w="0" w:type="dxa"/>
        </w:trPr>
        <w:tc>
          <w:tcPr>
            <w:tcW w:w="441"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1.</w:t>
            </w:r>
          </w:p>
        </w:tc>
        <w:tc>
          <w:tcPr>
            <w:tcW w:w="2126"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lab"/>
              <w:spacing w:before="0" w:after="120"/>
              <w:jc w:val="left"/>
            </w:pPr>
            <w:r w:rsidRPr="007D058B">
              <w:t>Pamatojums</w:t>
            </w:r>
          </w:p>
        </w:tc>
        <w:tc>
          <w:tcPr>
            <w:tcW w:w="6520" w:type="dxa"/>
            <w:tcBorders>
              <w:top w:val="outset" w:sz="6" w:space="0" w:color="auto"/>
              <w:left w:val="outset" w:sz="6" w:space="0" w:color="auto"/>
              <w:bottom w:val="outset" w:sz="6" w:space="0" w:color="auto"/>
              <w:right w:val="outset" w:sz="6" w:space="0" w:color="auto"/>
            </w:tcBorders>
          </w:tcPr>
          <w:p w:rsidR="002C49AB" w:rsidRPr="007D058B" w:rsidRDefault="00684D18" w:rsidP="00D10BF1">
            <w:pPr>
              <w:pStyle w:val="naiskr"/>
              <w:spacing w:before="0" w:after="0"/>
              <w:ind w:firstLine="694"/>
              <w:jc w:val="both"/>
            </w:pPr>
            <w:r w:rsidRPr="00684D18">
              <w:rPr>
                <w:iCs/>
              </w:rPr>
              <w:t xml:space="preserve">Ministru kabineta noteikumu projekts </w:t>
            </w:r>
            <w:r w:rsidR="000175EC" w:rsidRPr="000175EC">
              <w:rPr>
                <w:bCs/>
                <w:iCs/>
              </w:rPr>
              <w:t>„Noteikumi par zvērinātu notāru atlīdzības taksēm un to noteikšanas kārtību”</w:t>
            </w:r>
            <w:r w:rsidRPr="00684D18">
              <w:rPr>
                <w:iCs/>
              </w:rPr>
              <w:t xml:space="preserve"> (turpmāk – Projekts) izstrādāts atbilstoši</w:t>
            </w:r>
            <w:r w:rsidRPr="00684D18">
              <w:rPr>
                <w:i/>
                <w:iCs/>
              </w:rPr>
              <w:t xml:space="preserve"> Euro </w:t>
            </w:r>
            <w:r w:rsidRPr="00684D18">
              <w:t xml:space="preserve">ieviešanas kārtības likuma 30. panta pirmajai daļai, Ministru kabineta 2012. gada 27. jūnija rīkojuma </w:t>
            </w:r>
            <w:proofErr w:type="spellStart"/>
            <w:r w:rsidRPr="00684D18">
              <w:t>Nr</w:t>
            </w:r>
            <w:proofErr w:type="spellEnd"/>
            <w:r w:rsidRPr="00684D18">
              <w:t>. 282 „Par „Koncepciju par normatīvo aktu sakārtošanu saistībā a</w:t>
            </w:r>
            <w:r w:rsidR="00BE13A9">
              <w:t>r eiro ieviešanu Latvijā”” 7.1. </w:t>
            </w:r>
            <w:r w:rsidRPr="00684D18">
              <w:t xml:space="preserve">apakšpunktam un Latvijas Nacionālā </w:t>
            </w:r>
            <w:r w:rsidRPr="00684D18">
              <w:rPr>
                <w:i/>
                <w:iCs/>
              </w:rPr>
              <w:t xml:space="preserve">euro </w:t>
            </w:r>
            <w:r w:rsidRPr="00684D18">
              <w:t xml:space="preserve">ieviešanas plāna (apstiprināts ar Ministru kabineta 2013. gada 4. aprīļa rīkojumu </w:t>
            </w:r>
            <w:proofErr w:type="spellStart"/>
            <w:r w:rsidRPr="00684D18">
              <w:t>Nr</w:t>
            </w:r>
            <w:proofErr w:type="spellEnd"/>
            <w:r w:rsidRPr="00684D18">
              <w:t>. 136) 1. pielikuma J2.2.1. pasākumam.</w:t>
            </w:r>
            <w:r>
              <w:t xml:space="preserve"> </w:t>
            </w:r>
          </w:p>
        </w:tc>
      </w:tr>
      <w:tr w:rsidR="00846547" w:rsidRPr="007D058B" w:rsidTr="00CA0C68">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2.</w:t>
            </w:r>
          </w:p>
        </w:tc>
        <w:tc>
          <w:tcPr>
            <w:tcW w:w="2126"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Pašreizējā situācija un problēmas</w:t>
            </w:r>
          </w:p>
        </w:tc>
        <w:tc>
          <w:tcPr>
            <w:tcW w:w="6520" w:type="dxa"/>
            <w:tcBorders>
              <w:top w:val="outset" w:sz="6" w:space="0" w:color="auto"/>
              <w:left w:val="outset" w:sz="6" w:space="0" w:color="auto"/>
              <w:bottom w:val="outset" w:sz="6" w:space="0" w:color="auto"/>
              <w:right w:val="outset" w:sz="6" w:space="0" w:color="auto"/>
            </w:tcBorders>
          </w:tcPr>
          <w:p w:rsidR="002C49AB" w:rsidRPr="007D058B" w:rsidRDefault="00684D18" w:rsidP="00D10BF1">
            <w:pPr>
              <w:ind w:firstLine="552"/>
              <w:jc w:val="both"/>
            </w:pPr>
            <w:r w:rsidRPr="00684D18">
              <w:t xml:space="preserve">Ņemot vērā, ka ar 2014. gada 1. janvāri Latvijā plānots ieviest </w:t>
            </w:r>
            <w:r w:rsidRPr="00684D18">
              <w:rPr>
                <w:i/>
                <w:iCs/>
              </w:rPr>
              <w:t>euro</w:t>
            </w:r>
            <w:r w:rsidRPr="00684D18">
              <w:t xml:space="preserve">, ir nepieciešams veikt grozījumus </w:t>
            </w:r>
            <w:r w:rsidRPr="00684D18">
              <w:rPr>
                <w:bCs/>
                <w:iCs/>
              </w:rPr>
              <w:t xml:space="preserve">Ministru kabineta </w:t>
            </w:r>
            <w:r w:rsidR="000175EC" w:rsidRPr="000175EC">
              <w:rPr>
                <w:bCs/>
                <w:iCs/>
              </w:rPr>
              <w:t xml:space="preserve">2008. gada 15. septembra noteikumos </w:t>
            </w:r>
            <w:proofErr w:type="spellStart"/>
            <w:r w:rsidR="000175EC" w:rsidRPr="000175EC">
              <w:rPr>
                <w:bCs/>
                <w:iCs/>
              </w:rPr>
              <w:t>Nr</w:t>
            </w:r>
            <w:proofErr w:type="spellEnd"/>
            <w:r w:rsidR="000175EC" w:rsidRPr="000175EC">
              <w:rPr>
                <w:bCs/>
                <w:iCs/>
              </w:rPr>
              <w:t>. 747 „Noteikumi par zvērinātu notāru atlīdzības taksēm un to noteikšanas kārtību”</w:t>
            </w:r>
            <w:r w:rsidRPr="00684D18">
              <w:t xml:space="preserve">, aizstājot tajā latus ar </w:t>
            </w:r>
            <w:r w:rsidRPr="00684D18">
              <w:rPr>
                <w:i/>
                <w:iCs/>
              </w:rPr>
              <w:t>euro</w:t>
            </w:r>
            <w:r w:rsidRPr="00684D18">
              <w:t>.</w:t>
            </w:r>
            <w:r>
              <w:t xml:space="preserve"> </w:t>
            </w:r>
            <w:r w:rsidR="002C49AB">
              <w:t>Ievērojot to</w:t>
            </w:r>
            <w:r w:rsidR="002C49AB" w:rsidRPr="002C49AB">
              <w:t xml:space="preserve">, ka saistībā ar </w:t>
            </w:r>
            <w:r w:rsidR="002C49AB" w:rsidRPr="002C49AB">
              <w:rPr>
                <w:i/>
              </w:rPr>
              <w:t>euro</w:t>
            </w:r>
            <w:r w:rsidR="002C49AB" w:rsidRPr="002C49AB">
              <w:t xml:space="preserve"> ieviešanu būtu jāgroza vairāk kā puse no </w:t>
            </w:r>
            <w:r w:rsidR="002C49AB">
              <w:t>minēto Ministru kabineta noteikumu</w:t>
            </w:r>
            <w:r w:rsidR="002C49AB" w:rsidRPr="002C49AB">
              <w:t xml:space="preserve"> apjoma, ir jāsagatavo jauna normatīvā akta projekts.</w:t>
            </w:r>
            <w:r w:rsidR="00D10BF1">
              <w:t xml:space="preserve"> </w:t>
            </w:r>
          </w:p>
        </w:tc>
      </w:tr>
      <w:tr w:rsidR="00846547" w:rsidRPr="007D058B" w:rsidTr="00CA0C68">
        <w:trPr>
          <w:trHeight w:val="899"/>
          <w:tblCellSpacing w:w="0" w:type="dxa"/>
        </w:trPr>
        <w:tc>
          <w:tcPr>
            <w:tcW w:w="441"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3.</w:t>
            </w:r>
          </w:p>
        </w:tc>
        <w:tc>
          <w:tcPr>
            <w:tcW w:w="2126"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Saistītie politikas ietekmes novērtējumi un pētījumi</w:t>
            </w:r>
          </w:p>
        </w:tc>
        <w:tc>
          <w:tcPr>
            <w:tcW w:w="6520" w:type="dxa"/>
            <w:tcBorders>
              <w:top w:val="outset" w:sz="6" w:space="0" w:color="auto"/>
              <w:left w:val="outset" w:sz="6" w:space="0" w:color="auto"/>
              <w:bottom w:val="outset" w:sz="6" w:space="0" w:color="auto"/>
              <w:right w:val="outset" w:sz="6" w:space="0" w:color="auto"/>
            </w:tcBorders>
          </w:tcPr>
          <w:p w:rsidR="00846547" w:rsidRPr="007D058B" w:rsidRDefault="001B2D48" w:rsidP="001630F3">
            <w:pPr>
              <w:pStyle w:val="naiskr"/>
              <w:spacing w:before="0" w:after="120"/>
              <w:ind w:firstLine="552"/>
              <w:jc w:val="both"/>
            </w:pPr>
            <w:r>
              <w:t>Projekts šo jomu neskar</w:t>
            </w:r>
            <w:r w:rsidR="00684D18">
              <w:t xml:space="preserve"> </w:t>
            </w:r>
            <w:r w:rsidR="001630F3" w:rsidRPr="007D058B">
              <w:t xml:space="preserve"> </w:t>
            </w:r>
          </w:p>
        </w:tc>
      </w:tr>
      <w:tr w:rsidR="00846547" w:rsidRPr="007D058B" w:rsidTr="00CA0C68">
        <w:trPr>
          <w:trHeight w:val="384"/>
          <w:tblCellSpacing w:w="0" w:type="dxa"/>
        </w:trPr>
        <w:tc>
          <w:tcPr>
            <w:tcW w:w="441" w:type="dxa"/>
            <w:tcBorders>
              <w:top w:val="outset" w:sz="6" w:space="0" w:color="auto"/>
              <w:left w:val="outset" w:sz="6" w:space="0" w:color="auto"/>
              <w:bottom w:val="outset" w:sz="6" w:space="0" w:color="auto"/>
              <w:right w:val="outset" w:sz="6" w:space="0" w:color="auto"/>
            </w:tcBorders>
          </w:tcPr>
          <w:p w:rsidR="00846547" w:rsidRPr="00DD6071" w:rsidRDefault="00846547" w:rsidP="004C4A7F">
            <w:pPr>
              <w:pStyle w:val="naiskr"/>
              <w:spacing w:before="0" w:after="120"/>
            </w:pPr>
            <w:r w:rsidRPr="007D058B">
              <w:t> </w:t>
            </w:r>
            <w:r w:rsidRPr="00DD6071">
              <w:t>4.</w:t>
            </w:r>
          </w:p>
        </w:tc>
        <w:tc>
          <w:tcPr>
            <w:tcW w:w="2126" w:type="dxa"/>
            <w:tcBorders>
              <w:top w:val="outset" w:sz="6" w:space="0" w:color="auto"/>
              <w:left w:val="outset" w:sz="6" w:space="0" w:color="auto"/>
              <w:bottom w:val="outset" w:sz="6" w:space="0" w:color="auto"/>
              <w:right w:val="outset" w:sz="6" w:space="0" w:color="auto"/>
            </w:tcBorders>
          </w:tcPr>
          <w:p w:rsidR="00846547" w:rsidRPr="00DD6071" w:rsidRDefault="00846547" w:rsidP="004C4A7F">
            <w:pPr>
              <w:pStyle w:val="naiskr"/>
              <w:spacing w:before="0" w:after="120"/>
            </w:pPr>
            <w:r w:rsidRPr="00DD6071">
              <w:t> Tiesiskā regulējuma mērķis un būtība</w:t>
            </w:r>
          </w:p>
        </w:tc>
        <w:tc>
          <w:tcPr>
            <w:tcW w:w="6520" w:type="dxa"/>
            <w:tcBorders>
              <w:top w:val="outset" w:sz="6" w:space="0" w:color="auto"/>
              <w:left w:val="outset" w:sz="6" w:space="0" w:color="auto"/>
              <w:bottom w:val="outset" w:sz="6" w:space="0" w:color="auto"/>
              <w:right w:val="outset" w:sz="6" w:space="0" w:color="auto"/>
            </w:tcBorders>
          </w:tcPr>
          <w:tbl>
            <w:tblPr>
              <w:tblW w:w="0" w:type="auto"/>
              <w:tblBorders>
                <w:top w:val="nil"/>
                <w:left w:val="nil"/>
                <w:bottom w:val="nil"/>
                <w:right w:val="nil"/>
              </w:tblBorders>
              <w:tblLook w:val="0000" w:firstRow="0" w:lastRow="0" w:firstColumn="0" w:lastColumn="0" w:noHBand="0" w:noVBand="0"/>
            </w:tblPr>
            <w:tblGrid>
              <w:gridCol w:w="6490"/>
            </w:tblGrid>
            <w:tr w:rsidR="00684D18" w:rsidRPr="00684D18">
              <w:trPr>
                <w:trHeight w:val="1655"/>
              </w:trPr>
              <w:tc>
                <w:tcPr>
                  <w:tcW w:w="0" w:type="auto"/>
                </w:tcPr>
                <w:p w:rsidR="00684D18" w:rsidRPr="00684D18" w:rsidRDefault="00684D18" w:rsidP="00684D18">
                  <w:pPr>
                    <w:pStyle w:val="naisf"/>
                    <w:ind w:firstLine="552"/>
                  </w:pPr>
                  <w:r>
                    <w:t>P</w:t>
                  </w:r>
                  <w:r w:rsidRPr="00684D18">
                    <w:t xml:space="preserve">rojekta </w:t>
                  </w:r>
                  <w:r>
                    <w:t xml:space="preserve">izstrādes </w:t>
                  </w:r>
                  <w:r w:rsidRPr="00684D18">
                    <w:t xml:space="preserve">mērķis ir pielāgot </w:t>
                  </w:r>
                  <w:r w:rsidR="002C49AB" w:rsidRPr="002C49AB">
                    <w:rPr>
                      <w:bCs/>
                      <w:iCs/>
                    </w:rPr>
                    <w:t>Ministru kabineta 2008. gada 15. septembra noteikum</w:t>
                  </w:r>
                  <w:r w:rsidR="002C49AB">
                    <w:rPr>
                      <w:bCs/>
                      <w:iCs/>
                    </w:rPr>
                    <w:t>u</w:t>
                  </w:r>
                  <w:r w:rsidR="002C49AB" w:rsidRPr="002C49AB">
                    <w:rPr>
                      <w:bCs/>
                      <w:iCs/>
                    </w:rPr>
                    <w:t xml:space="preserve">s </w:t>
                  </w:r>
                  <w:proofErr w:type="spellStart"/>
                  <w:r w:rsidR="002C49AB" w:rsidRPr="002C49AB">
                    <w:rPr>
                      <w:bCs/>
                      <w:iCs/>
                    </w:rPr>
                    <w:t>Nr</w:t>
                  </w:r>
                  <w:proofErr w:type="spellEnd"/>
                  <w:r w:rsidR="002C49AB" w:rsidRPr="002C49AB">
                    <w:rPr>
                      <w:bCs/>
                      <w:iCs/>
                    </w:rPr>
                    <w:t xml:space="preserve">. 747 „Noteikumi par zvērinātu notāru atlīdzības taksēm un to noteikšanas kārtību” </w:t>
                  </w:r>
                  <w:r>
                    <w:rPr>
                      <w:bCs/>
                      <w:iCs/>
                    </w:rPr>
                    <w:t xml:space="preserve"> </w:t>
                  </w:r>
                  <w:r w:rsidRPr="00684D18">
                    <w:rPr>
                      <w:i/>
                      <w:iCs/>
                    </w:rPr>
                    <w:t xml:space="preserve">euro </w:t>
                  </w:r>
                  <w:r w:rsidRPr="00684D18">
                    <w:t xml:space="preserve">ieviešanai, aizstājot latus ar </w:t>
                  </w:r>
                  <w:r w:rsidRPr="00684D18">
                    <w:rPr>
                      <w:i/>
                      <w:iCs/>
                    </w:rPr>
                    <w:t>euro</w:t>
                  </w:r>
                  <w:r w:rsidRPr="00684D18">
                    <w:t xml:space="preserve">. </w:t>
                  </w:r>
                </w:p>
                <w:p w:rsidR="00684D18" w:rsidRDefault="00684D18" w:rsidP="00684D18">
                  <w:pPr>
                    <w:pStyle w:val="naisf"/>
                    <w:ind w:firstLine="552"/>
                  </w:pPr>
                  <w:r>
                    <w:t>P</w:t>
                  </w:r>
                  <w:r w:rsidRPr="00684D18">
                    <w:t>rojekt</w:t>
                  </w:r>
                  <w:r w:rsidR="002C49AB">
                    <w:t>s paredz noteikt</w:t>
                  </w:r>
                  <w:r w:rsidRPr="00684D18">
                    <w:t xml:space="preserve"> </w:t>
                  </w:r>
                  <w:r>
                    <w:t>minētajos Ministru kabineta noteikumos</w:t>
                  </w:r>
                  <w:r w:rsidRPr="00684D18">
                    <w:t xml:space="preserve"> lat</w:t>
                  </w:r>
                  <w:r w:rsidR="002C49AB">
                    <w:t>o</w:t>
                  </w:r>
                  <w:r w:rsidRPr="00684D18">
                    <w:t xml:space="preserve">s </w:t>
                  </w:r>
                  <w:r w:rsidR="002C49AB">
                    <w:t xml:space="preserve">izteiktās skaitliskās vērtības </w:t>
                  </w:r>
                  <w:r w:rsidRPr="00684D18">
                    <w:rPr>
                      <w:i/>
                      <w:iCs/>
                    </w:rPr>
                    <w:t xml:space="preserve">euro </w:t>
                  </w:r>
                  <w:r w:rsidRPr="00684D18">
                    <w:t xml:space="preserve">atbilstoši </w:t>
                  </w:r>
                  <w:r w:rsidRPr="00684D18">
                    <w:rPr>
                      <w:i/>
                      <w:iCs/>
                    </w:rPr>
                    <w:t xml:space="preserve">Euro </w:t>
                  </w:r>
                  <w:r w:rsidRPr="00684D18">
                    <w:t xml:space="preserve">ieviešanas kārtības likuma </w:t>
                  </w:r>
                  <w:r w:rsidR="007D303C">
                    <w:t>6. panta un</w:t>
                  </w:r>
                  <w:r w:rsidR="001866A0">
                    <w:t xml:space="preserve"> </w:t>
                  </w:r>
                  <w:r>
                    <w:t xml:space="preserve">32. panta otrās daļas </w:t>
                  </w:r>
                  <w:r w:rsidR="000175EC">
                    <w:t>2. </w:t>
                  </w:r>
                  <w:r>
                    <w:t>punktā</w:t>
                  </w:r>
                  <w:r w:rsidRPr="00684D18">
                    <w:t xml:space="preserve"> paredzētajiem principiem. </w:t>
                  </w:r>
                </w:p>
                <w:p w:rsidR="002C49AB" w:rsidRDefault="000175EC" w:rsidP="002C49AB">
                  <w:pPr>
                    <w:pStyle w:val="naisf"/>
                    <w:ind w:firstLine="552"/>
                  </w:pPr>
                  <w:r>
                    <w:t xml:space="preserve">Proti, normās, kurās ir </w:t>
                  </w:r>
                  <w:r w:rsidR="002C49AB">
                    <w:t xml:space="preserve">noteikts zvērinātu notāru amata atlīdzības takses apmērs, summas latos aizstātas ar </w:t>
                  </w:r>
                  <w:r w:rsidR="002C49AB">
                    <w:rPr>
                      <w:i/>
                    </w:rPr>
                    <w:t>euro</w:t>
                  </w:r>
                  <w:r w:rsidR="002C49AB">
                    <w:t xml:space="preserve">, piemērojot </w:t>
                  </w:r>
                  <w:r w:rsidR="002C49AB" w:rsidRPr="002C49AB">
                    <w:rPr>
                      <w:i/>
                      <w:iCs/>
                    </w:rPr>
                    <w:t xml:space="preserve">Euro </w:t>
                  </w:r>
                  <w:r w:rsidR="002C49AB" w:rsidRPr="002C49AB">
                    <w:t xml:space="preserve">ieviešanas kārtības likuma </w:t>
                  </w:r>
                  <w:r w:rsidR="002C49AB">
                    <w:t xml:space="preserve">6. pantā </w:t>
                  </w:r>
                  <w:r w:rsidR="002C49AB" w:rsidRPr="002C49AB">
                    <w:t>paredzēt</w:t>
                  </w:r>
                  <w:r w:rsidR="002C49AB">
                    <w:t>o</w:t>
                  </w:r>
                  <w:r w:rsidR="002C49AB" w:rsidRPr="002C49AB">
                    <w:t xml:space="preserve"> princi</w:t>
                  </w:r>
                  <w:r w:rsidR="002C49AB">
                    <w:t xml:space="preserve">pu. Līdz ar to zvērinātu notāru amata atlīdzības takses apmēri ir pēc iespējas saglabāti pašreiz spēkā esošo normu, kas nosaka zvērinātu notāru amata atlīdzības takses latos, paredzētajā apmērā. </w:t>
                  </w:r>
                </w:p>
                <w:p w:rsidR="002C49AB" w:rsidRDefault="002C49AB" w:rsidP="002C49AB">
                  <w:pPr>
                    <w:pStyle w:val="naisf"/>
                    <w:ind w:firstLine="552"/>
                  </w:pPr>
                  <w:r>
                    <w:t xml:space="preserve">Savukārt normās, kurās zvērinātu notāru amata atlīdzības takses noteikšanai ir paredzēti intervāli, piemēram, paredzētas konkrētas darījuma summu robežu amplitūdas (Projekta 6. punkts), kurām katrai ir noteikta atbilstoši lielāka zvērinātu notāru amata atlīdzības takse (jo lielāka darījuma summa, jo lielāka amata atlīdzības takse), latu aizstāšanai ar </w:t>
                  </w:r>
                  <w:r w:rsidRPr="002C49AB">
                    <w:rPr>
                      <w:i/>
                    </w:rPr>
                    <w:t>euro</w:t>
                  </w:r>
                  <w:r>
                    <w:t xml:space="preserve"> ir piemērot</w:t>
                  </w:r>
                  <w:r w:rsidR="00CA0C68">
                    <w:t>i</w:t>
                  </w:r>
                  <w:r>
                    <w:t xml:space="preserve"> </w:t>
                  </w:r>
                  <w:r w:rsidRPr="002C49AB">
                    <w:t>32. panta otrās daļas 2. punktā paredzēt</w:t>
                  </w:r>
                  <w:r w:rsidR="00CA0C68">
                    <w:t>ie</w:t>
                  </w:r>
                  <w:r>
                    <w:t xml:space="preserve"> princip</w:t>
                  </w:r>
                  <w:r w:rsidR="00CA0C68">
                    <w:t>i</w:t>
                  </w:r>
                  <w:r>
                    <w:t xml:space="preserve">, lai nodrošinātu intervālu, kas nosaka darījumu summu robežas, nepārtrauktību. </w:t>
                  </w:r>
                  <w:r w:rsidR="007D303C">
                    <w:t>Šie darījuma summu intervāli noteikti</w:t>
                  </w:r>
                  <w:r>
                    <w:t xml:space="preserve"> </w:t>
                  </w:r>
                  <w:r w:rsidRPr="002C49AB">
                    <w:rPr>
                      <w:i/>
                    </w:rPr>
                    <w:t>euro</w:t>
                  </w:r>
                  <w:r w:rsidR="007D303C">
                    <w:rPr>
                      <w:i/>
                    </w:rPr>
                    <w:t xml:space="preserve"> </w:t>
                  </w:r>
                  <w:r w:rsidR="007D303C">
                    <w:lastRenderedPageBreak/>
                    <w:t xml:space="preserve">atbilstoši </w:t>
                  </w:r>
                  <w:r w:rsidR="007D303C" w:rsidRPr="007D303C">
                    <w:t>32. panta otrās daļas 2. punktā paredzēta</w:t>
                  </w:r>
                  <w:r w:rsidR="007D303C">
                    <w:t>j</w:t>
                  </w:r>
                  <w:r w:rsidR="00CA0C68">
                    <w:t>ie</w:t>
                  </w:r>
                  <w:r w:rsidR="007D303C">
                    <w:t>m</w:t>
                  </w:r>
                  <w:r w:rsidR="007D303C" w:rsidRPr="007D303C">
                    <w:t xml:space="preserve"> princi</w:t>
                  </w:r>
                  <w:r w:rsidR="007D303C">
                    <w:t>p</w:t>
                  </w:r>
                  <w:r w:rsidR="00CA0C68">
                    <w:t>ie</w:t>
                  </w:r>
                  <w:r w:rsidR="007D303C">
                    <w:t>m, ievērojot abu personu grupu, uz kurām attiecas Projektā ietvertais normatīvais regulējums (proti, zvērināti notāri un personas, kuras lūgs attiecīgo notariālo darbību), intereses,</w:t>
                  </w:r>
                  <w:r w:rsidR="007D303C">
                    <w:rPr>
                      <w:i/>
                    </w:rPr>
                    <w:t xml:space="preserve"> </w:t>
                  </w:r>
                  <w:r w:rsidR="007D303C" w:rsidRPr="007D303C">
                    <w:t>nosakāmās summas</w:t>
                  </w:r>
                  <w:r w:rsidR="007D303C">
                    <w:rPr>
                      <w:i/>
                    </w:rPr>
                    <w:t xml:space="preserve"> euro </w:t>
                  </w:r>
                  <w:r w:rsidR="007D303C">
                    <w:t>pēc iespējas pietuvinot latos noteiktajām robežvērtībām</w:t>
                  </w:r>
                  <w:r w:rsidR="00AC08C7">
                    <w:t>. Turklāt,</w:t>
                  </w:r>
                  <w:r w:rsidR="007D303C">
                    <w:t xml:space="preserve"> </w:t>
                  </w:r>
                  <w:r>
                    <w:t xml:space="preserve">izmantojot </w:t>
                  </w:r>
                  <w:r w:rsidR="007D303C">
                    <w:t xml:space="preserve">matemātisku </w:t>
                  </w:r>
                  <w:proofErr w:type="spellStart"/>
                  <w:r>
                    <w:t>papildapaļošanu</w:t>
                  </w:r>
                  <w:proofErr w:type="spellEnd"/>
                  <w:r>
                    <w:t xml:space="preserve">, normu ērtākai un vieglākai piemērošanai summas ir noteiktas veselos </w:t>
                  </w:r>
                  <w:r w:rsidRPr="002C49AB">
                    <w:rPr>
                      <w:i/>
                    </w:rPr>
                    <w:t>euro</w:t>
                  </w:r>
                  <w:r>
                    <w:t xml:space="preserve">, ņemot vērā cita starpā arī to, ka pašreiz spēkā esošajās normās summas ir izteiktas veselos latos.  </w:t>
                  </w:r>
                </w:p>
                <w:p w:rsidR="002C49AB" w:rsidRDefault="002C49AB" w:rsidP="002C49AB">
                  <w:pPr>
                    <w:pStyle w:val="naisf"/>
                    <w:ind w:firstLine="552"/>
                  </w:pPr>
                  <w:r>
                    <w:t>Tāpat arī attiecībā uz normām, kurās zvērinātu notāru amata atlīdzības takses noteikšanai ir paredzētas mantas vērtību robežas (att</w:t>
                  </w:r>
                  <w:r w:rsidR="00AC08C7">
                    <w:t>iecībā uz laulātā mantas daļu,</w:t>
                  </w:r>
                  <w:r>
                    <w:t xml:space="preserve"> attiecībā uz mantojamo mantu</w:t>
                  </w:r>
                  <w:r w:rsidR="00AC08C7">
                    <w:t xml:space="preserve"> un mantu mantas dalīšanas projektā, proti, Projekta 38., 39. un 41. punkts</w:t>
                  </w:r>
                  <w:r>
                    <w:t xml:space="preserve">), </w:t>
                  </w:r>
                  <w:r w:rsidRPr="002C49AB">
                    <w:t xml:space="preserve">latu aizstāšanai ar </w:t>
                  </w:r>
                  <w:r w:rsidRPr="002C49AB">
                    <w:rPr>
                      <w:i/>
                    </w:rPr>
                    <w:t>euro</w:t>
                  </w:r>
                  <w:r w:rsidRPr="002C49AB">
                    <w:t xml:space="preserve"> ir piemērots 32. panta otrās daļas 2. punktā paredzētais princips</w:t>
                  </w:r>
                  <w:r w:rsidR="00AC08C7">
                    <w:t xml:space="preserve">, </w:t>
                  </w:r>
                  <w:r w:rsidR="00AC08C7" w:rsidRPr="00AC08C7">
                    <w:t>ievērojot abu personu grupu, uz kurām attiecas Projektā ietvertais normatīvais regulējums (proti, zvērināti notāri un personas, kuras lūgs attiecīgo notariālo darbību), intereses,</w:t>
                  </w:r>
                  <w:r w:rsidR="00AC08C7" w:rsidRPr="00AC08C7">
                    <w:rPr>
                      <w:i/>
                    </w:rPr>
                    <w:t xml:space="preserve"> </w:t>
                  </w:r>
                  <w:r w:rsidR="00AC08C7" w:rsidRPr="00AC08C7">
                    <w:t>summas</w:t>
                  </w:r>
                  <w:r w:rsidR="00AC08C7" w:rsidRPr="00AC08C7">
                    <w:rPr>
                      <w:i/>
                    </w:rPr>
                    <w:t xml:space="preserve"> euro </w:t>
                  </w:r>
                  <w:r w:rsidR="00AC08C7" w:rsidRPr="00AC08C7">
                    <w:t>pēc iespējas pietuvinot latos noteiktajām vērtībām</w:t>
                  </w:r>
                  <w:r>
                    <w:t xml:space="preserve">. </w:t>
                  </w:r>
                  <w:r w:rsidR="00AC08C7">
                    <w:t>Turklāt</w:t>
                  </w:r>
                  <w:r>
                    <w:t xml:space="preserve"> attiecībā uz mantas vērtību robežām </w:t>
                  </w:r>
                  <w:r w:rsidR="00D10BF1">
                    <w:t xml:space="preserve">laulātā mantas daļai (Projekta 38. punkts), </w:t>
                  </w:r>
                  <w:r>
                    <w:t>mantojamai mantai (Projekta 39. punkts)</w:t>
                  </w:r>
                  <w:r w:rsidR="00D10BF1">
                    <w:t xml:space="preserve"> un</w:t>
                  </w:r>
                  <w:r>
                    <w:t xml:space="preserve"> </w:t>
                  </w:r>
                  <w:r w:rsidR="00D10BF1" w:rsidRPr="00D10BF1">
                    <w:t>mantas d</w:t>
                  </w:r>
                  <w:r w:rsidR="00D10BF1">
                    <w:t>alīšanas projektā (Projekta 41. </w:t>
                  </w:r>
                  <w:r w:rsidR="00D10BF1" w:rsidRPr="00D10BF1">
                    <w:t>punkts)</w:t>
                  </w:r>
                  <w:r w:rsidR="00D10BF1">
                    <w:t xml:space="preserve"> </w:t>
                  </w:r>
                  <w:r>
                    <w:t xml:space="preserve">izmantota matemātiska </w:t>
                  </w:r>
                  <w:proofErr w:type="spellStart"/>
                  <w:r>
                    <w:t>papildapaļošana</w:t>
                  </w:r>
                  <w:proofErr w:type="spellEnd"/>
                  <w:r>
                    <w:t xml:space="preserve">, lai normu ērtākai un vieglākai piemērošanai summas tiktu izteiktas veselos </w:t>
                  </w:r>
                  <w:r w:rsidRPr="002C49AB">
                    <w:rPr>
                      <w:i/>
                    </w:rPr>
                    <w:t>euro</w:t>
                  </w:r>
                  <w:r>
                    <w:t xml:space="preserve">, </w:t>
                  </w:r>
                  <w:r w:rsidRPr="002C49AB">
                    <w:t>ņemot vērā cita starpā arī to, ka pašreiz spēkā esošajās normās summas ir izteiktas veselos latos</w:t>
                  </w:r>
                  <w:r>
                    <w:t xml:space="preserve">. </w:t>
                  </w:r>
                </w:p>
                <w:p w:rsidR="00B543A4" w:rsidRDefault="00CE6CBF" w:rsidP="002C49AB">
                  <w:pPr>
                    <w:pStyle w:val="naisf"/>
                    <w:ind w:firstLine="552"/>
                  </w:pPr>
                  <w:r>
                    <w:t xml:space="preserve">Atbilstoši Euro ieviešanas kārtības </w:t>
                  </w:r>
                  <w:r w:rsidR="00B543A4">
                    <w:t xml:space="preserve">likuma 7. panta otrajai daļai, ja </w:t>
                  </w:r>
                  <w:r w:rsidR="00CD1010">
                    <w:t xml:space="preserve">lata un </w:t>
                  </w:r>
                  <w:r w:rsidR="00CD1010" w:rsidRPr="00CD1010">
                    <w:rPr>
                      <w:i/>
                    </w:rPr>
                    <w:t>euro</w:t>
                  </w:r>
                  <w:r w:rsidR="00CD1010">
                    <w:t xml:space="preserve"> vienlaicīgas apgrozības periodā </w:t>
                  </w:r>
                  <w:r w:rsidR="00B543A4">
                    <w:t xml:space="preserve">persona, maksājot zvērinātam notāram amata atlīdzības taksi, vēlēsies norēķināties latos, Projektā ietvertajā regulējumā paredzētās </w:t>
                  </w:r>
                  <w:r w:rsidR="00B543A4" w:rsidRPr="00B543A4">
                    <w:t>summa</w:t>
                  </w:r>
                  <w:r w:rsidR="00B543A4">
                    <w:t>s</w:t>
                  </w:r>
                  <w:r w:rsidR="00B543A4" w:rsidRPr="00B543A4">
                    <w:t xml:space="preserve"> </w:t>
                  </w:r>
                  <w:r w:rsidR="00B543A4" w:rsidRPr="00B543A4">
                    <w:rPr>
                      <w:i/>
                      <w:iCs/>
                    </w:rPr>
                    <w:t>euro</w:t>
                  </w:r>
                  <w:r w:rsidR="00B543A4" w:rsidRPr="00B543A4">
                    <w:t xml:space="preserve"> </w:t>
                  </w:r>
                  <w:r w:rsidR="00B543A4">
                    <w:t>zvērināts notārs</w:t>
                  </w:r>
                  <w:r w:rsidR="00B543A4" w:rsidRPr="00B543A4">
                    <w:t xml:space="preserve"> konvertē</w:t>
                  </w:r>
                  <w:r w:rsidR="00B543A4">
                    <w:t>s</w:t>
                  </w:r>
                  <w:r w:rsidR="00B543A4" w:rsidRPr="00B543A4">
                    <w:t xml:space="preserve"> uz latiem saskaņā ar </w:t>
                  </w:r>
                  <w:r w:rsidR="00B543A4">
                    <w:t xml:space="preserve">minētā likuma 6. panta pirmajā un otrajā daļā noteikto un </w:t>
                  </w:r>
                  <w:r w:rsidR="00B543A4" w:rsidRPr="00B543A4">
                    <w:t>pieņem</w:t>
                  </w:r>
                  <w:r w:rsidR="00B543A4">
                    <w:t>s</w:t>
                  </w:r>
                  <w:r w:rsidR="00B543A4" w:rsidRPr="00B543A4">
                    <w:t xml:space="preserve"> attiecīg</w:t>
                  </w:r>
                  <w:r w:rsidR="00B543A4">
                    <w:t>o</w:t>
                  </w:r>
                  <w:r w:rsidR="00B543A4" w:rsidRPr="00B543A4">
                    <w:t xml:space="preserve"> summ</w:t>
                  </w:r>
                  <w:r w:rsidR="00B543A4">
                    <w:t>u</w:t>
                  </w:r>
                  <w:r w:rsidR="00B543A4" w:rsidRPr="00B543A4">
                    <w:t xml:space="preserve"> latos</w:t>
                  </w:r>
                  <w:r w:rsidR="00B543A4">
                    <w:t xml:space="preserve">, atlikumu izdodot </w:t>
                  </w:r>
                  <w:r w:rsidR="00B543A4" w:rsidRPr="00B543A4">
                    <w:rPr>
                      <w:i/>
                    </w:rPr>
                    <w:t>euro</w:t>
                  </w:r>
                  <w:r w:rsidR="00B543A4">
                    <w:t xml:space="preserve">. Proti, zvērināts notārs konvertēs attiecīgajā normā paredzētās naudas summas, izmantojot </w:t>
                  </w:r>
                  <w:r w:rsidR="00B543A4" w:rsidRPr="00B543A4">
                    <w:t>E</w:t>
                  </w:r>
                  <w:r w:rsidR="00B543A4">
                    <w:t>iropas Savienības</w:t>
                  </w:r>
                  <w:r w:rsidR="00B543A4" w:rsidRPr="00B543A4">
                    <w:t xml:space="preserve"> Padomes noteikto </w:t>
                  </w:r>
                  <w:r w:rsidR="00B543A4">
                    <w:t>maiņas kursu (t. i., 0,702804), attiecīgi noapaļojot līdz tuvākajam centam, ņemot vērā trešo zīmi aiz komata</w:t>
                  </w:r>
                  <w:r w:rsidR="00B543A4" w:rsidRPr="00B543A4">
                    <w:t xml:space="preserve"> </w:t>
                  </w:r>
                  <w:r w:rsidR="00B543A4">
                    <w:t>(j</w:t>
                  </w:r>
                  <w:r w:rsidR="00B543A4" w:rsidRPr="00B543A4">
                    <w:t>a trešā zīme aiz komata ir no 0 līdz 4, tad centa vērtība nemainās</w:t>
                  </w:r>
                  <w:r w:rsidR="00B543A4">
                    <w:t>, ja</w:t>
                  </w:r>
                  <w:r w:rsidR="00B543A4" w:rsidRPr="00B543A4">
                    <w:t xml:space="preserve"> trešā zīme aiz komata ir no 5 līdz 9, tad cents tiek noapaļots par vienu vienību uz augšu</w:t>
                  </w:r>
                  <w:r w:rsidR="00B543A4">
                    <w:t>)</w:t>
                  </w:r>
                  <w:r w:rsidR="00B543A4" w:rsidRPr="00B543A4">
                    <w:t>.</w:t>
                  </w:r>
                </w:p>
                <w:p w:rsidR="00232F89" w:rsidRPr="00684D18" w:rsidRDefault="00232F89" w:rsidP="00D10BF1">
                  <w:pPr>
                    <w:pStyle w:val="naisf"/>
                    <w:ind w:firstLine="552"/>
                  </w:pPr>
                  <w:r>
                    <w:t xml:space="preserve">Projekts nerada ietekmi uz valsts budžetu. </w:t>
                  </w:r>
                </w:p>
              </w:tc>
            </w:tr>
          </w:tbl>
          <w:p w:rsidR="00795C81" w:rsidRPr="007D058B" w:rsidRDefault="00795C81" w:rsidP="00AF71B0">
            <w:pPr>
              <w:pStyle w:val="naisf"/>
              <w:spacing w:before="120" w:after="0"/>
              <w:ind w:firstLine="550"/>
            </w:pPr>
          </w:p>
        </w:tc>
      </w:tr>
      <w:tr w:rsidR="00846547" w:rsidRPr="007D058B" w:rsidTr="00CA0C68">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lastRenderedPageBreak/>
              <w:t> 5.</w:t>
            </w:r>
          </w:p>
        </w:tc>
        <w:tc>
          <w:tcPr>
            <w:tcW w:w="2126"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Projekta izstrādē iesaistītās institūcijas</w:t>
            </w:r>
          </w:p>
        </w:tc>
        <w:tc>
          <w:tcPr>
            <w:tcW w:w="6520" w:type="dxa"/>
            <w:tcBorders>
              <w:top w:val="outset" w:sz="6" w:space="0" w:color="auto"/>
              <w:left w:val="outset" w:sz="6" w:space="0" w:color="auto"/>
              <w:bottom w:val="outset" w:sz="6" w:space="0" w:color="auto"/>
              <w:right w:val="outset" w:sz="6" w:space="0" w:color="auto"/>
            </w:tcBorders>
          </w:tcPr>
          <w:p w:rsidR="00795C81" w:rsidRPr="007D058B" w:rsidRDefault="001B2D48" w:rsidP="00FD62CE">
            <w:pPr>
              <w:pStyle w:val="naiskr"/>
              <w:spacing w:before="0" w:after="120"/>
              <w:ind w:firstLine="694"/>
              <w:jc w:val="both"/>
            </w:pPr>
            <w:r>
              <w:t>Projekts šo jomu neskar</w:t>
            </w:r>
            <w:r w:rsidR="00684D18">
              <w:t xml:space="preserve"> </w:t>
            </w:r>
          </w:p>
        </w:tc>
      </w:tr>
      <w:tr w:rsidR="00846547" w:rsidRPr="007D058B" w:rsidTr="00CA0C68">
        <w:trPr>
          <w:trHeight w:val="1262"/>
          <w:tblCellSpacing w:w="0" w:type="dxa"/>
        </w:trPr>
        <w:tc>
          <w:tcPr>
            <w:tcW w:w="441"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6.</w:t>
            </w:r>
          </w:p>
        </w:tc>
        <w:tc>
          <w:tcPr>
            <w:tcW w:w="2126"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Iemesli, kādēļ netika nodrošināta sabiedrības līdzdalība</w:t>
            </w:r>
          </w:p>
        </w:tc>
        <w:tc>
          <w:tcPr>
            <w:tcW w:w="6520" w:type="dxa"/>
            <w:tcBorders>
              <w:top w:val="outset" w:sz="6" w:space="0" w:color="auto"/>
              <w:left w:val="outset" w:sz="6" w:space="0" w:color="auto"/>
              <w:bottom w:val="outset" w:sz="6" w:space="0" w:color="auto"/>
              <w:right w:val="outset" w:sz="6" w:space="0" w:color="auto"/>
            </w:tcBorders>
          </w:tcPr>
          <w:tbl>
            <w:tblPr>
              <w:tblW w:w="0" w:type="auto"/>
              <w:tblBorders>
                <w:top w:val="nil"/>
                <w:left w:val="nil"/>
                <w:bottom w:val="nil"/>
                <w:right w:val="nil"/>
              </w:tblBorders>
              <w:tblLook w:val="0000" w:firstRow="0" w:lastRow="0" w:firstColumn="0" w:lastColumn="0" w:noHBand="0" w:noVBand="0"/>
            </w:tblPr>
            <w:tblGrid>
              <w:gridCol w:w="6490"/>
            </w:tblGrid>
            <w:tr w:rsidR="00684D18" w:rsidRPr="00684D18" w:rsidTr="00D10BF1">
              <w:trPr>
                <w:trHeight w:val="1405"/>
              </w:trPr>
              <w:tc>
                <w:tcPr>
                  <w:tcW w:w="0" w:type="auto"/>
                </w:tcPr>
                <w:p w:rsidR="00684D18" w:rsidRPr="00684D18" w:rsidRDefault="00684D18" w:rsidP="00CA0C68">
                  <w:pPr>
                    <w:pStyle w:val="naiskr"/>
                    <w:spacing w:after="120"/>
                    <w:ind w:firstLine="552"/>
                    <w:jc w:val="both"/>
                    <w:rPr>
                      <w:bCs/>
                    </w:rPr>
                  </w:pPr>
                  <w:r w:rsidRPr="00684D18">
                    <w:rPr>
                      <w:bCs/>
                    </w:rPr>
                    <w:t xml:space="preserve">Sabiedrības līdzdalība </w:t>
                  </w:r>
                  <w:r w:rsidR="002C49AB">
                    <w:rPr>
                      <w:bCs/>
                    </w:rPr>
                    <w:t>P</w:t>
                  </w:r>
                  <w:r w:rsidRPr="00684D18">
                    <w:rPr>
                      <w:bCs/>
                    </w:rPr>
                    <w:t xml:space="preserve">rojekta izstrādē netika nodrošināta, jo </w:t>
                  </w:r>
                  <w:r w:rsidR="002C49AB">
                    <w:rPr>
                      <w:bCs/>
                    </w:rPr>
                    <w:t>P</w:t>
                  </w:r>
                  <w:r w:rsidRPr="00684D18">
                    <w:rPr>
                      <w:bCs/>
                    </w:rPr>
                    <w:t>rojekts nemaina pastāvošo ti</w:t>
                  </w:r>
                  <w:r w:rsidR="002C49AB">
                    <w:rPr>
                      <w:bCs/>
                    </w:rPr>
                    <w:t>esisko regulējumu pēc būtības, turklāt atsevišķos gadījumos</w:t>
                  </w:r>
                  <w:r>
                    <w:rPr>
                      <w:bCs/>
                    </w:rPr>
                    <w:t xml:space="preserve"> </w:t>
                  </w:r>
                  <w:r w:rsidR="002C49AB">
                    <w:rPr>
                      <w:bCs/>
                    </w:rPr>
                    <w:t xml:space="preserve">ir personām, </w:t>
                  </w:r>
                  <w:r w:rsidR="00CA0C68">
                    <w:rPr>
                      <w:bCs/>
                    </w:rPr>
                    <w:t>uz kurām attiecas Projektā ietvertais normatīvais regulējums</w:t>
                  </w:r>
                  <w:r w:rsidR="002C49AB">
                    <w:rPr>
                      <w:bCs/>
                    </w:rPr>
                    <w:t>, labvēlīg</w:t>
                  </w:r>
                  <w:r w:rsidR="00A75C98">
                    <w:rPr>
                      <w:bCs/>
                    </w:rPr>
                    <w:t>āk</w:t>
                  </w:r>
                  <w:r w:rsidR="002C49AB">
                    <w:rPr>
                      <w:bCs/>
                    </w:rPr>
                    <w:t xml:space="preserve">s. </w:t>
                  </w:r>
                </w:p>
              </w:tc>
            </w:tr>
          </w:tbl>
          <w:p w:rsidR="00795C81" w:rsidRPr="00744A58" w:rsidRDefault="00795C81" w:rsidP="00744A58">
            <w:pPr>
              <w:pStyle w:val="naiskr"/>
              <w:spacing w:before="0" w:after="120"/>
              <w:ind w:firstLine="552"/>
              <w:jc w:val="both"/>
              <w:rPr>
                <w:bCs/>
              </w:rPr>
            </w:pPr>
          </w:p>
        </w:tc>
      </w:tr>
      <w:tr w:rsidR="00846547" w:rsidRPr="007D058B" w:rsidTr="00CA0C68">
        <w:trPr>
          <w:tblCellSpacing w:w="0" w:type="dxa"/>
        </w:trPr>
        <w:tc>
          <w:tcPr>
            <w:tcW w:w="441"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lastRenderedPageBreak/>
              <w:t> 7.</w:t>
            </w:r>
          </w:p>
        </w:tc>
        <w:tc>
          <w:tcPr>
            <w:tcW w:w="2126" w:type="dxa"/>
            <w:tcBorders>
              <w:top w:val="outset" w:sz="6" w:space="0" w:color="auto"/>
              <w:left w:val="outset" w:sz="6" w:space="0" w:color="auto"/>
              <w:bottom w:val="outset" w:sz="6" w:space="0" w:color="auto"/>
              <w:right w:val="outset" w:sz="6" w:space="0" w:color="auto"/>
            </w:tcBorders>
          </w:tcPr>
          <w:p w:rsidR="00846547" w:rsidRPr="007D058B" w:rsidRDefault="00846547" w:rsidP="004C4A7F">
            <w:pPr>
              <w:pStyle w:val="naiskr"/>
              <w:spacing w:before="0" w:after="120"/>
            </w:pPr>
            <w:r w:rsidRPr="007D058B">
              <w:t> Cita informācija</w:t>
            </w:r>
          </w:p>
        </w:tc>
        <w:tc>
          <w:tcPr>
            <w:tcW w:w="6520" w:type="dxa"/>
            <w:tcBorders>
              <w:top w:val="outset" w:sz="6" w:space="0" w:color="auto"/>
              <w:left w:val="outset" w:sz="6" w:space="0" w:color="auto"/>
              <w:bottom w:val="outset" w:sz="6" w:space="0" w:color="auto"/>
              <w:right w:val="outset" w:sz="6" w:space="0" w:color="auto"/>
            </w:tcBorders>
          </w:tcPr>
          <w:p w:rsidR="002C49AB" w:rsidRPr="007D058B" w:rsidRDefault="00684D18" w:rsidP="00D10BF1">
            <w:pPr>
              <w:pStyle w:val="naiskr"/>
              <w:spacing w:before="0" w:after="120"/>
              <w:ind w:firstLine="694"/>
              <w:jc w:val="both"/>
            </w:pPr>
            <w:r>
              <w:t>P</w:t>
            </w:r>
            <w:r w:rsidRPr="00684D18">
              <w:t xml:space="preserve">rojektam ir jābūt apstiprinātam un publicētam oficiālajā izdevumā „Latvijas Vēstnesis” līdz </w:t>
            </w:r>
            <w:r w:rsidRPr="00684D18">
              <w:rPr>
                <w:i/>
              </w:rPr>
              <w:t>euro</w:t>
            </w:r>
            <w:r w:rsidRPr="00684D18">
              <w:t xml:space="preserve"> ieviešanas dienai.</w:t>
            </w:r>
            <w:r>
              <w:t xml:space="preserve"> </w:t>
            </w:r>
          </w:p>
        </w:tc>
      </w:tr>
    </w:tbl>
    <w:p w:rsidR="00D10BF1" w:rsidRPr="00692BEF" w:rsidRDefault="00D10BF1" w:rsidP="00692BEF">
      <w:pPr>
        <w:pStyle w:val="naisf"/>
        <w:ind w:firstLine="0"/>
      </w:pPr>
    </w:p>
    <w:tbl>
      <w:tblPr>
        <w:tblpPr w:leftFromText="180" w:rightFromText="180" w:vertAnchor="text" w:horzAnchor="margin" w:tblpXSpec="center" w:tblpY="149"/>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5954"/>
      </w:tblGrid>
      <w:tr w:rsidR="00692BEF" w:rsidRPr="00692BEF" w:rsidTr="00692BEF">
        <w:tc>
          <w:tcPr>
            <w:tcW w:w="9078" w:type="dxa"/>
            <w:gridSpan w:val="3"/>
            <w:vAlign w:val="center"/>
          </w:tcPr>
          <w:p w:rsidR="00692BEF" w:rsidRPr="00692BEF" w:rsidRDefault="00692BEF" w:rsidP="00692BEF">
            <w:pPr>
              <w:pStyle w:val="naisf"/>
              <w:jc w:val="center"/>
              <w:rPr>
                <w:b/>
                <w:bCs/>
              </w:rPr>
            </w:pPr>
            <w:r w:rsidRPr="00692BEF">
              <w:rPr>
                <w:b/>
                <w:bCs/>
              </w:rPr>
              <w:t>II. Tiesību akta projekta ietekme uz sabiedrību</w:t>
            </w:r>
          </w:p>
        </w:tc>
      </w:tr>
      <w:tr w:rsidR="00692BEF" w:rsidRPr="00692BEF" w:rsidTr="00692BEF">
        <w:trPr>
          <w:trHeight w:val="467"/>
        </w:trPr>
        <w:tc>
          <w:tcPr>
            <w:tcW w:w="431" w:type="dxa"/>
          </w:tcPr>
          <w:p w:rsidR="00692BEF" w:rsidRPr="00692BEF" w:rsidRDefault="00692BEF" w:rsidP="00692BEF">
            <w:pPr>
              <w:pStyle w:val="naisf"/>
              <w:ind w:right="-142" w:firstLine="140"/>
            </w:pPr>
            <w:r w:rsidRPr="00692BEF">
              <w:t>1.</w:t>
            </w:r>
          </w:p>
        </w:tc>
        <w:tc>
          <w:tcPr>
            <w:tcW w:w="2693" w:type="dxa"/>
          </w:tcPr>
          <w:p w:rsidR="00692BEF" w:rsidRPr="00692BEF" w:rsidRDefault="00692BEF" w:rsidP="00692BEF">
            <w:pPr>
              <w:pStyle w:val="naisf"/>
            </w:pPr>
            <w:r w:rsidRPr="00692BEF">
              <w:t>Sabiedrības mērķgrupa</w:t>
            </w:r>
          </w:p>
        </w:tc>
        <w:tc>
          <w:tcPr>
            <w:tcW w:w="5954" w:type="dxa"/>
          </w:tcPr>
          <w:p w:rsidR="00692BEF" w:rsidRDefault="00692BEF" w:rsidP="00692BEF">
            <w:pPr>
              <w:pStyle w:val="naisf"/>
              <w:ind w:left="39" w:right="142" w:firstLine="283"/>
              <w:rPr>
                <w:iCs/>
              </w:rPr>
            </w:pPr>
            <w:r w:rsidRPr="00692BEF">
              <w:rPr>
                <w:iCs/>
              </w:rPr>
              <w:t> </w:t>
            </w:r>
            <w:r>
              <w:rPr>
                <w:iCs/>
              </w:rPr>
              <w:t>Sabiedrības mērķgrupa ir personas, kuras vērsīsies pie zvērināta notāra ar lūgumu veikt kād</w:t>
            </w:r>
            <w:r w:rsidR="00733084">
              <w:rPr>
                <w:iCs/>
              </w:rPr>
              <w:t>as</w:t>
            </w:r>
            <w:r>
              <w:rPr>
                <w:iCs/>
              </w:rPr>
              <w:t xml:space="preserve"> notariāl</w:t>
            </w:r>
            <w:r w:rsidR="00733084">
              <w:rPr>
                <w:iCs/>
              </w:rPr>
              <w:t xml:space="preserve">ās </w:t>
            </w:r>
            <w:r>
              <w:rPr>
                <w:iCs/>
              </w:rPr>
              <w:t>darbīb</w:t>
            </w:r>
            <w:r w:rsidR="00733084">
              <w:rPr>
                <w:iCs/>
              </w:rPr>
              <w:t>as</w:t>
            </w:r>
            <w:r>
              <w:rPr>
                <w:iCs/>
              </w:rPr>
              <w:t xml:space="preserve"> un kurām attiecīgi būs jāmaksā zvērināta notāra amata atlīdzības takse</w:t>
            </w:r>
            <w:r w:rsidR="00733084">
              <w:rPr>
                <w:iCs/>
              </w:rPr>
              <w:t>s</w:t>
            </w:r>
            <w:r>
              <w:rPr>
                <w:iCs/>
              </w:rPr>
              <w:t xml:space="preserve">, kuru pašreiz latos noteiktos apmērus Projekts paredz noteikt </w:t>
            </w:r>
            <w:r w:rsidRPr="00692BEF">
              <w:rPr>
                <w:i/>
                <w:iCs/>
              </w:rPr>
              <w:t>euro</w:t>
            </w:r>
            <w:r>
              <w:rPr>
                <w:iCs/>
              </w:rPr>
              <w:t xml:space="preserve">. </w:t>
            </w:r>
          </w:p>
          <w:p w:rsidR="00692BEF" w:rsidRDefault="00692BEF" w:rsidP="00692BEF">
            <w:pPr>
              <w:pStyle w:val="naisf"/>
              <w:ind w:left="39" w:right="142" w:firstLine="283"/>
              <w:rPr>
                <w:iCs/>
              </w:rPr>
            </w:pPr>
            <w:r>
              <w:rPr>
                <w:iCs/>
              </w:rPr>
              <w:t>Ievērojot to, ka zvērināta notāra iesaiste (</w:t>
            </w:r>
            <w:proofErr w:type="spellStart"/>
            <w:r>
              <w:rPr>
                <w:iCs/>
              </w:rPr>
              <w:t>t.i</w:t>
            </w:r>
            <w:proofErr w:type="spellEnd"/>
            <w:r>
              <w:rPr>
                <w:iCs/>
              </w:rPr>
              <w:t>., nepieciešamība vērsties pie zvērināta notāra pēc tā sniegtās juridiskās palīdzības) ir paredzēta  dažādos procesos (</w:t>
            </w:r>
            <w:proofErr w:type="spellStart"/>
            <w:r w:rsidRPr="00692BEF">
              <w:rPr>
                <w:iCs/>
              </w:rPr>
              <w:t>piem</w:t>
            </w:r>
            <w:proofErr w:type="spellEnd"/>
            <w:r w:rsidRPr="00692BEF">
              <w:rPr>
                <w:iCs/>
              </w:rPr>
              <w:t xml:space="preserve">., dažādos procesos ir paredzēta paraksta īstuma notariāla apliecināšana, notariāli apliecinātas pilnvaras, notariāli apliecināts dokumenta atvasinājums </w:t>
            </w:r>
            <w:proofErr w:type="spellStart"/>
            <w:r w:rsidRPr="00692BEF">
              <w:rPr>
                <w:iCs/>
              </w:rPr>
              <w:t>u.c</w:t>
            </w:r>
            <w:proofErr w:type="spellEnd"/>
            <w:r w:rsidRPr="00692BEF">
              <w:rPr>
                <w:iCs/>
              </w:rPr>
              <w:t>. notariāli apliecinājumi)</w:t>
            </w:r>
            <w:r>
              <w:rPr>
                <w:iCs/>
              </w:rPr>
              <w:t xml:space="preserve">, </w:t>
            </w:r>
            <w:proofErr w:type="spellStart"/>
            <w:r>
              <w:rPr>
                <w:iCs/>
              </w:rPr>
              <w:t>t.sk</w:t>
            </w:r>
            <w:proofErr w:type="spellEnd"/>
            <w:r>
              <w:rPr>
                <w:iCs/>
              </w:rPr>
              <w:t>., daļā gadījumu vēršanās pie zvērināta notāra ir obligāta (</w:t>
            </w:r>
            <w:proofErr w:type="spellStart"/>
            <w:r>
              <w:rPr>
                <w:iCs/>
              </w:rPr>
              <w:t>piem</w:t>
            </w:r>
            <w:proofErr w:type="spellEnd"/>
            <w:r>
              <w:rPr>
                <w:iCs/>
              </w:rPr>
              <w:t>., bezstrīdus laulības šķiršanas lietās), savukārt citos gadījumos pastāv alternatīvas iespējas (</w:t>
            </w:r>
            <w:proofErr w:type="spellStart"/>
            <w:r>
              <w:rPr>
                <w:iCs/>
              </w:rPr>
              <w:t>piem</w:t>
            </w:r>
            <w:proofErr w:type="spellEnd"/>
            <w:r>
              <w:rPr>
                <w:iCs/>
              </w:rPr>
              <w:t xml:space="preserve">., vērsties bāriņtiesā </w:t>
            </w:r>
            <w:proofErr w:type="spellStart"/>
            <w:r>
              <w:rPr>
                <w:iCs/>
              </w:rPr>
              <w:t>u.c</w:t>
            </w:r>
            <w:proofErr w:type="spellEnd"/>
            <w:r>
              <w:rPr>
                <w:iCs/>
              </w:rPr>
              <w:t xml:space="preserve">. iespējas), kā arī ņemot vērā to, ka zvērināta notāra </w:t>
            </w:r>
            <w:r w:rsidR="00733084">
              <w:rPr>
                <w:iCs/>
              </w:rPr>
              <w:t>veiktās amata darbības</w:t>
            </w:r>
            <w:r>
              <w:rPr>
                <w:iCs/>
              </w:rPr>
              <w:t xml:space="preserve"> nav to pakalpojumu lokā, pēc kā personām būtu regulāra nepieciešamība, tad nav iespējams prognozēt, cik daudz personām būs nepieciešamība un/vai vēlme vērsties pie zvērināta notāra. Līdz ar to nav iespējams prognozēt, uz cik sabiedrības locekļiem būtu attiecināms Projektā ietvertais regulējums. </w:t>
            </w:r>
          </w:p>
          <w:p w:rsidR="00D10BF1" w:rsidRPr="00692BEF" w:rsidRDefault="00692BEF" w:rsidP="00D10BF1">
            <w:pPr>
              <w:pStyle w:val="naisf"/>
              <w:ind w:left="39" w:right="142" w:firstLine="283"/>
            </w:pPr>
            <w:r>
              <w:rPr>
                <w:iCs/>
              </w:rPr>
              <w:t xml:space="preserve">Tāpat arī Projektā ietvertais regulējums ir attiecināms uz visiem zvērinātiem notāriem, jo saskaņā ar Notariāta likuma 163. pantu par katru amata darbību zvērināti notāri ņem amata atlīdzību, kuras apmērus paredz Projektā ietvertais regulējums. Saskaņā ar Ministru kabineta 2005. gada 29. marta noteikumu </w:t>
            </w:r>
            <w:proofErr w:type="spellStart"/>
            <w:r>
              <w:rPr>
                <w:iCs/>
              </w:rPr>
              <w:t>Nr</w:t>
            </w:r>
            <w:proofErr w:type="spellEnd"/>
            <w:r>
              <w:rPr>
                <w:iCs/>
              </w:rPr>
              <w:t xml:space="preserve">. 215 „Noteikumi par zvērinātu notāru amata vietām” 2. punktu Latvijas Republikā ir noteiktas 125 </w:t>
            </w:r>
            <w:r>
              <w:t xml:space="preserve">zvērinātu notāru amata vietas. </w:t>
            </w:r>
          </w:p>
        </w:tc>
      </w:tr>
      <w:tr w:rsidR="00692BEF" w:rsidRPr="00692BEF" w:rsidTr="00692BEF">
        <w:trPr>
          <w:trHeight w:val="523"/>
        </w:trPr>
        <w:tc>
          <w:tcPr>
            <w:tcW w:w="431" w:type="dxa"/>
          </w:tcPr>
          <w:p w:rsidR="00692BEF" w:rsidRPr="00692BEF" w:rsidRDefault="00692BEF" w:rsidP="00692BEF">
            <w:pPr>
              <w:pStyle w:val="naisf"/>
              <w:ind w:right="-142" w:firstLine="140"/>
            </w:pPr>
            <w:r w:rsidRPr="00692BEF">
              <w:t>2.</w:t>
            </w:r>
          </w:p>
        </w:tc>
        <w:tc>
          <w:tcPr>
            <w:tcW w:w="2693" w:type="dxa"/>
          </w:tcPr>
          <w:p w:rsidR="00692BEF" w:rsidRPr="00692BEF" w:rsidRDefault="00692BEF" w:rsidP="00B8680B">
            <w:pPr>
              <w:pStyle w:val="naisf"/>
              <w:ind w:right="142"/>
            </w:pPr>
            <w:r w:rsidRPr="00692BEF">
              <w:t>Citas sabiedrības grupas (bez mērķgrupas), kuras tiesiskais regulējums arī ietekmē vai varētu ietekmēt</w:t>
            </w:r>
          </w:p>
        </w:tc>
        <w:tc>
          <w:tcPr>
            <w:tcW w:w="5954" w:type="dxa"/>
          </w:tcPr>
          <w:p w:rsidR="00692BEF" w:rsidRPr="00692BEF" w:rsidRDefault="00692BEF" w:rsidP="00692BEF">
            <w:pPr>
              <w:pStyle w:val="naisf"/>
            </w:pPr>
            <w:r>
              <w:t xml:space="preserve">Nav. </w:t>
            </w:r>
          </w:p>
        </w:tc>
      </w:tr>
      <w:tr w:rsidR="00692BEF" w:rsidRPr="00692BEF" w:rsidTr="00692BEF">
        <w:trPr>
          <w:trHeight w:val="517"/>
        </w:trPr>
        <w:tc>
          <w:tcPr>
            <w:tcW w:w="431" w:type="dxa"/>
          </w:tcPr>
          <w:p w:rsidR="00692BEF" w:rsidRPr="00692BEF" w:rsidRDefault="00692BEF" w:rsidP="00692BEF">
            <w:pPr>
              <w:pStyle w:val="naisf"/>
              <w:ind w:right="-142" w:firstLine="140"/>
            </w:pPr>
            <w:r w:rsidRPr="00692BEF">
              <w:t>3.</w:t>
            </w:r>
          </w:p>
        </w:tc>
        <w:tc>
          <w:tcPr>
            <w:tcW w:w="2693" w:type="dxa"/>
          </w:tcPr>
          <w:p w:rsidR="00692BEF" w:rsidRPr="00692BEF" w:rsidRDefault="00692BEF" w:rsidP="00B8680B">
            <w:pPr>
              <w:pStyle w:val="naisf"/>
              <w:ind w:right="142"/>
            </w:pPr>
            <w:r w:rsidRPr="00692BEF">
              <w:t>Tiesiskā regulējuma finansiālā ietekme</w:t>
            </w:r>
          </w:p>
        </w:tc>
        <w:tc>
          <w:tcPr>
            <w:tcW w:w="5954" w:type="dxa"/>
          </w:tcPr>
          <w:p w:rsidR="00692BEF" w:rsidRPr="00692BEF" w:rsidRDefault="00692BEF" w:rsidP="00B8680B">
            <w:pPr>
              <w:pStyle w:val="naisf"/>
              <w:ind w:right="142"/>
              <w:rPr>
                <w:iCs/>
              </w:rPr>
            </w:pPr>
            <w:r>
              <w:rPr>
                <w:iCs/>
              </w:rPr>
              <w:t>Ievērojot to, ka ar Projektā ietverto regulējumu netiek pēc būtības pārskatīti zvērinātu notāru amata atlīdzības taksu apmēri</w:t>
            </w:r>
            <w:r w:rsidR="007A0CDC">
              <w:rPr>
                <w:iCs/>
              </w:rPr>
              <w:t xml:space="preserve">, kā arī ņemot vērā </w:t>
            </w:r>
            <w:r w:rsidR="007A0CDC" w:rsidRPr="007A0CDC">
              <w:rPr>
                <w:iCs/>
              </w:rPr>
              <w:t xml:space="preserve">latu aizstāšanai ar </w:t>
            </w:r>
            <w:r w:rsidR="007A0CDC" w:rsidRPr="007A0CDC">
              <w:rPr>
                <w:i/>
                <w:iCs/>
              </w:rPr>
              <w:t>euro</w:t>
            </w:r>
            <w:r w:rsidR="007A0CDC" w:rsidRPr="007A0CDC">
              <w:rPr>
                <w:iCs/>
              </w:rPr>
              <w:t xml:space="preserve"> pielietotās metodes </w:t>
            </w:r>
            <w:r w:rsidR="007A0CDC">
              <w:rPr>
                <w:iCs/>
              </w:rPr>
              <w:t>(skatīt I sadaļas 4. punktā) un</w:t>
            </w:r>
            <w:r>
              <w:rPr>
                <w:iCs/>
              </w:rPr>
              <w:t xml:space="preserve"> </w:t>
            </w:r>
            <w:r w:rsidRPr="00692BEF">
              <w:rPr>
                <w:iCs/>
              </w:rPr>
              <w:t xml:space="preserve">to, ka zvērināta notāra </w:t>
            </w:r>
            <w:r w:rsidR="00733084">
              <w:rPr>
                <w:iCs/>
              </w:rPr>
              <w:t>veiktās amata darbības</w:t>
            </w:r>
            <w:r w:rsidRPr="00692BEF">
              <w:rPr>
                <w:iCs/>
              </w:rPr>
              <w:t xml:space="preserve"> nav to pakalpojumu lokā, pēc kā personām būtu regulāra nepieciešamība,</w:t>
            </w:r>
            <w:r w:rsidR="007A0CDC">
              <w:rPr>
                <w:iCs/>
              </w:rPr>
              <w:t xml:space="preserve"> tad attiecībā uz </w:t>
            </w:r>
            <w:r w:rsidR="007A0CDC" w:rsidRPr="007A0CDC">
              <w:rPr>
                <w:iCs/>
              </w:rPr>
              <w:t>person</w:t>
            </w:r>
            <w:r w:rsidR="007A0CDC">
              <w:rPr>
                <w:iCs/>
              </w:rPr>
              <w:t>ām</w:t>
            </w:r>
            <w:r w:rsidR="007A0CDC" w:rsidRPr="007A0CDC">
              <w:rPr>
                <w:iCs/>
              </w:rPr>
              <w:t>, kuras vērsīsies pie zvērināta notāra ar lūgumu veikt kādu notariālo darbību</w:t>
            </w:r>
            <w:r w:rsidR="007A0CDC">
              <w:rPr>
                <w:iCs/>
              </w:rPr>
              <w:t xml:space="preserve">, vai nu nav </w:t>
            </w:r>
            <w:r w:rsidR="007A0CDC">
              <w:rPr>
                <w:iCs/>
              </w:rPr>
              <w:lastRenderedPageBreak/>
              <w:t>finansiālās ietekmes vai arī atsevišķos gadījumos tā ir nebūtiska</w:t>
            </w:r>
            <w:r w:rsidR="00D10BF1">
              <w:rPr>
                <w:iCs/>
              </w:rPr>
              <w:t>,</w:t>
            </w:r>
            <w:r w:rsidR="007A0CDC">
              <w:rPr>
                <w:iCs/>
              </w:rPr>
              <w:t xml:space="preserve"> vai arī labvēlīgāka salīdzinājumā ar pašreiz spēkā esošo regulējumu. </w:t>
            </w:r>
          </w:p>
          <w:p w:rsidR="00D10BF1" w:rsidRPr="007A0CDC" w:rsidRDefault="007A0CDC" w:rsidP="00D10BF1">
            <w:pPr>
              <w:pStyle w:val="naisf"/>
              <w:ind w:right="142"/>
              <w:rPr>
                <w:iCs/>
              </w:rPr>
            </w:pPr>
            <w:r w:rsidRPr="007A0CDC">
              <w:rPr>
                <w:iCs/>
              </w:rPr>
              <w:t xml:space="preserve">Ievērojot to, ka ar Projektā ietverto regulējumu netiek pēc būtības pārskatīti zvērinātu notāru amata atlīdzības taksu apmēri, kā arī ņemot vērā latu aizstāšanai ar </w:t>
            </w:r>
            <w:r w:rsidRPr="007A0CDC">
              <w:rPr>
                <w:i/>
                <w:iCs/>
              </w:rPr>
              <w:t>euro</w:t>
            </w:r>
            <w:r w:rsidRPr="007A0CDC">
              <w:rPr>
                <w:iCs/>
              </w:rPr>
              <w:t xml:space="preserve"> pielietotās metodes (skatīt I sadaļas 4. punktā) un to</w:t>
            </w:r>
            <w:r>
              <w:rPr>
                <w:iCs/>
              </w:rPr>
              <w:t>, ka nav iespējams prognozēt, kuras notariālās darbības</w:t>
            </w:r>
            <w:r w:rsidR="00733084">
              <w:rPr>
                <w:iCs/>
              </w:rPr>
              <w:t>,</w:t>
            </w:r>
            <w:r>
              <w:rPr>
                <w:iCs/>
              </w:rPr>
              <w:t xml:space="preserve"> cik bieži </w:t>
            </w:r>
            <w:r w:rsidR="00733084">
              <w:rPr>
                <w:iCs/>
              </w:rPr>
              <w:t xml:space="preserve">un </w:t>
            </w:r>
            <w:r>
              <w:rPr>
                <w:iCs/>
              </w:rPr>
              <w:t>kuram zvērinātam notāram tiks lūgtas veikt, tad prognozējams, ka attiecībā uz zvērinātu notāru ieņēmumiem f</w:t>
            </w:r>
            <w:r w:rsidR="00D10BF1">
              <w:rPr>
                <w:iCs/>
              </w:rPr>
              <w:t xml:space="preserve">inansiālas ietekmes kopumā nav. </w:t>
            </w:r>
          </w:p>
        </w:tc>
      </w:tr>
      <w:tr w:rsidR="00692BEF" w:rsidRPr="00692BEF" w:rsidTr="00692BEF">
        <w:trPr>
          <w:trHeight w:val="517"/>
        </w:trPr>
        <w:tc>
          <w:tcPr>
            <w:tcW w:w="431" w:type="dxa"/>
          </w:tcPr>
          <w:p w:rsidR="00692BEF" w:rsidRPr="00692BEF" w:rsidRDefault="00692BEF" w:rsidP="00692BEF">
            <w:pPr>
              <w:pStyle w:val="naisf"/>
              <w:ind w:right="-142" w:firstLine="140"/>
            </w:pPr>
            <w:r w:rsidRPr="00692BEF">
              <w:lastRenderedPageBreak/>
              <w:t>4.</w:t>
            </w:r>
          </w:p>
        </w:tc>
        <w:tc>
          <w:tcPr>
            <w:tcW w:w="2693" w:type="dxa"/>
          </w:tcPr>
          <w:p w:rsidR="00692BEF" w:rsidRPr="00692BEF" w:rsidRDefault="00692BEF" w:rsidP="00B8680B">
            <w:pPr>
              <w:pStyle w:val="naisf"/>
              <w:ind w:right="142"/>
            </w:pPr>
            <w:r w:rsidRPr="00692BEF">
              <w:t>Tiesiskā regulējuma nefinansiālā ietekme</w:t>
            </w:r>
          </w:p>
        </w:tc>
        <w:tc>
          <w:tcPr>
            <w:tcW w:w="5954" w:type="dxa"/>
          </w:tcPr>
          <w:p w:rsidR="00692BEF" w:rsidRPr="00692BEF" w:rsidRDefault="00692BEF" w:rsidP="00692BEF">
            <w:pPr>
              <w:pStyle w:val="naisf"/>
            </w:pPr>
            <w:r>
              <w:rPr>
                <w:iCs/>
              </w:rPr>
              <w:t xml:space="preserve">Nav </w:t>
            </w:r>
          </w:p>
        </w:tc>
      </w:tr>
      <w:tr w:rsidR="00692BEF" w:rsidRPr="00692BEF" w:rsidTr="00692BEF">
        <w:trPr>
          <w:trHeight w:val="531"/>
        </w:trPr>
        <w:tc>
          <w:tcPr>
            <w:tcW w:w="431" w:type="dxa"/>
          </w:tcPr>
          <w:p w:rsidR="00692BEF" w:rsidRPr="00692BEF" w:rsidRDefault="00692BEF" w:rsidP="00692BEF">
            <w:pPr>
              <w:pStyle w:val="naisf"/>
              <w:ind w:right="-142" w:firstLine="140"/>
            </w:pPr>
            <w:r w:rsidRPr="00692BEF">
              <w:t>5.</w:t>
            </w:r>
          </w:p>
        </w:tc>
        <w:tc>
          <w:tcPr>
            <w:tcW w:w="2693" w:type="dxa"/>
          </w:tcPr>
          <w:p w:rsidR="00692BEF" w:rsidRPr="00692BEF" w:rsidRDefault="00692BEF" w:rsidP="00B8680B">
            <w:pPr>
              <w:pStyle w:val="naisf"/>
              <w:ind w:right="142"/>
            </w:pPr>
            <w:r w:rsidRPr="00692BEF">
              <w:t>Administratīvās procedūras raksturojums</w:t>
            </w:r>
          </w:p>
        </w:tc>
        <w:tc>
          <w:tcPr>
            <w:tcW w:w="5954" w:type="dxa"/>
          </w:tcPr>
          <w:p w:rsidR="00692BEF" w:rsidRPr="00692BEF" w:rsidRDefault="001B2D48" w:rsidP="00692BEF">
            <w:pPr>
              <w:pStyle w:val="naisf"/>
            </w:pPr>
            <w:r>
              <w:rPr>
                <w:iCs/>
              </w:rPr>
              <w:t xml:space="preserve">Projekts šo jomu neskar </w:t>
            </w:r>
            <w:r w:rsidR="00692BEF">
              <w:rPr>
                <w:iCs/>
              </w:rPr>
              <w:t xml:space="preserve"> </w:t>
            </w:r>
          </w:p>
        </w:tc>
      </w:tr>
      <w:tr w:rsidR="00692BEF" w:rsidRPr="00692BEF" w:rsidTr="00692BEF">
        <w:trPr>
          <w:trHeight w:val="357"/>
        </w:trPr>
        <w:tc>
          <w:tcPr>
            <w:tcW w:w="431" w:type="dxa"/>
          </w:tcPr>
          <w:p w:rsidR="00692BEF" w:rsidRPr="00692BEF" w:rsidRDefault="00692BEF" w:rsidP="00692BEF">
            <w:pPr>
              <w:pStyle w:val="naisf"/>
              <w:ind w:right="-142" w:firstLine="140"/>
            </w:pPr>
            <w:r w:rsidRPr="00692BEF">
              <w:t>6.</w:t>
            </w:r>
          </w:p>
        </w:tc>
        <w:tc>
          <w:tcPr>
            <w:tcW w:w="2693" w:type="dxa"/>
          </w:tcPr>
          <w:p w:rsidR="00692BEF" w:rsidRPr="00692BEF" w:rsidRDefault="00692BEF" w:rsidP="00B8680B">
            <w:pPr>
              <w:pStyle w:val="naisf"/>
              <w:ind w:right="142"/>
            </w:pPr>
            <w:r w:rsidRPr="00692BEF">
              <w:t>Administratīvo izmaksu monetārs novērtējums</w:t>
            </w:r>
          </w:p>
        </w:tc>
        <w:tc>
          <w:tcPr>
            <w:tcW w:w="5954" w:type="dxa"/>
          </w:tcPr>
          <w:p w:rsidR="00692BEF" w:rsidRPr="00692BEF" w:rsidRDefault="001B2D48" w:rsidP="00692BEF">
            <w:pPr>
              <w:pStyle w:val="naisf"/>
            </w:pPr>
            <w:r>
              <w:rPr>
                <w:iCs/>
              </w:rPr>
              <w:t xml:space="preserve">Projekts šo jomu neskar </w:t>
            </w:r>
            <w:r w:rsidR="00692BEF">
              <w:rPr>
                <w:iCs/>
              </w:rPr>
              <w:t xml:space="preserve"> </w:t>
            </w:r>
          </w:p>
        </w:tc>
      </w:tr>
      <w:tr w:rsidR="00692BEF" w:rsidRPr="00692BEF" w:rsidTr="00692BEF">
        <w:tc>
          <w:tcPr>
            <w:tcW w:w="431" w:type="dxa"/>
          </w:tcPr>
          <w:p w:rsidR="00692BEF" w:rsidRPr="00692BEF" w:rsidRDefault="00692BEF" w:rsidP="00692BEF">
            <w:pPr>
              <w:pStyle w:val="naisf"/>
              <w:ind w:right="-142" w:firstLine="140"/>
            </w:pPr>
            <w:r w:rsidRPr="00692BEF">
              <w:t>7.</w:t>
            </w:r>
          </w:p>
        </w:tc>
        <w:tc>
          <w:tcPr>
            <w:tcW w:w="2693" w:type="dxa"/>
          </w:tcPr>
          <w:p w:rsidR="00692BEF" w:rsidRPr="00692BEF" w:rsidRDefault="00692BEF" w:rsidP="00692BEF">
            <w:pPr>
              <w:pStyle w:val="naisf"/>
            </w:pPr>
            <w:r w:rsidRPr="00692BEF">
              <w:t>Cita informācija</w:t>
            </w:r>
          </w:p>
        </w:tc>
        <w:tc>
          <w:tcPr>
            <w:tcW w:w="5954" w:type="dxa"/>
          </w:tcPr>
          <w:p w:rsidR="00692BEF" w:rsidRPr="00692BEF" w:rsidRDefault="00692BEF" w:rsidP="00692BEF">
            <w:pPr>
              <w:pStyle w:val="naisf"/>
            </w:pPr>
            <w:r w:rsidRPr="00692BEF">
              <w:t>Nav</w:t>
            </w:r>
          </w:p>
        </w:tc>
      </w:tr>
    </w:tbl>
    <w:p w:rsidR="00692BEF" w:rsidRPr="00692BEF" w:rsidRDefault="00692BEF" w:rsidP="00692BEF">
      <w:pPr>
        <w:pStyle w:val="naisf"/>
        <w:ind w:firstLine="0"/>
      </w:pPr>
    </w:p>
    <w:tbl>
      <w:tblPr>
        <w:tblW w:w="9012"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
        <w:gridCol w:w="2986"/>
        <w:gridCol w:w="5589"/>
      </w:tblGrid>
      <w:tr w:rsidR="00CA0C68" w:rsidRPr="00CA0C68" w:rsidTr="00CA0C68">
        <w:trPr>
          <w:jc w:val="center"/>
        </w:trPr>
        <w:tc>
          <w:tcPr>
            <w:tcW w:w="9012" w:type="dxa"/>
            <w:gridSpan w:val="3"/>
            <w:tcBorders>
              <w:top w:val="single" w:sz="4" w:space="0" w:color="auto"/>
              <w:left w:val="single" w:sz="4" w:space="0" w:color="auto"/>
              <w:bottom w:val="single" w:sz="4" w:space="0" w:color="auto"/>
              <w:right w:val="single" w:sz="4" w:space="0" w:color="auto"/>
            </w:tcBorders>
            <w:hideMark/>
          </w:tcPr>
          <w:p w:rsidR="00CA0C68" w:rsidRPr="00CA0C68" w:rsidRDefault="00CA0C68" w:rsidP="00CA0C68">
            <w:pPr>
              <w:spacing w:before="75" w:after="75"/>
              <w:ind w:firstLine="374"/>
              <w:jc w:val="center"/>
              <w:rPr>
                <w:b/>
                <w:bCs/>
              </w:rPr>
            </w:pPr>
            <w:r w:rsidRPr="00CA0C68">
              <w:rPr>
                <w:b/>
                <w:bCs/>
              </w:rPr>
              <w:t>VI. Sabiedrības līdzdalība un šīs līdzdalības rezultāti</w:t>
            </w:r>
          </w:p>
        </w:tc>
      </w:tr>
      <w:tr w:rsidR="00CA0C68" w:rsidRPr="00CA0C68" w:rsidTr="00CA0C68">
        <w:trPr>
          <w:trHeight w:val="553"/>
          <w:jc w:val="center"/>
        </w:trPr>
        <w:tc>
          <w:tcPr>
            <w:tcW w:w="437" w:type="dxa"/>
            <w:tcBorders>
              <w:top w:val="single" w:sz="4" w:space="0" w:color="auto"/>
              <w:left w:val="single" w:sz="4" w:space="0" w:color="auto"/>
              <w:bottom w:val="single" w:sz="4" w:space="0" w:color="auto"/>
              <w:right w:val="single" w:sz="4" w:space="0" w:color="auto"/>
            </w:tcBorders>
            <w:hideMark/>
          </w:tcPr>
          <w:p w:rsidR="00CA0C68" w:rsidRPr="00CA0C68" w:rsidRDefault="00CA0C68" w:rsidP="00CA0C68">
            <w:pPr>
              <w:spacing w:before="75" w:after="75"/>
              <w:ind w:firstLine="147"/>
              <w:jc w:val="both"/>
              <w:rPr>
                <w:bCs/>
              </w:rPr>
            </w:pPr>
            <w:r w:rsidRPr="00CA0C68">
              <w:rPr>
                <w:bCs/>
              </w:rPr>
              <w:t>1.</w:t>
            </w:r>
          </w:p>
        </w:tc>
        <w:tc>
          <w:tcPr>
            <w:tcW w:w="2986" w:type="dxa"/>
            <w:tcBorders>
              <w:top w:val="single" w:sz="4" w:space="0" w:color="auto"/>
              <w:left w:val="single" w:sz="4" w:space="0" w:color="auto"/>
              <w:bottom w:val="single" w:sz="4" w:space="0" w:color="auto"/>
              <w:right w:val="single" w:sz="4" w:space="0" w:color="auto"/>
            </w:tcBorders>
            <w:hideMark/>
          </w:tcPr>
          <w:p w:rsidR="00CA0C68" w:rsidRPr="00CA0C68" w:rsidRDefault="00CA0C68" w:rsidP="00CA0C68">
            <w:pPr>
              <w:spacing w:before="75" w:after="75"/>
              <w:ind w:left="135" w:right="125" w:firstLine="239"/>
              <w:jc w:val="both"/>
            </w:pPr>
            <w:r w:rsidRPr="00CA0C68">
              <w:t>Sabiedrības informēšana par projekta izstrādes uzsākšanu</w:t>
            </w:r>
          </w:p>
        </w:tc>
        <w:tc>
          <w:tcPr>
            <w:tcW w:w="5589" w:type="dxa"/>
            <w:tcBorders>
              <w:top w:val="single" w:sz="4" w:space="0" w:color="auto"/>
              <w:left w:val="single" w:sz="4" w:space="0" w:color="auto"/>
              <w:bottom w:val="single" w:sz="4" w:space="0" w:color="auto"/>
              <w:right w:val="single" w:sz="4" w:space="0" w:color="auto"/>
            </w:tcBorders>
            <w:hideMark/>
          </w:tcPr>
          <w:p w:rsidR="00CA0C68" w:rsidRPr="00CA0C68" w:rsidRDefault="00CA0C68" w:rsidP="00CA0C68">
            <w:pPr>
              <w:spacing w:before="75" w:after="75"/>
              <w:ind w:left="159" w:right="286" w:firstLine="215"/>
              <w:jc w:val="both"/>
            </w:pPr>
            <w:r w:rsidRPr="00CA0C68">
              <w:t>Projekts šo jomu neskar</w:t>
            </w:r>
          </w:p>
        </w:tc>
      </w:tr>
      <w:tr w:rsidR="00CA0C68" w:rsidRPr="00CA0C68" w:rsidTr="00CA0C68">
        <w:trPr>
          <w:trHeight w:val="339"/>
          <w:jc w:val="center"/>
        </w:trPr>
        <w:tc>
          <w:tcPr>
            <w:tcW w:w="437" w:type="dxa"/>
            <w:tcBorders>
              <w:top w:val="single" w:sz="4" w:space="0" w:color="auto"/>
              <w:left w:val="single" w:sz="4" w:space="0" w:color="auto"/>
              <w:bottom w:val="single" w:sz="4" w:space="0" w:color="auto"/>
              <w:right w:val="single" w:sz="4" w:space="0" w:color="auto"/>
            </w:tcBorders>
            <w:hideMark/>
          </w:tcPr>
          <w:p w:rsidR="00CA0C68" w:rsidRPr="00CA0C68" w:rsidRDefault="00CA0C68" w:rsidP="00CA0C68">
            <w:pPr>
              <w:spacing w:before="75" w:after="75"/>
              <w:ind w:firstLine="147"/>
              <w:jc w:val="both"/>
              <w:rPr>
                <w:bCs/>
              </w:rPr>
            </w:pPr>
            <w:r w:rsidRPr="00CA0C68">
              <w:rPr>
                <w:bCs/>
              </w:rPr>
              <w:t>2.</w:t>
            </w:r>
          </w:p>
        </w:tc>
        <w:tc>
          <w:tcPr>
            <w:tcW w:w="2986" w:type="dxa"/>
            <w:tcBorders>
              <w:top w:val="single" w:sz="4" w:space="0" w:color="auto"/>
              <w:left w:val="single" w:sz="4" w:space="0" w:color="auto"/>
              <w:bottom w:val="single" w:sz="4" w:space="0" w:color="auto"/>
              <w:right w:val="single" w:sz="4" w:space="0" w:color="auto"/>
            </w:tcBorders>
            <w:hideMark/>
          </w:tcPr>
          <w:p w:rsidR="00CA0C68" w:rsidRPr="00CA0C68" w:rsidRDefault="00CA0C68" w:rsidP="00CA0C68">
            <w:pPr>
              <w:spacing w:before="75" w:after="75"/>
              <w:ind w:left="135" w:right="125" w:firstLine="239"/>
              <w:jc w:val="both"/>
            </w:pPr>
            <w:r w:rsidRPr="00CA0C68">
              <w:t xml:space="preserve">Sabiedrības līdzdalība projekta izstrādē </w:t>
            </w:r>
          </w:p>
        </w:tc>
        <w:tc>
          <w:tcPr>
            <w:tcW w:w="5589" w:type="dxa"/>
            <w:tcBorders>
              <w:top w:val="single" w:sz="4" w:space="0" w:color="auto"/>
              <w:left w:val="single" w:sz="4" w:space="0" w:color="auto"/>
              <w:bottom w:val="single" w:sz="4" w:space="0" w:color="auto"/>
              <w:right w:val="single" w:sz="4" w:space="0" w:color="auto"/>
            </w:tcBorders>
            <w:hideMark/>
          </w:tcPr>
          <w:p w:rsidR="00CA0C68" w:rsidRPr="00CA0C68" w:rsidRDefault="00CA0C68" w:rsidP="00CA0C68">
            <w:pPr>
              <w:spacing w:before="75" w:after="75"/>
              <w:ind w:left="159" w:right="286" w:firstLine="215"/>
              <w:jc w:val="both"/>
            </w:pPr>
            <w:r w:rsidRPr="00CA0C68">
              <w:t xml:space="preserve">Projekta sagatavošanas procesā Latvijas Zvērinātu notāru padome ir lūgta izteikt viedokli par Projektu. </w:t>
            </w:r>
          </w:p>
        </w:tc>
      </w:tr>
      <w:tr w:rsidR="00CA0C68" w:rsidRPr="00CA0C68" w:rsidTr="00CA0C68">
        <w:trPr>
          <w:trHeight w:val="375"/>
          <w:jc w:val="center"/>
        </w:trPr>
        <w:tc>
          <w:tcPr>
            <w:tcW w:w="437" w:type="dxa"/>
            <w:tcBorders>
              <w:top w:val="single" w:sz="4" w:space="0" w:color="auto"/>
              <w:left w:val="single" w:sz="4" w:space="0" w:color="auto"/>
              <w:bottom w:val="single" w:sz="4" w:space="0" w:color="auto"/>
              <w:right w:val="single" w:sz="4" w:space="0" w:color="auto"/>
            </w:tcBorders>
            <w:hideMark/>
          </w:tcPr>
          <w:p w:rsidR="00CA0C68" w:rsidRPr="00CA0C68" w:rsidRDefault="00CA0C68" w:rsidP="00CA0C68">
            <w:pPr>
              <w:spacing w:before="75" w:after="75"/>
              <w:ind w:firstLine="147"/>
              <w:jc w:val="both"/>
              <w:rPr>
                <w:bCs/>
              </w:rPr>
            </w:pPr>
            <w:r w:rsidRPr="00CA0C68">
              <w:rPr>
                <w:bCs/>
              </w:rPr>
              <w:t>3.</w:t>
            </w:r>
          </w:p>
        </w:tc>
        <w:tc>
          <w:tcPr>
            <w:tcW w:w="2986" w:type="dxa"/>
            <w:tcBorders>
              <w:top w:val="single" w:sz="4" w:space="0" w:color="auto"/>
              <w:left w:val="single" w:sz="4" w:space="0" w:color="auto"/>
              <w:bottom w:val="single" w:sz="4" w:space="0" w:color="auto"/>
              <w:right w:val="single" w:sz="4" w:space="0" w:color="auto"/>
            </w:tcBorders>
            <w:hideMark/>
          </w:tcPr>
          <w:p w:rsidR="00CA0C68" w:rsidRPr="00CA0C68" w:rsidRDefault="00CA0C68" w:rsidP="00CA0C68">
            <w:pPr>
              <w:spacing w:before="75" w:after="75"/>
              <w:ind w:left="135" w:right="125" w:firstLine="239"/>
              <w:jc w:val="both"/>
            </w:pPr>
            <w:r w:rsidRPr="00CA0C68">
              <w:t xml:space="preserve">Sabiedrības līdzdalības rezultāti </w:t>
            </w:r>
          </w:p>
        </w:tc>
        <w:tc>
          <w:tcPr>
            <w:tcW w:w="5589" w:type="dxa"/>
            <w:tcBorders>
              <w:top w:val="single" w:sz="4" w:space="0" w:color="auto"/>
              <w:left w:val="single" w:sz="4" w:space="0" w:color="auto"/>
              <w:bottom w:val="single" w:sz="4" w:space="0" w:color="auto"/>
              <w:right w:val="single" w:sz="4" w:space="0" w:color="auto"/>
            </w:tcBorders>
            <w:hideMark/>
          </w:tcPr>
          <w:p w:rsidR="00CA0C68" w:rsidRPr="00CA0C68" w:rsidRDefault="00CA0C68" w:rsidP="00CA0C68">
            <w:pPr>
              <w:spacing w:before="75" w:after="75"/>
              <w:ind w:left="159" w:right="286" w:firstLine="215"/>
              <w:jc w:val="both"/>
            </w:pPr>
            <w:r w:rsidRPr="00CA0C68">
              <w:t xml:space="preserve">Latvijas Zvērinātu notāru padome atbalsta Projektu un tā anotāciju. </w:t>
            </w:r>
          </w:p>
        </w:tc>
      </w:tr>
      <w:tr w:rsidR="00CA0C68" w:rsidRPr="00CA0C68" w:rsidTr="00CA0C68">
        <w:trPr>
          <w:trHeight w:val="397"/>
          <w:jc w:val="center"/>
        </w:trPr>
        <w:tc>
          <w:tcPr>
            <w:tcW w:w="437" w:type="dxa"/>
            <w:tcBorders>
              <w:top w:val="single" w:sz="4" w:space="0" w:color="auto"/>
              <w:left w:val="single" w:sz="4" w:space="0" w:color="auto"/>
              <w:bottom w:val="single" w:sz="4" w:space="0" w:color="auto"/>
              <w:right w:val="single" w:sz="4" w:space="0" w:color="auto"/>
            </w:tcBorders>
            <w:hideMark/>
          </w:tcPr>
          <w:p w:rsidR="00CA0C68" w:rsidRPr="00CA0C68" w:rsidRDefault="00CA0C68" w:rsidP="00CA0C68">
            <w:pPr>
              <w:spacing w:before="75" w:after="75"/>
              <w:ind w:firstLine="147"/>
              <w:jc w:val="both"/>
              <w:rPr>
                <w:bCs/>
              </w:rPr>
            </w:pPr>
            <w:r w:rsidRPr="00CA0C68">
              <w:rPr>
                <w:bCs/>
              </w:rPr>
              <w:t>4.</w:t>
            </w:r>
          </w:p>
        </w:tc>
        <w:tc>
          <w:tcPr>
            <w:tcW w:w="2986" w:type="dxa"/>
            <w:tcBorders>
              <w:top w:val="single" w:sz="4" w:space="0" w:color="auto"/>
              <w:left w:val="single" w:sz="4" w:space="0" w:color="auto"/>
              <w:bottom w:val="single" w:sz="4" w:space="0" w:color="auto"/>
              <w:right w:val="single" w:sz="4" w:space="0" w:color="auto"/>
            </w:tcBorders>
            <w:hideMark/>
          </w:tcPr>
          <w:p w:rsidR="00CA0C68" w:rsidRPr="00CA0C68" w:rsidRDefault="00CA0C68" w:rsidP="00CA0C68">
            <w:pPr>
              <w:spacing w:before="75" w:after="75"/>
              <w:ind w:left="135" w:right="125" w:firstLine="239"/>
              <w:jc w:val="both"/>
            </w:pPr>
            <w:r w:rsidRPr="00CA0C68">
              <w:t>Saeimas un ekspertu līdzdalība</w:t>
            </w:r>
          </w:p>
        </w:tc>
        <w:tc>
          <w:tcPr>
            <w:tcW w:w="5589" w:type="dxa"/>
            <w:tcBorders>
              <w:top w:val="single" w:sz="4" w:space="0" w:color="auto"/>
              <w:left w:val="single" w:sz="4" w:space="0" w:color="auto"/>
              <w:bottom w:val="single" w:sz="4" w:space="0" w:color="auto"/>
              <w:right w:val="single" w:sz="4" w:space="0" w:color="auto"/>
            </w:tcBorders>
            <w:hideMark/>
          </w:tcPr>
          <w:p w:rsidR="00CA0C68" w:rsidRPr="00CA0C68" w:rsidRDefault="00CA0C68" w:rsidP="00CA0C68">
            <w:pPr>
              <w:spacing w:before="75" w:after="75"/>
              <w:ind w:left="159" w:right="214" w:firstLine="215"/>
              <w:jc w:val="both"/>
            </w:pPr>
            <w:r w:rsidRPr="00CA0C68">
              <w:t xml:space="preserve">Projekts šo jomu neskar </w:t>
            </w:r>
          </w:p>
        </w:tc>
      </w:tr>
      <w:tr w:rsidR="00CA0C68" w:rsidRPr="00CA0C68" w:rsidTr="00CA0C68">
        <w:trPr>
          <w:trHeight w:val="578"/>
          <w:jc w:val="center"/>
        </w:trPr>
        <w:tc>
          <w:tcPr>
            <w:tcW w:w="437" w:type="dxa"/>
            <w:tcBorders>
              <w:top w:val="single" w:sz="4" w:space="0" w:color="auto"/>
              <w:left w:val="single" w:sz="4" w:space="0" w:color="auto"/>
              <w:bottom w:val="single" w:sz="4" w:space="0" w:color="auto"/>
              <w:right w:val="single" w:sz="4" w:space="0" w:color="auto"/>
            </w:tcBorders>
            <w:hideMark/>
          </w:tcPr>
          <w:p w:rsidR="00CA0C68" w:rsidRPr="00CA0C68" w:rsidRDefault="00CA0C68" w:rsidP="00CA0C68">
            <w:pPr>
              <w:spacing w:before="75" w:after="75"/>
              <w:ind w:firstLine="147"/>
              <w:jc w:val="both"/>
              <w:rPr>
                <w:bCs/>
              </w:rPr>
            </w:pPr>
            <w:r w:rsidRPr="00CA0C68">
              <w:rPr>
                <w:bCs/>
              </w:rPr>
              <w:t>5.</w:t>
            </w:r>
          </w:p>
        </w:tc>
        <w:tc>
          <w:tcPr>
            <w:tcW w:w="2986" w:type="dxa"/>
            <w:tcBorders>
              <w:top w:val="single" w:sz="4" w:space="0" w:color="auto"/>
              <w:left w:val="single" w:sz="4" w:space="0" w:color="auto"/>
              <w:bottom w:val="single" w:sz="4" w:space="0" w:color="auto"/>
              <w:right w:val="single" w:sz="4" w:space="0" w:color="auto"/>
            </w:tcBorders>
          </w:tcPr>
          <w:p w:rsidR="00CA0C68" w:rsidRPr="00CA0C68" w:rsidRDefault="00CA0C68" w:rsidP="00CA0C68">
            <w:pPr>
              <w:spacing w:before="75" w:after="75"/>
              <w:ind w:left="135" w:right="125" w:firstLine="239"/>
              <w:jc w:val="both"/>
            </w:pPr>
            <w:r w:rsidRPr="00CA0C68">
              <w:t>Cita informācija</w:t>
            </w:r>
            <w:r>
              <w:t xml:space="preserve"> </w:t>
            </w:r>
          </w:p>
        </w:tc>
        <w:tc>
          <w:tcPr>
            <w:tcW w:w="5589" w:type="dxa"/>
            <w:tcBorders>
              <w:top w:val="single" w:sz="4" w:space="0" w:color="auto"/>
              <w:left w:val="single" w:sz="4" w:space="0" w:color="auto"/>
              <w:bottom w:val="single" w:sz="4" w:space="0" w:color="auto"/>
              <w:right w:val="single" w:sz="4" w:space="0" w:color="auto"/>
            </w:tcBorders>
            <w:hideMark/>
          </w:tcPr>
          <w:p w:rsidR="00CA0C68" w:rsidRPr="00CA0C68" w:rsidRDefault="00CA0C68" w:rsidP="00CA0C68">
            <w:pPr>
              <w:spacing w:before="75" w:after="75"/>
              <w:ind w:left="159" w:right="286" w:firstLine="215"/>
              <w:jc w:val="both"/>
            </w:pPr>
            <w:r w:rsidRPr="00CA0C68">
              <w:t>Nav</w:t>
            </w:r>
            <w:r>
              <w:t xml:space="preserve"> </w:t>
            </w:r>
          </w:p>
        </w:tc>
      </w:tr>
    </w:tbl>
    <w:p w:rsidR="00CA0C68" w:rsidRPr="001B2D48" w:rsidRDefault="00CA0C68" w:rsidP="001B2D48">
      <w:pPr>
        <w:pStyle w:val="naisf"/>
        <w:ind w:firstLine="0"/>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402"/>
        <w:gridCol w:w="5244"/>
      </w:tblGrid>
      <w:tr w:rsidR="001B2D48" w:rsidRPr="001B2D48" w:rsidTr="00CA0C68">
        <w:tc>
          <w:tcPr>
            <w:tcW w:w="9072" w:type="dxa"/>
            <w:gridSpan w:val="3"/>
            <w:tcBorders>
              <w:top w:val="single" w:sz="4" w:space="0" w:color="auto"/>
            </w:tcBorders>
          </w:tcPr>
          <w:p w:rsidR="001B2D48" w:rsidRPr="001B2D48" w:rsidRDefault="001B2D48" w:rsidP="001B2D48">
            <w:pPr>
              <w:pStyle w:val="naisf"/>
              <w:ind w:firstLine="0"/>
              <w:rPr>
                <w:b/>
                <w:bCs/>
              </w:rPr>
            </w:pPr>
            <w:r w:rsidRPr="001B2D48">
              <w:rPr>
                <w:b/>
                <w:bCs/>
              </w:rPr>
              <w:t>VII. Tiesību akta projekta izpildes nodrošināšana un tās ietekme uz institūcijām</w:t>
            </w:r>
          </w:p>
        </w:tc>
      </w:tr>
      <w:tr w:rsidR="001B2D48" w:rsidRPr="001B2D48" w:rsidTr="00CA0C68">
        <w:trPr>
          <w:trHeight w:val="427"/>
        </w:trPr>
        <w:tc>
          <w:tcPr>
            <w:tcW w:w="426" w:type="dxa"/>
          </w:tcPr>
          <w:p w:rsidR="001B2D48" w:rsidRPr="001B2D48" w:rsidRDefault="001B2D48" w:rsidP="001B2D48">
            <w:pPr>
              <w:pStyle w:val="naisf"/>
              <w:ind w:firstLine="0"/>
              <w:rPr>
                <w:bCs/>
              </w:rPr>
            </w:pPr>
            <w:r w:rsidRPr="001B2D48">
              <w:rPr>
                <w:bCs/>
              </w:rPr>
              <w:t>11.</w:t>
            </w:r>
          </w:p>
        </w:tc>
        <w:tc>
          <w:tcPr>
            <w:tcW w:w="3402" w:type="dxa"/>
          </w:tcPr>
          <w:p w:rsidR="001B2D48" w:rsidRPr="001B2D48" w:rsidRDefault="001B2D48" w:rsidP="001B2D48">
            <w:pPr>
              <w:pStyle w:val="naisf"/>
              <w:ind w:firstLine="0"/>
            </w:pPr>
            <w:r w:rsidRPr="001B2D48">
              <w:t xml:space="preserve">Projekta izpildē iesaistītās institūcijas </w:t>
            </w:r>
          </w:p>
        </w:tc>
        <w:tc>
          <w:tcPr>
            <w:tcW w:w="5244" w:type="dxa"/>
          </w:tcPr>
          <w:p w:rsidR="001B2D48" w:rsidRPr="00D10BF1" w:rsidRDefault="00733084" w:rsidP="00CA0C68">
            <w:pPr>
              <w:pStyle w:val="naisf"/>
              <w:ind w:firstLine="397"/>
              <w:rPr>
                <w:bCs/>
                <w:iCs/>
              </w:rPr>
            </w:pPr>
            <w:r w:rsidRPr="00733084">
              <w:rPr>
                <w:bCs/>
                <w:iCs/>
              </w:rPr>
              <w:t xml:space="preserve">Zvērināti notāri, kas </w:t>
            </w:r>
            <w:r>
              <w:rPr>
                <w:bCs/>
                <w:iCs/>
              </w:rPr>
              <w:t xml:space="preserve">saskaņā ar Notariāta likuma 163. pantu par amata darbību veikšanu ņem Ministru kabineta 2008. gada 15. septembra noteikumos </w:t>
            </w:r>
            <w:proofErr w:type="spellStart"/>
            <w:r>
              <w:rPr>
                <w:bCs/>
                <w:iCs/>
              </w:rPr>
              <w:t>Nr</w:t>
            </w:r>
            <w:proofErr w:type="spellEnd"/>
            <w:r>
              <w:rPr>
                <w:bCs/>
                <w:iCs/>
              </w:rPr>
              <w:t>. </w:t>
            </w:r>
            <w:r w:rsidRPr="00733084">
              <w:rPr>
                <w:bCs/>
                <w:iCs/>
              </w:rPr>
              <w:t xml:space="preserve">747 „Noteikumi par zvērinātu notāru atlīdzības taksēm un to noteikšanas kārtību” </w:t>
            </w:r>
            <w:r>
              <w:rPr>
                <w:bCs/>
                <w:iCs/>
              </w:rPr>
              <w:t>noteiktās amata atlīdzības takses.</w:t>
            </w:r>
            <w:r w:rsidR="00D10BF1">
              <w:rPr>
                <w:bCs/>
                <w:iCs/>
              </w:rPr>
              <w:t xml:space="preserve"> </w:t>
            </w:r>
          </w:p>
        </w:tc>
      </w:tr>
      <w:tr w:rsidR="001B2D48" w:rsidRPr="001B2D48" w:rsidTr="00CA0C68">
        <w:trPr>
          <w:trHeight w:val="463"/>
        </w:trPr>
        <w:tc>
          <w:tcPr>
            <w:tcW w:w="426" w:type="dxa"/>
          </w:tcPr>
          <w:p w:rsidR="001B2D48" w:rsidRPr="001B2D48" w:rsidRDefault="001B2D48" w:rsidP="001B2D48">
            <w:pPr>
              <w:pStyle w:val="naisf"/>
              <w:ind w:firstLine="0"/>
              <w:rPr>
                <w:bCs/>
              </w:rPr>
            </w:pPr>
            <w:r w:rsidRPr="001B2D48">
              <w:rPr>
                <w:bCs/>
              </w:rPr>
              <w:t>22.</w:t>
            </w:r>
          </w:p>
        </w:tc>
        <w:tc>
          <w:tcPr>
            <w:tcW w:w="3402" w:type="dxa"/>
          </w:tcPr>
          <w:p w:rsidR="001B2D48" w:rsidRPr="001B2D48" w:rsidRDefault="001B2D48" w:rsidP="001B2D48">
            <w:pPr>
              <w:pStyle w:val="naisf"/>
              <w:ind w:firstLine="0"/>
            </w:pPr>
            <w:r w:rsidRPr="001B2D48">
              <w:t xml:space="preserve">Projekta izpildes ietekme uz </w:t>
            </w:r>
            <w:r w:rsidRPr="001B2D48">
              <w:lastRenderedPageBreak/>
              <w:t xml:space="preserve">pārvaldes funkcijām </w:t>
            </w:r>
          </w:p>
        </w:tc>
        <w:tc>
          <w:tcPr>
            <w:tcW w:w="5244" w:type="dxa"/>
          </w:tcPr>
          <w:p w:rsidR="001B2D48" w:rsidRPr="001B2D48" w:rsidRDefault="001B2D48" w:rsidP="00CA0C68">
            <w:pPr>
              <w:pStyle w:val="naisf"/>
              <w:ind w:firstLine="397"/>
              <w:rPr>
                <w:bCs/>
              </w:rPr>
            </w:pPr>
            <w:r w:rsidRPr="001B2D48">
              <w:rPr>
                <w:bCs/>
                <w:iCs/>
              </w:rPr>
              <w:lastRenderedPageBreak/>
              <w:t xml:space="preserve">Nav ietekmes uz pārvaldes funkcijām. </w:t>
            </w:r>
          </w:p>
        </w:tc>
      </w:tr>
      <w:tr w:rsidR="001B2D48" w:rsidRPr="001B2D48" w:rsidTr="00CA0C68">
        <w:trPr>
          <w:trHeight w:val="725"/>
        </w:trPr>
        <w:tc>
          <w:tcPr>
            <w:tcW w:w="426" w:type="dxa"/>
          </w:tcPr>
          <w:p w:rsidR="001B2D48" w:rsidRPr="001B2D48" w:rsidRDefault="001B2D48" w:rsidP="001B2D48">
            <w:pPr>
              <w:pStyle w:val="naisf"/>
              <w:ind w:firstLine="0"/>
              <w:rPr>
                <w:bCs/>
              </w:rPr>
            </w:pPr>
            <w:r w:rsidRPr="001B2D48">
              <w:rPr>
                <w:bCs/>
              </w:rPr>
              <w:lastRenderedPageBreak/>
              <w:t>33.</w:t>
            </w:r>
          </w:p>
        </w:tc>
        <w:tc>
          <w:tcPr>
            <w:tcW w:w="3402" w:type="dxa"/>
          </w:tcPr>
          <w:p w:rsidR="001B2D48" w:rsidRPr="001B2D48" w:rsidRDefault="001B2D48" w:rsidP="001B2D48">
            <w:pPr>
              <w:pStyle w:val="naisf"/>
              <w:ind w:firstLine="0"/>
            </w:pPr>
            <w:r w:rsidRPr="001B2D48">
              <w:t>Projekta izpildes ietekme uz pārvaldes institucionālo struktūru.</w:t>
            </w:r>
          </w:p>
          <w:p w:rsidR="001B2D48" w:rsidRPr="001B2D48" w:rsidRDefault="001B2D48" w:rsidP="001B2D48">
            <w:pPr>
              <w:pStyle w:val="naisf"/>
              <w:ind w:firstLine="0"/>
            </w:pPr>
            <w:r w:rsidRPr="001B2D48">
              <w:t>Jaunu institūciju izveide</w:t>
            </w:r>
          </w:p>
        </w:tc>
        <w:tc>
          <w:tcPr>
            <w:tcW w:w="5244" w:type="dxa"/>
          </w:tcPr>
          <w:p w:rsidR="001B2D48" w:rsidRPr="001B2D48" w:rsidRDefault="001B2D48" w:rsidP="00CA0C68">
            <w:pPr>
              <w:pStyle w:val="naisf"/>
              <w:ind w:firstLine="397"/>
              <w:rPr>
                <w:bCs/>
              </w:rPr>
            </w:pPr>
            <w:r w:rsidRPr="001B2D48">
              <w:rPr>
                <w:bCs/>
                <w:iCs/>
              </w:rPr>
              <w:t xml:space="preserve">Nav nepieciešams veidot jaunas institūcijas. </w:t>
            </w:r>
          </w:p>
        </w:tc>
      </w:tr>
      <w:tr w:rsidR="001B2D48" w:rsidRPr="001B2D48" w:rsidTr="00CA0C68">
        <w:trPr>
          <w:trHeight w:val="780"/>
        </w:trPr>
        <w:tc>
          <w:tcPr>
            <w:tcW w:w="426" w:type="dxa"/>
          </w:tcPr>
          <w:p w:rsidR="001B2D48" w:rsidRPr="001B2D48" w:rsidRDefault="001B2D48" w:rsidP="001B2D48">
            <w:pPr>
              <w:pStyle w:val="naisf"/>
              <w:ind w:firstLine="0"/>
              <w:rPr>
                <w:bCs/>
              </w:rPr>
            </w:pPr>
            <w:r w:rsidRPr="001B2D48">
              <w:rPr>
                <w:bCs/>
              </w:rPr>
              <w:t>44.</w:t>
            </w:r>
          </w:p>
        </w:tc>
        <w:tc>
          <w:tcPr>
            <w:tcW w:w="3402" w:type="dxa"/>
          </w:tcPr>
          <w:p w:rsidR="001B2D48" w:rsidRPr="001B2D48" w:rsidRDefault="001B2D48" w:rsidP="001B2D48">
            <w:pPr>
              <w:pStyle w:val="naisf"/>
              <w:ind w:firstLine="0"/>
            </w:pPr>
            <w:r w:rsidRPr="001B2D48">
              <w:t>Projekta izpildes ietekme uz pārvaldes institucionālo struktūru.</w:t>
            </w:r>
          </w:p>
          <w:p w:rsidR="001B2D48" w:rsidRPr="001B2D48" w:rsidRDefault="001B2D48" w:rsidP="001B2D48">
            <w:pPr>
              <w:pStyle w:val="naisf"/>
              <w:ind w:firstLine="0"/>
            </w:pPr>
            <w:r w:rsidRPr="001B2D48">
              <w:t>Esošu institūciju likvidācija</w:t>
            </w:r>
          </w:p>
        </w:tc>
        <w:tc>
          <w:tcPr>
            <w:tcW w:w="5244" w:type="dxa"/>
          </w:tcPr>
          <w:p w:rsidR="001B2D48" w:rsidRPr="001B2D48" w:rsidRDefault="001B2D48" w:rsidP="00CA0C68">
            <w:pPr>
              <w:pStyle w:val="naisf"/>
              <w:ind w:firstLine="397"/>
              <w:rPr>
                <w:bCs/>
              </w:rPr>
            </w:pPr>
            <w:r w:rsidRPr="001B2D48">
              <w:rPr>
                <w:bCs/>
                <w:iCs/>
              </w:rPr>
              <w:t xml:space="preserve">Projekta izpildei nav nepieciešams likvidēt esošās institūcijas. </w:t>
            </w:r>
          </w:p>
        </w:tc>
      </w:tr>
      <w:tr w:rsidR="001B2D48" w:rsidRPr="001B2D48" w:rsidTr="00CA0C68">
        <w:trPr>
          <w:trHeight w:val="703"/>
        </w:trPr>
        <w:tc>
          <w:tcPr>
            <w:tcW w:w="426" w:type="dxa"/>
          </w:tcPr>
          <w:p w:rsidR="001B2D48" w:rsidRPr="001B2D48" w:rsidRDefault="001B2D48" w:rsidP="001B2D48">
            <w:pPr>
              <w:pStyle w:val="naisf"/>
              <w:ind w:firstLine="0"/>
              <w:rPr>
                <w:bCs/>
              </w:rPr>
            </w:pPr>
            <w:r w:rsidRPr="001B2D48">
              <w:rPr>
                <w:bCs/>
              </w:rPr>
              <w:t>55.</w:t>
            </w:r>
          </w:p>
        </w:tc>
        <w:tc>
          <w:tcPr>
            <w:tcW w:w="3402" w:type="dxa"/>
          </w:tcPr>
          <w:p w:rsidR="001B2D48" w:rsidRPr="001B2D48" w:rsidRDefault="001B2D48" w:rsidP="001B2D48">
            <w:pPr>
              <w:pStyle w:val="naisf"/>
              <w:ind w:firstLine="0"/>
            </w:pPr>
            <w:r w:rsidRPr="001B2D48">
              <w:t>Projekta izpildes ietekme uz pārvaldes institucionālo struktūru.</w:t>
            </w:r>
          </w:p>
          <w:p w:rsidR="001B2D48" w:rsidRPr="001B2D48" w:rsidRDefault="001B2D48" w:rsidP="001B2D48">
            <w:pPr>
              <w:pStyle w:val="naisf"/>
              <w:ind w:firstLine="0"/>
            </w:pPr>
            <w:r w:rsidRPr="001B2D48">
              <w:t>Esošu institūciju reorganizācija</w:t>
            </w:r>
          </w:p>
        </w:tc>
        <w:tc>
          <w:tcPr>
            <w:tcW w:w="5244" w:type="dxa"/>
          </w:tcPr>
          <w:p w:rsidR="001B2D48" w:rsidRPr="001B2D48" w:rsidRDefault="001B2D48" w:rsidP="00CA0C68">
            <w:pPr>
              <w:pStyle w:val="naisf"/>
              <w:ind w:firstLine="397"/>
              <w:rPr>
                <w:bCs/>
              </w:rPr>
            </w:pPr>
            <w:r w:rsidRPr="001B2D48">
              <w:rPr>
                <w:bCs/>
                <w:iCs/>
              </w:rPr>
              <w:t>Projekta izpildes rezultātā nav plānots reorganizēt vai apvienot jau esošās institūcijas.</w:t>
            </w:r>
          </w:p>
        </w:tc>
      </w:tr>
      <w:tr w:rsidR="001B2D48" w:rsidRPr="001B2D48" w:rsidTr="00CA0C68">
        <w:trPr>
          <w:trHeight w:val="476"/>
        </w:trPr>
        <w:tc>
          <w:tcPr>
            <w:tcW w:w="426" w:type="dxa"/>
          </w:tcPr>
          <w:p w:rsidR="001B2D48" w:rsidRPr="001B2D48" w:rsidRDefault="001B2D48" w:rsidP="001B2D48">
            <w:pPr>
              <w:pStyle w:val="naisf"/>
              <w:ind w:firstLine="0"/>
            </w:pPr>
            <w:r w:rsidRPr="001B2D48">
              <w:t>66.</w:t>
            </w:r>
          </w:p>
        </w:tc>
        <w:tc>
          <w:tcPr>
            <w:tcW w:w="3402" w:type="dxa"/>
          </w:tcPr>
          <w:p w:rsidR="001B2D48" w:rsidRPr="001B2D48" w:rsidRDefault="001B2D48" w:rsidP="001B2D48">
            <w:pPr>
              <w:pStyle w:val="naisf"/>
              <w:ind w:firstLine="0"/>
            </w:pPr>
            <w:r w:rsidRPr="001B2D48">
              <w:t>Cita informācija</w:t>
            </w:r>
          </w:p>
        </w:tc>
        <w:tc>
          <w:tcPr>
            <w:tcW w:w="5244" w:type="dxa"/>
          </w:tcPr>
          <w:p w:rsidR="001B2D48" w:rsidRPr="001B2D48" w:rsidRDefault="001B2D48" w:rsidP="001B2D48">
            <w:pPr>
              <w:pStyle w:val="naisf"/>
              <w:ind w:firstLine="0"/>
            </w:pPr>
            <w:r w:rsidRPr="001B2D48">
              <w:t xml:space="preserve">Nav </w:t>
            </w:r>
          </w:p>
        </w:tc>
      </w:tr>
    </w:tbl>
    <w:p w:rsidR="00CA0C68" w:rsidRDefault="00CA0C68" w:rsidP="00CA0C68">
      <w:pPr>
        <w:pStyle w:val="naisf"/>
        <w:ind w:firstLine="0"/>
        <w:rPr>
          <w:i/>
        </w:rPr>
      </w:pPr>
    </w:p>
    <w:p w:rsidR="00CA0C68" w:rsidRPr="00CA0C68" w:rsidRDefault="00CA0C68" w:rsidP="00CA0C68">
      <w:pPr>
        <w:pStyle w:val="naisf"/>
        <w:ind w:firstLine="0"/>
        <w:rPr>
          <w:i/>
        </w:rPr>
      </w:pPr>
      <w:r w:rsidRPr="00CA0C68">
        <w:rPr>
          <w:i/>
        </w:rPr>
        <w:t>Anotācijas III,</w:t>
      </w:r>
      <w:r>
        <w:rPr>
          <w:i/>
        </w:rPr>
        <w:t xml:space="preserve"> IV, V</w:t>
      </w:r>
      <w:r w:rsidRPr="00CA0C68">
        <w:rPr>
          <w:i/>
        </w:rPr>
        <w:t xml:space="preserve"> sadaļa – projekts šo jomu neskar. </w:t>
      </w:r>
    </w:p>
    <w:p w:rsidR="001B2D48" w:rsidRPr="001B2D48" w:rsidRDefault="001B2D48" w:rsidP="001B2D48">
      <w:pPr>
        <w:pStyle w:val="naisf"/>
        <w:ind w:firstLine="0"/>
      </w:pPr>
    </w:p>
    <w:p w:rsidR="00F5413D" w:rsidRPr="00AD0FF7" w:rsidRDefault="00F5413D" w:rsidP="00F5413D">
      <w:pPr>
        <w:pStyle w:val="naisf"/>
        <w:spacing w:before="0" w:after="0"/>
        <w:ind w:firstLine="374"/>
        <w:rPr>
          <w:sz w:val="28"/>
          <w:szCs w:val="28"/>
        </w:rPr>
      </w:pPr>
    </w:p>
    <w:p w:rsidR="00CF21E1" w:rsidRDefault="00B46855" w:rsidP="00F5413D">
      <w:pPr>
        <w:pStyle w:val="naisf"/>
        <w:spacing w:before="0" w:after="0"/>
        <w:ind w:right="-766" w:firstLine="0"/>
      </w:pPr>
      <w:r w:rsidRPr="007D058B">
        <w:t>Tieslietu</w:t>
      </w:r>
      <w:r w:rsidR="007515F6" w:rsidRPr="007D058B">
        <w:t xml:space="preserve"> ministr</w:t>
      </w:r>
      <w:r w:rsidR="00E40728" w:rsidRPr="007D058B">
        <w:t>s</w:t>
      </w:r>
      <w:r w:rsidR="007515F6" w:rsidRPr="007D058B">
        <w:tab/>
      </w:r>
      <w:r w:rsidR="007515F6" w:rsidRPr="007D058B">
        <w:tab/>
      </w:r>
      <w:r w:rsidR="007515F6" w:rsidRPr="007D058B">
        <w:tab/>
      </w:r>
      <w:r w:rsidR="007515F6" w:rsidRPr="007D058B">
        <w:tab/>
      </w:r>
      <w:r w:rsidR="007515F6" w:rsidRPr="007D058B">
        <w:tab/>
      </w:r>
      <w:r w:rsidR="007515F6" w:rsidRPr="007D058B">
        <w:tab/>
      </w:r>
      <w:r w:rsidR="00C221C4" w:rsidRPr="007D058B">
        <w:tab/>
      </w:r>
      <w:r w:rsidR="00DF1DF1" w:rsidRPr="007D058B">
        <w:tab/>
      </w:r>
      <w:r w:rsidRPr="007D058B">
        <w:t xml:space="preserve">   </w:t>
      </w:r>
      <w:r w:rsidR="00CA0C68">
        <w:tab/>
      </w:r>
      <w:r w:rsidRPr="007D058B">
        <w:t xml:space="preserve">  </w:t>
      </w:r>
      <w:r w:rsidR="00F5413D">
        <w:t>J. </w:t>
      </w:r>
      <w:proofErr w:type="spellStart"/>
      <w:r w:rsidR="00F5413D">
        <w:t>Bordāns</w:t>
      </w:r>
      <w:proofErr w:type="spellEnd"/>
      <w:r w:rsidR="00F5413D">
        <w:t xml:space="preserve"> </w:t>
      </w:r>
    </w:p>
    <w:p w:rsidR="00F5413D" w:rsidRDefault="00F5413D" w:rsidP="00F5413D">
      <w:pPr>
        <w:pStyle w:val="naisf"/>
        <w:spacing w:before="0" w:after="0"/>
        <w:ind w:right="-766" w:firstLine="0"/>
      </w:pPr>
    </w:p>
    <w:p w:rsidR="003C13F0" w:rsidRPr="00E85905" w:rsidRDefault="003C13F0" w:rsidP="00B46855"/>
    <w:p w:rsidR="00B46855" w:rsidRPr="007D058B" w:rsidRDefault="00164BE6" w:rsidP="00B46855">
      <w:pPr>
        <w:rPr>
          <w:sz w:val="20"/>
        </w:rPr>
      </w:pPr>
      <w:r>
        <w:rPr>
          <w:sz w:val="20"/>
        </w:rPr>
        <w:t>17</w:t>
      </w:r>
      <w:r w:rsidR="002C49AB">
        <w:rPr>
          <w:sz w:val="20"/>
        </w:rPr>
        <w:t>.0</w:t>
      </w:r>
      <w:r w:rsidR="00CA0C68">
        <w:rPr>
          <w:sz w:val="20"/>
        </w:rPr>
        <w:t>7</w:t>
      </w:r>
      <w:r w:rsidR="00F5413D">
        <w:rPr>
          <w:sz w:val="20"/>
        </w:rPr>
        <w:t>.2013</w:t>
      </w:r>
      <w:r w:rsidR="00B46855" w:rsidRPr="007D058B">
        <w:rPr>
          <w:sz w:val="20"/>
        </w:rPr>
        <w:t xml:space="preserve">. </w:t>
      </w:r>
      <w:r>
        <w:rPr>
          <w:sz w:val="20"/>
        </w:rPr>
        <w:t>1</w:t>
      </w:r>
      <w:r w:rsidR="00154341">
        <w:rPr>
          <w:sz w:val="20"/>
        </w:rPr>
        <w:t>3</w:t>
      </w:r>
      <w:r w:rsidR="0081246E">
        <w:rPr>
          <w:sz w:val="20"/>
        </w:rPr>
        <w:t>:</w:t>
      </w:r>
      <w:r w:rsidR="00154341">
        <w:rPr>
          <w:sz w:val="20"/>
        </w:rPr>
        <w:t>37</w:t>
      </w:r>
      <w:r w:rsidR="00F5413D">
        <w:rPr>
          <w:sz w:val="20"/>
        </w:rPr>
        <w:t xml:space="preserve"> </w:t>
      </w:r>
    </w:p>
    <w:p w:rsidR="00B46855" w:rsidRPr="007D058B" w:rsidRDefault="007A0CDC" w:rsidP="00B46855">
      <w:pPr>
        <w:rPr>
          <w:sz w:val="20"/>
        </w:rPr>
      </w:pPr>
      <w:r>
        <w:rPr>
          <w:sz w:val="20"/>
        </w:rPr>
        <w:t>1</w:t>
      </w:r>
      <w:r w:rsidR="00B543A4">
        <w:rPr>
          <w:sz w:val="20"/>
        </w:rPr>
        <w:t>37</w:t>
      </w:r>
      <w:r w:rsidR="005C1B73">
        <w:rPr>
          <w:sz w:val="20"/>
        </w:rPr>
        <w:t>7</w:t>
      </w:r>
      <w:bookmarkStart w:id="2" w:name="_GoBack"/>
      <w:bookmarkEnd w:id="2"/>
      <w:r w:rsidR="00CA0C68">
        <w:rPr>
          <w:sz w:val="20"/>
        </w:rPr>
        <w:t xml:space="preserve"> </w:t>
      </w:r>
    </w:p>
    <w:p w:rsidR="00B46855" w:rsidRPr="007D058B" w:rsidRDefault="00B46855" w:rsidP="00B46855">
      <w:pPr>
        <w:rPr>
          <w:sz w:val="20"/>
        </w:rPr>
      </w:pPr>
      <w:r w:rsidRPr="007D058B">
        <w:rPr>
          <w:sz w:val="20"/>
        </w:rPr>
        <w:t xml:space="preserve">D. Baha </w:t>
      </w:r>
    </w:p>
    <w:p w:rsidR="00825969" w:rsidRDefault="00B46855" w:rsidP="008A03BB">
      <w:pPr>
        <w:rPr>
          <w:sz w:val="20"/>
        </w:rPr>
      </w:pPr>
      <w:bookmarkStart w:id="3" w:name="OLE_LINK3"/>
      <w:bookmarkStart w:id="4" w:name="OLE_LINK4"/>
      <w:r w:rsidRPr="007D058B">
        <w:rPr>
          <w:sz w:val="20"/>
        </w:rPr>
        <w:t xml:space="preserve">67036838, </w:t>
      </w:r>
      <w:hyperlink r:id="rId9" w:history="1">
        <w:r w:rsidRPr="007D058B">
          <w:rPr>
            <w:rStyle w:val="Hipersaite"/>
            <w:sz w:val="20"/>
          </w:rPr>
          <w:t>Daina.Baha@tm.gov.lv</w:t>
        </w:r>
      </w:hyperlink>
      <w:r w:rsidRPr="007D058B">
        <w:rPr>
          <w:sz w:val="20"/>
        </w:rPr>
        <w:t xml:space="preserve"> </w:t>
      </w:r>
      <w:bookmarkEnd w:id="3"/>
      <w:bookmarkEnd w:id="4"/>
      <w:r w:rsidR="00795C81">
        <w:rPr>
          <w:sz w:val="20"/>
        </w:rPr>
        <w:t xml:space="preserve"> </w:t>
      </w:r>
    </w:p>
    <w:sectPr w:rsidR="00825969" w:rsidSect="00E31239">
      <w:headerReference w:type="even" r:id="rId10"/>
      <w:headerReference w:type="default" r:id="rId11"/>
      <w:footerReference w:type="default" r:id="rId12"/>
      <w:footerReference w:type="first" r:id="rId13"/>
      <w:pgSz w:w="11906" w:h="16838"/>
      <w:pgMar w:top="1418" w:right="1134" w:bottom="1134" w:left="1701" w:header="709" w:footer="7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EB" w:rsidRDefault="00496FEB" w:rsidP="001C4131">
      <w:r>
        <w:separator/>
      </w:r>
    </w:p>
  </w:endnote>
  <w:endnote w:type="continuationSeparator" w:id="0">
    <w:p w:rsidR="00496FEB" w:rsidRDefault="00496FEB" w:rsidP="001C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E5" w:rsidRPr="00BE3475" w:rsidRDefault="00C05FE5" w:rsidP="00BE3475">
    <w:pPr>
      <w:pStyle w:val="Kjene"/>
      <w:jc w:val="both"/>
      <w:rPr>
        <w:noProof/>
        <w:sz w:val="20"/>
        <w:szCs w:val="20"/>
      </w:rPr>
    </w:pPr>
    <w:r>
      <w:rPr>
        <w:sz w:val="20"/>
        <w:szCs w:val="20"/>
      </w:rPr>
      <w:t>TM</w:t>
    </w:r>
    <w:r w:rsidRPr="00BE3475">
      <w:rPr>
        <w:sz w:val="20"/>
        <w:szCs w:val="20"/>
      </w:rPr>
      <w:t>Anot_</w:t>
    </w:r>
    <w:r w:rsidR="00CA0C68">
      <w:rPr>
        <w:sz w:val="20"/>
        <w:szCs w:val="20"/>
      </w:rPr>
      <w:t>17</w:t>
    </w:r>
    <w:r w:rsidR="00232F89">
      <w:rPr>
        <w:sz w:val="20"/>
        <w:szCs w:val="20"/>
      </w:rPr>
      <w:t>07</w:t>
    </w:r>
    <w:r w:rsidR="000175EC" w:rsidRPr="000175EC">
      <w:rPr>
        <w:sz w:val="20"/>
        <w:szCs w:val="20"/>
      </w:rPr>
      <w:t xml:space="preserve">13_takses; </w:t>
    </w:r>
    <w:r w:rsidR="000175EC" w:rsidRPr="000175EC">
      <w:rPr>
        <w:bCs/>
        <w:sz w:val="20"/>
        <w:szCs w:val="20"/>
      </w:rPr>
      <w:t>Ministru kabineta noteikumu projekta „Noteikumi par zvērinātu notāru atlīdzības ta</w:t>
    </w:r>
    <w:r w:rsidR="002C49AB">
      <w:rPr>
        <w:bCs/>
        <w:sz w:val="20"/>
        <w:szCs w:val="20"/>
      </w:rPr>
      <w:t>ksēm un to noteikšanas kārtību”</w:t>
    </w:r>
    <w:r w:rsidR="000175EC" w:rsidRPr="000175EC">
      <w:rPr>
        <w:bCs/>
        <w:sz w:val="20"/>
        <w:szCs w:val="20"/>
      </w:rPr>
      <w:t xml:space="preserve"> </w:t>
    </w:r>
    <w:r w:rsidR="000175EC" w:rsidRPr="000175EC">
      <w:rPr>
        <w:sz w:val="20"/>
        <w:szCs w:val="20"/>
      </w:rPr>
      <w:t>sākotnējās ietekmes novērtējuma ziņojums (anotācija)</w:t>
    </w:r>
    <w:r w:rsidR="00F5413D">
      <w:rPr>
        <w:b/>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E5" w:rsidRPr="007D7074" w:rsidRDefault="00C05FE5" w:rsidP="007D7074">
    <w:pPr>
      <w:pStyle w:val="Kjene"/>
      <w:jc w:val="both"/>
      <w:rPr>
        <w:noProof/>
        <w:sz w:val="20"/>
        <w:szCs w:val="20"/>
      </w:rPr>
    </w:pPr>
    <w:r>
      <w:rPr>
        <w:sz w:val="20"/>
        <w:szCs w:val="20"/>
      </w:rPr>
      <w:t>TM</w:t>
    </w:r>
    <w:r w:rsidRPr="00BE3475">
      <w:rPr>
        <w:sz w:val="20"/>
        <w:szCs w:val="20"/>
      </w:rPr>
      <w:t>Anot_</w:t>
    </w:r>
    <w:r w:rsidR="00CA0C68">
      <w:rPr>
        <w:sz w:val="20"/>
        <w:szCs w:val="20"/>
      </w:rPr>
      <w:t>17</w:t>
    </w:r>
    <w:r w:rsidR="00232F89">
      <w:rPr>
        <w:sz w:val="20"/>
        <w:szCs w:val="20"/>
      </w:rPr>
      <w:t>07</w:t>
    </w:r>
    <w:r w:rsidR="00F5413D" w:rsidRPr="00F5413D">
      <w:rPr>
        <w:sz w:val="20"/>
        <w:szCs w:val="20"/>
      </w:rPr>
      <w:t>13_</w:t>
    </w:r>
    <w:r w:rsidR="000175EC">
      <w:rPr>
        <w:sz w:val="20"/>
        <w:szCs w:val="20"/>
      </w:rPr>
      <w:t>takses</w:t>
    </w:r>
    <w:r w:rsidR="00F5413D" w:rsidRPr="00F5413D">
      <w:rPr>
        <w:sz w:val="20"/>
        <w:szCs w:val="20"/>
      </w:rPr>
      <w:t xml:space="preserve">; </w:t>
    </w:r>
    <w:r w:rsidR="00F5413D" w:rsidRPr="00F5413D">
      <w:rPr>
        <w:bCs/>
        <w:sz w:val="20"/>
        <w:szCs w:val="20"/>
      </w:rPr>
      <w:t xml:space="preserve">Ministru kabineta noteikumu projekta </w:t>
    </w:r>
    <w:r w:rsidR="000175EC" w:rsidRPr="000175EC">
      <w:rPr>
        <w:bCs/>
        <w:sz w:val="20"/>
        <w:szCs w:val="20"/>
      </w:rPr>
      <w:t>„Noteikumi par zvērinātu notāru atlīdzības ta</w:t>
    </w:r>
    <w:r w:rsidR="002C49AB">
      <w:rPr>
        <w:bCs/>
        <w:sz w:val="20"/>
        <w:szCs w:val="20"/>
      </w:rPr>
      <w:t>ksēm un to noteikšanas kārtību”</w:t>
    </w:r>
    <w:r w:rsidR="000175EC">
      <w:rPr>
        <w:bCs/>
        <w:sz w:val="20"/>
        <w:szCs w:val="20"/>
      </w:rPr>
      <w:t xml:space="preserve"> </w:t>
    </w:r>
    <w:r w:rsidR="00F5413D" w:rsidRPr="00F5413D">
      <w:rPr>
        <w:sz w:val="20"/>
        <w:szCs w:val="20"/>
      </w:rPr>
      <w:t>sākotnējās ietekmes novērtējuma ziņojums (anotācija)</w:t>
    </w:r>
    <w:r w:rsidR="00F5413D">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EB" w:rsidRDefault="00496FEB" w:rsidP="001C4131">
      <w:r>
        <w:separator/>
      </w:r>
    </w:p>
  </w:footnote>
  <w:footnote w:type="continuationSeparator" w:id="0">
    <w:p w:rsidR="00496FEB" w:rsidRDefault="00496FEB" w:rsidP="001C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E5" w:rsidRDefault="00F812C6" w:rsidP="00011BD6">
    <w:pPr>
      <w:pStyle w:val="Galvene"/>
      <w:rPr>
        <w:rStyle w:val="Lappusesnumurs"/>
      </w:rPr>
    </w:pPr>
    <w:r>
      <w:rPr>
        <w:rStyle w:val="Lappusesnumurs"/>
      </w:rPr>
      <w:fldChar w:fldCharType="begin"/>
    </w:r>
    <w:r w:rsidR="00C05FE5">
      <w:rPr>
        <w:rStyle w:val="Lappusesnumurs"/>
      </w:rPr>
      <w:instrText xml:space="preserve">PAGE  </w:instrText>
    </w:r>
    <w:r>
      <w:rPr>
        <w:rStyle w:val="Lappusesnumurs"/>
      </w:rPr>
      <w:fldChar w:fldCharType="end"/>
    </w:r>
  </w:p>
  <w:p w:rsidR="00C05FE5" w:rsidRDefault="00C05FE5" w:rsidP="00011BD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E5" w:rsidRDefault="00F812C6" w:rsidP="00EE381E">
    <w:pPr>
      <w:pStyle w:val="Galvene"/>
      <w:jc w:val="center"/>
      <w:rPr>
        <w:rStyle w:val="Lappusesnumurs"/>
      </w:rPr>
    </w:pPr>
    <w:r>
      <w:rPr>
        <w:rStyle w:val="Lappusesnumurs"/>
      </w:rPr>
      <w:fldChar w:fldCharType="begin"/>
    </w:r>
    <w:r w:rsidR="00C05FE5">
      <w:rPr>
        <w:rStyle w:val="Lappusesnumurs"/>
      </w:rPr>
      <w:instrText xml:space="preserve">PAGE  </w:instrText>
    </w:r>
    <w:r>
      <w:rPr>
        <w:rStyle w:val="Lappusesnumurs"/>
      </w:rPr>
      <w:fldChar w:fldCharType="separate"/>
    </w:r>
    <w:r w:rsidR="005C1B73">
      <w:rPr>
        <w:rStyle w:val="Lappusesnumurs"/>
        <w:noProof/>
      </w:rPr>
      <w:t>5</w:t>
    </w:r>
    <w:r>
      <w:rPr>
        <w:rStyle w:val="Lappusesnumurs"/>
      </w:rPr>
      <w:fldChar w:fldCharType="end"/>
    </w:r>
  </w:p>
  <w:p w:rsidR="00C05FE5" w:rsidRPr="00011BD6" w:rsidRDefault="00C05FE5" w:rsidP="00011BD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032F0"/>
    <w:lvl w:ilvl="0">
      <w:start w:val="1"/>
      <w:numFmt w:val="decimal"/>
      <w:lvlText w:val="%1."/>
      <w:lvlJc w:val="left"/>
      <w:pPr>
        <w:tabs>
          <w:tab w:val="num" w:pos="1492"/>
        </w:tabs>
        <w:ind w:left="1492" w:hanging="360"/>
      </w:pPr>
    </w:lvl>
  </w:abstractNum>
  <w:abstractNum w:abstractNumId="1">
    <w:nsid w:val="FFFFFF7D"/>
    <w:multiLevelType w:val="singleLevel"/>
    <w:tmpl w:val="D752DE94"/>
    <w:lvl w:ilvl="0">
      <w:start w:val="1"/>
      <w:numFmt w:val="decimal"/>
      <w:lvlText w:val="%1."/>
      <w:lvlJc w:val="left"/>
      <w:pPr>
        <w:tabs>
          <w:tab w:val="num" w:pos="1209"/>
        </w:tabs>
        <w:ind w:left="1209" w:hanging="360"/>
      </w:pPr>
    </w:lvl>
  </w:abstractNum>
  <w:abstractNum w:abstractNumId="2">
    <w:nsid w:val="FFFFFF7E"/>
    <w:multiLevelType w:val="singleLevel"/>
    <w:tmpl w:val="C3984072"/>
    <w:lvl w:ilvl="0">
      <w:start w:val="1"/>
      <w:numFmt w:val="decimal"/>
      <w:lvlText w:val="%1."/>
      <w:lvlJc w:val="left"/>
      <w:pPr>
        <w:tabs>
          <w:tab w:val="num" w:pos="926"/>
        </w:tabs>
        <w:ind w:left="926" w:hanging="360"/>
      </w:pPr>
    </w:lvl>
  </w:abstractNum>
  <w:abstractNum w:abstractNumId="3">
    <w:nsid w:val="FFFFFF7F"/>
    <w:multiLevelType w:val="singleLevel"/>
    <w:tmpl w:val="68585942"/>
    <w:lvl w:ilvl="0">
      <w:start w:val="1"/>
      <w:numFmt w:val="decimal"/>
      <w:lvlText w:val="%1."/>
      <w:lvlJc w:val="left"/>
      <w:pPr>
        <w:tabs>
          <w:tab w:val="num" w:pos="643"/>
        </w:tabs>
        <w:ind w:left="643" w:hanging="360"/>
      </w:pPr>
    </w:lvl>
  </w:abstractNum>
  <w:abstractNum w:abstractNumId="4">
    <w:nsid w:val="FFFFFF80"/>
    <w:multiLevelType w:val="singleLevel"/>
    <w:tmpl w:val="5066D2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E0B5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9CE3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C8B6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489B5A"/>
    <w:lvl w:ilvl="0">
      <w:start w:val="1"/>
      <w:numFmt w:val="decimal"/>
      <w:lvlText w:val="%1."/>
      <w:lvlJc w:val="left"/>
      <w:pPr>
        <w:tabs>
          <w:tab w:val="num" w:pos="360"/>
        </w:tabs>
        <w:ind w:left="360" w:hanging="360"/>
      </w:pPr>
    </w:lvl>
  </w:abstractNum>
  <w:abstractNum w:abstractNumId="9">
    <w:nsid w:val="FFFFFF89"/>
    <w:multiLevelType w:val="singleLevel"/>
    <w:tmpl w:val="6A12BE26"/>
    <w:lvl w:ilvl="0">
      <w:start w:val="1"/>
      <w:numFmt w:val="bullet"/>
      <w:lvlText w:val=""/>
      <w:lvlJc w:val="left"/>
      <w:pPr>
        <w:tabs>
          <w:tab w:val="num" w:pos="360"/>
        </w:tabs>
        <w:ind w:left="360" w:hanging="360"/>
      </w:pPr>
      <w:rPr>
        <w:rFonts w:ascii="Symbol" w:hAnsi="Symbol" w:hint="default"/>
      </w:rPr>
    </w:lvl>
  </w:abstractNum>
  <w:abstractNum w:abstractNumId="10">
    <w:nsid w:val="06885064"/>
    <w:multiLevelType w:val="hybridMultilevel"/>
    <w:tmpl w:val="1A34ABC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CAE01B5"/>
    <w:multiLevelType w:val="hybridMultilevel"/>
    <w:tmpl w:val="88000690"/>
    <w:lvl w:ilvl="0" w:tplc="E6D4E06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BC592B"/>
    <w:multiLevelType w:val="hybridMultilevel"/>
    <w:tmpl w:val="E4B47F1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6F5C7F2C"/>
    <w:multiLevelType w:val="hybridMultilevel"/>
    <w:tmpl w:val="911A0E20"/>
    <w:lvl w:ilvl="0" w:tplc="386E49D2">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14">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E1"/>
    <w:rsid w:val="00000CA0"/>
    <w:rsid w:val="00000FF2"/>
    <w:rsid w:val="000016E9"/>
    <w:rsid w:val="0001047A"/>
    <w:rsid w:val="00011BD6"/>
    <w:rsid w:val="000134D2"/>
    <w:rsid w:val="0001445C"/>
    <w:rsid w:val="000175EC"/>
    <w:rsid w:val="000223E1"/>
    <w:rsid w:val="00022AA0"/>
    <w:rsid w:val="00027BBB"/>
    <w:rsid w:val="000321AA"/>
    <w:rsid w:val="000338F4"/>
    <w:rsid w:val="000346E7"/>
    <w:rsid w:val="00042328"/>
    <w:rsid w:val="00045B70"/>
    <w:rsid w:val="00046916"/>
    <w:rsid w:val="000469FC"/>
    <w:rsid w:val="00047431"/>
    <w:rsid w:val="00050ECF"/>
    <w:rsid w:val="0005170B"/>
    <w:rsid w:val="00055390"/>
    <w:rsid w:val="00056CC6"/>
    <w:rsid w:val="00061169"/>
    <w:rsid w:val="000673DB"/>
    <w:rsid w:val="0006790A"/>
    <w:rsid w:val="0007146C"/>
    <w:rsid w:val="00074470"/>
    <w:rsid w:val="000747BF"/>
    <w:rsid w:val="0008115E"/>
    <w:rsid w:val="00081443"/>
    <w:rsid w:val="000825EC"/>
    <w:rsid w:val="00082FA8"/>
    <w:rsid w:val="000832F5"/>
    <w:rsid w:val="0008547F"/>
    <w:rsid w:val="0008744B"/>
    <w:rsid w:val="00093F15"/>
    <w:rsid w:val="000967F0"/>
    <w:rsid w:val="000A0E11"/>
    <w:rsid w:val="000A33C1"/>
    <w:rsid w:val="000A519E"/>
    <w:rsid w:val="000A5551"/>
    <w:rsid w:val="000A5AC8"/>
    <w:rsid w:val="000A71F0"/>
    <w:rsid w:val="000B5862"/>
    <w:rsid w:val="000C0ED2"/>
    <w:rsid w:val="000C45EA"/>
    <w:rsid w:val="000C7D76"/>
    <w:rsid w:val="000D00BE"/>
    <w:rsid w:val="000D14A7"/>
    <w:rsid w:val="000E6EDF"/>
    <w:rsid w:val="000F1486"/>
    <w:rsid w:val="000F324D"/>
    <w:rsid w:val="000F3C34"/>
    <w:rsid w:val="000F3E44"/>
    <w:rsid w:val="000F5882"/>
    <w:rsid w:val="000F6CCE"/>
    <w:rsid w:val="000F73D6"/>
    <w:rsid w:val="00102A9D"/>
    <w:rsid w:val="0010557E"/>
    <w:rsid w:val="00110321"/>
    <w:rsid w:val="00111CDC"/>
    <w:rsid w:val="00112879"/>
    <w:rsid w:val="00113E19"/>
    <w:rsid w:val="00114611"/>
    <w:rsid w:val="00114870"/>
    <w:rsid w:val="00121B03"/>
    <w:rsid w:val="001227B9"/>
    <w:rsid w:val="00123008"/>
    <w:rsid w:val="00124C0D"/>
    <w:rsid w:val="0012729F"/>
    <w:rsid w:val="00142415"/>
    <w:rsid w:val="00154341"/>
    <w:rsid w:val="00155B28"/>
    <w:rsid w:val="00155DB8"/>
    <w:rsid w:val="0015708B"/>
    <w:rsid w:val="001571E8"/>
    <w:rsid w:val="00157556"/>
    <w:rsid w:val="00161C0B"/>
    <w:rsid w:val="001630F3"/>
    <w:rsid w:val="0016371B"/>
    <w:rsid w:val="00164144"/>
    <w:rsid w:val="00164BE6"/>
    <w:rsid w:val="0016665F"/>
    <w:rsid w:val="001727C8"/>
    <w:rsid w:val="00172E52"/>
    <w:rsid w:val="001735DE"/>
    <w:rsid w:val="00175A5C"/>
    <w:rsid w:val="00180694"/>
    <w:rsid w:val="001810BF"/>
    <w:rsid w:val="001839AF"/>
    <w:rsid w:val="00184A73"/>
    <w:rsid w:val="0018522C"/>
    <w:rsid w:val="001863F5"/>
    <w:rsid w:val="001866A0"/>
    <w:rsid w:val="00187AAF"/>
    <w:rsid w:val="00190165"/>
    <w:rsid w:val="00195C16"/>
    <w:rsid w:val="001968C6"/>
    <w:rsid w:val="001979FD"/>
    <w:rsid w:val="001A150A"/>
    <w:rsid w:val="001A4600"/>
    <w:rsid w:val="001A4943"/>
    <w:rsid w:val="001A50C7"/>
    <w:rsid w:val="001A7BCF"/>
    <w:rsid w:val="001B032B"/>
    <w:rsid w:val="001B1100"/>
    <w:rsid w:val="001B27EB"/>
    <w:rsid w:val="001B2D48"/>
    <w:rsid w:val="001B5C51"/>
    <w:rsid w:val="001B638E"/>
    <w:rsid w:val="001C07DB"/>
    <w:rsid w:val="001C18D6"/>
    <w:rsid w:val="001C4131"/>
    <w:rsid w:val="001C5B2F"/>
    <w:rsid w:val="001D0142"/>
    <w:rsid w:val="001D25A4"/>
    <w:rsid w:val="001D29B8"/>
    <w:rsid w:val="001D4AC8"/>
    <w:rsid w:val="001D4EF6"/>
    <w:rsid w:val="001E61F5"/>
    <w:rsid w:val="001F3448"/>
    <w:rsid w:val="001F3739"/>
    <w:rsid w:val="001F5C23"/>
    <w:rsid w:val="001F7BA2"/>
    <w:rsid w:val="00200D22"/>
    <w:rsid w:val="0020440A"/>
    <w:rsid w:val="00207EB7"/>
    <w:rsid w:val="00211012"/>
    <w:rsid w:val="00212933"/>
    <w:rsid w:val="00212BAC"/>
    <w:rsid w:val="002143F4"/>
    <w:rsid w:val="00216639"/>
    <w:rsid w:val="002200F8"/>
    <w:rsid w:val="00220F19"/>
    <w:rsid w:val="00224D6F"/>
    <w:rsid w:val="00231E57"/>
    <w:rsid w:val="00232017"/>
    <w:rsid w:val="00232F89"/>
    <w:rsid w:val="002348E5"/>
    <w:rsid w:val="00235282"/>
    <w:rsid w:val="00235BC5"/>
    <w:rsid w:val="0024133F"/>
    <w:rsid w:val="0024155C"/>
    <w:rsid w:val="002445C9"/>
    <w:rsid w:val="00246F60"/>
    <w:rsid w:val="0025059D"/>
    <w:rsid w:val="002602F7"/>
    <w:rsid w:val="0026305D"/>
    <w:rsid w:val="0026350C"/>
    <w:rsid w:val="0027177C"/>
    <w:rsid w:val="00272AC6"/>
    <w:rsid w:val="0028056D"/>
    <w:rsid w:val="00281074"/>
    <w:rsid w:val="00283E1B"/>
    <w:rsid w:val="00291033"/>
    <w:rsid w:val="00292E71"/>
    <w:rsid w:val="0029430D"/>
    <w:rsid w:val="002953B4"/>
    <w:rsid w:val="00296607"/>
    <w:rsid w:val="002A1CE9"/>
    <w:rsid w:val="002A3D13"/>
    <w:rsid w:val="002A4F17"/>
    <w:rsid w:val="002A5117"/>
    <w:rsid w:val="002A7221"/>
    <w:rsid w:val="002B03BA"/>
    <w:rsid w:val="002B6D79"/>
    <w:rsid w:val="002C49AB"/>
    <w:rsid w:val="002C5B4B"/>
    <w:rsid w:val="002D74F4"/>
    <w:rsid w:val="002D7D7C"/>
    <w:rsid w:val="002E380E"/>
    <w:rsid w:val="002E4AEF"/>
    <w:rsid w:val="002F0DC5"/>
    <w:rsid w:val="002F2129"/>
    <w:rsid w:val="002F362F"/>
    <w:rsid w:val="002F4701"/>
    <w:rsid w:val="002F587B"/>
    <w:rsid w:val="002F59D1"/>
    <w:rsid w:val="002F6678"/>
    <w:rsid w:val="0030030C"/>
    <w:rsid w:val="00304266"/>
    <w:rsid w:val="00312C20"/>
    <w:rsid w:val="00316285"/>
    <w:rsid w:val="003201AF"/>
    <w:rsid w:val="00323C99"/>
    <w:rsid w:val="003307B8"/>
    <w:rsid w:val="00331107"/>
    <w:rsid w:val="00332EC5"/>
    <w:rsid w:val="003355D3"/>
    <w:rsid w:val="00337AF1"/>
    <w:rsid w:val="00341BB5"/>
    <w:rsid w:val="00341E42"/>
    <w:rsid w:val="00342B5D"/>
    <w:rsid w:val="00343368"/>
    <w:rsid w:val="00344C7E"/>
    <w:rsid w:val="00345A01"/>
    <w:rsid w:val="0034650D"/>
    <w:rsid w:val="00361A4C"/>
    <w:rsid w:val="0036409C"/>
    <w:rsid w:val="00371A00"/>
    <w:rsid w:val="00372836"/>
    <w:rsid w:val="00374844"/>
    <w:rsid w:val="00376D7A"/>
    <w:rsid w:val="003822FD"/>
    <w:rsid w:val="00384E62"/>
    <w:rsid w:val="0038697C"/>
    <w:rsid w:val="00387AC5"/>
    <w:rsid w:val="0039027B"/>
    <w:rsid w:val="003939FD"/>
    <w:rsid w:val="00395DA8"/>
    <w:rsid w:val="003A6C24"/>
    <w:rsid w:val="003B1954"/>
    <w:rsid w:val="003B386C"/>
    <w:rsid w:val="003B4A8B"/>
    <w:rsid w:val="003C13F0"/>
    <w:rsid w:val="003C2FCB"/>
    <w:rsid w:val="003C43AE"/>
    <w:rsid w:val="003C5AED"/>
    <w:rsid w:val="003D14A4"/>
    <w:rsid w:val="003D3405"/>
    <w:rsid w:val="003D457B"/>
    <w:rsid w:val="003D7EEC"/>
    <w:rsid w:val="003E066B"/>
    <w:rsid w:val="003E246C"/>
    <w:rsid w:val="003E4D2D"/>
    <w:rsid w:val="003E535F"/>
    <w:rsid w:val="003F103B"/>
    <w:rsid w:val="003F19E9"/>
    <w:rsid w:val="003F3137"/>
    <w:rsid w:val="003F387D"/>
    <w:rsid w:val="003F42BA"/>
    <w:rsid w:val="003F5384"/>
    <w:rsid w:val="003F58D0"/>
    <w:rsid w:val="004001BD"/>
    <w:rsid w:val="0040781D"/>
    <w:rsid w:val="00411BB6"/>
    <w:rsid w:val="004151F1"/>
    <w:rsid w:val="004200A3"/>
    <w:rsid w:val="00421900"/>
    <w:rsid w:val="00421D28"/>
    <w:rsid w:val="00424613"/>
    <w:rsid w:val="004273A3"/>
    <w:rsid w:val="00427810"/>
    <w:rsid w:val="00430E7C"/>
    <w:rsid w:val="004316BC"/>
    <w:rsid w:val="0043281A"/>
    <w:rsid w:val="00433297"/>
    <w:rsid w:val="0043465F"/>
    <w:rsid w:val="004357C3"/>
    <w:rsid w:val="00435C49"/>
    <w:rsid w:val="00441CF0"/>
    <w:rsid w:val="0044561B"/>
    <w:rsid w:val="0044609E"/>
    <w:rsid w:val="0045189E"/>
    <w:rsid w:val="00452638"/>
    <w:rsid w:val="0045272C"/>
    <w:rsid w:val="0045361D"/>
    <w:rsid w:val="0046007A"/>
    <w:rsid w:val="00461E8B"/>
    <w:rsid w:val="00470DA2"/>
    <w:rsid w:val="004778AF"/>
    <w:rsid w:val="00480113"/>
    <w:rsid w:val="0048488C"/>
    <w:rsid w:val="004875E3"/>
    <w:rsid w:val="004929D5"/>
    <w:rsid w:val="00494283"/>
    <w:rsid w:val="00495AC8"/>
    <w:rsid w:val="00496E07"/>
    <w:rsid w:val="00496FEB"/>
    <w:rsid w:val="004A7E5F"/>
    <w:rsid w:val="004B052B"/>
    <w:rsid w:val="004B07BF"/>
    <w:rsid w:val="004B1162"/>
    <w:rsid w:val="004C0FDE"/>
    <w:rsid w:val="004C4A7F"/>
    <w:rsid w:val="004C5FD3"/>
    <w:rsid w:val="004C72CD"/>
    <w:rsid w:val="004C79C6"/>
    <w:rsid w:val="004D3040"/>
    <w:rsid w:val="004D4571"/>
    <w:rsid w:val="004D519D"/>
    <w:rsid w:val="004D6C9A"/>
    <w:rsid w:val="004E39CC"/>
    <w:rsid w:val="004E3E00"/>
    <w:rsid w:val="004E52CE"/>
    <w:rsid w:val="004E5759"/>
    <w:rsid w:val="004E7A42"/>
    <w:rsid w:val="004F0E91"/>
    <w:rsid w:val="004F36C7"/>
    <w:rsid w:val="004F5FB9"/>
    <w:rsid w:val="004F7463"/>
    <w:rsid w:val="004F7AE2"/>
    <w:rsid w:val="0050389D"/>
    <w:rsid w:val="00505276"/>
    <w:rsid w:val="00510D79"/>
    <w:rsid w:val="00511B01"/>
    <w:rsid w:val="00513138"/>
    <w:rsid w:val="00514568"/>
    <w:rsid w:val="005149CF"/>
    <w:rsid w:val="005155A9"/>
    <w:rsid w:val="00524067"/>
    <w:rsid w:val="0052538C"/>
    <w:rsid w:val="005264AE"/>
    <w:rsid w:val="00527C39"/>
    <w:rsid w:val="00530C35"/>
    <w:rsid w:val="00532B1F"/>
    <w:rsid w:val="00540A69"/>
    <w:rsid w:val="005419B8"/>
    <w:rsid w:val="00544551"/>
    <w:rsid w:val="00544BBD"/>
    <w:rsid w:val="00545F79"/>
    <w:rsid w:val="00546467"/>
    <w:rsid w:val="00552BA4"/>
    <w:rsid w:val="0055356F"/>
    <w:rsid w:val="00554D90"/>
    <w:rsid w:val="00557E3B"/>
    <w:rsid w:val="005724FE"/>
    <w:rsid w:val="00574DD0"/>
    <w:rsid w:val="00575D66"/>
    <w:rsid w:val="00575EE1"/>
    <w:rsid w:val="00577A5F"/>
    <w:rsid w:val="0058062A"/>
    <w:rsid w:val="0058219D"/>
    <w:rsid w:val="005824A8"/>
    <w:rsid w:val="005842BA"/>
    <w:rsid w:val="005849EC"/>
    <w:rsid w:val="00591041"/>
    <w:rsid w:val="005910AB"/>
    <w:rsid w:val="0059117E"/>
    <w:rsid w:val="005932BF"/>
    <w:rsid w:val="00594484"/>
    <w:rsid w:val="0059477D"/>
    <w:rsid w:val="005A39D6"/>
    <w:rsid w:val="005A3EB3"/>
    <w:rsid w:val="005C1B73"/>
    <w:rsid w:val="005C2CDD"/>
    <w:rsid w:val="005C3F91"/>
    <w:rsid w:val="005C46B7"/>
    <w:rsid w:val="005C519D"/>
    <w:rsid w:val="005C6A52"/>
    <w:rsid w:val="005C6E57"/>
    <w:rsid w:val="005D0BA5"/>
    <w:rsid w:val="005D2233"/>
    <w:rsid w:val="005D2608"/>
    <w:rsid w:val="005D4B1D"/>
    <w:rsid w:val="005E0233"/>
    <w:rsid w:val="005E0513"/>
    <w:rsid w:val="005E0982"/>
    <w:rsid w:val="005E7E2F"/>
    <w:rsid w:val="005F23B2"/>
    <w:rsid w:val="005F2B84"/>
    <w:rsid w:val="00602E3E"/>
    <w:rsid w:val="00612C8C"/>
    <w:rsid w:val="00612E87"/>
    <w:rsid w:val="0061386F"/>
    <w:rsid w:val="0061724B"/>
    <w:rsid w:val="00620DDC"/>
    <w:rsid w:val="00626E00"/>
    <w:rsid w:val="006275B8"/>
    <w:rsid w:val="00627BF7"/>
    <w:rsid w:val="00632FDF"/>
    <w:rsid w:val="00633BF6"/>
    <w:rsid w:val="00634A55"/>
    <w:rsid w:val="006401B4"/>
    <w:rsid w:val="00640BD8"/>
    <w:rsid w:val="0064429E"/>
    <w:rsid w:val="006447F4"/>
    <w:rsid w:val="0064552E"/>
    <w:rsid w:val="00651450"/>
    <w:rsid w:val="006539E1"/>
    <w:rsid w:val="00653FCB"/>
    <w:rsid w:val="00655231"/>
    <w:rsid w:val="00656300"/>
    <w:rsid w:val="00662D11"/>
    <w:rsid w:val="00670E6B"/>
    <w:rsid w:val="00674BCD"/>
    <w:rsid w:val="006751F8"/>
    <w:rsid w:val="006766DC"/>
    <w:rsid w:val="00676835"/>
    <w:rsid w:val="00677F24"/>
    <w:rsid w:val="006801A4"/>
    <w:rsid w:val="006809D2"/>
    <w:rsid w:val="00682F91"/>
    <w:rsid w:val="00683387"/>
    <w:rsid w:val="00684D18"/>
    <w:rsid w:val="00687472"/>
    <w:rsid w:val="00687F78"/>
    <w:rsid w:val="00692BEF"/>
    <w:rsid w:val="0069518C"/>
    <w:rsid w:val="00695284"/>
    <w:rsid w:val="006952CD"/>
    <w:rsid w:val="006958D5"/>
    <w:rsid w:val="006A283C"/>
    <w:rsid w:val="006B0514"/>
    <w:rsid w:val="006B05F2"/>
    <w:rsid w:val="006B2D8B"/>
    <w:rsid w:val="006B3964"/>
    <w:rsid w:val="006B60DD"/>
    <w:rsid w:val="006B7B0A"/>
    <w:rsid w:val="006C2D14"/>
    <w:rsid w:val="006C4DE3"/>
    <w:rsid w:val="006D2E2A"/>
    <w:rsid w:val="006D6F71"/>
    <w:rsid w:val="006E02A1"/>
    <w:rsid w:val="006E185A"/>
    <w:rsid w:val="006E3299"/>
    <w:rsid w:val="006E41F4"/>
    <w:rsid w:val="006F3B81"/>
    <w:rsid w:val="006F463D"/>
    <w:rsid w:val="00703F05"/>
    <w:rsid w:val="0070416B"/>
    <w:rsid w:val="0070770F"/>
    <w:rsid w:val="00711D02"/>
    <w:rsid w:val="00714621"/>
    <w:rsid w:val="0071499E"/>
    <w:rsid w:val="00714D94"/>
    <w:rsid w:val="007170EC"/>
    <w:rsid w:val="0071790F"/>
    <w:rsid w:val="00717984"/>
    <w:rsid w:val="00717E88"/>
    <w:rsid w:val="00721A01"/>
    <w:rsid w:val="00721F48"/>
    <w:rsid w:val="0072523C"/>
    <w:rsid w:val="00725EBF"/>
    <w:rsid w:val="00726B0E"/>
    <w:rsid w:val="00726CC0"/>
    <w:rsid w:val="00733084"/>
    <w:rsid w:val="0073752B"/>
    <w:rsid w:val="00737588"/>
    <w:rsid w:val="007377C5"/>
    <w:rsid w:val="00744A58"/>
    <w:rsid w:val="00744E22"/>
    <w:rsid w:val="007515F6"/>
    <w:rsid w:val="0075227A"/>
    <w:rsid w:val="00754E5D"/>
    <w:rsid w:val="00771BBE"/>
    <w:rsid w:val="0077287F"/>
    <w:rsid w:val="00772CD9"/>
    <w:rsid w:val="00775DEE"/>
    <w:rsid w:val="00782D26"/>
    <w:rsid w:val="007856E4"/>
    <w:rsid w:val="00785EAD"/>
    <w:rsid w:val="007872BB"/>
    <w:rsid w:val="00787B6F"/>
    <w:rsid w:val="0079461B"/>
    <w:rsid w:val="00795C81"/>
    <w:rsid w:val="007A0CDC"/>
    <w:rsid w:val="007A0F10"/>
    <w:rsid w:val="007A183C"/>
    <w:rsid w:val="007B49B0"/>
    <w:rsid w:val="007B69DA"/>
    <w:rsid w:val="007C1248"/>
    <w:rsid w:val="007C1628"/>
    <w:rsid w:val="007C1637"/>
    <w:rsid w:val="007C17B6"/>
    <w:rsid w:val="007C2DFB"/>
    <w:rsid w:val="007C5923"/>
    <w:rsid w:val="007C6038"/>
    <w:rsid w:val="007D058B"/>
    <w:rsid w:val="007D303C"/>
    <w:rsid w:val="007D3D9E"/>
    <w:rsid w:val="007D7074"/>
    <w:rsid w:val="007D74D4"/>
    <w:rsid w:val="007E2FD8"/>
    <w:rsid w:val="007E5B6B"/>
    <w:rsid w:val="007E752F"/>
    <w:rsid w:val="007F014A"/>
    <w:rsid w:val="007F28D5"/>
    <w:rsid w:val="007F6161"/>
    <w:rsid w:val="008076E1"/>
    <w:rsid w:val="008106F7"/>
    <w:rsid w:val="0081159E"/>
    <w:rsid w:val="0081246E"/>
    <w:rsid w:val="00814B94"/>
    <w:rsid w:val="00815771"/>
    <w:rsid w:val="0081622C"/>
    <w:rsid w:val="00822702"/>
    <w:rsid w:val="00824191"/>
    <w:rsid w:val="00824B8C"/>
    <w:rsid w:val="00825969"/>
    <w:rsid w:val="0082700B"/>
    <w:rsid w:val="00832B38"/>
    <w:rsid w:val="00834999"/>
    <w:rsid w:val="00835B75"/>
    <w:rsid w:val="00836536"/>
    <w:rsid w:val="008430AD"/>
    <w:rsid w:val="00843D77"/>
    <w:rsid w:val="00844325"/>
    <w:rsid w:val="00845D52"/>
    <w:rsid w:val="00846547"/>
    <w:rsid w:val="008515EB"/>
    <w:rsid w:val="00851A87"/>
    <w:rsid w:val="008538A9"/>
    <w:rsid w:val="00853925"/>
    <w:rsid w:val="00856B30"/>
    <w:rsid w:val="00865869"/>
    <w:rsid w:val="00870B87"/>
    <w:rsid w:val="008716E3"/>
    <w:rsid w:val="008737BE"/>
    <w:rsid w:val="00873BFF"/>
    <w:rsid w:val="00874164"/>
    <w:rsid w:val="008741C0"/>
    <w:rsid w:val="0087632F"/>
    <w:rsid w:val="0088255C"/>
    <w:rsid w:val="00883A2E"/>
    <w:rsid w:val="00893061"/>
    <w:rsid w:val="00897889"/>
    <w:rsid w:val="008A03BB"/>
    <w:rsid w:val="008A2758"/>
    <w:rsid w:val="008A7DEA"/>
    <w:rsid w:val="008B22F4"/>
    <w:rsid w:val="008B28E8"/>
    <w:rsid w:val="008B5934"/>
    <w:rsid w:val="008C1DD3"/>
    <w:rsid w:val="008C1E3E"/>
    <w:rsid w:val="008C4112"/>
    <w:rsid w:val="008C444C"/>
    <w:rsid w:val="008C5969"/>
    <w:rsid w:val="008D10DE"/>
    <w:rsid w:val="008D56D1"/>
    <w:rsid w:val="008D5ED5"/>
    <w:rsid w:val="008D6AFB"/>
    <w:rsid w:val="008E026F"/>
    <w:rsid w:val="008E0D9E"/>
    <w:rsid w:val="008E2589"/>
    <w:rsid w:val="008E3DAE"/>
    <w:rsid w:val="008E57A6"/>
    <w:rsid w:val="008E6C58"/>
    <w:rsid w:val="008E7EAE"/>
    <w:rsid w:val="008F538D"/>
    <w:rsid w:val="0090117E"/>
    <w:rsid w:val="00907310"/>
    <w:rsid w:val="00910143"/>
    <w:rsid w:val="00926A17"/>
    <w:rsid w:val="009305B5"/>
    <w:rsid w:val="009348A6"/>
    <w:rsid w:val="0093501A"/>
    <w:rsid w:val="00937037"/>
    <w:rsid w:val="009414F8"/>
    <w:rsid w:val="00944164"/>
    <w:rsid w:val="0095313E"/>
    <w:rsid w:val="00956868"/>
    <w:rsid w:val="0095746A"/>
    <w:rsid w:val="00965198"/>
    <w:rsid w:val="009664A4"/>
    <w:rsid w:val="00966799"/>
    <w:rsid w:val="00966914"/>
    <w:rsid w:val="00966BEC"/>
    <w:rsid w:val="009672DA"/>
    <w:rsid w:val="00972B2E"/>
    <w:rsid w:val="009813C7"/>
    <w:rsid w:val="009813EC"/>
    <w:rsid w:val="00984340"/>
    <w:rsid w:val="009843AD"/>
    <w:rsid w:val="009845D1"/>
    <w:rsid w:val="00984959"/>
    <w:rsid w:val="0098543E"/>
    <w:rsid w:val="0099121E"/>
    <w:rsid w:val="0099146B"/>
    <w:rsid w:val="00991C58"/>
    <w:rsid w:val="00992F5F"/>
    <w:rsid w:val="009969B6"/>
    <w:rsid w:val="00997EB1"/>
    <w:rsid w:val="009A0278"/>
    <w:rsid w:val="009A1509"/>
    <w:rsid w:val="009A1E78"/>
    <w:rsid w:val="009A45ED"/>
    <w:rsid w:val="009A4B32"/>
    <w:rsid w:val="009A7411"/>
    <w:rsid w:val="009B1134"/>
    <w:rsid w:val="009B7B64"/>
    <w:rsid w:val="009C0998"/>
    <w:rsid w:val="009C433D"/>
    <w:rsid w:val="009C4987"/>
    <w:rsid w:val="009D1A12"/>
    <w:rsid w:val="009D2295"/>
    <w:rsid w:val="009D6A7B"/>
    <w:rsid w:val="009E61FF"/>
    <w:rsid w:val="009E6882"/>
    <w:rsid w:val="009E7335"/>
    <w:rsid w:val="009F2295"/>
    <w:rsid w:val="009F2BEC"/>
    <w:rsid w:val="009F5083"/>
    <w:rsid w:val="009F7157"/>
    <w:rsid w:val="009F725C"/>
    <w:rsid w:val="00A0250F"/>
    <w:rsid w:val="00A03BA3"/>
    <w:rsid w:val="00A05591"/>
    <w:rsid w:val="00A060DB"/>
    <w:rsid w:val="00A10AD0"/>
    <w:rsid w:val="00A127C0"/>
    <w:rsid w:val="00A128BA"/>
    <w:rsid w:val="00A216EC"/>
    <w:rsid w:val="00A25896"/>
    <w:rsid w:val="00A336AD"/>
    <w:rsid w:val="00A443FF"/>
    <w:rsid w:val="00A46612"/>
    <w:rsid w:val="00A473C6"/>
    <w:rsid w:val="00A50EAA"/>
    <w:rsid w:val="00A55086"/>
    <w:rsid w:val="00A601BE"/>
    <w:rsid w:val="00A60304"/>
    <w:rsid w:val="00A605EA"/>
    <w:rsid w:val="00A67257"/>
    <w:rsid w:val="00A745E3"/>
    <w:rsid w:val="00A75C98"/>
    <w:rsid w:val="00A82904"/>
    <w:rsid w:val="00A842A1"/>
    <w:rsid w:val="00A86BA1"/>
    <w:rsid w:val="00A87B17"/>
    <w:rsid w:val="00A928C0"/>
    <w:rsid w:val="00A93347"/>
    <w:rsid w:val="00A94809"/>
    <w:rsid w:val="00A96CC8"/>
    <w:rsid w:val="00AA0862"/>
    <w:rsid w:val="00AA7417"/>
    <w:rsid w:val="00AB3E19"/>
    <w:rsid w:val="00AB5D9A"/>
    <w:rsid w:val="00AC08C7"/>
    <w:rsid w:val="00AC317F"/>
    <w:rsid w:val="00AD0FF7"/>
    <w:rsid w:val="00AD1856"/>
    <w:rsid w:val="00AD4AD1"/>
    <w:rsid w:val="00AD59D0"/>
    <w:rsid w:val="00AD5BF3"/>
    <w:rsid w:val="00AE002C"/>
    <w:rsid w:val="00AE1B73"/>
    <w:rsid w:val="00AE2473"/>
    <w:rsid w:val="00AE2BF6"/>
    <w:rsid w:val="00AE61B8"/>
    <w:rsid w:val="00AF12BC"/>
    <w:rsid w:val="00AF302C"/>
    <w:rsid w:val="00AF61A9"/>
    <w:rsid w:val="00AF71B0"/>
    <w:rsid w:val="00B00256"/>
    <w:rsid w:val="00B02489"/>
    <w:rsid w:val="00B04AF8"/>
    <w:rsid w:val="00B05CC9"/>
    <w:rsid w:val="00B11D70"/>
    <w:rsid w:val="00B16203"/>
    <w:rsid w:val="00B2031E"/>
    <w:rsid w:val="00B2264B"/>
    <w:rsid w:val="00B2277E"/>
    <w:rsid w:val="00B24DA4"/>
    <w:rsid w:val="00B253CF"/>
    <w:rsid w:val="00B27853"/>
    <w:rsid w:val="00B33513"/>
    <w:rsid w:val="00B424CC"/>
    <w:rsid w:val="00B429E7"/>
    <w:rsid w:val="00B44C1B"/>
    <w:rsid w:val="00B45C37"/>
    <w:rsid w:val="00B4672A"/>
    <w:rsid w:val="00B46855"/>
    <w:rsid w:val="00B46914"/>
    <w:rsid w:val="00B50354"/>
    <w:rsid w:val="00B511FD"/>
    <w:rsid w:val="00B53699"/>
    <w:rsid w:val="00B543A4"/>
    <w:rsid w:val="00B57D56"/>
    <w:rsid w:val="00B6123A"/>
    <w:rsid w:val="00B627FA"/>
    <w:rsid w:val="00B705A0"/>
    <w:rsid w:val="00B715BA"/>
    <w:rsid w:val="00B72C12"/>
    <w:rsid w:val="00B75471"/>
    <w:rsid w:val="00B75C42"/>
    <w:rsid w:val="00B82F76"/>
    <w:rsid w:val="00B83C0F"/>
    <w:rsid w:val="00B8680B"/>
    <w:rsid w:val="00B8741C"/>
    <w:rsid w:val="00B8743C"/>
    <w:rsid w:val="00B91372"/>
    <w:rsid w:val="00B92E9E"/>
    <w:rsid w:val="00B9454D"/>
    <w:rsid w:val="00B94CE9"/>
    <w:rsid w:val="00B96D0B"/>
    <w:rsid w:val="00BA16A7"/>
    <w:rsid w:val="00BA1A1E"/>
    <w:rsid w:val="00BA22F6"/>
    <w:rsid w:val="00BA36C7"/>
    <w:rsid w:val="00BA43CF"/>
    <w:rsid w:val="00BA5E88"/>
    <w:rsid w:val="00BA6F6F"/>
    <w:rsid w:val="00BB3BA8"/>
    <w:rsid w:val="00BB701B"/>
    <w:rsid w:val="00BC129D"/>
    <w:rsid w:val="00BC33D2"/>
    <w:rsid w:val="00BC7EB5"/>
    <w:rsid w:val="00BD1F29"/>
    <w:rsid w:val="00BD21A0"/>
    <w:rsid w:val="00BD27DF"/>
    <w:rsid w:val="00BD452F"/>
    <w:rsid w:val="00BD5143"/>
    <w:rsid w:val="00BD67B2"/>
    <w:rsid w:val="00BE13A9"/>
    <w:rsid w:val="00BE16EC"/>
    <w:rsid w:val="00BE1995"/>
    <w:rsid w:val="00BE2F8E"/>
    <w:rsid w:val="00BE3475"/>
    <w:rsid w:val="00BE664C"/>
    <w:rsid w:val="00BE7565"/>
    <w:rsid w:val="00BF19A7"/>
    <w:rsid w:val="00BF724F"/>
    <w:rsid w:val="00C0461D"/>
    <w:rsid w:val="00C04CAF"/>
    <w:rsid w:val="00C05FE5"/>
    <w:rsid w:val="00C068A3"/>
    <w:rsid w:val="00C078FE"/>
    <w:rsid w:val="00C11A03"/>
    <w:rsid w:val="00C120CE"/>
    <w:rsid w:val="00C16E82"/>
    <w:rsid w:val="00C17669"/>
    <w:rsid w:val="00C221C4"/>
    <w:rsid w:val="00C252AA"/>
    <w:rsid w:val="00C257BC"/>
    <w:rsid w:val="00C3159B"/>
    <w:rsid w:val="00C32CFF"/>
    <w:rsid w:val="00C350D2"/>
    <w:rsid w:val="00C40BA7"/>
    <w:rsid w:val="00C41802"/>
    <w:rsid w:val="00C437B2"/>
    <w:rsid w:val="00C43802"/>
    <w:rsid w:val="00C46A61"/>
    <w:rsid w:val="00C53FA2"/>
    <w:rsid w:val="00C6420F"/>
    <w:rsid w:val="00C64E47"/>
    <w:rsid w:val="00C65AD2"/>
    <w:rsid w:val="00C70A63"/>
    <w:rsid w:val="00C730F6"/>
    <w:rsid w:val="00C73B37"/>
    <w:rsid w:val="00C73DBB"/>
    <w:rsid w:val="00C74123"/>
    <w:rsid w:val="00C7526B"/>
    <w:rsid w:val="00C7790B"/>
    <w:rsid w:val="00C81DBE"/>
    <w:rsid w:val="00C82FE3"/>
    <w:rsid w:val="00C83430"/>
    <w:rsid w:val="00C85852"/>
    <w:rsid w:val="00C85AE7"/>
    <w:rsid w:val="00C85B41"/>
    <w:rsid w:val="00C87AA3"/>
    <w:rsid w:val="00C94DB1"/>
    <w:rsid w:val="00C97BC4"/>
    <w:rsid w:val="00C97EF6"/>
    <w:rsid w:val="00C97F28"/>
    <w:rsid w:val="00CA0C68"/>
    <w:rsid w:val="00CA136E"/>
    <w:rsid w:val="00CA1477"/>
    <w:rsid w:val="00CA182E"/>
    <w:rsid w:val="00CA2364"/>
    <w:rsid w:val="00CA5221"/>
    <w:rsid w:val="00CA56BD"/>
    <w:rsid w:val="00CA609C"/>
    <w:rsid w:val="00CA74CC"/>
    <w:rsid w:val="00CB2C55"/>
    <w:rsid w:val="00CB7C64"/>
    <w:rsid w:val="00CC0388"/>
    <w:rsid w:val="00CC0D23"/>
    <w:rsid w:val="00CC0F74"/>
    <w:rsid w:val="00CC1729"/>
    <w:rsid w:val="00CC47F4"/>
    <w:rsid w:val="00CC512E"/>
    <w:rsid w:val="00CC58DF"/>
    <w:rsid w:val="00CD08F5"/>
    <w:rsid w:val="00CD1010"/>
    <w:rsid w:val="00CD6170"/>
    <w:rsid w:val="00CD6B71"/>
    <w:rsid w:val="00CE1615"/>
    <w:rsid w:val="00CE306F"/>
    <w:rsid w:val="00CE69ED"/>
    <w:rsid w:val="00CE6CBF"/>
    <w:rsid w:val="00CF115D"/>
    <w:rsid w:val="00CF21E1"/>
    <w:rsid w:val="00CF46B9"/>
    <w:rsid w:val="00CF4A2F"/>
    <w:rsid w:val="00D03E09"/>
    <w:rsid w:val="00D108FC"/>
    <w:rsid w:val="00D10BF1"/>
    <w:rsid w:val="00D10CA1"/>
    <w:rsid w:val="00D111AB"/>
    <w:rsid w:val="00D11D39"/>
    <w:rsid w:val="00D161D7"/>
    <w:rsid w:val="00D16529"/>
    <w:rsid w:val="00D21FD7"/>
    <w:rsid w:val="00D24D15"/>
    <w:rsid w:val="00D258CA"/>
    <w:rsid w:val="00D30F50"/>
    <w:rsid w:val="00D31FAB"/>
    <w:rsid w:val="00D3255D"/>
    <w:rsid w:val="00D33C0F"/>
    <w:rsid w:val="00D36260"/>
    <w:rsid w:val="00D37BEE"/>
    <w:rsid w:val="00D4202F"/>
    <w:rsid w:val="00D44537"/>
    <w:rsid w:val="00D4529F"/>
    <w:rsid w:val="00D47DBD"/>
    <w:rsid w:val="00D51DE9"/>
    <w:rsid w:val="00D61A88"/>
    <w:rsid w:val="00D61B79"/>
    <w:rsid w:val="00D6385E"/>
    <w:rsid w:val="00D66EA8"/>
    <w:rsid w:val="00D71DF7"/>
    <w:rsid w:val="00D77346"/>
    <w:rsid w:val="00D80BBC"/>
    <w:rsid w:val="00D85572"/>
    <w:rsid w:val="00D863EC"/>
    <w:rsid w:val="00D900AC"/>
    <w:rsid w:val="00D9412A"/>
    <w:rsid w:val="00D9714A"/>
    <w:rsid w:val="00DA3005"/>
    <w:rsid w:val="00DA7405"/>
    <w:rsid w:val="00DB7F49"/>
    <w:rsid w:val="00DC77ED"/>
    <w:rsid w:val="00DD288F"/>
    <w:rsid w:val="00DD4832"/>
    <w:rsid w:val="00DD6071"/>
    <w:rsid w:val="00DD7F58"/>
    <w:rsid w:val="00DE1BB4"/>
    <w:rsid w:val="00DE1F6E"/>
    <w:rsid w:val="00DE51A7"/>
    <w:rsid w:val="00DE5C70"/>
    <w:rsid w:val="00DF163F"/>
    <w:rsid w:val="00DF1DF1"/>
    <w:rsid w:val="00DF6CC5"/>
    <w:rsid w:val="00DF70B6"/>
    <w:rsid w:val="00E00B03"/>
    <w:rsid w:val="00E0216A"/>
    <w:rsid w:val="00E02FCE"/>
    <w:rsid w:val="00E0748D"/>
    <w:rsid w:val="00E104BA"/>
    <w:rsid w:val="00E10E2F"/>
    <w:rsid w:val="00E12442"/>
    <w:rsid w:val="00E14BD4"/>
    <w:rsid w:val="00E21EFE"/>
    <w:rsid w:val="00E26BD2"/>
    <w:rsid w:val="00E27C47"/>
    <w:rsid w:val="00E31239"/>
    <w:rsid w:val="00E33136"/>
    <w:rsid w:val="00E37392"/>
    <w:rsid w:val="00E40728"/>
    <w:rsid w:val="00E415F9"/>
    <w:rsid w:val="00E4198E"/>
    <w:rsid w:val="00E4556F"/>
    <w:rsid w:val="00E500BC"/>
    <w:rsid w:val="00E51F6A"/>
    <w:rsid w:val="00E546F4"/>
    <w:rsid w:val="00E55136"/>
    <w:rsid w:val="00E55556"/>
    <w:rsid w:val="00E5676D"/>
    <w:rsid w:val="00E57386"/>
    <w:rsid w:val="00E6397A"/>
    <w:rsid w:val="00E64263"/>
    <w:rsid w:val="00E73ED4"/>
    <w:rsid w:val="00E80BF1"/>
    <w:rsid w:val="00E81F9D"/>
    <w:rsid w:val="00E848D3"/>
    <w:rsid w:val="00E85905"/>
    <w:rsid w:val="00E872B4"/>
    <w:rsid w:val="00E90F53"/>
    <w:rsid w:val="00E9290D"/>
    <w:rsid w:val="00E94043"/>
    <w:rsid w:val="00E9424B"/>
    <w:rsid w:val="00E95B16"/>
    <w:rsid w:val="00E96CEA"/>
    <w:rsid w:val="00EA4BA0"/>
    <w:rsid w:val="00EB2B46"/>
    <w:rsid w:val="00EB3C1D"/>
    <w:rsid w:val="00EC1E91"/>
    <w:rsid w:val="00EC22B2"/>
    <w:rsid w:val="00EC3865"/>
    <w:rsid w:val="00ED21C1"/>
    <w:rsid w:val="00ED3B3F"/>
    <w:rsid w:val="00ED3C72"/>
    <w:rsid w:val="00EE381E"/>
    <w:rsid w:val="00EE3A03"/>
    <w:rsid w:val="00EE4003"/>
    <w:rsid w:val="00EE61E0"/>
    <w:rsid w:val="00EE71C2"/>
    <w:rsid w:val="00EF2FE1"/>
    <w:rsid w:val="00EF4682"/>
    <w:rsid w:val="00EF4A17"/>
    <w:rsid w:val="00EF78D9"/>
    <w:rsid w:val="00EF7E9A"/>
    <w:rsid w:val="00F0195F"/>
    <w:rsid w:val="00F02F21"/>
    <w:rsid w:val="00F04FC4"/>
    <w:rsid w:val="00F10149"/>
    <w:rsid w:val="00F11377"/>
    <w:rsid w:val="00F12AA0"/>
    <w:rsid w:val="00F15C80"/>
    <w:rsid w:val="00F24C9C"/>
    <w:rsid w:val="00F25408"/>
    <w:rsid w:val="00F34FB8"/>
    <w:rsid w:val="00F45E21"/>
    <w:rsid w:val="00F47938"/>
    <w:rsid w:val="00F51464"/>
    <w:rsid w:val="00F528B4"/>
    <w:rsid w:val="00F5413D"/>
    <w:rsid w:val="00F559B3"/>
    <w:rsid w:val="00F55C5D"/>
    <w:rsid w:val="00F56A18"/>
    <w:rsid w:val="00F576B6"/>
    <w:rsid w:val="00F57778"/>
    <w:rsid w:val="00F62736"/>
    <w:rsid w:val="00F65582"/>
    <w:rsid w:val="00F67E7F"/>
    <w:rsid w:val="00F7188C"/>
    <w:rsid w:val="00F7477F"/>
    <w:rsid w:val="00F755C8"/>
    <w:rsid w:val="00F80DF0"/>
    <w:rsid w:val="00F812C6"/>
    <w:rsid w:val="00F81A82"/>
    <w:rsid w:val="00F933DD"/>
    <w:rsid w:val="00F95A19"/>
    <w:rsid w:val="00F95D86"/>
    <w:rsid w:val="00F96F5D"/>
    <w:rsid w:val="00FA421F"/>
    <w:rsid w:val="00FA5339"/>
    <w:rsid w:val="00FA6DE3"/>
    <w:rsid w:val="00FB3183"/>
    <w:rsid w:val="00FB650C"/>
    <w:rsid w:val="00FC0F19"/>
    <w:rsid w:val="00FC102B"/>
    <w:rsid w:val="00FC239C"/>
    <w:rsid w:val="00FC23A8"/>
    <w:rsid w:val="00FC4489"/>
    <w:rsid w:val="00FC4E08"/>
    <w:rsid w:val="00FC6BD1"/>
    <w:rsid w:val="00FC7CAD"/>
    <w:rsid w:val="00FD01BA"/>
    <w:rsid w:val="00FD1373"/>
    <w:rsid w:val="00FD142D"/>
    <w:rsid w:val="00FD2A0E"/>
    <w:rsid w:val="00FD62CE"/>
    <w:rsid w:val="00FE4CD1"/>
    <w:rsid w:val="00FE5BA3"/>
    <w:rsid w:val="00FE67A7"/>
    <w:rsid w:val="00FF3E1C"/>
    <w:rsid w:val="00FF5579"/>
    <w:rsid w:val="00FF67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21E1"/>
    <w:rPr>
      <w:rFonts w:ascii="Times New Roman" w:eastAsia="Times New Roman" w:hAnsi="Times New Roman"/>
      <w:sz w:val="24"/>
      <w:szCs w:val="24"/>
    </w:rPr>
  </w:style>
  <w:style w:type="paragraph" w:styleId="Virsraksts3">
    <w:name w:val="heading 3"/>
    <w:basedOn w:val="Parasts"/>
    <w:link w:val="Virsraksts3Rakstz"/>
    <w:qFormat/>
    <w:rsid w:val="00FC239C"/>
    <w:pPr>
      <w:spacing w:before="100" w:beforeAutospacing="1" w:after="100" w:afterAutospacing="1"/>
      <w:outlineLvl w:val="2"/>
    </w:pPr>
    <w:rPr>
      <w:b/>
      <w:bCs/>
      <w:sz w:val="27"/>
      <w:szCs w:val="27"/>
    </w:rPr>
  </w:style>
  <w:style w:type="paragraph" w:styleId="Virsraksts4">
    <w:name w:val="heading 4"/>
    <w:basedOn w:val="Parasts"/>
    <w:next w:val="Parasts"/>
    <w:qFormat/>
    <w:rsid w:val="00000FF2"/>
    <w:pPr>
      <w:keepNext/>
      <w:spacing w:before="240" w:after="60"/>
      <w:outlineLvl w:val="3"/>
    </w:pPr>
    <w:rPr>
      <w:b/>
      <w:bCs/>
      <w:sz w:val="28"/>
      <w:szCs w:val="2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CF21E1"/>
    <w:pPr>
      <w:spacing w:before="75" w:after="75"/>
      <w:ind w:firstLine="375"/>
      <w:jc w:val="both"/>
    </w:pPr>
  </w:style>
  <w:style w:type="paragraph" w:customStyle="1" w:styleId="naisnod">
    <w:name w:val="naisnod"/>
    <w:basedOn w:val="Parasts"/>
    <w:rsid w:val="00CF21E1"/>
    <w:pPr>
      <w:spacing w:before="150" w:after="150"/>
      <w:jc w:val="center"/>
    </w:pPr>
    <w:rPr>
      <w:b/>
      <w:bCs/>
    </w:rPr>
  </w:style>
  <w:style w:type="paragraph" w:customStyle="1" w:styleId="naislab">
    <w:name w:val="naislab"/>
    <w:basedOn w:val="Parasts"/>
    <w:rsid w:val="00CF21E1"/>
    <w:pPr>
      <w:spacing w:before="75" w:after="75"/>
      <w:jc w:val="right"/>
    </w:pPr>
  </w:style>
  <w:style w:type="paragraph" w:customStyle="1" w:styleId="naiskr">
    <w:name w:val="naiskr"/>
    <w:basedOn w:val="Parasts"/>
    <w:rsid w:val="00CF21E1"/>
    <w:pPr>
      <w:spacing w:before="75" w:after="75"/>
    </w:pPr>
  </w:style>
  <w:style w:type="paragraph" w:customStyle="1" w:styleId="naisc">
    <w:name w:val="naisc"/>
    <w:basedOn w:val="Parasts"/>
    <w:uiPriority w:val="99"/>
    <w:rsid w:val="00CF21E1"/>
    <w:pPr>
      <w:spacing w:before="75" w:after="75"/>
      <w:jc w:val="center"/>
    </w:pPr>
  </w:style>
  <w:style w:type="paragraph" w:styleId="Paraststmeklis">
    <w:name w:val="Normal (Web)"/>
    <w:basedOn w:val="Parasts"/>
    <w:uiPriority w:val="99"/>
    <w:rsid w:val="00CF21E1"/>
    <w:pPr>
      <w:spacing w:before="100" w:beforeAutospacing="1" w:after="100" w:afterAutospacing="1"/>
    </w:pPr>
  </w:style>
  <w:style w:type="paragraph" w:styleId="Kjene">
    <w:name w:val="footer"/>
    <w:basedOn w:val="Parasts"/>
    <w:link w:val="KjeneRakstz"/>
    <w:uiPriority w:val="99"/>
    <w:rsid w:val="00CF21E1"/>
    <w:pPr>
      <w:tabs>
        <w:tab w:val="center" w:pos="4153"/>
        <w:tab w:val="right" w:pos="8306"/>
      </w:tabs>
    </w:pPr>
  </w:style>
  <w:style w:type="character" w:customStyle="1" w:styleId="KjeneRakstz">
    <w:name w:val="Kājene Rakstz."/>
    <w:link w:val="Kjene"/>
    <w:uiPriority w:val="99"/>
    <w:rsid w:val="00CF21E1"/>
    <w:rPr>
      <w:rFonts w:ascii="Times New Roman" w:eastAsia="Times New Roman" w:hAnsi="Times New Roman" w:cs="Times New Roman"/>
      <w:sz w:val="24"/>
      <w:szCs w:val="24"/>
      <w:lang w:eastAsia="lv-LV"/>
    </w:rPr>
  </w:style>
  <w:style w:type="paragraph" w:styleId="Galvene">
    <w:name w:val="header"/>
    <w:basedOn w:val="Parasts"/>
    <w:link w:val="GalveneRakstz"/>
    <w:rsid w:val="00011BD6"/>
    <w:pPr>
      <w:tabs>
        <w:tab w:val="center" w:pos="4153"/>
        <w:tab w:val="right" w:pos="8306"/>
      </w:tabs>
    </w:pPr>
  </w:style>
  <w:style w:type="character" w:customStyle="1" w:styleId="GalveneRakstz">
    <w:name w:val="Galvene Rakstz."/>
    <w:link w:val="Galvene"/>
    <w:rsid w:val="00011BD6"/>
    <w:rPr>
      <w:rFonts w:ascii="Times New Roman" w:eastAsia="Times New Roman" w:hAnsi="Times New Roman"/>
      <w:sz w:val="24"/>
      <w:szCs w:val="24"/>
    </w:rPr>
  </w:style>
  <w:style w:type="character" w:styleId="Lappusesnumurs">
    <w:name w:val="page number"/>
    <w:basedOn w:val="Noklusjumarindkopasfonts"/>
    <w:rsid w:val="00CF21E1"/>
  </w:style>
  <w:style w:type="character" w:styleId="Hipersaite">
    <w:name w:val="Hyperlink"/>
    <w:uiPriority w:val="99"/>
    <w:rsid w:val="00CF21E1"/>
    <w:rPr>
      <w:color w:val="0000FF"/>
      <w:u w:val="single"/>
    </w:rPr>
  </w:style>
  <w:style w:type="paragraph" w:styleId="Pamatteksts">
    <w:name w:val="Body Text"/>
    <w:basedOn w:val="Parasts"/>
    <w:link w:val="PamattekstsRakstz"/>
    <w:uiPriority w:val="99"/>
    <w:semiHidden/>
    <w:unhideWhenUsed/>
    <w:rsid w:val="00612C8C"/>
    <w:pPr>
      <w:spacing w:before="100" w:beforeAutospacing="1" w:after="100" w:afterAutospacing="1"/>
    </w:pPr>
  </w:style>
  <w:style w:type="character" w:customStyle="1" w:styleId="PamattekstsRakstz">
    <w:name w:val="Pamatteksts Rakstz."/>
    <w:link w:val="Pamatteksts"/>
    <w:uiPriority w:val="99"/>
    <w:semiHidden/>
    <w:rsid w:val="00612C8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C129D"/>
    <w:pPr>
      <w:ind w:left="720"/>
      <w:contextualSpacing/>
    </w:pPr>
  </w:style>
  <w:style w:type="paragraph" w:styleId="Balonteksts">
    <w:name w:val="Balloon Text"/>
    <w:basedOn w:val="Parasts"/>
    <w:link w:val="BalontekstsRakstz"/>
    <w:uiPriority w:val="99"/>
    <w:semiHidden/>
    <w:unhideWhenUsed/>
    <w:rsid w:val="006E41F4"/>
    <w:rPr>
      <w:rFonts w:ascii="Tahoma" w:hAnsi="Tahoma" w:cs="Tahoma"/>
      <w:sz w:val="16"/>
      <w:szCs w:val="16"/>
    </w:rPr>
  </w:style>
  <w:style w:type="character" w:customStyle="1" w:styleId="BalontekstsRakstz">
    <w:name w:val="Balonteksts Rakstz."/>
    <w:link w:val="Balonteksts"/>
    <w:uiPriority w:val="99"/>
    <w:semiHidden/>
    <w:rsid w:val="006E41F4"/>
    <w:rPr>
      <w:rFonts w:ascii="Tahoma" w:eastAsia="Times New Roman" w:hAnsi="Tahoma" w:cs="Tahoma"/>
      <w:sz w:val="16"/>
      <w:szCs w:val="16"/>
    </w:rPr>
  </w:style>
  <w:style w:type="character" w:styleId="Izteiksmgs">
    <w:name w:val="Strong"/>
    <w:qFormat/>
    <w:rsid w:val="00FC239C"/>
    <w:rPr>
      <w:b/>
      <w:bCs/>
    </w:rPr>
  </w:style>
  <w:style w:type="paragraph" w:customStyle="1" w:styleId="naisvisr">
    <w:name w:val="naisvisr"/>
    <w:basedOn w:val="Parasts"/>
    <w:rsid w:val="00000FF2"/>
    <w:pPr>
      <w:spacing w:before="150" w:after="150"/>
      <w:jc w:val="center"/>
    </w:pPr>
    <w:rPr>
      <w:b/>
      <w:bCs/>
      <w:sz w:val="28"/>
      <w:szCs w:val="28"/>
    </w:rPr>
  </w:style>
  <w:style w:type="character" w:customStyle="1" w:styleId="Virsraksts3Rakstz">
    <w:name w:val="Virsraksts 3 Rakstz."/>
    <w:link w:val="Virsraksts3"/>
    <w:rsid w:val="00846547"/>
    <w:rPr>
      <w:rFonts w:ascii="Times New Roman" w:eastAsia="Times New Roman" w:hAnsi="Times New Roman"/>
      <w:b/>
      <w:bCs/>
      <w:sz w:val="27"/>
      <w:szCs w:val="27"/>
    </w:rPr>
  </w:style>
  <w:style w:type="character" w:styleId="Komentraatsauce">
    <w:name w:val="annotation reference"/>
    <w:uiPriority w:val="99"/>
    <w:semiHidden/>
    <w:unhideWhenUsed/>
    <w:rsid w:val="00EF2FE1"/>
    <w:rPr>
      <w:sz w:val="16"/>
      <w:szCs w:val="16"/>
    </w:rPr>
  </w:style>
  <w:style w:type="paragraph" w:styleId="Komentrateksts">
    <w:name w:val="annotation text"/>
    <w:basedOn w:val="Parasts"/>
    <w:link w:val="KomentratekstsRakstz"/>
    <w:uiPriority w:val="99"/>
    <w:semiHidden/>
    <w:unhideWhenUsed/>
    <w:rsid w:val="00EF2FE1"/>
    <w:rPr>
      <w:sz w:val="20"/>
      <w:szCs w:val="20"/>
    </w:rPr>
  </w:style>
  <w:style w:type="character" w:customStyle="1" w:styleId="KomentratekstsRakstz">
    <w:name w:val="Komentāra teksts Rakstz."/>
    <w:link w:val="Komentrateksts"/>
    <w:uiPriority w:val="99"/>
    <w:semiHidden/>
    <w:rsid w:val="00EF2FE1"/>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F2FE1"/>
    <w:rPr>
      <w:b/>
      <w:bCs/>
    </w:rPr>
  </w:style>
  <w:style w:type="character" w:customStyle="1" w:styleId="KomentratmaRakstz">
    <w:name w:val="Komentāra tēma Rakstz."/>
    <w:link w:val="Komentratma"/>
    <w:uiPriority w:val="99"/>
    <w:semiHidden/>
    <w:rsid w:val="00EF2FE1"/>
    <w:rPr>
      <w:rFonts w:ascii="Times New Roman" w:eastAsia="Times New Roman" w:hAnsi="Times New Roman"/>
      <w:b/>
      <w:bCs/>
    </w:rPr>
  </w:style>
  <w:style w:type="paragraph" w:styleId="Vresteksts">
    <w:name w:val="footnote text"/>
    <w:basedOn w:val="Parasts"/>
    <w:link w:val="VrestekstsRakstz"/>
    <w:uiPriority w:val="99"/>
    <w:semiHidden/>
    <w:unhideWhenUsed/>
    <w:rsid w:val="007377C5"/>
    <w:rPr>
      <w:sz w:val="20"/>
      <w:szCs w:val="20"/>
    </w:rPr>
  </w:style>
  <w:style w:type="character" w:customStyle="1" w:styleId="VrestekstsRakstz">
    <w:name w:val="Vēres teksts Rakstz."/>
    <w:link w:val="Vresteksts"/>
    <w:uiPriority w:val="99"/>
    <w:semiHidden/>
    <w:rsid w:val="007377C5"/>
    <w:rPr>
      <w:rFonts w:ascii="Times New Roman" w:eastAsia="Times New Roman" w:hAnsi="Times New Roman"/>
    </w:rPr>
  </w:style>
  <w:style w:type="character" w:styleId="Vresatsauce">
    <w:name w:val="footnote reference"/>
    <w:uiPriority w:val="99"/>
    <w:semiHidden/>
    <w:unhideWhenUsed/>
    <w:rsid w:val="007377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21E1"/>
    <w:rPr>
      <w:rFonts w:ascii="Times New Roman" w:eastAsia="Times New Roman" w:hAnsi="Times New Roman"/>
      <w:sz w:val="24"/>
      <w:szCs w:val="24"/>
    </w:rPr>
  </w:style>
  <w:style w:type="paragraph" w:styleId="Virsraksts3">
    <w:name w:val="heading 3"/>
    <w:basedOn w:val="Parasts"/>
    <w:link w:val="Virsraksts3Rakstz"/>
    <w:qFormat/>
    <w:rsid w:val="00FC239C"/>
    <w:pPr>
      <w:spacing w:before="100" w:beforeAutospacing="1" w:after="100" w:afterAutospacing="1"/>
      <w:outlineLvl w:val="2"/>
    </w:pPr>
    <w:rPr>
      <w:b/>
      <w:bCs/>
      <w:sz w:val="27"/>
      <w:szCs w:val="27"/>
    </w:rPr>
  </w:style>
  <w:style w:type="paragraph" w:styleId="Virsraksts4">
    <w:name w:val="heading 4"/>
    <w:basedOn w:val="Parasts"/>
    <w:next w:val="Parasts"/>
    <w:qFormat/>
    <w:rsid w:val="00000FF2"/>
    <w:pPr>
      <w:keepNext/>
      <w:spacing w:before="240" w:after="60"/>
      <w:outlineLvl w:val="3"/>
    </w:pPr>
    <w:rPr>
      <w:b/>
      <w:bCs/>
      <w:sz w:val="28"/>
      <w:szCs w:val="2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CF21E1"/>
    <w:pPr>
      <w:spacing w:before="75" w:after="75"/>
      <w:ind w:firstLine="375"/>
      <w:jc w:val="both"/>
    </w:pPr>
  </w:style>
  <w:style w:type="paragraph" w:customStyle="1" w:styleId="naisnod">
    <w:name w:val="naisnod"/>
    <w:basedOn w:val="Parasts"/>
    <w:rsid w:val="00CF21E1"/>
    <w:pPr>
      <w:spacing w:before="150" w:after="150"/>
      <w:jc w:val="center"/>
    </w:pPr>
    <w:rPr>
      <w:b/>
      <w:bCs/>
    </w:rPr>
  </w:style>
  <w:style w:type="paragraph" w:customStyle="1" w:styleId="naislab">
    <w:name w:val="naislab"/>
    <w:basedOn w:val="Parasts"/>
    <w:rsid w:val="00CF21E1"/>
    <w:pPr>
      <w:spacing w:before="75" w:after="75"/>
      <w:jc w:val="right"/>
    </w:pPr>
  </w:style>
  <w:style w:type="paragraph" w:customStyle="1" w:styleId="naiskr">
    <w:name w:val="naiskr"/>
    <w:basedOn w:val="Parasts"/>
    <w:rsid w:val="00CF21E1"/>
    <w:pPr>
      <w:spacing w:before="75" w:after="75"/>
    </w:pPr>
  </w:style>
  <w:style w:type="paragraph" w:customStyle="1" w:styleId="naisc">
    <w:name w:val="naisc"/>
    <w:basedOn w:val="Parasts"/>
    <w:uiPriority w:val="99"/>
    <w:rsid w:val="00CF21E1"/>
    <w:pPr>
      <w:spacing w:before="75" w:after="75"/>
      <w:jc w:val="center"/>
    </w:pPr>
  </w:style>
  <w:style w:type="paragraph" w:styleId="Paraststmeklis">
    <w:name w:val="Normal (Web)"/>
    <w:basedOn w:val="Parasts"/>
    <w:uiPriority w:val="99"/>
    <w:rsid w:val="00CF21E1"/>
    <w:pPr>
      <w:spacing w:before="100" w:beforeAutospacing="1" w:after="100" w:afterAutospacing="1"/>
    </w:pPr>
  </w:style>
  <w:style w:type="paragraph" w:styleId="Kjene">
    <w:name w:val="footer"/>
    <w:basedOn w:val="Parasts"/>
    <w:link w:val="KjeneRakstz"/>
    <w:uiPriority w:val="99"/>
    <w:rsid w:val="00CF21E1"/>
    <w:pPr>
      <w:tabs>
        <w:tab w:val="center" w:pos="4153"/>
        <w:tab w:val="right" w:pos="8306"/>
      </w:tabs>
    </w:pPr>
  </w:style>
  <w:style w:type="character" w:customStyle="1" w:styleId="KjeneRakstz">
    <w:name w:val="Kājene Rakstz."/>
    <w:link w:val="Kjene"/>
    <w:uiPriority w:val="99"/>
    <w:rsid w:val="00CF21E1"/>
    <w:rPr>
      <w:rFonts w:ascii="Times New Roman" w:eastAsia="Times New Roman" w:hAnsi="Times New Roman" w:cs="Times New Roman"/>
      <w:sz w:val="24"/>
      <w:szCs w:val="24"/>
      <w:lang w:eastAsia="lv-LV"/>
    </w:rPr>
  </w:style>
  <w:style w:type="paragraph" w:styleId="Galvene">
    <w:name w:val="header"/>
    <w:basedOn w:val="Parasts"/>
    <w:link w:val="GalveneRakstz"/>
    <w:rsid w:val="00011BD6"/>
    <w:pPr>
      <w:tabs>
        <w:tab w:val="center" w:pos="4153"/>
        <w:tab w:val="right" w:pos="8306"/>
      </w:tabs>
    </w:pPr>
  </w:style>
  <w:style w:type="character" w:customStyle="1" w:styleId="GalveneRakstz">
    <w:name w:val="Galvene Rakstz."/>
    <w:link w:val="Galvene"/>
    <w:rsid w:val="00011BD6"/>
    <w:rPr>
      <w:rFonts w:ascii="Times New Roman" w:eastAsia="Times New Roman" w:hAnsi="Times New Roman"/>
      <w:sz w:val="24"/>
      <w:szCs w:val="24"/>
    </w:rPr>
  </w:style>
  <w:style w:type="character" w:styleId="Lappusesnumurs">
    <w:name w:val="page number"/>
    <w:basedOn w:val="Noklusjumarindkopasfonts"/>
    <w:rsid w:val="00CF21E1"/>
  </w:style>
  <w:style w:type="character" w:styleId="Hipersaite">
    <w:name w:val="Hyperlink"/>
    <w:uiPriority w:val="99"/>
    <w:rsid w:val="00CF21E1"/>
    <w:rPr>
      <w:color w:val="0000FF"/>
      <w:u w:val="single"/>
    </w:rPr>
  </w:style>
  <w:style w:type="paragraph" w:styleId="Pamatteksts">
    <w:name w:val="Body Text"/>
    <w:basedOn w:val="Parasts"/>
    <w:link w:val="PamattekstsRakstz"/>
    <w:uiPriority w:val="99"/>
    <w:semiHidden/>
    <w:unhideWhenUsed/>
    <w:rsid w:val="00612C8C"/>
    <w:pPr>
      <w:spacing w:before="100" w:beforeAutospacing="1" w:after="100" w:afterAutospacing="1"/>
    </w:pPr>
  </w:style>
  <w:style w:type="character" w:customStyle="1" w:styleId="PamattekstsRakstz">
    <w:name w:val="Pamatteksts Rakstz."/>
    <w:link w:val="Pamatteksts"/>
    <w:uiPriority w:val="99"/>
    <w:semiHidden/>
    <w:rsid w:val="00612C8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C129D"/>
    <w:pPr>
      <w:ind w:left="720"/>
      <w:contextualSpacing/>
    </w:pPr>
  </w:style>
  <w:style w:type="paragraph" w:styleId="Balonteksts">
    <w:name w:val="Balloon Text"/>
    <w:basedOn w:val="Parasts"/>
    <w:link w:val="BalontekstsRakstz"/>
    <w:uiPriority w:val="99"/>
    <w:semiHidden/>
    <w:unhideWhenUsed/>
    <w:rsid w:val="006E41F4"/>
    <w:rPr>
      <w:rFonts w:ascii="Tahoma" w:hAnsi="Tahoma" w:cs="Tahoma"/>
      <w:sz w:val="16"/>
      <w:szCs w:val="16"/>
    </w:rPr>
  </w:style>
  <w:style w:type="character" w:customStyle="1" w:styleId="BalontekstsRakstz">
    <w:name w:val="Balonteksts Rakstz."/>
    <w:link w:val="Balonteksts"/>
    <w:uiPriority w:val="99"/>
    <w:semiHidden/>
    <w:rsid w:val="006E41F4"/>
    <w:rPr>
      <w:rFonts w:ascii="Tahoma" w:eastAsia="Times New Roman" w:hAnsi="Tahoma" w:cs="Tahoma"/>
      <w:sz w:val="16"/>
      <w:szCs w:val="16"/>
    </w:rPr>
  </w:style>
  <w:style w:type="character" w:styleId="Izteiksmgs">
    <w:name w:val="Strong"/>
    <w:qFormat/>
    <w:rsid w:val="00FC239C"/>
    <w:rPr>
      <w:b/>
      <w:bCs/>
    </w:rPr>
  </w:style>
  <w:style w:type="paragraph" w:customStyle="1" w:styleId="naisvisr">
    <w:name w:val="naisvisr"/>
    <w:basedOn w:val="Parasts"/>
    <w:rsid w:val="00000FF2"/>
    <w:pPr>
      <w:spacing w:before="150" w:after="150"/>
      <w:jc w:val="center"/>
    </w:pPr>
    <w:rPr>
      <w:b/>
      <w:bCs/>
      <w:sz w:val="28"/>
      <w:szCs w:val="28"/>
    </w:rPr>
  </w:style>
  <w:style w:type="character" w:customStyle="1" w:styleId="Virsraksts3Rakstz">
    <w:name w:val="Virsraksts 3 Rakstz."/>
    <w:link w:val="Virsraksts3"/>
    <w:rsid w:val="00846547"/>
    <w:rPr>
      <w:rFonts w:ascii="Times New Roman" w:eastAsia="Times New Roman" w:hAnsi="Times New Roman"/>
      <w:b/>
      <w:bCs/>
      <w:sz w:val="27"/>
      <w:szCs w:val="27"/>
    </w:rPr>
  </w:style>
  <w:style w:type="character" w:styleId="Komentraatsauce">
    <w:name w:val="annotation reference"/>
    <w:uiPriority w:val="99"/>
    <w:semiHidden/>
    <w:unhideWhenUsed/>
    <w:rsid w:val="00EF2FE1"/>
    <w:rPr>
      <w:sz w:val="16"/>
      <w:szCs w:val="16"/>
    </w:rPr>
  </w:style>
  <w:style w:type="paragraph" w:styleId="Komentrateksts">
    <w:name w:val="annotation text"/>
    <w:basedOn w:val="Parasts"/>
    <w:link w:val="KomentratekstsRakstz"/>
    <w:uiPriority w:val="99"/>
    <w:semiHidden/>
    <w:unhideWhenUsed/>
    <w:rsid w:val="00EF2FE1"/>
    <w:rPr>
      <w:sz w:val="20"/>
      <w:szCs w:val="20"/>
    </w:rPr>
  </w:style>
  <w:style w:type="character" w:customStyle="1" w:styleId="KomentratekstsRakstz">
    <w:name w:val="Komentāra teksts Rakstz."/>
    <w:link w:val="Komentrateksts"/>
    <w:uiPriority w:val="99"/>
    <w:semiHidden/>
    <w:rsid w:val="00EF2FE1"/>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F2FE1"/>
    <w:rPr>
      <w:b/>
      <w:bCs/>
    </w:rPr>
  </w:style>
  <w:style w:type="character" w:customStyle="1" w:styleId="KomentratmaRakstz">
    <w:name w:val="Komentāra tēma Rakstz."/>
    <w:link w:val="Komentratma"/>
    <w:uiPriority w:val="99"/>
    <w:semiHidden/>
    <w:rsid w:val="00EF2FE1"/>
    <w:rPr>
      <w:rFonts w:ascii="Times New Roman" w:eastAsia="Times New Roman" w:hAnsi="Times New Roman"/>
      <w:b/>
      <w:bCs/>
    </w:rPr>
  </w:style>
  <w:style w:type="paragraph" w:styleId="Vresteksts">
    <w:name w:val="footnote text"/>
    <w:basedOn w:val="Parasts"/>
    <w:link w:val="VrestekstsRakstz"/>
    <w:uiPriority w:val="99"/>
    <w:semiHidden/>
    <w:unhideWhenUsed/>
    <w:rsid w:val="007377C5"/>
    <w:rPr>
      <w:sz w:val="20"/>
      <w:szCs w:val="20"/>
    </w:rPr>
  </w:style>
  <w:style w:type="character" w:customStyle="1" w:styleId="VrestekstsRakstz">
    <w:name w:val="Vēres teksts Rakstz."/>
    <w:link w:val="Vresteksts"/>
    <w:uiPriority w:val="99"/>
    <w:semiHidden/>
    <w:rsid w:val="007377C5"/>
    <w:rPr>
      <w:rFonts w:ascii="Times New Roman" w:eastAsia="Times New Roman" w:hAnsi="Times New Roman"/>
    </w:rPr>
  </w:style>
  <w:style w:type="character" w:styleId="Vresatsauce">
    <w:name w:val="footnote reference"/>
    <w:uiPriority w:val="99"/>
    <w:semiHidden/>
    <w:unhideWhenUsed/>
    <w:rsid w:val="00737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0552">
      <w:bodyDiv w:val="1"/>
      <w:marLeft w:val="0"/>
      <w:marRight w:val="0"/>
      <w:marTop w:val="0"/>
      <w:marBottom w:val="0"/>
      <w:divBdr>
        <w:top w:val="none" w:sz="0" w:space="0" w:color="auto"/>
        <w:left w:val="none" w:sz="0" w:space="0" w:color="auto"/>
        <w:bottom w:val="none" w:sz="0" w:space="0" w:color="auto"/>
        <w:right w:val="none" w:sz="0" w:space="0" w:color="auto"/>
      </w:divBdr>
    </w:div>
    <w:div w:id="207646848">
      <w:bodyDiv w:val="1"/>
      <w:marLeft w:val="0"/>
      <w:marRight w:val="0"/>
      <w:marTop w:val="0"/>
      <w:marBottom w:val="0"/>
      <w:divBdr>
        <w:top w:val="none" w:sz="0" w:space="0" w:color="auto"/>
        <w:left w:val="none" w:sz="0" w:space="0" w:color="auto"/>
        <w:bottom w:val="none" w:sz="0" w:space="0" w:color="auto"/>
        <w:right w:val="none" w:sz="0" w:space="0" w:color="auto"/>
      </w:divBdr>
    </w:div>
    <w:div w:id="242883716">
      <w:bodyDiv w:val="1"/>
      <w:marLeft w:val="0"/>
      <w:marRight w:val="0"/>
      <w:marTop w:val="0"/>
      <w:marBottom w:val="0"/>
      <w:divBdr>
        <w:top w:val="none" w:sz="0" w:space="0" w:color="auto"/>
        <w:left w:val="none" w:sz="0" w:space="0" w:color="auto"/>
        <w:bottom w:val="none" w:sz="0" w:space="0" w:color="auto"/>
        <w:right w:val="none" w:sz="0" w:space="0" w:color="auto"/>
      </w:divBdr>
    </w:div>
    <w:div w:id="1141728607">
      <w:bodyDiv w:val="1"/>
      <w:marLeft w:val="0"/>
      <w:marRight w:val="0"/>
      <w:marTop w:val="0"/>
      <w:marBottom w:val="0"/>
      <w:divBdr>
        <w:top w:val="none" w:sz="0" w:space="0" w:color="auto"/>
        <w:left w:val="none" w:sz="0" w:space="0" w:color="auto"/>
        <w:bottom w:val="none" w:sz="0" w:space="0" w:color="auto"/>
        <w:right w:val="none" w:sz="0" w:space="0" w:color="auto"/>
      </w:divBdr>
    </w:div>
    <w:div w:id="1192914169">
      <w:bodyDiv w:val="1"/>
      <w:marLeft w:val="0"/>
      <w:marRight w:val="0"/>
      <w:marTop w:val="0"/>
      <w:marBottom w:val="0"/>
      <w:divBdr>
        <w:top w:val="none" w:sz="0" w:space="0" w:color="auto"/>
        <w:left w:val="none" w:sz="0" w:space="0" w:color="auto"/>
        <w:bottom w:val="none" w:sz="0" w:space="0" w:color="auto"/>
        <w:right w:val="none" w:sz="0" w:space="0" w:color="auto"/>
      </w:divBdr>
    </w:div>
    <w:div w:id="1350720979">
      <w:bodyDiv w:val="1"/>
      <w:marLeft w:val="0"/>
      <w:marRight w:val="0"/>
      <w:marTop w:val="0"/>
      <w:marBottom w:val="0"/>
      <w:divBdr>
        <w:top w:val="none" w:sz="0" w:space="0" w:color="auto"/>
        <w:left w:val="none" w:sz="0" w:space="0" w:color="auto"/>
        <w:bottom w:val="none" w:sz="0" w:space="0" w:color="auto"/>
        <w:right w:val="none" w:sz="0" w:space="0" w:color="auto"/>
      </w:divBdr>
    </w:div>
    <w:div w:id="1466464923">
      <w:bodyDiv w:val="1"/>
      <w:marLeft w:val="0"/>
      <w:marRight w:val="0"/>
      <w:marTop w:val="75"/>
      <w:marBottom w:val="75"/>
      <w:divBdr>
        <w:top w:val="none" w:sz="0" w:space="0" w:color="auto"/>
        <w:left w:val="none" w:sz="0" w:space="0" w:color="auto"/>
        <w:bottom w:val="none" w:sz="0" w:space="0" w:color="auto"/>
        <w:right w:val="none" w:sz="0" w:space="0" w:color="auto"/>
      </w:divBdr>
    </w:div>
    <w:div w:id="1496653443">
      <w:bodyDiv w:val="1"/>
      <w:marLeft w:val="0"/>
      <w:marRight w:val="0"/>
      <w:marTop w:val="0"/>
      <w:marBottom w:val="0"/>
      <w:divBdr>
        <w:top w:val="none" w:sz="0" w:space="0" w:color="auto"/>
        <w:left w:val="none" w:sz="0" w:space="0" w:color="auto"/>
        <w:bottom w:val="none" w:sz="0" w:space="0" w:color="auto"/>
        <w:right w:val="none" w:sz="0" w:space="0" w:color="auto"/>
      </w:divBdr>
    </w:div>
    <w:div w:id="1573855936">
      <w:bodyDiv w:val="1"/>
      <w:marLeft w:val="0"/>
      <w:marRight w:val="0"/>
      <w:marTop w:val="0"/>
      <w:marBottom w:val="0"/>
      <w:divBdr>
        <w:top w:val="none" w:sz="0" w:space="0" w:color="auto"/>
        <w:left w:val="none" w:sz="0" w:space="0" w:color="auto"/>
        <w:bottom w:val="none" w:sz="0" w:space="0" w:color="auto"/>
        <w:right w:val="none" w:sz="0" w:space="0" w:color="auto"/>
      </w:divBdr>
    </w:div>
    <w:div w:id="1820682246">
      <w:bodyDiv w:val="1"/>
      <w:marLeft w:val="0"/>
      <w:marRight w:val="0"/>
      <w:marTop w:val="0"/>
      <w:marBottom w:val="0"/>
      <w:divBdr>
        <w:top w:val="none" w:sz="0" w:space="0" w:color="auto"/>
        <w:left w:val="none" w:sz="0" w:space="0" w:color="auto"/>
        <w:bottom w:val="none" w:sz="0" w:space="0" w:color="auto"/>
        <w:right w:val="none" w:sz="0" w:space="0" w:color="auto"/>
      </w:divBdr>
    </w:div>
    <w:div w:id="2050639587">
      <w:bodyDiv w:val="1"/>
      <w:marLeft w:val="0"/>
      <w:marRight w:val="0"/>
      <w:marTop w:val="0"/>
      <w:marBottom w:val="0"/>
      <w:divBdr>
        <w:top w:val="none" w:sz="0" w:space="0" w:color="auto"/>
        <w:left w:val="none" w:sz="0" w:space="0" w:color="auto"/>
        <w:bottom w:val="none" w:sz="0" w:space="0" w:color="auto"/>
        <w:right w:val="none" w:sz="0" w:space="0" w:color="auto"/>
      </w:divBdr>
    </w:div>
    <w:div w:id="20773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ina.Baha@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CFDEB-E933-480D-905B-DE3F022B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6682</Words>
  <Characters>3810</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22. septembra noteikumos Nr. 1069 „Noteikumi par valsts nodevu par notariālo darbību izpildi”” sākotnējās ietekmes novērtējuma ziņojums (anotācija)</vt:lpstr>
      <vt:lpstr>Likumprojekta „Grozījumi Uzturlīdzekļu garantiju fonda likumā” sākotnējās ietekmes novērtējuma ziņojums (anotācija)</vt:lpstr>
    </vt:vector>
  </TitlesOfParts>
  <Company>Tieslietu ministrija</Company>
  <LinksUpToDate>false</LinksUpToDate>
  <CharactersWithSpaces>10472</CharactersWithSpaces>
  <SharedDoc>false</SharedDoc>
  <HLinks>
    <vt:vector size="66" baseType="variant">
      <vt:variant>
        <vt:i4>5505136</vt:i4>
      </vt:variant>
      <vt:variant>
        <vt:i4>30</vt:i4>
      </vt:variant>
      <vt:variant>
        <vt:i4>0</vt:i4>
      </vt:variant>
      <vt:variant>
        <vt:i4>5</vt:i4>
      </vt:variant>
      <vt:variant>
        <vt:lpwstr>mailto:Daina.Baha@tm.gov.lv</vt:lpwstr>
      </vt:variant>
      <vt:variant>
        <vt:lpwstr/>
      </vt:variant>
      <vt:variant>
        <vt:i4>7864444</vt:i4>
      </vt:variant>
      <vt:variant>
        <vt:i4>27</vt:i4>
      </vt:variant>
      <vt:variant>
        <vt:i4>0</vt:i4>
      </vt:variant>
      <vt:variant>
        <vt:i4>5</vt:i4>
      </vt:variant>
      <vt:variant>
        <vt:lpwstr>http://www.likumi.lv/doc.php?id=91536&amp;from=off</vt:lpwstr>
      </vt:variant>
      <vt:variant>
        <vt:lpwstr/>
      </vt:variant>
      <vt:variant>
        <vt:i4>2359413</vt:i4>
      </vt:variant>
      <vt:variant>
        <vt:i4>24</vt:i4>
      </vt:variant>
      <vt:variant>
        <vt:i4>0</vt:i4>
      </vt:variant>
      <vt:variant>
        <vt:i4>5</vt:i4>
      </vt:variant>
      <vt:variant>
        <vt:lpwstr>http://www.likumi.lv/doc.php?id=191772&amp;from=off</vt:lpwstr>
      </vt:variant>
      <vt:variant>
        <vt:lpwstr/>
      </vt:variant>
      <vt:variant>
        <vt:i4>7602210</vt:i4>
      </vt:variant>
      <vt:variant>
        <vt:i4>21</vt:i4>
      </vt:variant>
      <vt:variant>
        <vt:i4>0</vt:i4>
      </vt:variant>
      <vt:variant>
        <vt:i4>5</vt:i4>
      </vt:variant>
      <vt:variant>
        <vt:lpwstr>http://www.likumi.lv/doc.php?id=225418</vt:lpwstr>
      </vt:variant>
      <vt:variant>
        <vt:lpwstr/>
      </vt:variant>
      <vt:variant>
        <vt:i4>7602210</vt:i4>
      </vt:variant>
      <vt:variant>
        <vt:i4>18</vt:i4>
      </vt:variant>
      <vt:variant>
        <vt:i4>0</vt:i4>
      </vt:variant>
      <vt:variant>
        <vt:i4>5</vt:i4>
      </vt:variant>
      <vt:variant>
        <vt:lpwstr>http://www.likumi.lv/doc.php?id=225418</vt:lpwstr>
      </vt:variant>
      <vt:variant>
        <vt:lpwstr/>
      </vt:variant>
      <vt:variant>
        <vt:i4>7602210</vt:i4>
      </vt:variant>
      <vt:variant>
        <vt:i4>15</vt:i4>
      </vt:variant>
      <vt:variant>
        <vt:i4>0</vt:i4>
      </vt:variant>
      <vt:variant>
        <vt:i4>5</vt:i4>
      </vt:variant>
      <vt:variant>
        <vt:lpwstr>http://www.likumi.lv/doc.php?id=225418</vt:lpwstr>
      </vt:variant>
      <vt:variant>
        <vt:lpwstr/>
      </vt:variant>
      <vt:variant>
        <vt:i4>7602210</vt:i4>
      </vt:variant>
      <vt:variant>
        <vt:i4>12</vt:i4>
      </vt:variant>
      <vt:variant>
        <vt:i4>0</vt:i4>
      </vt:variant>
      <vt:variant>
        <vt:i4>5</vt:i4>
      </vt:variant>
      <vt:variant>
        <vt:lpwstr>http://www.likumi.lv/doc.php?id=225418</vt:lpwstr>
      </vt:variant>
      <vt:variant>
        <vt:lpwstr/>
      </vt:variant>
      <vt:variant>
        <vt:i4>7602210</vt:i4>
      </vt:variant>
      <vt:variant>
        <vt:i4>9</vt:i4>
      </vt:variant>
      <vt:variant>
        <vt:i4>0</vt:i4>
      </vt:variant>
      <vt:variant>
        <vt:i4>5</vt:i4>
      </vt:variant>
      <vt:variant>
        <vt:lpwstr>http://www.likumi.lv/doc.php?id=225418</vt:lpwstr>
      </vt:variant>
      <vt:variant>
        <vt:lpwstr/>
      </vt:variant>
      <vt:variant>
        <vt:i4>4522008</vt:i4>
      </vt:variant>
      <vt:variant>
        <vt:i4>6</vt:i4>
      </vt:variant>
      <vt:variant>
        <vt:i4>0</vt:i4>
      </vt:variant>
      <vt:variant>
        <vt:i4>5</vt:i4>
      </vt:variant>
      <vt:variant>
        <vt:lpwstr>http://www.likumi.lv/doc.php?id=57980</vt:lpwstr>
      </vt:variant>
      <vt:variant>
        <vt:lpwstr/>
      </vt:variant>
      <vt:variant>
        <vt:i4>7602210</vt:i4>
      </vt:variant>
      <vt:variant>
        <vt:i4>3</vt:i4>
      </vt:variant>
      <vt:variant>
        <vt:i4>0</vt:i4>
      </vt:variant>
      <vt:variant>
        <vt:i4>5</vt:i4>
      </vt:variant>
      <vt:variant>
        <vt:lpwstr>http://www.likumi.lv/doc.php?id=225418</vt:lpwstr>
      </vt:variant>
      <vt:variant>
        <vt:lpwstr/>
      </vt:variant>
      <vt:variant>
        <vt:i4>7602210</vt:i4>
      </vt:variant>
      <vt:variant>
        <vt:i4>0</vt:i4>
      </vt:variant>
      <vt:variant>
        <vt:i4>0</vt:i4>
      </vt:variant>
      <vt:variant>
        <vt:i4>5</vt:i4>
      </vt:variant>
      <vt:variant>
        <vt:lpwstr>http://www.likumi.lv/doc.php?id=225418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22. septembra noteikumos Nr. 1069 „Noteikumi par valsts nodevu par notariālo darbību izpildi”” sākotnējās ietekmes novērtējuma ziņojums (anotācija)</dc:title>
  <dc:subject>Anotācija</dc:subject>
  <dc:creator>Daina Baha</dc:creator>
  <cp:keywords/>
  <dc:description/>
  <cp:lastModifiedBy>Daina Baha</cp:lastModifiedBy>
  <cp:revision>13</cp:revision>
  <cp:lastPrinted>2013-07-17T10:48:00Z</cp:lastPrinted>
  <dcterms:created xsi:type="dcterms:W3CDTF">2013-07-02T13:22:00Z</dcterms:created>
  <dcterms:modified xsi:type="dcterms:W3CDTF">2013-07-17T10:48:00Z</dcterms:modified>
</cp:coreProperties>
</file>