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4" w:rsidRPr="007F5B4F" w:rsidRDefault="00850C27" w:rsidP="00D779E9">
      <w:pPr>
        <w:pStyle w:val="ParastaisWeb"/>
        <w:spacing w:before="0" w:beforeAutospacing="0" w:after="0" w:afterAutospacing="0"/>
        <w:jc w:val="center"/>
        <w:rPr>
          <w:rFonts w:ascii="Times New Roman" w:hAnsi="Times New Roman"/>
          <w:b/>
          <w:sz w:val="24"/>
          <w:szCs w:val="24"/>
          <w:lang w:val="lv-LV"/>
        </w:rPr>
      </w:pPr>
      <w:r w:rsidRPr="007F5B4F">
        <w:rPr>
          <w:rFonts w:ascii="Times New Roman" w:hAnsi="Times New Roman"/>
          <w:b/>
          <w:sz w:val="24"/>
          <w:szCs w:val="24"/>
          <w:lang w:val="lv-LV"/>
        </w:rPr>
        <w:t>Likum</w:t>
      </w:r>
      <w:r w:rsidR="000B2284" w:rsidRPr="007F5B4F">
        <w:rPr>
          <w:rFonts w:ascii="Times New Roman" w:hAnsi="Times New Roman"/>
          <w:b/>
          <w:sz w:val="24"/>
          <w:szCs w:val="24"/>
          <w:lang w:val="lv-LV"/>
        </w:rPr>
        <w:t xml:space="preserve">projekta </w:t>
      </w:r>
    </w:p>
    <w:p w:rsidR="004D6706" w:rsidRPr="007F5B4F" w:rsidRDefault="000B2284" w:rsidP="00D779E9">
      <w:pPr>
        <w:pStyle w:val="ParastaisWeb"/>
        <w:spacing w:before="0" w:beforeAutospacing="0" w:after="0" w:afterAutospacing="0"/>
        <w:jc w:val="center"/>
        <w:rPr>
          <w:rStyle w:val="Izteiksmgs"/>
          <w:rFonts w:ascii="Times New Roman" w:hAnsi="Times New Roman"/>
          <w:b w:val="0"/>
          <w:sz w:val="24"/>
          <w:szCs w:val="24"/>
          <w:lang w:val="lv-LV"/>
        </w:rPr>
      </w:pPr>
      <w:r w:rsidRPr="007F5B4F">
        <w:rPr>
          <w:rFonts w:ascii="Times New Roman" w:hAnsi="Times New Roman"/>
          <w:b/>
          <w:sz w:val="24"/>
          <w:szCs w:val="24"/>
          <w:lang w:val="lv-LV"/>
        </w:rPr>
        <w:t>„</w:t>
      </w:r>
      <w:r w:rsidR="00850C27" w:rsidRPr="007F5B4F">
        <w:rPr>
          <w:rFonts w:ascii="Times New Roman" w:hAnsi="Times New Roman"/>
          <w:b/>
          <w:sz w:val="24"/>
          <w:szCs w:val="24"/>
          <w:lang w:val="lv-LV"/>
        </w:rPr>
        <w:t xml:space="preserve">Grozījumi </w:t>
      </w:r>
      <w:r w:rsidR="00CC3F7F">
        <w:rPr>
          <w:rFonts w:ascii="Times New Roman" w:hAnsi="Times New Roman"/>
          <w:b/>
          <w:sz w:val="24"/>
          <w:szCs w:val="24"/>
          <w:lang w:val="lv-LV"/>
        </w:rPr>
        <w:t>Valsts probācijas dienesta likumā</w:t>
      </w:r>
      <w:r w:rsidRPr="007F5B4F">
        <w:rPr>
          <w:rFonts w:ascii="Times New Roman" w:hAnsi="Times New Roman"/>
          <w:b/>
          <w:color w:val="000000"/>
          <w:sz w:val="24"/>
          <w:szCs w:val="24"/>
          <w:lang w:val="lv-LV"/>
        </w:rPr>
        <w:t>”</w:t>
      </w:r>
      <w:r w:rsidRPr="007F5B4F">
        <w:rPr>
          <w:rStyle w:val="Izteiksmgs"/>
          <w:rFonts w:ascii="Times New Roman" w:hAnsi="Times New Roman"/>
          <w:b w:val="0"/>
          <w:sz w:val="24"/>
          <w:szCs w:val="24"/>
          <w:lang w:val="lv-LV"/>
        </w:rPr>
        <w:t xml:space="preserve"> </w:t>
      </w:r>
    </w:p>
    <w:p w:rsidR="00CF2F05" w:rsidRPr="007F5B4F" w:rsidRDefault="00A12DF0" w:rsidP="004D6706">
      <w:pPr>
        <w:pStyle w:val="ParastaisWeb"/>
        <w:spacing w:before="0" w:beforeAutospacing="0" w:after="0" w:afterAutospacing="0"/>
        <w:jc w:val="center"/>
        <w:rPr>
          <w:rFonts w:ascii="Times New Roman" w:hAnsi="Times New Roman"/>
          <w:b/>
          <w:bCs/>
          <w:sz w:val="24"/>
          <w:szCs w:val="24"/>
          <w:lang w:val="lv-LV" w:eastAsia="lv-LV"/>
        </w:rPr>
      </w:pPr>
      <w:r w:rsidRPr="007F5B4F">
        <w:rPr>
          <w:rFonts w:ascii="Times New Roman" w:hAnsi="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7F5B4F">
          <w:rPr>
            <w:rFonts w:ascii="Times New Roman" w:hAnsi="Times New Roman"/>
            <w:b/>
            <w:bCs/>
            <w:sz w:val="24"/>
            <w:szCs w:val="24"/>
            <w:lang w:val="lv-LV" w:eastAsia="lv-LV"/>
          </w:rPr>
          <w:t>ziņojums</w:t>
        </w:r>
      </w:smartTag>
      <w:r w:rsidRPr="007F5B4F">
        <w:rPr>
          <w:rFonts w:ascii="Times New Roman" w:hAnsi="Times New Roman"/>
          <w:b/>
          <w:bCs/>
          <w:sz w:val="24"/>
          <w:szCs w:val="24"/>
          <w:lang w:val="lv-LV" w:eastAsia="lv-LV"/>
        </w:rPr>
        <w:t xml:space="preserve"> (anotācija)</w:t>
      </w:r>
    </w:p>
    <w:p w:rsidR="004D6706" w:rsidRPr="007F5B4F" w:rsidRDefault="004D6706" w:rsidP="004D6706">
      <w:pPr>
        <w:pStyle w:val="ParastaisWeb"/>
        <w:spacing w:before="0" w:beforeAutospacing="0" w:after="0" w:afterAutospacing="0"/>
        <w:jc w:val="center"/>
        <w:rPr>
          <w:rFonts w:ascii="Times New Roman" w:hAnsi="Times New Roman"/>
          <w:bCs/>
          <w:sz w:val="24"/>
          <w:szCs w:val="24"/>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415"/>
        <w:gridCol w:w="6379"/>
      </w:tblGrid>
      <w:tr w:rsidR="00D1739C" w:rsidRPr="00A65F4C" w:rsidTr="00A65F4C">
        <w:tc>
          <w:tcPr>
            <w:tcW w:w="9322" w:type="dxa"/>
            <w:gridSpan w:val="3"/>
          </w:tcPr>
          <w:p w:rsidR="00D1739C" w:rsidRPr="00A65F4C" w:rsidRDefault="00D1739C" w:rsidP="00A65F4C">
            <w:pPr>
              <w:spacing w:before="75" w:after="75"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I. Tiesību akta projekta izstrādes nepieciešamība</w:t>
            </w:r>
          </w:p>
        </w:tc>
      </w:tr>
      <w:tr w:rsidR="00190788" w:rsidRPr="00A65F4C" w:rsidTr="00A65F4C">
        <w:trPr>
          <w:trHeight w:val="1969"/>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Pamatojums</w:t>
            </w:r>
          </w:p>
        </w:tc>
        <w:tc>
          <w:tcPr>
            <w:tcW w:w="6379" w:type="dxa"/>
          </w:tcPr>
          <w:p w:rsidR="00AF70DF" w:rsidRPr="00A65F4C" w:rsidRDefault="00CC26B5" w:rsidP="00A65F4C">
            <w:pPr>
              <w:pStyle w:val="ParastaisWeb"/>
              <w:spacing w:before="0" w:beforeAutospacing="0" w:after="0" w:afterAutospacing="0"/>
              <w:ind w:firstLine="566"/>
              <w:jc w:val="both"/>
              <w:rPr>
                <w:rFonts w:ascii="Times New Roman" w:hAnsi="Times New Roman"/>
                <w:sz w:val="24"/>
                <w:szCs w:val="24"/>
                <w:lang w:val="lv-LV"/>
              </w:rPr>
            </w:pPr>
            <w:r w:rsidRPr="00A65F4C">
              <w:rPr>
                <w:rFonts w:ascii="Times New Roman" w:hAnsi="Times New Roman"/>
                <w:sz w:val="24"/>
                <w:szCs w:val="24"/>
                <w:lang w:val="lv-LV"/>
              </w:rPr>
              <w:t xml:space="preserve">Likumprojekts „Grozījumi </w:t>
            </w:r>
            <w:r w:rsidR="00CC3F7F">
              <w:rPr>
                <w:rFonts w:ascii="Times New Roman" w:hAnsi="Times New Roman"/>
                <w:sz w:val="24"/>
                <w:szCs w:val="24"/>
                <w:lang w:val="lv-LV"/>
              </w:rPr>
              <w:t>Valsts probācijas dienesta likumā</w:t>
            </w:r>
            <w:r w:rsidRPr="00A65F4C">
              <w:rPr>
                <w:rFonts w:ascii="Times New Roman" w:hAnsi="Times New Roman"/>
                <w:color w:val="000000"/>
                <w:sz w:val="24"/>
                <w:szCs w:val="24"/>
                <w:lang w:val="lv-LV"/>
              </w:rPr>
              <w:t>” (turpmāk – likumprojekts) izstrādāts</w:t>
            </w:r>
            <w:r w:rsidR="00BE2F72">
              <w:rPr>
                <w:rFonts w:ascii="Times New Roman" w:hAnsi="Times New Roman"/>
                <w:color w:val="000000"/>
                <w:sz w:val="24"/>
                <w:szCs w:val="24"/>
                <w:lang w:val="lv-LV"/>
              </w:rPr>
              <w:t>,</w:t>
            </w:r>
            <w:r w:rsidR="00D61532">
              <w:rPr>
                <w:rFonts w:ascii="Times New Roman" w:hAnsi="Times New Roman"/>
                <w:color w:val="000000"/>
                <w:sz w:val="24"/>
                <w:szCs w:val="24"/>
                <w:lang w:val="lv-LV"/>
              </w:rPr>
              <w:t xml:space="preserve"> </w:t>
            </w:r>
            <w:r w:rsidRPr="00A65F4C">
              <w:rPr>
                <w:rFonts w:ascii="Times New Roman" w:hAnsi="Times New Roman"/>
                <w:color w:val="000000"/>
                <w:sz w:val="24"/>
                <w:szCs w:val="24"/>
                <w:lang w:val="lv-LV"/>
              </w:rPr>
              <w:t xml:space="preserve">lai nodrošinātu </w:t>
            </w:r>
            <w:r w:rsidR="009F2D63" w:rsidRPr="00A65F4C">
              <w:rPr>
                <w:rFonts w:ascii="Times New Roman" w:hAnsi="Times New Roman"/>
                <w:sz w:val="24"/>
                <w:szCs w:val="24"/>
                <w:lang w:val="lv-LV"/>
              </w:rPr>
              <w:t xml:space="preserve">ar Ministru kabineta 2009.gada 9.janvāra rīkojumu Nr.6 (prot. Nr. 1, 32.§) apstiprinātās Kriminālsodu politika koncepcijas (turpmāk – koncepcija) kopsavilkuma 2.sadaļā ietvertā risinājuma par </w:t>
            </w:r>
            <w:r w:rsidR="0012480A" w:rsidRPr="00A65F4C">
              <w:rPr>
                <w:rFonts w:ascii="Times New Roman" w:hAnsi="Times New Roman"/>
                <w:sz w:val="24"/>
                <w:szCs w:val="24"/>
                <w:lang w:val="lv-LV"/>
              </w:rPr>
              <w:t>kriminālsoda</w:t>
            </w:r>
            <w:r w:rsidR="009F2D63" w:rsidRPr="00A65F4C">
              <w:rPr>
                <w:rFonts w:ascii="Times New Roman" w:hAnsi="Times New Roman"/>
                <w:sz w:val="24"/>
                <w:szCs w:val="24"/>
                <w:lang w:val="lv-LV"/>
              </w:rPr>
              <w:t xml:space="preserve"> – policijas kontrole – aizstāšanu ar jaunu kriminālsodu – probācijas uzraudzība izpildi</w:t>
            </w:r>
            <w:r w:rsidR="001D3187" w:rsidRPr="00A65F4C">
              <w:rPr>
                <w:rFonts w:ascii="Times New Roman" w:hAnsi="Times New Roman"/>
                <w:sz w:val="24"/>
                <w:szCs w:val="24"/>
                <w:lang w:val="lv-LV"/>
              </w:rPr>
              <w:t xml:space="preserve">. </w:t>
            </w:r>
          </w:p>
        </w:tc>
      </w:tr>
      <w:tr w:rsidR="00190788" w:rsidRPr="00A65F4C" w:rsidTr="001944EC">
        <w:trPr>
          <w:trHeight w:val="6365"/>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Pašreizējā situācija un problēmas</w:t>
            </w:r>
          </w:p>
        </w:tc>
        <w:tc>
          <w:tcPr>
            <w:tcW w:w="6379" w:type="dxa"/>
          </w:tcPr>
          <w:p w:rsidR="00DB1AE0" w:rsidRPr="00A65F4C" w:rsidRDefault="00DB1AE0" w:rsidP="00A65F4C">
            <w:pPr>
              <w:spacing w:after="120" w:line="240" w:lineRule="auto"/>
              <w:ind w:firstLine="552"/>
              <w:jc w:val="both"/>
              <w:rPr>
                <w:rFonts w:ascii="Times New Roman" w:hAnsi="Times New Roman"/>
                <w:sz w:val="24"/>
                <w:szCs w:val="24"/>
              </w:rPr>
            </w:pPr>
            <w:r w:rsidRPr="00A65F4C">
              <w:rPr>
                <w:rFonts w:ascii="Times New Roman" w:hAnsi="Times New Roman"/>
                <w:color w:val="000000"/>
                <w:sz w:val="24"/>
                <w:szCs w:val="24"/>
              </w:rPr>
              <w:t xml:space="preserve">Koncepcijas sadaļā </w:t>
            </w:r>
            <w:r w:rsidRPr="00A65F4C">
              <w:rPr>
                <w:rFonts w:ascii="Times New Roman" w:hAnsi="Times New Roman"/>
                <w:sz w:val="24"/>
                <w:szCs w:val="24"/>
              </w:rPr>
              <w:t xml:space="preserve">1.1. „Kriminālsodi” </w:t>
            </w:r>
            <w:r w:rsidRPr="00A65F4C">
              <w:rPr>
                <w:rFonts w:ascii="Times New Roman" w:hAnsi="Times New Roman"/>
                <w:color w:val="000000"/>
                <w:sz w:val="24"/>
                <w:szCs w:val="24"/>
              </w:rPr>
              <w:t>secināts, ka</w:t>
            </w:r>
            <w:r w:rsidRPr="00A65F4C">
              <w:rPr>
                <w:rFonts w:ascii="Times New Roman" w:hAnsi="Times New Roman"/>
                <w:sz w:val="24"/>
                <w:szCs w:val="24"/>
              </w:rPr>
              <w:t xml:space="preserve"> policijas kontrolei ir svarīga nozīme speciālās noziedzīgu nodarījumu </w:t>
            </w:r>
            <w:proofErr w:type="spellStart"/>
            <w:r w:rsidRPr="00A65F4C">
              <w:rPr>
                <w:rFonts w:ascii="Times New Roman" w:hAnsi="Times New Roman"/>
                <w:sz w:val="24"/>
                <w:szCs w:val="24"/>
              </w:rPr>
              <w:t>prevencijas</w:t>
            </w:r>
            <w:proofErr w:type="spellEnd"/>
            <w:r w:rsidRPr="00A65F4C">
              <w:rPr>
                <w:rFonts w:ascii="Times New Roman" w:hAnsi="Times New Roman"/>
                <w:sz w:val="24"/>
                <w:szCs w:val="24"/>
              </w:rPr>
              <w:t xml:space="preserve"> nodrošināšanā. Šā soda piemērošana sekmē personas reintegrāciju sabiedrībā un garantē, ka intensīva personas uzvedības uzraudzība, kas tika īstenota brīvības atņemšanas vietā, pilnīgi neizbeigsies tajā dienā, kad personu atbrīvos no cietuma.</w:t>
            </w:r>
          </w:p>
          <w:p w:rsidR="00E92797" w:rsidRDefault="00DB1AE0" w:rsidP="00E92797">
            <w:pPr>
              <w:spacing w:after="120" w:line="240" w:lineRule="auto"/>
              <w:ind w:firstLine="552"/>
              <w:jc w:val="both"/>
              <w:rPr>
                <w:rFonts w:ascii="Times New Roman" w:hAnsi="Times New Roman"/>
                <w:sz w:val="24"/>
                <w:szCs w:val="24"/>
              </w:rPr>
            </w:pPr>
            <w:r w:rsidRPr="00A65F4C">
              <w:rPr>
                <w:rFonts w:ascii="Times New Roman" w:hAnsi="Times New Roman"/>
                <w:sz w:val="24"/>
                <w:szCs w:val="24"/>
              </w:rPr>
              <w:t>Vienlaikus koncepcijā secināts, ka policijas kontroles izpilde īsti neatbilst Valsts policijas uzdevumiem. Sabiedriskās drošības labā policijai jāveic profilakses darbs, tomēr uzraudzība pār cilvēkiem, kuri izcietuši brīvības atņemšanas sodu, lielākā mērā atbilst nevis Valsts policijas, bet gan Valsts probācijas dienesta (turpmāk – VPD) kompetencei. Pēc VPD izveidošanas tas pārņēma un sekmīgi nodrošina nosacīti notiesāto personu, pirms termiņa nosacīti atbrīvoto personu, kā arī personu, kuras izcieš piespiedu darbu, uzraudzību. Arī par tāda soda izpildi, ko piemēro, lai uzraudzītu no brīvības atņemšanas vietām atbrīvoto personu uzvedību, būtu jāatbild VPD. Tas ļautu atbrīvot Valsts policiju no kriminālsoda izpildes funkciju veikšanas (1), nodot kriminālsoda izpildes funkcijas VPD (2), efektīvāk izmantot VPD kapacitāti, metodes un pieredzi darbā ar sodītām personām (3), sekmēt šā soda transformāciju no „kontroles pār ierobežojumu ievērošanu” uz „personas uzvedības uzraudzību un palīdzības sniegšanu” (4).</w:t>
            </w:r>
          </w:p>
          <w:p w:rsidR="00DB1AE0" w:rsidRPr="00E92797" w:rsidRDefault="00E92797" w:rsidP="00E92797">
            <w:pPr>
              <w:spacing w:after="120" w:line="240" w:lineRule="auto"/>
              <w:ind w:firstLine="552"/>
              <w:jc w:val="both"/>
              <w:rPr>
                <w:rFonts w:ascii="Times New Roman" w:hAnsi="Times New Roman"/>
                <w:sz w:val="24"/>
                <w:szCs w:val="24"/>
              </w:rPr>
            </w:pPr>
            <w:r w:rsidRPr="00E92797">
              <w:rPr>
                <w:rFonts w:ascii="Times New Roman" w:hAnsi="Times New Roman"/>
                <w:sz w:val="24"/>
                <w:szCs w:val="24"/>
              </w:rPr>
              <w:t xml:space="preserve">Koncepcija paredz izslēgt no kriminālsodu sistēmas kriminālsodu – policijas kontrole, aizstājot to ar jaunu kriminālsodu – probācijas uzraudzība Ievērojot to, ka probācijas uzraudzības kā jauna kriminālsoda ieviešanai būs nepieciešams pārejas periods, koncepcija paredz, ka policijas kontroles aizstāšana ar probācijas uzraudzību var notikt ne agrāk kā 2015.gadā. </w:t>
            </w:r>
          </w:p>
          <w:p w:rsidR="001944EC" w:rsidRDefault="004F7276" w:rsidP="00A65F4C">
            <w:pPr>
              <w:pStyle w:val="naisf"/>
              <w:spacing w:before="0" w:beforeAutospacing="0" w:after="0" w:afterAutospacing="0"/>
              <w:ind w:firstLine="720"/>
              <w:jc w:val="both"/>
            </w:pPr>
            <w:r w:rsidRPr="007F5B4F">
              <w:t>Vienlaikus 2009.gada jūlijā VPD uzsāka Norvēģijas valdības divpusējā finanšu instrumenta līdzfinansētā projekta LV0068 ,,Par dzimumnoziegumiem notiesāto personu uzvedības korekcijas sistēmas attīstīšana Latvijā”</w:t>
            </w:r>
            <w:r w:rsidRPr="00A65F4C">
              <w:rPr>
                <w:b/>
              </w:rPr>
              <w:t xml:space="preserve"> </w:t>
            </w:r>
            <w:r w:rsidRPr="007F5B4F">
              <w:t xml:space="preserve">(turpmāk – </w:t>
            </w:r>
            <w:r w:rsidRPr="007F5B4F">
              <w:lastRenderedPageBreak/>
              <w:t>Projekts)</w:t>
            </w:r>
            <w:r w:rsidRPr="00A65F4C">
              <w:rPr>
                <w:b/>
              </w:rPr>
              <w:t xml:space="preserve"> </w:t>
            </w:r>
            <w:r w:rsidRPr="007F5B4F">
              <w:t xml:space="preserve">īstenošanu. </w:t>
            </w:r>
            <w:r w:rsidRPr="00A65F4C">
              <w:rPr>
                <w:u w:val="single"/>
              </w:rPr>
              <w:t>Projektu īstenošanu paredzēts pabeigt 2011.gada aprīlī</w:t>
            </w:r>
            <w:r w:rsidRPr="007F5B4F">
              <w:t>. Projekta ietvaros</w:t>
            </w:r>
            <w:r w:rsidRPr="00B51DED">
              <w:t xml:space="preserve"> </w:t>
            </w:r>
            <w:r w:rsidR="00A36C5F">
              <w:t xml:space="preserve">tiek </w:t>
            </w:r>
            <w:r w:rsidRPr="007F5B4F">
              <w:t xml:space="preserve">veikta 60 VPD darbinieku apmācība par speciāli </w:t>
            </w:r>
            <w:proofErr w:type="spellStart"/>
            <w:r w:rsidRPr="007F5B4F">
              <w:t>dzimumnoziedzniekiem</w:t>
            </w:r>
            <w:proofErr w:type="spellEnd"/>
            <w:r w:rsidRPr="007F5B4F">
              <w:t xml:space="preserve"> domātā recidīva novērtēšanas instrumenta izmantošanu un tam sekojoša 16 darbinieku (no minētajiem 60) apmācība darbam ar specializētu terapeitisku programmu darbam ar </w:t>
            </w:r>
            <w:proofErr w:type="spellStart"/>
            <w:r w:rsidRPr="007F5B4F">
              <w:t>dzimumnoziedzniekiem</w:t>
            </w:r>
            <w:proofErr w:type="spellEnd"/>
            <w:r w:rsidRPr="007F5B4F">
              <w:t xml:space="preserve">, </w:t>
            </w:r>
            <w:r w:rsidRPr="0019033D">
              <w:t>kuri atrodas sabiedrībā</w:t>
            </w:r>
            <w:r w:rsidRPr="007F5B4F">
              <w:t xml:space="preserve">. Rezultātā </w:t>
            </w:r>
            <w:r w:rsidRPr="00A65F4C">
              <w:rPr>
                <w:u w:val="single"/>
              </w:rPr>
              <w:t>VPD ir speciāli apmācīti darbinieki, bet VPD nav pieejas klientiem, kuriem būtu piemērojamas VPD programmas</w:t>
            </w:r>
            <w:r w:rsidRPr="007F5B4F">
              <w:t xml:space="preserve"> līdz 2015.gadam, kad saskaņā ar koncepciju ir paredzēta </w:t>
            </w:r>
            <w:r w:rsidR="0012480A">
              <w:t>kriminālsoda</w:t>
            </w:r>
            <w:r w:rsidR="0012480A" w:rsidRPr="007F5B4F">
              <w:t xml:space="preserve"> </w:t>
            </w:r>
            <w:r w:rsidRPr="007F5B4F">
              <w:t xml:space="preserve">– policijas kontrole – aizstāšana ar jaunu kriminālsodu – probācijas uzraudzība. </w:t>
            </w:r>
          </w:p>
          <w:p w:rsidR="008D02DB" w:rsidRPr="007F5B4F" w:rsidRDefault="004F7276" w:rsidP="00D61532">
            <w:pPr>
              <w:pStyle w:val="naisf"/>
              <w:spacing w:before="0" w:beforeAutospacing="0" w:after="0" w:afterAutospacing="0"/>
              <w:ind w:firstLine="720"/>
              <w:jc w:val="both"/>
            </w:pPr>
            <w:r w:rsidRPr="007F5B4F">
              <w:t xml:space="preserve">Bez tam </w:t>
            </w:r>
            <w:r w:rsidR="00F5374A">
              <w:t>attiecībā uz</w:t>
            </w:r>
            <w:r w:rsidR="009B04E3" w:rsidRPr="007F5B4F">
              <w:t xml:space="preserve"> </w:t>
            </w:r>
            <w:proofErr w:type="spellStart"/>
            <w:r w:rsidR="009B04E3" w:rsidRPr="007F5B4F">
              <w:t>dzimimnoziedzniekiem</w:t>
            </w:r>
            <w:proofErr w:type="spellEnd"/>
            <w:r w:rsidR="009B04E3" w:rsidRPr="007F5B4F">
              <w:t>, kas</w:t>
            </w:r>
            <w:r w:rsidR="00D61532">
              <w:t xml:space="preserve"> izcieš brīvības atņemšanas sodu</w:t>
            </w:r>
            <w:r w:rsidR="00F5374A">
              <w:t>,</w:t>
            </w:r>
            <w:r w:rsidR="00D61532">
              <w:t xml:space="preserve"> VPD nevar realizēt probācijas programmu, kas paredzēta darbam ar </w:t>
            </w:r>
            <w:proofErr w:type="spellStart"/>
            <w:r w:rsidR="00D61532">
              <w:t>dzimumnoziedzniekiem</w:t>
            </w:r>
            <w:proofErr w:type="spellEnd"/>
            <w:r w:rsidR="00D61532">
              <w:t xml:space="preserve"> cietumā, jo</w:t>
            </w:r>
            <w:r w:rsidR="00F5374A">
              <w:t>,</w:t>
            </w:r>
            <w:r w:rsidR="00D61532">
              <w:t xml:space="preserve"> ievērojot budžeta taupības nolūkus</w:t>
            </w:r>
            <w:r w:rsidR="00F5374A">
              <w:t>,</w:t>
            </w:r>
            <w:r w:rsidR="00D61532">
              <w:t xml:space="preserve"> VPD likuma pārejas noteikumu 5.punkts paredz, ka probācijas programmas ieslodzījuma vietās VPD neīsteno </w:t>
            </w:r>
            <w:r w:rsidR="00F5374A">
              <w:t>līdz 2012.gada 31.decembrim. T</w:t>
            </w:r>
            <w:r w:rsidR="00D61532">
              <w:t xml:space="preserve">āpēc </w:t>
            </w:r>
            <w:r w:rsidR="00943233">
              <w:t>p</w:t>
            </w:r>
            <w:r w:rsidR="009B04E3" w:rsidRPr="00D61532">
              <w:t xml:space="preserve">ārejas noteikumu </w:t>
            </w:r>
            <w:r w:rsidR="00D61532">
              <w:t>5</w:t>
            </w:r>
            <w:r w:rsidR="009B04E3" w:rsidRPr="00D61532">
              <w:t xml:space="preserve">.punktā nepieciešams noteikt izņēmumu, lai </w:t>
            </w:r>
            <w:proofErr w:type="spellStart"/>
            <w:r w:rsidR="009B04E3" w:rsidRPr="00D61532">
              <w:t>dzimumnoziedzniekus</w:t>
            </w:r>
            <w:proofErr w:type="spellEnd"/>
            <w:r w:rsidR="00D61532">
              <w:t>, kas izcieš brīvības atņemšanas sodu,</w:t>
            </w:r>
            <w:r w:rsidR="009B04E3" w:rsidRPr="00D61532">
              <w:t xml:space="preserve"> būtu iespējam</w:t>
            </w:r>
            <w:r w:rsidR="00943233">
              <w:t>s iesaistīt probācijas programmā</w:t>
            </w:r>
            <w:r w:rsidR="009B04E3" w:rsidRPr="00D61532">
              <w:t>s</w:t>
            </w:r>
            <w:r w:rsidR="00943233">
              <w:t>, sākot</w:t>
            </w:r>
            <w:r w:rsidR="009B04E3" w:rsidRPr="00D61532">
              <w:t xml:space="preserve"> ar 2011.gada 1.jūliju.</w:t>
            </w:r>
          </w:p>
        </w:tc>
      </w:tr>
      <w:tr w:rsidR="00190788" w:rsidRPr="00A65F4C" w:rsidTr="00A65F4C">
        <w:trPr>
          <w:trHeight w:val="69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3.</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Saistītie politikas ietekmes novērtējumi un pētījumi</w:t>
            </w:r>
          </w:p>
        </w:tc>
        <w:tc>
          <w:tcPr>
            <w:tcW w:w="6379" w:type="dxa"/>
          </w:tcPr>
          <w:p w:rsidR="00D1739C" w:rsidRPr="00A65F4C" w:rsidRDefault="0092248D" w:rsidP="00A65F4C">
            <w:pPr>
              <w:spacing w:before="75" w:after="75" w:line="240" w:lineRule="auto"/>
              <w:ind w:firstLine="552"/>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r w:rsidR="00190788" w:rsidRPr="00A65F4C">
              <w:rPr>
                <w:rFonts w:ascii="Times New Roman" w:eastAsia="Times New Roman" w:hAnsi="Times New Roman"/>
                <w:sz w:val="24"/>
                <w:szCs w:val="24"/>
                <w:lang w:eastAsia="lv-LV"/>
              </w:rPr>
              <w:t>.</w:t>
            </w:r>
          </w:p>
        </w:tc>
      </w:tr>
      <w:tr w:rsidR="00190788" w:rsidRPr="00A65F4C" w:rsidTr="00A65F4C">
        <w:trPr>
          <w:trHeight w:val="38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mērķis un būtība</w:t>
            </w:r>
          </w:p>
        </w:tc>
        <w:tc>
          <w:tcPr>
            <w:tcW w:w="6379" w:type="dxa"/>
          </w:tcPr>
          <w:p w:rsidR="00E92797" w:rsidRDefault="00416D64" w:rsidP="00416D64">
            <w:pPr>
              <w:pStyle w:val="Pamattekstsaratkpi"/>
              <w:rPr>
                <w:u w:val="single"/>
              </w:rPr>
            </w:pPr>
            <w:r w:rsidRPr="00A65F4C">
              <w:rPr>
                <w:u w:val="single"/>
              </w:rPr>
              <w:t xml:space="preserve">Lai nodrošinātu plašākas iespējas individualizēt piemērojamo krimināltiesisko represiju, efektīvāk ietekmēt sodītās personas un atturētu viņas no jaunu noziedzīgu nodarījumu izdarīšanas, </w:t>
            </w:r>
            <w:r>
              <w:rPr>
                <w:u w:val="single"/>
              </w:rPr>
              <w:t>likumprojekts</w:t>
            </w:r>
            <w:r w:rsidRPr="00A65F4C">
              <w:rPr>
                <w:u w:val="single"/>
              </w:rPr>
              <w:t xml:space="preserve"> paredz </w:t>
            </w:r>
            <w:r w:rsidR="00D61532">
              <w:rPr>
                <w:u w:val="single"/>
              </w:rPr>
              <w:t>papildināt VPD funkcijas ar jaunu funkciju, proti, ar papildsodu probācijas uzraudzība notiesāto personu uzraudzību</w:t>
            </w:r>
            <w:r w:rsidR="004A5ACA">
              <w:rPr>
                <w:u w:val="single"/>
              </w:rPr>
              <w:t>.</w:t>
            </w:r>
          </w:p>
          <w:p w:rsidR="004A5ACA" w:rsidRDefault="004A5ACA" w:rsidP="00416D64">
            <w:pPr>
              <w:pStyle w:val="Pamattekstsaratkpi"/>
            </w:pPr>
            <w:r w:rsidRPr="004A5ACA">
              <w:t>Likumprojekta satur deleģējumu</w:t>
            </w:r>
            <w:r>
              <w:t xml:space="preserve"> Ministru kabinetam noteikt kārtību,</w:t>
            </w:r>
            <w:r w:rsidR="00B61B60">
              <w:t xml:space="preserve"> kādā VPD</w:t>
            </w:r>
            <w:r>
              <w:t xml:space="preserve"> uzraudzīs ar papildsodu probācijas uzraudzība notiesātos.</w:t>
            </w:r>
          </w:p>
          <w:p w:rsidR="004A5ACA" w:rsidRPr="004A5ACA" w:rsidRDefault="004A5ACA" w:rsidP="00416D64">
            <w:pPr>
              <w:pStyle w:val="Pamattekstsaratkpi"/>
            </w:pPr>
            <w:r>
              <w:t>Likumprojekts pr</w:t>
            </w:r>
            <w:r w:rsidR="00B61B60">
              <w:t>ecizē VPD</w:t>
            </w:r>
            <w:r>
              <w:t xml:space="preserve"> ier</w:t>
            </w:r>
            <w:r w:rsidR="00943233">
              <w:t>ēdņu tiesību apjomu, kas attiecā</w:t>
            </w:r>
            <w:r>
              <w:t>s tieši uz jaunas funkcijas īstenošanu.</w:t>
            </w:r>
          </w:p>
          <w:p w:rsidR="00D71057" w:rsidRDefault="00D71057" w:rsidP="007C6B16">
            <w:pPr>
              <w:pStyle w:val="naisf"/>
              <w:spacing w:before="0" w:beforeAutospacing="0" w:after="0" w:afterAutospacing="0"/>
              <w:ind w:firstLine="720"/>
              <w:jc w:val="both"/>
              <w:rPr>
                <w:b/>
              </w:rPr>
            </w:pPr>
            <w:r>
              <w:t>Vienlaikus</w:t>
            </w:r>
            <w:r w:rsidR="004A5ACA">
              <w:t xml:space="preserve"> likumprojekts </w:t>
            </w:r>
            <w:r w:rsidR="00B61B60">
              <w:t>paredz grozījumus VPD likuma pā</w:t>
            </w:r>
            <w:r w:rsidR="004A5ACA">
              <w:t xml:space="preserve">rejas noteikumos, nosakot to 5.punktā izņēmumu attiecībā uz probācijas programmu īstenošanu ieslodzījuma vietās </w:t>
            </w:r>
            <w:proofErr w:type="spellStart"/>
            <w:r w:rsidR="004A5ACA">
              <w:t>dzimumnoziedzniekiem</w:t>
            </w:r>
            <w:proofErr w:type="spellEnd"/>
            <w:r w:rsidR="007C6B16" w:rsidRPr="007F5B4F">
              <w:t>.</w:t>
            </w:r>
          </w:p>
          <w:p w:rsidR="00AF2FF2" w:rsidRPr="007F5B4F" w:rsidRDefault="00ED7F7F" w:rsidP="00A65F4C">
            <w:pPr>
              <w:pStyle w:val="naiskr"/>
              <w:spacing w:before="0" w:after="0"/>
              <w:ind w:firstLine="669"/>
              <w:jc w:val="both"/>
            </w:pPr>
            <w:r>
              <w:t>Ievērojot minēto, l</w:t>
            </w:r>
            <w:r w:rsidR="00AF2FF2" w:rsidRPr="007F5B4F">
              <w:t>ai nodrošinātu koncepcij</w:t>
            </w:r>
            <w:r w:rsidR="00C065DE" w:rsidRPr="007F5B4F">
              <w:t>as</w:t>
            </w:r>
            <w:r w:rsidR="00AF2FF2" w:rsidRPr="007F5B4F">
              <w:t xml:space="preserve"> </w:t>
            </w:r>
            <w:r w:rsidR="00A271A2" w:rsidRPr="007F5B4F">
              <w:t>risinājum</w:t>
            </w:r>
            <w:r w:rsidR="00C065DE" w:rsidRPr="007F5B4F">
              <w:t>a</w:t>
            </w:r>
            <w:r w:rsidR="00A271A2" w:rsidRPr="007F5B4F">
              <w:t xml:space="preserve">, kas paredz </w:t>
            </w:r>
            <w:r w:rsidR="0012480A">
              <w:t>kriminālsoda</w:t>
            </w:r>
            <w:r w:rsidR="0012480A" w:rsidRPr="007F5B4F">
              <w:t xml:space="preserve"> </w:t>
            </w:r>
            <w:r w:rsidR="00A271A2" w:rsidRPr="007F5B4F">
              <w:t>– policijas kontrole – aizstāšanu ar jaunu kriminālsodu – probācijas uzraudzība, īstenošanu, un nodrošinātu savlaicīgu probācijas uzrau</w:t>
            </w:r>
            <w:r w:rsidR="00943233">
              <w:t>dzības īstenošanu attiecībā uz</w:t>
            </w:r>
            <w:r w:rsidR="00A271A2" w:rsidRPr="007F5B4F">
              <w:t xml:space="preserve"> </w:t>
            </w:r>
            <w:proofErr w:type="spellStart"/>
            <w:r w:rsidR="00A271A2" w:rsidRPr="007F5B4F">
              <w:t>dzimumnoziedzniekiem</w:t>
            </w:r>
            <w:proofErr w:type="spellEnd"/>
            <w:r w:rsidR="00A271A2" w:rsidRPr="007F5B4F">
              <w:t>,</w:t>
            </w:r>
            <w:r w:rsidR="00B61B60">
              <w:t xml:space="preserve"> kā arī, lai nodrošinātu sociālās uzvedības darba pēctecību (darbs cietumā – darba pēc </w:t>
            </w:r>
            <w:r w:rsidR="00B61B60">
              <w:lastRenderedPageBreak/>
              <w:t>cietuma),</w:t>
            </w:r>
            <w:r w:rsidR="00A271A2" w:rsidRPr="007F5B4F">
              <w:t xml:space="preserve"> likumprojektā </w:t>
            </w:r>
            <w:r w:rsidR="00C065DE" w:rsidRPr="007F5B4F">
              <w:t>ietverti šādi grozījumi:</w:t>
            </w:r>
          </w:p>
          <w:p w:rsidR="00AF2FF2" w:rsidRPr="007F5B4F" w:rsidRDefault="00AF2FF2" w:rsidP="00A65F4C">
            <w:pPr>
              <w:pStyle w:val="naiskr"/>
              <w:spacing w:before="0" w:after="0"/>
              <w:ind w:firstLine="669"/>
              <w:jc w:val="both"/>
            </w:pPr>
            <w:r w:rsidRPr="007F5B4F">
              <w:t xml:space="preserve">Likumprojekta 1. pants paredz </w:t>
            </w:r>
            <w:r w:rsidR="004A5ACA">
              <w:t xml:space="preserve">paplašināt </w:t>
            </w:r>
            <w:r w:rsidR="00B61B60">
              <w:t>jēdziena ,,probācijas klients” definējumu,</w:t>
            </w:r>
            <w:r w:rsidR="00BD538E">
              <w:t xml:space="preserve"> izdarot grozījumus Valsts probācijas dienesta likuma 1.panta 5.punktā,</w:t>
            </w:r>
            <w:r w:rsidR="00943233">
              <w:t xml:space="preserve"> iekļaujot tajā</w:t>
            </w:r>
            <w:r w:rsidR="00B61B60">
              <w:t xml:space="preserve"> personas, kurām būs piespriests papildsods </w:t>
            </w:r>
            <w:r w:rsidRPr="007F5B4F">
              <w:t>–</w:t>
            </w:r>
            <w:r w:rsidR="00C271B0">
              <w:t xml:space="preserve"> probācijas uzraudzība.</w:t>
            </w:r>
          </w:p>
          <w:p w:rsidR="00AF2FF2" w:rsidRPr="007F5B4F" w:rsidRDefault="00AF2FF2" w:rsidP="00A65F4C">
            <w:pPr>
              <w:pStyle w:val="naiskr"/>
              <w:spacing w:before="0" w:after="0"/>
              <w:ind w:firstLine="669"/>
              <w:jc w:val="both"/>
            </w:pPr>
            <w:r w:rsidRPr="007F5B4F">
              <w:t>Likumprojekta 2. pants paredz</w:t>
            </w:r>
            <w:r w:rsidR="00B61B60">
              <w:t xml:space="preserve"> papildināt VPD funkciju apjomu</w:t>
            </w:r>
            <w:r w:rsidR="00BD538E">
              <w:t xml:space="preserve"> </w:t>
            </w:r>
            <w:r w:rsidR="00B61B60">
              <w:t>ar jaunu funkciju, proti, ar probācijas uzraudzību notiesāto personu uzraudzību</w:t>
            </w:r>
            <w:r w:rsidR="00BD538E">
              <w:t>, papildinot Valsts probācijas dienesta likuma 6.pantu ar 9.punktu</w:t>
            </w:r>
            <w:r w:rsidR="00C271B0">
              <w:t>.</w:t>
            </w:r>
          </w:p>
          <w:p w:rsidR="005C3608" w:rsidRPr="007F5B4F" w:rsidRDefault="005C3608" w:rsidP="00A65F4C">
            <w:pPr>
              <w:pStyle w:val="naiskr"/>
              <w:spacing w:before="0" w:after="0"/>
              <w:ind w:firstLine="669"/>
              <w:jc w:val="both"/>
            </w:pPr>
            <w:r w:rsidRPr="007F5B4F">
              <w:t>Likumprojekta 3. pants paredz</w:t>
            </w:r>
            <w:r w:rsidR="00B61B60">
              <w:t xml:space="preserve"> </w:t>
            </w:r>
            <w:r w:rsidR="00BD538E">
              <w:t xml:space="preserve">papildināt Valsts probācijas dienesta likuma 11.pantu ar 4.punktu, iekļaujot </w:t>
            </w:r>
            <w:r w:rsidR="00B61B60">
              <w:t>deleģējumu Ministru kabinetam noteikt kārtību, kādā VPD īstenos ar probācijas uzraudzību notiesāto personu uzraudzību</w:t>
            </w:r>
            <w:r w:rsidR="00C271B0">
              <w:t>.</w:t>
            </w:r>
          </w:p>
          <w:p w:rsidR="00E803B8" w:rsidRPr="007F5B4F" w:rsidRDefault="00A67868" w:rsidP="00A65F4C">
            <w:pPr>
              <w:pStyle w:val="naiskr"/>
              <w:spacing w:before="0" w:after="0"/>
              <w:ind w:firstLine="669"/>
              <w:jc w:val="both"/>
            </w:pPr>
            <w:r w:rsidRPr="007F5B4F">
              <w:t xml:space="preserve">Likumprojekta </w:t>
            </w:r>
            <w:r w:rsidR="00E803B8" w:rsidRPr="007F5B4F">
              <w:t>4</w:t>
            </w:r>
            <w:r w:rsidRPr="007F5B4F">
              <w:t>. pants paredz</w:t>
            </w:r>
            <w:r w:rsidR="00BD538E">
              <w:t xml:space="preserve"> papildināt Valsts probācijas dienesta likuma 25.pantu ar 2.</w:t>
            </w:r>
            <w:r w:rsidR="00BD538E">
              <w:rPr>
                <w:vertAlign w:val="superscript"/>
              </w:rPr>
              <w:t>1</w:t>
            </w:r>
            <w:r w:rsidR="00BD538E">
              <w:t xml:space="preserve"> daļu, nosakot</w:t>
            </w:r>
            <w:r w:rsidR="00B61B60">
              <w:t xml:space="preserve"> VPD amatpersonām līdzīgu tiesību apjomu tām, kas VPD amatpersonām ir</w:t>
            </w:r>
            <w:r w:rsidR="00C271B0">
              <w:t>,</w:t>
            </w:r>
            <w:r w:rsidR="00B61B60">
              <w:t xml:space="preserve"> uzraugot nosacīti notiesātās un nosacīti pirmstermiņa atbrīvotās personas, kā arī paredz tiesības noteikt </w:t>
            </w:r>
            <w:r w:rsidR="00BD538E">
              <w:t>ar probācijas uzraudzību notiesātajam pienākumus un kontrolēt to izpildi</w:t>
            </w:r>
            <w:r w:rsidR="00C271B0">
              <w:t>.</w:t>
            </w:r>
          </w:p>
          <w:p w:rsidR="005C3608" w:rsidRDefault="00E803B8" w:rsidP="00A65F4C">
            <w:pPr>
              <w:pStyle w:val="naiskr"/>
              <w:spacing w:before="0" w:after="0"/>
              <w:ind w:firstLine="669"/>
              <w:jc w:val="both"/>
            </w:pPr>
            <w:r w:rsidRPr="007F5B4F">
              <w:t>Likumprojekta 5. pants paredz</w:t>
            </w:r>
            <w:r w:rsidR="00C82817">
              <w:t xml:space="preserve"> izdarīt grozījumus Valsts probācijas dienesta likuma parejas noteikumu 5.punkt</w:t>
            </w:r>
            <w:r w:rsidR="002C7EAA">
              <w:t>ā</w:t>
            </w:r>
            <w:r w:rsidR="00C271B0">
              <w:t>,</w:t>
            </w:r>
            <w:r w:rsidR="002C7EAA">
              <w:t xml:space="preserve"> tādējādi radot iespēju VPD iesaistīties par dzimumnoziegumiem notiesāto personu sociālās uzvedības korekcijā un probācijas programmu īs</w:t>
            </w:r>
            <w:r w:rsidR="00C271B0">
              <w:t>tenošanā šiem notiesātajiem</w:t>
            </w:r>
            <w:r w:rsidR="002C7EAA">
              <w:t xml:space="preserve"> jau ar 2011.gada 1.jūliju, nevis ar 2013.gada 1.janvāri.</w:t>
            </w:r>
          </w:p>
          <w:p w:rsidR="00C271B0" w:rsidRPr="007F5B4F" w:rsidRDefault="00B872C9" w:rsidP="00A65F4C">
            <w:pPr>
              <w:pStyle w:val="naiskr"/>
              <w:spacing w:before="0" w:after="0"/>
              <w:ind w:firstLine="669"/>
              <w:jc w:val="both"/>
            </w:pPr>
            <w:r w:rsidRPr="007F5B4F">
              <w:t xml:space="preserve">Likumprojekta </w:t>
            </w:r>
            <w:r>
              <w:t>6</w:t>
            </w:r>
            <w:r w:rsidRPr="007F5B4F">
              <w:t>. pants paredz</w:t>
            </w:r>
            <w:r>
              <w:t xml:space="preserve"> papildināt likuma pārejas noteikumus ar 10.punktu, kurš paredz</w:t>
            </w:r>
            <w:r w:rsidR="00C271B0">
              <w:t xml:space="preserve"> </w:t>
            </w:r>
            <w:r w:rsidRPr="0090551C">
              <w:t>Ministru kabinet</w:t>
            </w:r>
            <w:r>
              <w:t>am</w:t>
            </w:r>
            <w:r w:rsidRPr="0090551C">
              <w:t xml:space="preserve"> līdz 2011.gada 1.jūlijam izstrādā</w:t>
            </w:r>
            <w:r>
              <w:t>t</w:t>
            </w:r>
            <w:r w:rsidRPr="0090551C">
              <w:t xml:space="preserve"> kārtību, kādā Valsts probācijas dienests uzrauga personas, kurām piemērots papildsods – probācijas uzraudzība</w:t>
            </w:r>
            <w:r w:rsidR="00C271B0">
              <w:t>.</w:t>
            </w:r>
          </w:p>
          <w:p w:rsidR="00E55905" w:rsidRPr="007F5B4F" w:rsidRDefault="002C7EAA" w:rsidP="00A65F4C">
            <w:pPr>
              <w:pStyle w:val="naiskr"/>
              <w:spacing w:before="0" w:after="0"/>
              <w:ind w:firstLine="669"/>
              <w:jc w:val="both"/>
            </w:pPr>
            <w:r>
              <w:t>L</w:t>
            </w:r>
            <w:r w:rsidR="00E55905">
              <w:t xml:space="preserve">ikumprojekta spēkā stāšanās datums noteikts </w:t>
            </w:r>
            <w:r w:rsidR="00E55905" w:rsidRPr="008E491E">
              <w:t>2011.gada 1.jūlij</w:t>
            </w:r>
            <w:r w:rsidR="00E55905">
              <w:t>s.</w:t>
            </w:r>
          </w:p>
        </w:tc>
      </w:tr>
      <w:tr w:rsidR="00190788" w:rsidRPr="00A65F4C" w:rsidTr="00A65F4C">
        <w:trPr>
          <w:trHeight w:val="476"/>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5.</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Projekta izstrādē iesaistītās institūcijas</w:t>
            </w:r>
          </w:p>
        </w:tc>
        <w:tc>
          <w:tcPr>
            <w:tcW w:w="6379" w:type="dxa"/>
          </w:tcPr>
          <w:p w:rsidR="00D1739C" w:rsidRPr="00A65F4C" w:rsidRDefault="00C271B0" w:rsidP="00ED7F7F">
            <w:pPr>
              <w:spacing w:after="120" w:line="240" w:lineRule="auto"/>
              <w:ind w:firstLine="552"/>
              <w:jc w:val="both"/>
              <w:rPr>
                <w:rFonts w:ascii="Times New Roman" w:eastAsia="Times New Roman" w:hAnsi="Times New Roman"/>
                <w:sz w:val="24"/>
                <w:szCs w:val="24"/>
                <w:lang w:eastAsia="lv-LV"/>
              </w:rPr>
            </w:pPr>
            <w:r>
              <w:rPr>
                <w:rFonts w:ascii="Times New Roman" w:hAnsi="Times New Roman"/>
                <w:sz w:val="24"/>
                <w:szCs w:val="24"/>
              </w:rPr>
              <w:t>L</w:t>
            </w:r>
            <w:r w:rsidR="00ED7F7F">
              <w:rPr>
                <w:rFonts w:ascii="Times New Roman" w:hAnsi="Times New Roman"/>
                <w:sz w:val="24"/>
                <w:szCs w:val="24"/>
              </w:rPr>
              <w:t xml:space="preserve">ikumprojekta izstrādē tika iesaistīti </w:t>
            </w:r>
            <w:r>
              <w:rPr>
                <w:rFonts w:ascii="Times New Roman" w:eastAsia="Times New Roman" w:hAnsi="Times New Roman"/>
                <w:sz w:val="24"/>
                <w:szCs w:val="24"/>
                <w:lang w:eastAsia="lv-LV"/>
              </w:rPr>
              <w:t xml:space="preserve">ar </w:t>
            </w:r>
            <w:r w:rsidRPr="00A65F4C">
              <w:rPr>
                <w:rFonts w:ascii="Times New Roman" w:eastAsia="Times New Roman" w:hAnsi="Times New Roman"/>
                <w:sz w:val="24"/>
                <w:szCs w:val="24"/>
                <w:lang w:eastAsia="lv-LV"/>
              </w:rPr>
              <w:t xml:space="preserve">tieslietu ministra 2009. gada 19. februāra rīkojumu Nr.1-1/50 </w:t>
            </w:r>
            <w:r w:rsidRPr="00A65F4C">
              <w:rPr>
                <w:rFonts w:ascii="Times New Roman" w:hAnsi="Times New Roman"/>
                <w:sz w:val="24"/>
                <w:szCs w:val="24"/>
              </w:rPr>
              <w:t>izveidot</w:t>
            </w:r>
            <w:r>
              <w:rPr>
                <w:rFonts w:ascii="Times New Roman" w:hAnsi="Times New Roman"/>
                <w:sz w:val="24"/>
                <w:szCs w:val="24"/>
              </w:rPr>
              <w:t>ās</w:t>
            </w:r>
            <w:r w:rsidRPr="00A65F4C">
              <w:rPr>
                <w:rFonts w:ascii="Times New Roman" w:hAnsi="Times New Roman"/>
                <w:sz w:val="24"/>
                <w:szCs w:val="24"/>
              </w:rPr>
              <w:t xml:space="preserve"> koncepcijas īstenošanas darba grupa</w:t>
            </w:r>
            <w:r>
              <w:rPr>
                <w:rFonts w:ascii="Times New Roman" w:hAnsi="Times New Roman"/>
                <w:sz w:val="24"/>
                <w:szCs w:val="24"/>
              </w:rPr>
              <w:t xml:space="preserve">s </w:t>
            </w:r>
            <w:r w:rsidR="00ED7F7F">
              <w:rPr>
                <w:rFonts w:ascii="Times New Roman" w:hAnsi="Times New Roman"/>
                <w:sz w:val="24"/>
                <w:szCs w:val="24"/>
              </w:rPr>
              <w:t>p</w:t>
            </w:r>
            <w:r w:rsidR="001F4362" w:rsidRPr="00A65F4C">
              <w:rPr>
                <w:rFonts w:ascii="Times New Roman" w:hAnsi="Times New Roman"/>
                <w:sz w:val="24"/>
                <w:szCs w:val="24"/>
              </w:rPr>
              <w:t>ārstāvji no Ģenerālprokuratūras, Iekšlietu ministrijas, Valsts policijas, Sabiedriskās politikas centra PROVIDUS, Valsts probācijas dienesta, Ieslodzījuma vietu pārvaldes.</w:t>
            </w:r>
            <w:r w:rsidR="00B90B55" w:rsidRPr="00A65F4C">
              <w:rPr>
                <w:rFonts w:ascii="Times New Roman" w:hAnsi="Times New Roman"/>
                <w:sz w:val="24"/>
                <w:szCs w:val="24"/>
              </w:rPr>
              <w:t xml:space="preserve"> </w:t>
            </w:r>
          </w:p>
        </w:tc>
      </w:tr>
      <w:tr w:rsidR="00190788" w:rsidRPr="00A65F4C" w:rsidTr="00A65F4C">
        <w:trPr>
          <w:trHeight w:val="90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6.</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Iemesli, kādēļ netika nodrošināta sabiedrības līdzdalība</w:t>
            </w:r>
          </w:p>
        </w:tc>
        <w:tc>
          <w:tcPr>
            <w:tcW w:w="6379" w:type="dxa"/>
          </w:tcPr>
          <w:p w:rsidR="00D1739C" w:rsidRPr="00A65F4C" w:rsidRDefault="0092248D" w:rsidP="00A65F4C">
            <w:pPr>
              <w:spacing w:before="75" w:after="75" w:line="240" w:lineRule="auto"/>
              <w:ind w:firstLine="552"/>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r w:rsidR="00C86677" w:rsidRPr="00A65F4C">
              <w:rPr>
                <w:rFonts w:ascii="Times New Roman" w:eastAsia="Times New Roman" w:hAnsi="Times New Roman"/>
                <w:sz w:val="24"/>
                <w:szCs w:val="24"/>
                <w:lang w:eastAsia="lv-LV"/>
              </w:rPr>
              <w:t>.</w:t>
            </w:r>
          </w:p>
        </w:tc>
      </w:tr>
      <w:tr w:rsidR="00190788" w:rsidRPr="00A65F4C" w:rsidTr="00A65F4C">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7.</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 informācija</w:t>
            </w:r>
          </w:p>
        </w:tc>
        <w:tc>
          <w:tcPr>
            <w:tcW w:w="6379" w:type="dxa"/>
          </w:tcPr>
          <w:p w:rsidR="00D1739C" w:rsidRPr="00A65F4C" w:rsidRDefault="00C86677" w:rsidP="00A65F4C">
            <w:pPr>
              <w:spacing w:before="75" w:after="75" w:line="240" w:lineRule="auto"/>
              <w:ind w:firstLine="552"/>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D1739C">
      <w:pPr>
        <w:spacing w:before="75" w:after="75"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422"/>
        <w:gridCol w:w="6379"/>
      </w:tblGrid>
      <w:tr w:rsidR="00D1739C" w:rsidRPr="00A65F4C" w:rsidTr="00A65F4C">
        <w:tc>
          <w:tcPr>
            <w:tcW w:w="9322" w:type="dxa"/>
            <w:gridSpan w:val="3"/>
          </w:tcPr>
          <w:p w:rsidR="00D1739C" w:rsidRPr="00A65F4C" w:rsidRDefault="00D1739C" w:rsidP="00A65F4C">
            <w:pPr>
              <w:spacing w:before="150" w:after="150" w:line="240" w:lineRule="auto"/>
              <w:jc w:val="center"/>
              <w:rPr>
                <w:rFonts w:ascii="Times New Roman" w:eastAsia="Times New Roman" w:hAnsi="Times New Roman"/>
                <w:b/>
                <w:bCs/>
                <w:sz w:val="24"/>
                <w:szCs w:val="24"/>
                <w:lang w:eastAsia="lv-LV"/>
              </w:rPr>
            </w:pPr>
            <w:r w:rsidRPr="00A65F4C">
              <w:rPr>
                <w:rFonts w:ascii="Times New Roman" w:eastAsia="Times New Roman" w:hAnsi="Times New Roman"/>
                <w:b/>
                <w:bCs/>
                <w:sz w:val="24"/>
                <w:szCs w:val="24"/>
                <w:lang w:eastAsia="lv-LV"/>
              </w:rPr>
              <w:lastRenderedPageBreak/>
              <w:t> II. Tiesību akta projekta ietekme uz sabiedrību</w:t>
            </w:r>
          </w:p>
        </w:tc>
      </w:tr>
      <w:tr w:rsidR="00D1739C" w:rsidRPr="00A65F4C" w:rsidTr="00A65F4C">
        <w:trPr>
          <w:trHeight w:val="46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Sabiedrības mērķgrupa</w:t>
            </w:r>
          </w:p>
        </w:tc>
        <w:tc>
          <w:tcPr>
            <w:tcW w:w="6379" w:type="dxa"/>
          </w:tcPr>
          <w:p w:rsidR="007D350E" w:rsidRPr="00A65F4C" w:rsidRDefault="00695F75" w:rsidP="00A65F4C">
            <w:pPr>
              <w:spacing w:before="75" w:after="75" w:line="240" w:lineRule="auto"/>
              <w:ind w:firstLine="441"/>
              <w:jc w:val="both"/>
              <w:rPr>
                <w:rFonts w:ascii="Times New Roman" w:hAnsi="Times New Roman"/>
                <w:sz w:val="24"/>
                <w:szCs w:val="24"/>
              </w:rPr>
            </w:pPr>
            <w:r w:rsidRPr="00A65F4C">
              <w:rPr>
                <w:rFonts w:ascii="Times New Roman" w:hAnsi="Times New Roman"/>
                <w:sz w:val="24"/>
                <w:szCs w:val="24"/>
              </w:rPr>
              <w:t xml:space="preserve">Aizstājot </w:t>
            </w:r>
            <w:r w:rsidR="0012480A" w:rsidRPr="00A65F4C">
              <w:rPr>
                <w:rFonts w:ascii="Times New Roman" w:hAnsi="Times New Roman"/>
                <w:sz w:val="24"/>
                <w:szCs w:val="24"/>
              </w:rPr>
              <w:t xml:space="preserve">kriminālsodu </w:t>
            </w:r>
            <w:r w:rsidRPr="00A65F4C">
              <w:rPr>
                <w:rFonts w:ascii="Times New Roman" w:hAnsi="Times New Roman"/>
                <w:sz w:val="24"/>
                <w:szCs w:val="24"/>
              </w:rPr>
              <w:t xml:space="preserve">– policijas kontrole ar jaunu kriminālsodu – probācijas uzraudzība, tiks nodrošinātas plašākas iespējas individualizēt piemērojamo krimināltiesisko represiju, efektīvāk ietekmēt sodītās personas un atturētu viņas no jaunu noziedzīgu nodarījumu izdarīšanas. </w:t>
            </w:r>
          </w:p>
        </w:tc>
      </w:tr>
      <w:tr w:rsidR="00D1739C" w:rsidRPr="00A65F4C" w:rsidTr="00A65F4C">
        <w:trPr>
          <w:trHeight w:val="523"/>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Citas sabiedrības grupas (bez mērķgrupas), kuras tiesiskais regulējums arī ietekmē vai varētu ietekmēt</w:t>
            </w:r>
          </w:p>
        </w:tc>
        <w:tc>
          <w:tcPr>
            <w:tcW w:w="6379" w:type="dxa"/>
          </w:tcPr>
          <w:p w:rsidR="00D1739C" w:rsidRPr="00A65F4C" w:rsidRDefault="007F5B4F" w:rsidP="00ED7F7F">
            <w:pPr>
              <w:spacing w:before="75" w:after="75" w:line="240" w:lineRule="auto"/>
              <w:ind w:firstLine="461"/>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xml:space="preserve"> </w:t>
            </w:r>
            <w:r w:rsidR="00E75CDC" w:rsidRPr="00A65F4C">
              <w:rPr>
                <w:rFonts w:ascii="Times New Roman" w:eastAsia="Times New Roman" w:hAnsi="Times New Roman"/>
                <w:sz w:val="24"/>
                <w:szCs w:val="24"/>
                <w:lang w:eastAsia="lv-LV"/>
              </w:rPr>
              <w:t>Ieviešot</w:t>
            </w:r>
            <w:r w:rsidR="00695F75" w:rsidRPr="00A65F4C">
              <w:rPr>
                <w:rFonts w:ascii="Times New Roman" w:eastAsia="Times New Roman" w:hAnsi="Times New Roman"/>
                <w:sz w:val="24"/>
                <w:szCs w:val="24"/>
                <w:lang w:eastAsia="lv-LV"/>
              </w:rPr>
              <w:t xml:space="preserve"> kriminālsodu – probācijas uzraudzība, tiks samazināts noziedzīgu nodarījumu recidīvs, tādējādi </w:t>
            </w:r>
            <w:r w:rsidR="00403BCD">
              <w:rPr>
                <w:rFonts w:ascii="Times New Roman" w:eastAsia="Times New Roman" w:hAnsi="Times New Roman"/>
                <w:sz w:val="24"/>
                <w:szCs w:val="24"/>
                <w:lang w:eastAsia="lv-LV"/>
              </w:rPr>
              <w:t>palielinot</w:t>
            </w:r>
            <w:r w:rsidR="00695F75" w:rsidRPr="00A65F4C">
              <w:rPr>
                <w:rFonts w:ascii="Times New Roman" w:eastAsia="Times New Roman" w:hAnsi="Times New Roman"/>
                <w:sz w:val="24"/>
                <w:szCs w:val="24"/>
                <w:lang w:eastAsia="lv-LV"/>
              </w:rPr>
              <w:t xml:space="preserve"> sabiedrības drošību</w:t>
            </w:r>
            <w:r w:rsidR="00ED7F7F">
              <w:rPr>
                <w:rFonts w:ascii="Times New Roman" w:eastAsia="Times New Roman" w:hAnsi="Times New Roman"/>
                <w:sz w:val="24"/>
                <w:szCs w:val="24"/>
                <w:lang w:eastAsia="lv-LV"/>
              </w:rPr>
              <w:t xml:space="preserve">, jo īpaši attiecībā pret </w:t>
            </w:r>
            <w:proofErr w:type="spellStart"/>
            <w:r w:rsidR="00ED7F7F">
              <w:rPr>
                <w:rFonts w:ascii="Times New Roman" w:eastAsia="Times New Roman" w:hAnsi="Times New Roman"/>
                <w:sz w:val="24"/>
                <w:szCs w:val="24"/>
                <w:lang w:eastAsia="lv-LV"/>
              </w:rPr>
              <w:t>dzimumnoziedzniekiem</w:t>
            </w:r>
            <w:proofErr w:type="spellEnd"/>
            <w:r w:rsidR="00ED7F7F">
              <w:rPr>
                <w:rFonts w:ascii="Times New Roman" w:eastAsia="Times New Roman" w:hAnsi="Times New Roman"/>
                <w:sz w:val="24"/>
                <w:szCs w:val="24"/>
                <w:lang w:eastAsia="lv-LV"/>
              </w:rPr>
              <w:t>.</w:t>
            </w:r>
          </w:p>
        </w:tc>
      </w:tr>
      <w:tr w:rsidR="00D1739C" w:rsidRPr="00A65F4C" w:rsidTr="00A65F4C">
        <w:trPr>
          <w:trHeight w:val="51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finansiālā ietekme</w:t>
            </w:r>
          </w:p>
        </w:tc>
        <w:tc>
          <w:tcPr>
            <w:tcW w:w="6379" w:type="dxa"/>
          </w:tcPr>
          <w:p w:rsidR="00D1739C" w:rsidRPr="00A65F4C" w:rsidRDefault="00E47FC8" w:rsidP="00A65F4C">
            <w:pPr>
              <w:pStyle w:val="Pamatteksts"/>
              <w:jc w:val="both"/>
              <w:rPr>
                <w:rFonts w:ascii="Times New Roman" w:hAnsi="Times New Roman"/>
                <w:sz w:val="24"/>
                <w:szCs w:val="24"/>
              </w:rPr>
            </w:pPr>
            <w:r w:rsidRPr="00A65F4C">
              <w:rPr>
                <w:b/>
                <w:sz w:val="24"/>
                <w:szCs w:val="24"/>
              </w:rPr>
              <w:t xml:space="preserve">       </w:t>
            </w:r>
            <w:r w:rsidR="007F5B4F" w:rsidRPr="00A65F4C">
              <w:rPr>
                <w:b/>
                <w:sz w:val="24"/>
                <w:szCs w:val="24"/>
              </w:rPr>
              <w:t xml:space="preserve">    </w:t>
            </w:r>
            <w:r w:rsidRPr="00A65F4C">
              <w:rPr>
                <w:rFonts w:ascii="Times New Roman" w:hAnsi="Times New Roman"/>
                <w:sz w:val="24"/>
                <w:szCs w:val="24"/>
              </w:rPr>
              <w:t>Lai nodrošinātu kriminālsoda – probācijas uzraudzība izpildi VPD būs nepieciešams papild</w:t>
            </w:r>
            <w:r w:rsidR="00C271B0">
              <w:rPr>
                <w:rFonts w:ascii="Times New Roman" w:hAnsi="Times New Roman"/>
                <w:sz w:val="24"/>
                <w:szCs w:val="24"/>
              </w:rPr>
              <w:t>u finansējums no valsts budžeta, ievērojot</w:t>
            </w:r>
            <w:r w:rsidRPr="00A65F4C">
              <w:rPr>
                <w:rFonts w:ascii="Times New Roman" w:hAnsi="Times New Roman"/>
                <w:sz w:val="24"/>
                <w:szCs w:val="24"/>
              </w:rPr>
              <w:t>, ka probācijas uzraudzības saturs ir daudz plašāks</w:t>
            </w:r>
            <w:r w:rsidR="00763884" w:rsidRPr="00A65F4C">
              <w:rPr>
                <w:rFonts w:ascii="Times New Roman" w:hAnsi="Times New Roman"/>
                <w:sz w:val="24"/>
                <w:szCs w:val="24"/>
              </w:rPr>
              <w:t xml:space="preserve"> par policijas kontroles saturu, un tā realizēšanai </w:t>
            </w:r>
            <w:r w:rsidR="00E75CDC" w:rsidRPr="00A65F4C">
              <w:rPr>
                <w:rFonts w:ascii="Times New Roman" w:hAnsi="Times New Roman"/>
                <w:sz w:val="24"/>
                <w:szCs w:val="24"/>
              </w:rPr>
              <w:t xml:space="preserve">VPD </w:t>
            </w:r>
            <w:r w:rsidR="00763884" w:rsidRPr="00A65F4C">
              <w:rPr>
                <w:rFonts w:ascii="Times New Roman" w:hAnsi="Times New Roman"/>
                <w:sz w:val="24"/>
                <w:szCs w:val="24"/>
              </w:rPr>
              <w:t>nepieciešam</w:t>
            </w:r>
            <w:r w:rsidR="00E75CDC" w:rsidRPr="00A65F4C">
              <w:rPr>
                <w:rFonts w:ascii="Times New Roman" w:hAnsi="Times New Roman"/>
                <w:sz w:val="24"/>
                <w:szCs w:val="24"/>
              </w:rPr>
              <w:t>s</w:t>
            </w:r>
            <w:r w:rsidR="00763884" w:rsidRPr="00A65F4C">
              <w:rPr>
                <w:rFonts w:ascii="Times New Roman" w:hAnsi="Times New Roman"/>
                <w:sz w:val="24"/>
                <w:szCs w:val="24"/>
              </w:rPr>
              <w:t xml:space="preserve"> papildus personāl</w:t>
            </w:r>
            <w:r w:rsidR="00E75CDC" w:rsidRPr="00A65F4C">
              <w:rPr>
                <w:rFonts w:ascii="Times New Roman" w:hAnsi="Times New Roman"/>
                <w:sz w:val="24"/>
                <w:szCs w:val="24"/>
              </w:rPr>
              <w:t>s</w:t>
            </w:r>
            <w:r w:rsidR="00763884" w:rsidRPr="00A65F4C">
              <w:rPr>
                <w:rFonts w:ascii="Times New Roman" w:hAnsi="Times New Roman"/>
                <w:sz w:val="24"/>
                <w:szCs w:val="24"/>
              </w:rPr>
              <w:t xml:space="preserve"> un citi resursi</w:t>
            </w:r>
            <w:r w:rsidRPr="00A65F4C">
              <w:rPr>
                <w:rFonts w:ascii="Times New Roman" w:hAnsi="Times New Roman"/>
                <w:sz w:val="24"/>
                <w:szCs w:val="24"/>
              </w:rPr>
              <w:t>.</w:t>
            </w:r>
            <w:r w:rsidR="00763884" w:rsidRPr="00A65F4C">
              <w:rPr>
                <w:rFonts w:ascii="Times New Roman" w:hAnsi="Times New Roman"/>
                <w:sz w:val="24"/>
                <w:szCs w:val="24"/>
              </w:rPr>
              <w:t xml:space="preserve"> Vienlaikus tiks ietaupīti Valsts policijas resursi, kurus tā pašreiz izlieto kriminālsoda - policijas kontrole izpildes nodrošināšanai.</w:t>
            </w:r>
          </w:p>
        </w:tc>
      </w:tr>
      <w:tr w:rsidR="00D1739C" w:rsidRPr="00A65F4C" w:rsidTr="00FA24BD">
        <w:trPr>
          <w:trHeight w:val="2094"/>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nefinansiālā ietekme</w:t>
            </w:r>
          </w:p>
        </w:tc>
        <w:tc>
          <w:tcPr>
            <w:tcW w:w="6379" w:type="dxa"/>
          </w:tcPr>
          <w:p w:rsidR="00250AD3" w:rsidRPr="00A65F4C" w:rsidRDefault="004F5D33" w:rsidP="00A65F4C">
            <w:pPr>
              <w:spacing w:line="288" w:lineRule="auto"/>
              <w:jc w:val="both"/>
              <w:rPr>
                <w:rFonts w:ascii="Times New Roman" w:hAnsi="Times New Roman"/>
                <w:sz w:val="24"/>
                <w:szCs w:val="24"/>
              </w:rPr>
            </w:pPr>
            <w:r w:rsidRPr="00A65F4C">
              <w:rPr>
                <w:rFonts w:ascii="Times New Roman" w:hAnsi="Times New Roman"/>
                <w:sz w:val="24"/>
                <w:szCs w:val="24"/>
              </w:rPr>
              <w:t xml:space="preserve">      </w:t>
            </w:r>
            <w:r w:rsidR="007F5B4F" w:rsidRPr="00A65F4C">
              <w:rPr>
                <w:rFonts w:ascii="Times New Roman" w:hAnsi="Times New Roman"/>
                <w:sz w:val="24"/>
                <w:szCs w:val="24"/>
              </w:rPr>
              <w:t xml:space="preserve">  </w:t>
            </w:r>
            <w:r w:rsidRPr="00A65F4C">
              <w:rPr>
                <w:rFonts w:ascii="Times New Roman" w:hAnsi="Times New Roman"/>
                <w:sz w:val="24"/>
                <w:szCs w:val="24"/>
              </w:rPr>
              <w:t xml:space="preserve">Paredzot KL iespēju piemērot </w:t>
            </w:r>
            <w:proofErr w:type="spellStart"/>
            <w:r w:rsidRPr="00A65F4C">
              <w:rPr>
                <w:rFonts w:ascii="Times New Roman" w:hAnsi="Times New Roman"/>
                <w:sz w:val="24"/>
                <w:szCs w:val="24"/>
              </w:rPr>
              <w:t>dzimumnoziedzniekiem</w:t>
            </w:r>
            <w:proofErr w:type="spellEnd"/>
            <w:r w:rsidRPr="00A65F4C">
              <w:rPr>
                <w:rFonts w:ascii="Times New Roman" w:hAnsi="Times New Roman"/>
                <w:sz w:val="24"/>
                <w:szCs w:val="24"/>
              </w:rPr>
              <w:t xml:space="preserve"> papild</w:t>
            </w:r>
            <w:r w:rsidR="00C271B0">
              <w:rPr>
                <w:rFonts w:ascii="Times New Roman" w:hAnsi="Times New Roman"/>
                <w:sz w:val="24"/>
                <w:szCs w:val="24"/>
              </w:rPr>
              <w:t>sodu - probācijas uzraudzība,</w:t>
            </w:r>
            <w:r w:rsidRPr="00A65F4C">
              <w:rPr>
                <w:rFonts w:ascii="Times New Roman" w:hAnsi="Times New Roman"/>
                <w:sz w:val="24"/>
                <w:szCs w:val="24"/>
              </w:rPr>
              <w:t xml:space="preserve"> sākot no 2011.gada 1.jūlija, VPD speciālistiem, kuri ir īpaši sagatavoti darbam ar </w:t>
            </w:r>
            <w:proofErr w:type="spellStart"/>
            <w:r w:rsidRPr="00A65F4C">
              <w:rPr>
                <w:rFonts w:ascii="Times New Roman" w:hAnsi="Times New Roman"/>
                <w:sz w:val="24"/>
                <w:szCs w:val="24"/>
              </w:rPr>
              <w:t>dzimumnoziedzniekiem</w:t>
            </w:r>
            <w:proofErr w:type="spellEnd"/>
            <w:r w:rsidRPr="00A65F4C">
              <w:rPr>
                <w:rFonts w:ascii="Times New Roman" w:hAnsi="Times New Roman"/>
                <w:sz w:val="24"/>
                <w:szCs w:val="24"/>
              </w:rPr>
              <w:t xml:space="preserve">, tiks radīta iespēja praksē piemērot savas zināšanas un iemaņas, šādi rūpējoties par sabiedrības drošību un mazinot dzimumnoziegumu recidīva gadījumus. </w:t>
            </w:r>
          </w:p>
        </w:tc>
      </w:tr>
      <w:tr w:rsidR="00D1739C" w:rsidRPr="00A65F4C" w:rsidTr="00A65F4C">
        <w:trPr>
          <w:trHeight w:val="531"/>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Administratīvās procedūras raksturojums</w:t>
            </w:r>
          </w:p>
        </w:tc>
        <w:tc>
          <w:tcPr>
            <w:tcW w:w="6379" w:type="dxa"/>
          </w:tcPr>
          <w:p w:rsidR="00D1739C" w:rsidRPr="00A65F4C" w:rsidRDefault="0092248D" w:rsidP="00A65F4C">
            <w:pPr>
              <w:spacing w:before="75" w:after="75" w:line="240" w:lineRule="auto"/>
              <w:ind w:firstLine="461"/>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r w:rsidR="006C6DAA" w:rsidRPr="00A65F4C">
              <w:rPr>
                <w:rFonts w:ascii="Times New Roman" w:eastAsia="Times New Roman" w:hAnsi="Times New Roman"/>
                <w:sz w:val="24"/>
                <w:szCs w:val="24"/>
                <w:lang w:eastAsia="lv-LV"/>
              </w:rPr>
              <w:t>.</w:t>
            </w:r>
          </w:p>
        </w:tc>
      </w:tr>
      <w:tr w:rsidR="00D1739C" w:rsidRPr="00A65F4C" w:rsidTr="00A65F4C">
        <w:trPr>
          <w:trHeight w:val="35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6.</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Administratīvo izmaksu monetārs novērtējums</w:t>
            </w:r>
          </w:p>
        </w:tc>
        <w:tc>
          <w:tcPr>
            <w:tcW w:w="6379" w:type="dxa"/>
          </w:tcPr>
          <w:p w:rsidR="00D1739C" w:rsidRPr="00A65F4C" w:rsidRDefault="0092248D" w:rsidP="00A65F4C">
            <w:pPr>
              <w:spacing w:before="75" w:after="75" w:line="240" w:lineRule="auto"/>
              <w:ind w:firstLine="461"/>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r w:rsidR="006C6DAA" w:rsidRPr="00A65F4C">
              <w:rPr>
                <w:rFonts w:ascii="Times New Roman" w:eastAsia="Times New Roman" w:hAnsi="Times New Roman"/>
                <w:sz w:val="24"/>
                <w:szCs w:val="24"/>
                <w:lang w:eastAsia="lv-LV"/>
              </w:rPr>
              <w:t>.</w:t>
            </w:r>
          </w:p>
        </w:tc>
      </w:tr>
      <w:tr w:rsidR="00D1739C" w:rsidRPr="00A65F4C" w:rsidTr="00A65F4C">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7.</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Cita informācija</w:t>
            </w:r>
          </w:p>
        </w:tc>
        <w:tc>
          <w:tcPr>
            <w:tcW w:w="6379" w:type="dxa"/>
          </w:tcPr>
          <w:p w:rsidR="00D1739C" w:rsidRPr="00A65F4C" w:rsidRDefault="006C6DAA" w:rsidP="00A65F4C">
            <w:pPr>
              <w:spacing w:before="75" w:after="75" w:line="240" w:lineRule="auto"/>
              <w:ind w:firstLine="461"/>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7149F6" w:rsidRDefault="007149F6" w:rsidP="00A91395">
      <w:pPr>
        <w:spacing w:before="75" w:after="75" w:line="240" w:lineRule="auto"/>
        <w:jc w:val="both"/>
        <w:rPr>
          <w:rFonts w:ascii="Times New Roman" w:eastAsia="Times New Roman" w:hAnsi="Times New Roman"/>
          <w:sz w:val="24"/>
          <w:szCs w:val="24"/>
          <w:lang w:eastAsia="lv-LV"/>
        </w:rPr>
      </w:pPr>
    </w:p>
    <w:tbl>
      <w:tblPr>
        <w:tblW w:w="51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1"/>
        <w:gridCol w:w="2461"/>
        <w:gridCol w:w="1339"/>
        <w:gridCol w:w="1347"/>
        <w:gridCol w:w="1149"/>
        <w:gridCol w:w="1200"/>
        <w:gridCol w:w="1258"/>
      </w:tblGrid>
      <w:tr w:rsidR="002C7EAA" w:rsidRPr="00784DE8" w:rsidTr="009F0AF7">
        <w:tc>
          <w:tcPr>
            <w:tcW w:w="5000" w:type="pct"/>
            <w:gridSpan w:val="7"/>
            <w:tcBorders>
              <w:top w:val="outset" w:sz="6" w:space="0" w:color="000000"/>
              <w:left w:val="outset" w:sz="6" w:space="0" w:color="000000"/>
              <w:bottom w:val="outset" w:sz="6" w:space="0" w:color="000000"/>
              <w:right w:val="outset" w:sz="6" w:space="0" w:color="000000"/>
            </w:tcBorders>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III. Tiesību akta projekta ietekme uz valsts budžetu un pašvaldību budžetiem</w:t>
            </w:r>
          </w:p>
        </w:tc>
      </w:tr>
      <w:tr w:rsidR="002C7EAA" w:rsidRPr="00784DE8" w:rsidTr="009F0AF7">
        <w:trPr>
          <w:trHeight w:val="379"/>
        </w:trPr>
        <w:tc>
          <w:tcPr>
            <w:tcW w:w="1622" w:type="pct"/>
            <w:gridSpan w:val="2"/>
            <w:vMerge w:val="restar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Rādītāji</w:t>
            </w:r>
          </w:p>
        </w:tc>
        <w:tc>
          <w:tcPr>
            <w:tcW w:w="1442" w:type="pct"/>
            <w:gridSpan w:val="2"/>
            <w:vMerge w:val="restar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2010 gads</w:t>
            </w:r>
          </w:p>
        </w:tc>
        <w:tc>
          <w:tcPr>
            <w:tcW w:w="1936" w:type="pct"/>
            <w:gridSpan w:val="3"/>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Turpmākie trīs gadi (tūkst</w:t>
            </w:r>
            <w:smartTag w:uri="schemas-tilde-lv/tildestengine" w:element="currency2">
              <w:smartTagPr>
                <w:attr w:name="currency_text" w:val="latu"/>
                <w:attr w:name="currency_value" w:val="."/>
                <w:attr w:name="currency_key" w:val="LVL"/>
                <w:attr w:name="currency_id" w:val="48"/>
              </w:smartTagPr>
              <w:r w:rsidRPr="00784DE8">
                <w:rPr>
                  <w:rFonts w:ascii="Times New Roman" w:hAnsi="Times New Roman"/>
                  <w:sz w:val="24"/>
                  <w:szCs w:val="24"/>
                </w:rPr>
                <w:t>. latu</w:t>
              </w:r>
            </w:smartTag>
            <w:r w:rsidRPr="00784DE8">
              <w:rPr>
                <w:rFonts w:ascii="Times New Roman" w:hAnsi="Times New Roman"/>
                <w:sz w:val="24"/>
                <w:szCs w:val="24"/>
              </w:rPr>
              <w:t>)</w:t>
            </w:r>
          </w:p>
        </w:tc>
      </w:tr>
      <w:tr w:rsidR="009F0AF7" w:rsidRPr="00784DE8" w:rsidTr="009F0AF7">
        <w:tc>
          <w:tcPr>
            <w:tcW w:w="1622" w:type="pct"/>
            <w:gridSpan w:val="2"/>
            <w:vMerge/>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rPr>
                <w:rFonts w:ascii="Times New Roman" w:hAnsi="Times New Roman"/>
                <w:b/>
                <w:bCs/>
                <w:sz w:val="24"/>
                <w:szCs w:val="24"/>
              </w:rPr>
            </w:pPr>
          </w:p>
        </w:tc>
        <w:tc>
          <w:tcPr>
            <w:tcW w:w="1442" w:type="pct"/>
            <w:gridSpan w:val="2"/>
            <w:vMerge/>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rPr>
                <w:rFonts w:ascii="Times New Roman" w:hAnsi="Times New Roman"/>
                <w:b/>
                <w:bCs/>
                <w:sz w:val="24"/>
                <w:szCs w:val="24"/>
              </w:rPr>
            </w:pPr>
          </w:p>
        </w:tc>
        <w:tc>
          <w:tcPr>
            <w:tcW w:w="617"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2011</w:t>
            </w:r>
          </w:p>
        </w:tc>
        <w:tc>
          <w:tcPr>
            <w:tcW w:w="644"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2012</w:t>
            </w:r>
          </w:p>
        </w:tc>
        <w:tc>
          <w:tcPr>
            <w:tcW w:w="675"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b/>
                <w:bCs/>
                <w:sz w:val="24"/>
                <w:szCs w:val="24"/>
              </w:rPr>
            </w:pPr>
            <w:r w:rsidRPr="00784DE8">
              <w:rPr>
                <w:rFonts w:ascii="Times New Roman" w:hAnsi="Times New Roman"/>
                <w:b/>
                <w:bCs/>
                <w:sz w:val="24"/>
                <w:szCs w:val="24"/>
              </w:rPr>
              <w:t>2013</w:t>
            </w:r>
          </w:p>
        </w:tc>
      </w:tr>
      <w:tr w:rsidR="009F0AF7" w:rsidRPr="00784DE8" w:rsidTr="009F0AF7">
        <w:tc>
          <w:tcPr>
            <w:tcW w:w="1622" w:type="pct"/>
            <w:gridSpan w:val="2"/>
            <w:vMerge/>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rPr>
                <w:rFonts w:ascii="Times New Roman" w:hAnsi="Times New Roman"/>
                <w:b/>
                <w:bCs/>
                <w:sz w:val="24"/>
                <w:szCs w:val="24"/>
              </w:rPr>
            </w:pPr>
          </w:p>
        </w:tc>
        <w:tc>
          <w:tcPr>
            <w:tcW w:w="719"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 xml:space="preserve">Saskaņā ar valsts </w:t>
            </w:r>
            <w:r w:rsidRPr="00784DE8">
              <w:rPr>
                <w:rFonts w:ascii="Times New Roman" w:hAnsi="Times New Roman"/>
                <w:sz w:val="24"/>
                <w:szCs w:val="24"/>
              </w:rPr>
              <w:lastRenderedPageBreak/>
              <w:t>budžetu kārtējam gadam</w:t>
            </w:r>
          </w:p>
        </w:tc>
        <w:tc>
          <w:tcPr>
            <w:tcW w:w="723"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 xml:space="preserve">Izmaiņas kārtējā gadā, </w:t>
            </w:r>
            <w:r w:rsidRPr="00784DE8">
              <w:rPr>
                <w:rFonts w:ascii="Times New Roman" w:hAnsi="Times New Roman"/>
                <w:sz w:val="24"/>
                <w:szCs w:val="24"/>
              </w:rPr>
              <w:lastRenderedPageBreak/>
              <w:t>salīdzinot ar budžetu kārtējam gadam</w:t>
            </w:r>
          </w:p>
        </w:tc>
        <w:tc>
          <w:tcPr>
            <w:tcW w:w="617"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 xml:space="preserve">Izmaiņas, salīdzinot </w:t>
            </w:r>
            <w:r w:rsidRPr="00784DE8">
              <w:rPr>
                <w:rFonts w:ascii="Times New Roman" w:hAnsi="Times New Roman"/>
                <w:sz w:val="24"/>
                <w:szCs w:val="24"/>
              </w:rPr>
              <w:lastRenderedPageBreak/>
              <w:t>ar kārtējo gadu</w:t>
            </w:r>
          </w:p>
        </w:tc>
        <w:tc>
          <w:tcPr>
            <w:tcW w:w="644"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 xml:space="preserve">Izmaiņas, salīdzinot </w:t>
            </w:r>
            <w:r w:rsidRPr="00784DE8">
              <w:rPr>
                <w:rFonts w:ascii="Times New Roman" w:hAnsi="Times New Roman"/>
                <w:sz w:val="24"/>
                <w:szCs w:val="24"/>
              </w:rPr>
              <w:lastRenderedPageBreak/>
              <w:t>ar kārtējo gadu</w:t>
            </w:r>
          </w:p>
        </w:tc>
        <w:tc>
          <w:tcPr>
            <w:tcW w:w="675"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 xml:space="preserve">Izmaiņas, salīdzinot ar </w:t>
            </w:r>
            <w:r w:rsidRPr="00784DE8">
              <w:rPr>
                <w:rFonts w:ascii="Times New Roman" w:hAnsi="Times New Roman"/>
                <w:sz w:val="24"/>
                <w:szCs w:val="24"/>
              </w:rPr>
              <w:lastRenderedPageBreak/>
              <w:t>kārtējo gadu</w:t>
            </w:r>
          </w:p>
        </w:tc>
      </w:tr>
      <w:tr w:rsidR="009F0AF7" w:rsidRPr="00784DE8" w:rsidTr="009F0AF7">
        <w:tc>
          <w:tcPr>
            <w:tcW w:w="1622" w:type="pct"/>
            <w:gridSpan w:val="2"/>
            <w:tcBorders>
              <w:top w:val="outset" w:sz="6" w:space="0" w:color="000000"/>
              <w:left w:val="outset" w:sz="6" w:space="0" w:color="000000"/>
              <w:bottom w:val="single" w:sz="4" w:space="0" w:color="auto"/>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1</w:t>
            </w:r>
          </w:p>
        </w:tc>
        <w:tc>
          <w:tcPr>
            <w:tcW w:w="719"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2</w:t>
            </w:r>
          </w:p>
        </w:tc>
        <w:tc>
          <w:tcPr>
            <w:tcW w:w="723"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3</w:t>
            </w:r>
          </w:p>
        </w:tc>
        <w:tc>
          <w:tcPr>
            <w:tcW w:w="617"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4</w:t>
            </w:r>
          </w:p>
        </w:tc>
        <w:tc>
          <w:tcPr>
            <w:tcW w:w="644"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5</w:t>
            </w:r>
          </w:p>
        </w:tc>
        <w:tc>
          <w:tcPr>
            <w:tcW w:w="675" w:type="pct"/>
            <w:tcBorders>
              <w:top w:val="outset" w:sz="6" w:space="0" w:color="000000"/>
              <w:left w:val="outset" w:sz="6" w:space="0" w:color="000000"/>
              <w:bottom w:val="outset" w:sz="6" w:space="0" w:color="000000"/>
              <w:right w:val="outset" w:sz="6" w:space="0" w:color="000000"/>
            </w:tcBorders>
            <w:vAlign w:val="center"/>
          </w:tcPr>
          <w:p w:rsidR="002C7EAA" w:rsidRPr="00784DE8" w:rsidRDefault="002C7EAA"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6</w:t>
            </w:r>
          </w:p>
        </w:tc>
      </w:tr>
      <w:tr w:rsidR="009F0AF7" w:rsidRPr="00784DE8" w:rsidTr="009F0AF7">
        <w:tc>
          <w:tcPr>
            <w:tcW w:w="301" w:type="pct"/>
            <w:tcBorders>
              <w:top w:val="single" w:sz="4" w:space="0" w:color="auto"/>
              <w:left w:val="outset" w:sz="6" w:space="0" w:color="000000"/>
              <w:bottom w:val="outset" w:sz="6" w:space="0" w:color="000000"/>
              <w:right w:val="single" w:sz="4" w:space="0" w:color="auto"/>
            </w:tcBorders>
          </w:tcPr>
          <w:p w:rsidR="002C7EAA" w:rsidRPr="00784DE8" w:rsidRDefault="002C7EAA"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 </w:t>
            </w:r>
          </w:p>
        </w:tc>
        <w:tc>
          <w:tcPr>
            <w:tcW w:w="1321" w:type="pct"/>
            <w:tcBorders>
              <w:top w:val="single" w:sz="4" w:space="0" w:color="auto"/>
              <w:left w:val="single" w:sz="4" w:space="0" w:color="auto"/>
              <w:bottom w:val="outset" w:sz="6" w:space="0" w:color="000000"/>
              <w:right w:val="outset" w:sz="6" w:space="0" w:color="000000"/>
            </w:tcBorders>
          </w:tcPr>
          <w:p w:rsidR="002C7EAA" w:rsidRPr="00784DE8" w:rsidRDefault="002C7EAA"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Budžeta ieņēmumi</w:t>
            </w:r>
          </w:p>
        </w:tc>
        <w:tc>
          <w:tcPr>
            <w:tcW w:w="719"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9F0AF7" w:rsidRPr="00784DE8" w:rsidTr="009F0AF7">
        <w:tc>
          <w:tcPr>
            <w:tcW w:w="301" w:type="pct"/>
            <w:tcBorders>
              <w:top w:val="outset" w:sz="6" w:space="0" w:color="000000"/>
              <w:left w:val="outset" w:sz="6" w:space="0" w:color="000000"/>
              <w:bottom w:val="outset" w:sz="6" w:space="0" w:color="000000"/>
              <w:right w:val="single" w:sz="4" w:space="0" w:color="auto"/>
            </w:tcBorders>
          </w:tcPr>
          <w:p w:rsidR="002C7EAA" w:rsidRPr="00784DE8" w:rsidRDefault="002C7EAA"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1.1. </w:t>
            </w:r>
          </w:p>
        </w:tc>
        <w:tc>
          <w:tcPr>
            <w:tcW w:w="1321" w:type="pct"/>
            <w:tcBorders>
              <w:top w:val="outset" w:sz="6" w:space="0" w:color="000000"/>
              <w:left w:val="single" w:sz="4" w:space="0" w:color="auto"/>
              <w:bottom w:val="outset" w:sz="6" w:space="0" w:color="000000"/>
              <w:right w:val="outset" w:sz="6" w:space="0" w:color="000000"/>
            </w:tcBorders>
          </w:tcPr>
          <w:p w:rsidR="002C7EAA" w:rsidRPr="00784DE8" w:rsidRDefault="002C7EAA"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 tai sk</w:t>
            </w:r>
            <w:r>
              <w:rPr>
                <w:rFonts w:ascii="Times New Roman" w:hAnsi="Times New Roman"/>
                <w:sz w:val="24"/>
                <w:szCs w:val="24"/>
              </w:rPr>
              <w:t>aitā ieņēmumi no maksas pakalpo</w:t>
            </w:r>
            <w:r w:rsidRPr="00784DE8">
              <w:rPr>
                <w:rFonts w:ascii="Times New Roman" w:hAnsi="Times New Roman"/>
                <w:sz w:val="24"/>
                <w:szCs w:val="24"/>
              </w:rPr>
              <w:t>jumiem un citi pašu ieņēmumi</w:t>
            </w:r>
          </w:p>
        </w:tc>
        <w:tc>
          <w:tcPr>
            <w:tcW w:w="719"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9F0AF7" w:rsidRPr="00784DE8" w:rsidTr="009F0AF7">
        <w:tc>
          <w:tcPr>
            <w:tcW w:w="301" w:type="pct"/>
            <w:tcBorders>
              <w:top w:val="outset" w:sz="6" w:space="0" w:color="000000"/>
              <w:left w:val="outset" w:sz="6" w:space="0" w:color="000000"/>
              <w:bottom w:val="outset" w:sz="6" w:space="0" w:color="000000"/>
              <w:right w:val="single" w:sz="4" w:space="0" w:color="auto"/>
            </w:tcBorders>
          </w:tcPr>
          <w:p w:rsidR="002C7EAA" w:rsidRPr="00784DE8" w:rsidRDefault="002C7EAA"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1.2. </w:t>
            </w:r>
          </w:p>
        </w:tc>
        <w:tc>
          <w:tcPr>
            <w:tcW w:w="1321" w:type="pct"/>
            <w:tcBorders>
              <w:top w:val="outset" w:sz="6" w:space="0" w:color="000000"/>
              <w:left w:val="single" w:sz="4" w:space="0" w:color="auto"/>
              <w:bottom w:val="outset" w:sz="6" w:space="0" w:color="000000"/>
              <w:right w:val="outset" w:sz="6" w:space="0" w:color="000000"/>
            </w:tcBorders>
          </w:tcPr>
          <w:p w:rsidR="002C7EAA" w:rsidRPr="00784DE8" w:rsidRDefault="002C7EAA"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speciālais budžets</w:t>
            </w:r>
          </w:p>
        </w:tc>
        <w:tc>
          <w:tcPr>
            <w:tcW w:w="719"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9F0AF7" w:rsidRPr="00784DE8" w:rsidTr="009F0AF7">
        <w:tc>
          <w:tcPr>
            <w:tcW w:w="301" w:type="pct"/>
            <w:tcBorders>
              <w:top w:val="outset" w:sz="6" w:space="0" w:color="000000"/>
              <w:left w:val="outset" w:sz="6" w:space="0" w:color="000000"/>
              <w:bottom w:val="outset" w:sz="6" w:space="0" w:color="000000"/>
              <w:right w:val="single" w:sz="4" w:space="0" w:color="auto"/>
            </w:tcBorders>
          </w:tcPr>
          <w:p w:rsidR="002C7EAA" w:rsidRPr="00784DE8" w:rsidRDefault="002C7EAA"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1.3. </w:t>
            </w:r>
          </w:p>
        </w:tc>
        <w:tc>
          <w:tcPr>
            <w:tcW w:w="1321" w:type="pct"/>
            <w:tcBorders>
              <w:top w:val="outset" w:sz="6" w:space="0" w:color="000000"/>
              <w:left w:val="single" w:sz="4" w:space="0" w:color="auto"/>
              <w:bottom w:val="outset" w:sz="6" w:space="0" w:color="000000"/>
              <w:right w:val="outset" w:sz="6" w:space="0" w:color="000000"/>
            </w:tcBorders>
          </w:tcPr>
          <w:p w:rsidR="002C7EAA" w:rsidRPr="00784DE8" w:rsidRDefault="002C7EAA"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2C7EAA" w:rsidRPr="00784DE8" w:rsidRDefault="00A8385D"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2C7EAA" w:rsidRPr="00784DE8" w:rsidRDefault="002C7EAA"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 xml:space="preserve">2.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Budžeta izdevumi</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7,6</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2.1</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 valsts pamatbudžets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7,6</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2.2.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speciālais 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784DE8"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2.3.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784DE8"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Finansiālā ietekme:</w:t>
            </w:r>
          </w:p>
        </w:tc>
        <w:tc>
          <w:tcPr>
            <w:tcW w:w="719" w:type="pct"/>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- 7,6</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- 15,3</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Pr>
                <w:rFonts w:ascii="Times New Roman" w:hAnsi="Times New Roman"/>
                <w:sz w:val="24"/>
                <w:szCs w:val="24"/>
              </w:rPr>
              <w:t>- 15,3</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3.1.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- 7,6</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- 15,3</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Pr>
                <w:rFonts w:ascii="Times New Roman" w:hAnsi="Times New Roman"/>
                <w:sz w:val="24"/>
                <w:szCs w:val="24"/>
              </w:rPr>
              <w:t>- 15,3</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3.2.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speciālais 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9F0AF7">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3.3.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723"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tc>
        <w:tc>
          <w:tcPr>
            <w:tcW w:w="617"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sidRPr="009F0AF7">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9F0AF7">
              <w:rPr>
                <w:rFonts w:ascii="Times New Roman" w:hAnsi="Times New Roman"/>
                <w:sz w:val="24"/>
                <w:szCs w:val="24"/>
              </w:rPr>
              <w:t>0</w:t>
            </w:r>
          </w:p>
        </w:tc>
      </w:tr>
      <w:tr w:rsidR="0032714C" w:rsidRPr="00784DE8" w:rsidTr="009F0AF7">
        <w:trPr>
          <w:trHeight w:val="1140"/>
        </w:trPr>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4. </w:t>
            </w:r>
          </w:p>
        </w:tc>
        <w:tc>
          <w:tcPr>
            <w:tcW w:w="1321" w:type="pct"/>
            <w:tcBorders>
              <w:top w:val="outset" w:sz="6" w:space="0" w:color="000000"/>
              <w:left w:val="single" w:sz="4" w:space="0" w:color="auto"/>
              <w:bottom w:val="outset" w:sz="6" w:space="0" w:color="000000"/>
              <w:right w:val="outset" w:sz="6" w:space="0" w:color="000000"/>
            </w:tcBorders>
          </w:tcPr>
          <w:p w:rsidR="0032714C"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Finanšu līdzekļi papildu izde</w:t>
            </w:r>
            <w:r w:rsidRPr="00784DE8">
              <w:rPr>
                <w:rFonts w:ascii="Times New Roman" w:hAnsi="Times New Roman"/>
                <w:sz w:val="24"/>
                <w:szCs w:val="24"/>
              </w:rPr>
              <w:softHyphen/>
              <w:t>vumu finansēšanai (kompensējošu izdevumu samazinājumu norāda ar "+" zīmi)</w:t>
            </w:r>
          </w:p>
          <w:p w:rsidR="0032714C" w:rsidRPr="00C17809" w:rsidRDefault="0032714C" w:rsidP="0032714C">
            <w:pPr>
              <w:spacing w:before="100" w:beforeAutospacing="1" w:after="100" w:afterAutospacing="1"/>
              <w:rPr>
                <w:rFonts w:ascii="Times New Roman" w:hAnsi="Times New Roman"/>
                <w:sz w:val="24"/>
                <w:szCs w:val="24"/>
              </w:rPr>
            </w:pPr>
            <w:r w:rsidRPr="00C17809">
              <w:rPr>
                <w:rFonts w:ascii="Times New Roman" w:hAnsi="Times New Roman"/>
                <w:b/>
              </w:rPr>
              <w:t>(</w:t>
            </w:r>
            <w:r w:rsidRPr="00C17809">
              <w:rPr>
                <w:rFonts w:ascii="Times New Roman" w:hAnsi="Times New Roman"/>
                <w:b/>
                <w:i/>
              </w:rPr>
              <w:t xml:space="preserve">Izdevumi tiks segti, pārdalot finansējumu TM </w:t>
            </w:r>
            <w:r w:rsidRPr="00C17809">
              <w:rPr>
                <w:rFonts w:ascii="Times New Roman" w:hAnsi="Times New Roman"/>
                <w:b/>
                <w:i/>
              </w:rPr>
              <w:lastRenderedPageBreak/>
              <w:t>budžeta programmu ietvaros</w:t>
            </w:r>
            <w:r w:rsidRPr="00C17809">
              <w:rPr>
                <w:rFonts w:ascii="Times New Roman" w:hAnsi="Times New Roman"/>
                <w:b/>
              </w:rPr>
              <w:t>)</w:t>
            </w:r>
          </w:p>
        </w:tc>
        <w:tc>
          <w:tcPr>
            <w:tcW w:w="719" w:type="pct"/>
            <w:tcBorders>
              <w:top w:val="outset" w:sz="6" w:space="0" w:color="000000"/>
              <w:left w:val="outset" w:sz="6" w:space="0" w:color="000000"/>
              <w:bottom w:val="outset" w:sz="6" w:space="0" w:color="000000"/>
              <w:right w:val="outset" w:sz="6" w:space="0" w:color="000000"/>
            </w:tcBorders>
          </w:tcPr>
          <w:p w:rsidR="0032714C" w:rsidRPr="00784DE8" w:rsidRDefault="0032714C"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lastRenderedPageBreak/>
              <w:t>X</w:t>
            </w:r>
          </w:p>
        </w:tc>
        <w:tc>
          <w:tcPr>
            <w:tcW w:w="723" w:type="pct"/>
            <w:tcBorders>
              <w:top w:val="outset" w:sz="6" w:space="0" w:color="000000"/>
              <w:left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p w:rsidR="0032714C" w:rsidRPr="00784DE8" w:rsidRDefault="0032714C" w:rsidP="0032714C">
            <w:pPr>
              <w:spacing w:line="360" w:lineRule="auto"/>
              <w:jc w:val="center"/>
              <w:rPr>
                <w:rFonts w:ascii="Times New Roman" w:hAnsi="Times New Roman"/>
                <w:sz w:val="24"/>
                <w:szCs w:val="24"/>
              </w:rPr>
            </w:pPr>
          </w:p>
        </w:tc>
        <w:tc>
          <w:tcPr>
            <w:tcW w:w="617" w:type="pct"/>
            <w:tcBorders>
              <w:top w:val="outset" w:sz="6" w:space="0" w:color="000000"/>
              <w:left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7,6</w:t>
            </w:r>
          </w:p>
          <w:p w:rsidR="0032714C" w:rsidRPr="009F0AF7" w:rsidRDefault="0032714C" w:rsidP="0032714C">
            <w:pPr>
              <w:spacing w:line="360" w:lineRule="auto"/>
              <w:jc w:val="center"/>
              <w:rPr>
                <w:rFonts w:ascii="Times New Roman" w:hAnsi="Times New Roman"/>
                <w:sz w:val="24"/>
                <w:szCs w:val="24"/>
              </w:rPr>
            </w:pPr>
          </w:p>
        </w:tc>
        <w:tc>
          <w:tcPr>
            <w:tcW w:w="644" w:type="pct"/>
            <w:tcBorders>
              <w:top w:val="outset" w:sz="6" w:space="0" w:color="000000"/>
              <w:left w:val="outset" w:sz="6" w:space="0" w:color="000000"/>
              <w:right w:val="outset" w:sz="6" w:space="0" w:color="000000"/>
            </w:tcBorders>
          </w:tcPr>
          <w:p w:rsidR="0032714C" w:rsidRPr="009F0AF7" w:rsidRDefault="0032714C" w:rsidP="0032714C">
            <w:pPr>
              <w:spacing w:line="360" w:lineRule="auto"/>
              <w:jc w:val="center"/>
              <w:rPr>
                <w:rFonts w:ascii="Times New Roman" w:hAnsi="Times New Roman"/>
                <w:sz w:val="24"/>
                <w:szCs w:val="24"/>
              </w:rPr>
            </w:pPr>
            <w:r>
              <w:rPr>
                <w:rFonts w:ascii="Times New Roman" w:hAnsi="Times New Roman"/>
                <w:sz w:val="24"/>
                <w:szCs w:val="24"/>
              </w:rPr>
              <w:t>15,3</w:t>
            </w:r>
          </w:p>
        </w:tc>
        <w:tc>
          <w:tcPr>
            <w:tcW w:w="675" w:type="pct"/>
            <w:tcBorders>
              <w:top w:val="outset" w:sz="6" w:space="0" w:color="000000"/>
              <w:left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Pr>
                <w:rFonts w:ascii="Times New Roman" w:hAnsi="Times New Roman"/>
                <w:sz w:val="24"/>
                <w:szCs w:val="24"/>
              </w:rPr>
              <w:t>15,3</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 </w:t>
            </w:r>
            <w:r w:rsidRPr="00784DE8">
              <w:rPr>
                <w:rFonts w:ascii="Times New Roman" w:hAnsi="Times New Roman"/>
                <w:sz w:val="24"/>
                <w:szCs w:val="24"/>
              </w:rPr>
              <w:t xml:space="preserve">5.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Precizēta finansiālā ietekme</w:t>
            </w:r>
          </w:p>
        </w:tc>
        <w:tc>
          <w:tcPr>
            <w:tcW w:w="719" w:type="pct"/>
            <w:vMerge w:val="restart"/>
            <w:tcBorders>
              <w:top w:val="outset" w:sz="6" w:space="0" w:color="000000"/>
              <w:left w:val="outset" w:sz="6" w:space="0" w:color="000000"/>
              <w:bottom w:val="outset" w:sz="6" w:space="0" w:color="000000"/>
              <w:right w:val="outset" w:sz="6" w:space="0" w:color="000000"/>
            </w:tcBorders>
          </w:tcPr>
          <w:p w:rsidR="0032714C" w:rsidRPr="00784DE8" w:rsidRDefault="0032714C" w:rsidP="00A94A9F">
            <w:pPr>
              <w:spacing w:before="100" w:beforeAutospacing="1" w:after="100" w:afterAutospacing="1"/>
              <w:jc w:val="center"/>
              <w:rPr>
                <w:rFonts w:ascii="Times New Roman" w:hAnsi="Times New Roman"/>
                <w:sz w:val="24"/>
                <w:szCs w:val="24"/>
              </w:rPr>
            </w:pPr>
            <w:r w:rsidRPr="00784DE8">
              <w:rPr>
                <w:rFonts w:ascii="Times New Roman" w:hAnsi="Times New Roman"/>
                <w:sz w:val="24"/>
                <w:szCs w:val="24"/>
              </w:rPr>
              <w:t>X</w:t>
            </w:r>
          </w:p>
        </w:tc>
        <w:tc>
          <w:tcPr>
            <w:tcW w:w="723" w:type="pct"/>
            <w:vMerge w:val="restart"/>
            <w:tcBorders>
              <w:top w:val="outset" w:sz="6" w:space="0" w:color="000000"/>
              <w:left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Pr>
                <w:rFonts w:ascii="Times New Roman" w:hAnsi="Times New Roman"/>
                <w:sz w:val="24"/>
                <w:szCs w:val="24"/>
              </w:rPr>
              <w:t>0</w:t>
            </w:r>
          </w:p>
          <w:p w:rsidR="0032714C" w:rsidRPr="00784DE8" w:rsidRDefault="0032714C" w:rsidP="0032714C">
            <w:pPr>
              <w:spacing w:line="360" w:lineRule="auto"/>
              <w:jc w:val="center"/>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5.1.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valsts pamatbudžets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A94A9F">
            <w:pPr>
              <w:rPr>
                <w:rFonts w:ascii="Times New Roman" w:hAnsi="Times New Roman"/>
                <w:sz w:val="24"/>
                <w:szCs w:val="24"/>
              </w:rPr>
            </w:pPr>
          </w:p>
        </w:tc>
        <w:tc>
          <w:tcPr>
            <w:tcW w:w="723" w:type="pct"/>
            <w:vMerge/>
            <w:tcBorders>
              <w:left w:val="outset" w:sz="6" w:space="0" w:color="000000"/>
              <w:right w:val="outset" w:sz="6" w:space="0" w:color="000000"/>
            </w:tcBorders>
          </w:tcPr>
          <w:p w:rsidR="0032714C" w:rsidRPr="00784DE8" w:rsidRDefault="0032714C"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9F0AF7" w:rsidRDefault="0032714C" w:rsidP="009E4B7B">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5.2.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speciālais 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A94A9F">
            <w:pPr>
              <w:rPr>
                <w:rFonts w:ascii="Times New Roman" w:hAnsi="Times New Roman"/>
                <w:sz w:val="24"/>
                <w:szCs w:val="24"/>
              </w:rPr>
            </w:pPr>
          </w:p>
        </w:tc>
        <w:tc>
          <w:tcPr>
            <w:tcW w:w="723" w:type="pct"/>
            <w:vMerge/>
            <w:tcBorders>
              <w:left w:val="outset" w:sz="6" w:space="0" w:color="000000"/>
              <w:right w:val="outset" w:sz="6" w:space="0" w:color="000000"/>
            </w:tcBorders>
          </w:tcPr>
          <w:p w:rsidR="0032714C" w:rsidRPr="00784DE8" w:rsidRDefault="0032714C"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5.3.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pašvaldību budžets</w:t>
            </w:r>
          </w:p>
        </w:tc>
        <w:tc>
          <w:tcPr>
            <w:tcW w:w="719" w:type="pct"/>
            <w:vMerge/>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A94A9F">
            <w:pPr>
              <w:rPr>
                <w:rFonts w:ascii="Times New Roman" w:hAnsi="Times New Roman"/>
                <w:sz w:val="24"/>
                <w:szCs w:val="24"/>
              </w:rPr>
            </w:pPr>
          </w:p>
        </w:tc>
        <w:tc>
          <w:tcPr>
            <w:tcW w:w="723" w:type="pct"/>
            <w:vMerge/>
            <w:tcBorders>
              <w:left w:val="outset" w:sz="6" w:space="0" w:color="000000"/>
              <w:bottom w:val="outset" w:sz="6" w:space="0" w:color="000000"/>
              <w:right w:val="outset" w:sz="6" w:space="0" w:color="000000"/>
            </w:tcBorders>
          </w:tcPr>
          <w:p w:rsidR="0032714C" w:rsidRPr="00784DE8" w:rsidRDefault="0032714C" w:rsidP="00A94A9F">
            <w:pPr>
              <w:spacing w:line="360" w:lineRule="auto"/>
              <w:rPr>
                <w:rFonts w:ascii="Times New Roman" w:hAnsi="Times New Roman"/>
                <w:sz w:val="24"/>
                <w:szCs w:val="24"/>
              </w:rPr>
            </w:pPr>
          </w:p>
        </w:tc>
        <w:tc>
          <w:tcPr>
            <w:tcW w:w="617"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44"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c>
          <w:tcPr>
            <w:tcW w:w="675" w:type="pct"/>
            <w:tcBorders>
              <w:top w:val="outset" w:sz="6" w:space="0" w:color="000000"/>
              <w:left w:val="outset" w:sz="6" w:space="0" w:color="000000"/>
              <w:bottom w:val="outset" w:sz="6" w:space="0" w:color="000000"/>
              <w:right w:val="outset" w:sz="6" w:space="0" w:color="000000"/>
            </w:tcBorders>
          </w:tcPr>
          <w:p w:rsidR="0032714C" w:rsidRPr="00784DE8" w:rsidRDefault="0032714C" w:rsidP="0032714C">
            <w:pPr>
              <w:spacing w:line="360" w:lineRule="auto"/>
              <w:jc w:val="center"/>
              <w:rPr>
                <w:rFonts w:ascii="Times New Roman" w:hAnsi="Times New Roman"/>
                <w:sz w:val="24"/>
                <w:szCs w:val="24"/>
              </w:rPr>
            </w:pPr>
            <w:r w:rsidRPr="00784DE8">
              <w:rPr>
                <w:rFonts w:ascii="Times New Roman" w:hAnsi="Times New Roman"/>
                <w:sz w:val="24"/>
                <w:szCs w:val="24"/>
              </w:rPr>
              <w:t>0</w:t>
            </w: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ieņēmumu un izdevu</w:t>
            </w:r>
            <w:r w:rsidRPr="00784DE8">
              <w:rPr>
                <w:rFonts w:ascii="Times New Roman" w:hAnsi="Times New Roman"/>
                <w:sz w:val="24"/>
                <w:szCs w:val="24"/>
              </w:rPr>
              <w:softHyphen/>
              <w:t>mu aprēķins (ja nepieciešams, detalizētu ieņēmumu un izdevumu aprēķinu var pievienot anotācijas pielikumā)</w:t>
            </w:r>
          </w:p>
        </w:tc>
        <w:tc>
          <w:tcPr>
            <w:tcW w:w="3378" w:type="pct"/>
            <w:gridSpan w:val="5"/>
            <w:vMerge w:val="restart"/>
            <w:tcBorders>
              <w:top w:val="outset" w:sz="6" w:space="0" w:color="000000"/>
              <w:left w:val="outset" w:sz="6" w:space="0" w:color="000000"/>
              <w:bottom w:val="outset" w:sz="6" w:space="0" w:color="000000"/>
              <w:right w:val="outset" w:sz="6" w:space="0" w:color="000000"/>
            </w:tcBorders>
            <w:vAlign w:val="center"/>
          </w:tcPr>
          <w:p w:rsidR="0032714C" w:rsidRPr="009F0AF7" w:rsidRDefault="0032714C" w:rsidP="009F0AF7">
            <w:pPr>
              <w:spacing w:line="240" w:lineRule="auto"/>
              <w:jc w:val="both"/>
              <w:rPr>
                <w:rFonts w:ascii="Verdana" w:hAnsi="Verdana"/>
                <w:sz w:val="18"/>
                <w:szCs w:val="18"/>
              </w:rPr>
            </w:pPr>
            <w:r w:rsidRPr="009F0AF7">
              <w:rPr>
                <w:rFonts w:ascii="Times New Roman" w:hAnsi="Times New Roman"/>
                <w:sz w:val="24"/>
                <w:szCs w:val="24"/>
              </w:rPr>
              <w:t>Valsts probācijas dienestam nepieciešamo papildus finanšu līdzekļu apjoms 2011.gadam un turpmākajiem gadiem saistībā ar probācijas programmu vadīšanu cietumos personām, kuras notiesātas par noziedzīgiem nodarījumiem pret tikumību un dzimumneaizskaramību.</w:t>
            </w:r>
          </w:p>
          <w:p w:rsidR="0032714C" w:rsidRPr="009F0AF7" w:rsidRDefault="0032714C" w:rsidP="009F0AF7">
            <w:pPr>
              <w:spacing w:line="240" w:lineRule="auto"/>
              <w:jc w:val="both"/>
              <w:rPr>
                <w:rFonts w:ascii="Times New Roman" w:hAnsi="Times New Roman"/>
                <w:sz w:val="24"/>
                <w:szCs w:val="24"/>
              </w:rPr>
            </w:pPr>
            <w:r w:rsidRPr="009F0AF7">
              <w:rPr>
                <w:rFonts w:ascii="Times New Roman" w:hAnsi="Times New Roman"/>
                <w:sz w:val="24"/>
                <w:szCs w:val="24"/>
              </w:rPr>
              <w:t xml:space="preserve">Sākot ar 2011.gada 1.jūliju Valsts probācijas dienestam ir nepieciešami papildus </w:t>
            </w:r>
            <w:r>
              <w:rPr>
                <w:rFonts w:ascii="Times New Roman" w:hAnsi="Times New Roman"/>
                <w:sz w:val="24"/>
                <w:szCs w:val="24"/>
              </w:rPr>
              <w:t>2</w:t>
            </w:r>
            <w:r w:rsidRPr="009F0AF7">
              <w:rPr>
                <w:rFonts w:ascii="Times New Roman" w:hAnsi="Times New Roman"/>
                <w:sz w:val="24"/>
                <w:szCs w:val="24"/>
              </w:rPr>
              <w:t xml:space="preserve"> darbinieki.</w:t>
            </w:r>
          </w:p>
          <w:p w:rsidR="0032714C" w:rsidRPr="0032714C" w:rsidRDefault="0032714C" w:rsidP="009F0AF7">
            <w:pPr>
              <w:spacing w:line="240" w:lineRule="auto"/>
              <w:jc w:val="both"/>
              <w:rPr>
                <w:rFonts w:ascii="Times New Roman" w:hAnsi="Times New Roman"/>
                <w:b/>
                <w:sz w:val="24"/>
                <w:szCs w:val="24"/>
                <w:u w:val="single"/>
              </w:rPr>
            </w:pPr>
            <w:r w:rsidRPr="0032714C">
              <w:rPr>
                <w:rFonts w:ascii="Times New Roman" w:hAnsi="Times New Roman"/>
                <w:b/>
                <w:sz w:val="24"/>
                <w:szCs w:val="24"/>
                <w:u w:val="single"/>
              </w:rPr>
              <w:t xml:space="preserve">Nepieciešamie finanšu līdzekļi 2 darbinieku atalgošanai 2011.gadā 7630 Ls </w:t>
            </w:r>
            <w:proofErr w:type="spellStart"/>
            <w:r w:rsidRPr="0032714C">
              <w:rPr>
                <w:rFonts w:ascii="Times New Roman" w:hAnsi="Times New Roman"/>
                <w:b/>
                <w:sz w:val="24"/>
                <w:szCs w:val="24"/>
                <w:u w:val="single"/>
              </w:rPr>
              <w:t>t.sk</w:t>
            </w:r>
            <w:proofErr w:type="spellEnd"/>
            <w:r w:rsidRPr="0032714C">
              <w:rPr>
                <w:rFonts w:ascii="Times New Roman" w:hAnsi="Times New Roman"/>
                <w:b/>
                <w:sz w:val="24"/>
                <w:szCs w:val="24"/>
                <w:u w:val="single"/>
              </w:rPr>
              <w:t>:</w:t>
            </w: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b/>
                <w:sz w:val="24"/>
                <w:szCs w:val="24"/>
              </w:rPr>
              <w:t>Atalgojums 6149 Ls</w:t>
            </w:r>
            <w:r>
              <w:rPr>
                <w:rFonts w:ascii="Times New Roman" w:hAnsi="Times New Roman"/>
                <w:sz w:val="24"/>
                <w:szCs w:val="24"/>
              </w:rPr>
              <w:t>:</w:t>
            </w: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sz w:val="24"/>
                <w:szCs w:val="24"/>
              </w:rPr>
              <w:t>Teritoriālās struktūrvienības vecākais referents</w:t>
            </w:r>
            <w:r>
              <w:rPr>
                <w:rFonts w:ascii="Times New Roman" w:hAnsi="Times New Roman"/>
                <w:sz w:val="24"/>
                <w:szCs w:val="24"/>
              </w:rPr>
              <w:t xml:space="preserve"> </w:t>
            </w:r>
            <w:r w:rsidRPr="0032714C">
              <w:rPr>
                <w:rFonts w:ascii="Times New Roman" w:hAnsi="Times New Roman"/>
                <w:sz w:val="24"/>
                <w:szCs w:val="24"/>
              </w:rPr>
              <w:t>(2 amata vietas, 35.saime, II līmenis, 9. mēnešalgu grupa, 4.kvalifikācijas pakāpe 611 × 80% = 488 Ls)</w:t>
            </w:r>
          </w:p>
          <w:p w:rsidR="0032714C" w:rsidRDefault="0032714C" w:rsidP="0032714C">
            <w:pPr>
              <w:spacing w:after="0" w:line="240" w:lineRule="auto"/>
              <w:jc w:val="both"/>
              <w:rPr>
                <w:rFonts w:ascii="Times New Roman" w:hAnsi="Times New Roman"/>
                <w:sz w:val="24"/>
                <w:szCs w:val="24"/>
              </w:rPr>
            </w:pPr>
            <w:r>
              <w:rPr>
                <w:rFonts w:ascii="Times New Roman" w:hAnsi="Times New Roman"/>
                <w:sz w:val="24"/>
                <w:szCs w:val="24"/>
              </w:rPr>
              <w:t xml:space="preserve">488 Ls x 2 </w:t>
            </w:r>
            <w:proofErr w:type="spellStart"/>
            <w:r>
              <w:rPr>
                <w:rFonts w:ascii="Times New Roman" w:hAnsi="Times New Roman"/>
                <w:sz w:val="24"/>
                <w:szCs w:val="24"/>
              </w:rPr>
              <w:t>a.v</w:t>
            </w:r>
            <w:proofErr w:type="spellEnd"/>
            <w:r>
              <w:rPr>
                <w:rFonts w:ascii="Times New Roman" w:hAnsi="Times New Roman"/>
                <w:sz w:val="24"/>
                <w:szCs w:val="24"/>
              </w:rPr>
              <w:t xml:space="preserve">. x 6 </w:t>
            </w:r>
            <w:proofErr w:type="spellStart"/>
            <w:r>
              <w:rPr>
                <w:rFonts w:ascii="Times New Roman" w:hAnsi="Times New Roman"/>
                <w:sz w:val="24"/>
                <w:szCs w:val="24"/>
              </w:rPr>
              <w:t>mēn</w:t>
            </w:r>
            <w:proofErr w:type="spellEnd"/>
            <w:r>
              <w:rPr>
                <w:rFonts w:ascii="Times New Roman" w:hAnsi="Times New Roman"/>
                <w:sz w:val="24"/>
                <w:szCs w:val="24"/>
              </w:rPr>
              <w:t>. = 5856 Ls</w:t>
            </w: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Piemaksa teritoriālās struktūrvienības vecākajiem referentiem </w:t>
            </w:r>
          </w:p>
          <w:p w:rsidR="0032714C" w:rsidRDefault="0032714C" w:rsidP="0032714C">
            <w:pPr>
              <w:spacing w:after="0" w:line="240" w:lineRule="auto"/>
              <w:jc w:val="both"/>
              <w:rPr>
                <w:rFonts w:ascii="Times New Roman" w:hAnsi="Times New Roman"/>
                <w:sz w:val="24"/>
                <w:szCs w:val="24"/>
              </w:rPr>
            </w:pPr>
            <w:r>
              <w:rPr>
                <w:rFonts w:ascii="Times New Roman" w:hAnsi="Times New Roman"/>
                <w:sz w:val="24"/>
                <w:szCs w:val="24"/>
              </w:rPr>
              <w:t xml:space="preserve">488 Ls x 5% x 2 </w:t>
            </w:r>
            <w:proofErr w:type="spellStart"/>
            <w:r>
              <w:rPr>
                <w:rFonts w:ascii="Times New Roman" w:hAnsi="Times New Roman"/>
                <w:sz w:val="24"/>
                <w:szCs w:val="24"/>
              </w:rPr>
              <w:t>a.v</w:t>
            </w:r>
            <w:proofErr w:type="spellEnd"/>
            <w:r>
              <w:rPr>
                <w:rFonts w:ascii="Times New Roman" w:hAnsi="Times New Roman"/>
                <w:sz w:val="24"/>
                <w:szCs w:val="24"/>
              </w:rPr>
              <w:t xml:space="preserve">. x 6 </w:t>
            </w:r>
            <w:proofErr w:type="spellStart"/>
            <w:r>
              <w:rPr>
                <w:rFonts w:ascii="Times New Roman" w:hAnsi="Times New Roman"/>
                <w:sz w:val="24"/>
                <w:szCs w:val="24"/>
              </w:rPr>
              <w:t>mēn</w:t>
            </w:r>
            <w:proofErr w:type="spellEnd"/>
            <w:r>
              <w:rPr>
                <w:rFonts w:ascii="Times New Roman" w:hAnsi="Times New Roman"/>
                <w:sz w:val="24"/>
                <w:szCs w:val="24"/>
              </w:rPr>
              <w:t>. = 293 Ls</w:t>
            </w:r>
          </w:p>
          <w:p w:rsidR="0032714C" w:rsidRDefault="0032714C" w:rsidP="0032714C">
            <w:pPr>
              <w:spacing w:after="0" w:line="240" w:lineRule="auto"/>
              <w:jc w:val="both"/>
              <w:rPr>
                <w:rFonts w:ascii="Times New Roman" w:hAnsi="Times New Roman"/>
                <w:sz w:val="24"/>
                <w:szCs w:val="24"/>
              </w:rPr>
            </w:pPr>
          </w:p>
          <w:p w:rsidR="0032714C" w:rsidRDefault="0032714C" w:rsidP="0032714C">
            <w:pPr>
              <w:spacing w:after="0" w:line="240" w:lineRule="auto"/>
              <w:jc w:val="both"/>
              <w:rPr>
                <w:rFonts w:ascii="Times New Roman" w:hAnsi="Times New Roman"/>
                <w:b/>
                <w:sz w:val="24"/>
                <w:szCs w:val="24"/>
              </w:rPr>
            </w:pPr>
            <w:r w:rsidRPr="0032714C">
              <w:rPr>
                <w:rFonts w:ascii="Times New Roman" w:hAnsi="Times New Roman"/>
                <w:b/>
                <w:sz w:val="24"/>
                <w:szCs w:val="24"/>
              </w:rPr>
              <w:t>Darba devēja valsts sociālās apdrošināšanas obligātās iemaksas 1481 Ls</w:t>
            </w:r>
            <w:r>
              <w:rPr>
                <w:rFonts w:ascii="Times New Roman" w:hAnsi="Times New Roman"/>
                <w:b/>
                <w:sz w:val="24"/>
                <w:szCs w:val="24"/>
              </w:rPr>
              <w:t>:</w:t>
            </w:r>
          </w:p>
          <w:p w:rsidR="0032714C" w:rsidRPr="0032714C" w:rsidRDefault="0032714C"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6149 Ls x 24,09% = 1481 Ls </w:t>
            </w:r>
          </w:p>
          <w:p w:rsidR="0032714C" w:rsidRPr="0032714C" w:rsidRDefault="0032714C" w:rsidP="0032714C">
            <w:pPr>
              <w:spacing w:after="0" w:line="240" w:lineRule="auto"/>
              <w:jc w:val="both"/>
              <w:rPr>
                <w:rFonts w:ascii="Times New Roman" w:hAnsi="Times New Roman"/>
                <w:sz w:val="24"/>
                <w:szCs w:val="24"/>
              </w:rPr>
            </w:pPr>
          </w:p>
          <w:p w:rsidR="0032714C" w:rsidRPr="0032714C" w:rsidRDefault="0032714C" w:rsidP="0032714C">
            <w:pPr>
              <w:spacing w:after="0" w:line="240" w:lineRule="auto"/>
              <w:jc w:val="both"/>
              <w:rPr>
                <w:rFonts w:ascii="Times New Roman" w:hAnsi="Times New Roman"/>
                <w:sz w:val="24"/>
                <w:szCs w:val="24"/>
                <w:u w:val="single"/>
              </w:rPr>
            </w:pPr>
            <w:r w:rsidRPr="0032714C">
              <w:rPr>
                <w:rFonts w:ascii="Times New Roman" w:hAnsi="Times New Roman"/>
                <w:b/>
                <w:sz w:val="24"/>
                <w:szCs w:val="24"/>
                <w:u w:val="single"/>
              </w:rPr>
              <w:t xml:space="preserve">Nepieciešamie finanšu līdzekļi 2 darbinieku atalgošanai 2012.gadā un turpmāk 15260 Ls </w:t>
            </w:r>
            <w:proofErr w:type="spellStart"/>
            <w:r w:rsidRPr="0032714C">
              <w:rPr>
                <w:rFonts w:ascii="Times New Roman" w:hAnsi="Times New Roman"/>
                <w:b/>
                <w:sz w:val="24"/>
                <w:szCs w:val="24"/>
                <w:u w:val="single"/>
              </w:rPr>
              <w:t>t.sk</w:t>
            </w:r>
            <w:proofErr w:type="spellEnd"/>
            <w:r w:rsidRPr="0032714C">
              <w:rPr>
                <w:rFonts w:ascii="Times New Roman" w:hAnsi="Times New Roman"/>
                <w:b/>
                <w:sz w:val="24"/>
                <w:szCs w:val="24"/>
                <w:u w:val="single"/>
              </w:rPr>
              <w:t>:</w:t>
            </w:r>
          </w:p>
          <w:p w:rsidR="0032714C" w:rsidRDefault="0032714C" w:rsidP="0032714C">
            <w:pPr>
              <w:spacing w:after="0" w:line="240" w:lineRule="auto"/>
              <w:jc w:val="both"/>
              <w:rPr>
                <w:rFonts w:ascii="Times New Roman" w:hAnsi="Times New Roman"/>
                <w:sz w:val="24"/>
                <w:szCs w:val="24"/>
              </w:rPr>
            </w:pP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b/>
                <w:sz w:val="24"/>
                <w:szCs w:val="24"/>
              </w:rPr>
              <w:t xml:space="preserve">Atalgojums </w:t>
            </w:r>
            <w:r>
              <w:rPr>
                <w:rFonts w:ascii="Times New Roman" w:hAnsi="Times New Roman"/>
                <w:b/>
                <w:sz w:val="24"/>
                <w:szCs w:val="24"/>
              </w:rPr>
              <w:t>12298</w:t>
            </w:r>
            <w:r w:rsidRPr="0032714C">
              <w:rPr>
                <w:rFonts w:ascii="Times New Roman" w:hAnsi="Times New Roman"/>
                <w:b/>
                <w:sz w:val="24"/>
                <w:szCs w:val="24"/>
              </w:rPr>
              <w:t xml:space="preserve"> Ls</w:t>
            </w:r>
            <w:r>
              <w:rPr>
                <w:rFonts w:ascii="Times New Roman" w:hAnsi="Times New Roman"/>
                <w:sz w:val="24"/>
                <w:szCs w:val="24"/>
              </w:rPr>
              <w:t>:</w:t>
            </w: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sz w:val="24"/>
                <w:szCs w:val="24"/>
              </w:rPr>
              <w:t>Teritoriālās struktūrvienības vecākais referents</w:t>
            </w:r>
            <w:r>
              <w:rPr>
                <w:rFonts w:ascii="Times New Roman" w:hAnsi="Times New Roman"/>
                <w:sz w:val="24"/>
                <w:szCs w:val="24"/>
              </w:rPr>
              <w:t xml:space="preserve"> </w:t>
            </w:r>
            <w:r w:rsidRPr="0032714C">
              <w:rPr>
                <w:rFonts w:ascii="Times New Roman" w:hAnsi="Times New Roman"/>
                <w:sz w:val="24"/>
                <w:szCs w:val="24"/>
              </w:rPr>
              <w:t>(2 amata vietas, 35.saime, II līmenis, 9. mēnešalgu grupa, 4.kvalifikācijas pakāpe 611 × 80% = 488 Ls)</w:t>
            </w:r>
          </w:p>
          <w:p w:rsidR="0032714C" w:rsidRDefault="0032714C" w:rsidP="0032714C">
            <w:pPr>
              <w:spacing w:after="0" w:line="240" w:lineRule="auto"/>
              <w:jc w:val="both"/>
              <w:rPr>
                <w:rFonts w:ascii="Times New Roman" w:hAnsi="Times New Roman"/>
                <w:sz w:val="24"/>
                <w:szCs w:val="24"/>
              </w:rPr>
            </w:pPr>
            <w:r>
              <w:rPr>
                <w:rFonts w:ascii="Times New Roman" w:hAnsi="Times New Roman"/>
                <w:sz w:val="24"/>
                <w:szCs w:val="24"/>
              </w:rPr>
              <w:t xml:space="preserve">488 Ls x 2 </w:t>
            </w:r>
            <w:proofErr w:type="spellStart"/>
            <w:r>
              <w:rPr>
                <w:rFonts w:ascii="Times New Roman" w:hAnsi="Times New Roman"/>
                <w:sz w:val="24"/>
                <w:szCs w:val="24"/>
              </w:rPr>
              <w:t>a.v</w:t>
            </w:r>
            <w:proofErr w:type="spellEnd"/>
            <w:r>
              <w:rPr>
                <w:rFonts w:ascii="Times New Roman" w:hAnsi="Times New Roman"/>
                <w:sz w:val="24"/>
                <w:szCs w:val="24"/>
              </w:rPr>
              <w:t xml:space="preserve">. x 12 </w:t>
            </w:r>
            <w:proofErr w:type="spellStart"/>
            <w:r>
              <w:rPr>
                <w:rFonts w:ascii="Times New Roman" w:hAnsi="Times New Roman"/>
                <w:sz w:val="24"/>
                <w:szCs w:val="24"/>
              </w:rPr>
              <w:t>mēn</w:t>
            </w:r>
            <w:proofErr w:type="spellEnd"/>
            <w:r>
              <w:rPr>
                <w:rFonts w:ascii="Times New Roman" w:hAnsi="Times New Roman"/>
                <w:sz w:val="24"/>
                <w:szCs w:val="24"/>
              </w:rPr>
              <w:t>. = 11712 Ls</w:t>
            </w:r>
          </w:p>
          <w:p w:rsidR="0032714C" w:rsidRDefault="0032714C" w:rsidP="0032714C">
            <w:pPr>
              <w:spacing w:after="0" w:line="240" w:lineRule="auto"/>
              <w:jc w:val="both"/>
              <w:rPr>
                <w:rFonts w:ascii="Times New Roman" w:hAnsi="Times New Roman"/>
                <w:sz w:val="24"/>
                <w:szCs w:val="24"/>
              </w:rPr>
            </w:pPr>
            <w:r w:rsidRPr="0032714C">
              <w:rPr>
                <w:rFonts w:ascii="Times New Roman" w:hAnsi="Times New Roman"/>
                <w:sz w:val="24"/>
                <w:szCs w:val="24"/>
              </w:rPr>
              <w:t xml:space="preserve">Piemaksa teritoriālās struktūrvienības vecākajiem referentiem </w:t>
            </w:r>
          </w:p>
          <w:p w:rsidR="0032714C" w:rsidRDefault="0032714C" w:rsidP="0032714C">
            <w:pPr>
              <w:spacing w:after="0" w:line="240" w:lineRule="auto"/>
              <w:jc w:val="both"/>
              <w:rPr>
                <w:rFonts w:ascii="Times New Roman" w:hAnsi="Times New Roman"/>
                <w:sz w:val="24"/>
                <w:szCs w:val="24"/>
              </w:rPr>
            </w:pPr>
            <w:r>
              <w:rPr>
                <w:rFonts w:ascii="Times New Roman" w:hAnsi="Times New Roman"/>
                <w:sz w:val="24"/>
                <w:szCs w:val="24"/>
              </w:rPr>
              <w:t xml:space="preserve">488 Ls x 5% x 2 </w:t>
            </w:r>
            <w:proofErr w:type="spellStart"/>
            <w:r>
              <w:rPr>
                <w:rFonts w:ascii="Times New Roman" w:hAnsi="Times New Roman"/>
                <w:sz w:val="24"/>
                <w:szCs w:val="24"/>
              </w:rPr>
              <w:t>a.v</w:t>
            </w:r>
            <w:proofErr w:type="spellEnd"/>
            <w:r>
              <w:rPr>
                <w:rFonts w:ascii="Times New Roman" w:hAnsi="Times New Roman"/>
                <w:sz w:val="24"/>
                <w:szCs w:val="24"/>
              </w:rPr>
              <w:t xml:space="preserve">. x 12 </w:t>
            </w:r>
            <w:proofErr w:type="spellStart"/>
            <w:r>
              <w:rPr>
                <w:rFonts w:ascii="Times New Roman" w:hAnsi="Times New Roman"/>
                <w:sz w:val="24"/>
                <w:szCs w:val="24"/>
              </w:rPr>
              <w:t>mēn</w:t>
            </w:r>
            <w:proofErr w:type="spellEnd"/>
            <w:r>
              <w:rPr>
                <w:rFonts w:ascii="Times New Roman" w:hAnsi="Times New Roman"/>
                <w:sz w:val="24"/>
                <w:szCs w:val="24"/>
              </w:rPr>
              <w:t>. = 586 Ls</w:t>
            </w:r>
          </w:p>
          <w:p w:rsidR="0032714C" w:rsidRDefault="0032714C" w:rsidP="0032714C">
            <w:pPr>
              <w:spacing w:after="0" w:line="240" w:lineRule="auto"/>
              <w:jc w:val="both"/>
              <w:rPr>
                <w:rFonts w:ascii="Times New Roman" w:hAnsi="Times New Roman"/>
                <w:sz w:val="24"/>
                <w:szCs w:val="24"/>
              </w:rPr>
            </w:pPr>
          </w:p>
          <w:p w:rsidR="0032714C" w:rsidRDefault="0032714C" w:rsidP="0032714C">
            <w:pPr>
              <w:spacing w:after="0" w:line="240" w:lineRule="auto"/>
              <w:jc w:val="both"/>
              <w:rPr>
                <w:rFonts w:ascii="Times New Roman" w:hAnsi="Times New Roman"/>
                <w:b/>
                <w:sz w:val="24"/>
                <w:szCs w:val="24"/>
              </w:rPr>
            </w:pPr>
            <w:r w:rsidRPr="0032714C">
              <w:rPr>
                <w:rFonts w:ascii="Times New Roman" w:hAnsi="Times New Roman"/>
                <w:b/>
                <w:sz w:val="24"/>
                <w:szCs w:val="24"/>
              </w:rPr>
              <w:t xml:space="preserve">Darba devēja valsts sociālās apdrošināšanas obligātās iemaksas </w:t>
            </w:r>
            <w:r>
              <w:rPr>
                <w:rFonts w:ascii="Times New Roman" w:hAnsi="Times New Roman"/>
                <w:b/>
                <w:sz w:val="24"/>
                <w:szCs w:val="24"/>
              </w:rPr>
              <w:t>2962</w:t>
            </w:r>
            <w:r w:rsidRPr="0032714C">
              <w:rPr>
                <w:rFonts w:ascii="Times New Roman" w:hAnsi="Times New Roman"/>
                <w:b/>
                <w:sz w:val="24"/>
                <w:szCs w:val="24"/>
              </w:rPr>
              <w:t xml:space="preserve"> Ls</w:t>
            </w:r>
            <w:r>
              <w:rPr>
                <w:rFonts w:ascii="Times New Roman" w:hAnsi="Times New Roman"/>
                <w:b/>
                <w:sz w:val="24"/>
                <w:szCs w:val="24"/>
              </w:rPr>
              <w:t>:</w:t>
            </w:r>
          </w:p>
          <w:p w:rsidR="0032714C" w:rsidRDefault="0032714C" w:rsidP="0032714C">
            <w:pPr>
              <w:spacing w:after="0" w:line="240" w:lineRule="auto"/>
              <w:jc w:val="both"/>
              <w:rPr>
                <w:rFonts w:ascii="Times New Roman" w:hAnsi="Times New Roman"/>
                <w:sz w:val="24"/>
                <w:szCs w:val="24"/>
              </w:rPr>
            </w:pPr>
            <w:r>
              <w:rPr>
                <w:rFonts w:ascii="Times New Roman" w:hAnsi="Times New Roman"/>
                <w:sz w:val="24"/>
                <w:szCs w:val="24"/>
              </w:rPr>
              <w:t>12298</w:t>
            </w:r>
            <w:r w:rsidRPr="0032714C">
              <w:rPr>
                <w:rFonts w:ascii="Times New Roman" w:hAnsi="Times New Roman"/>
                <w:sz w:val="24"/>
                <w:szCs w:val="24"/>
              </w:rPr>
              <w:t xml:space="preserve"> Ls x 24,09% = </w:t>
            </w:r>
            <w:r>
              <w:rPr>
                <w:rFonts w:ascii="Times New Roman" w:hAnsi="Times New Roman"/>
                <w:sz w:val="24"/>
                <w:szCs w:val="24"/>
              </w:rPr>
              <w:t>2962</w:t>
            </w:r>
            <w:r w:rsidRPr="0032714C">
              <w:rPr>
                <w:rFonts w:ascii="Times New Roman" w:hAnsi="Times New Roman"/>
                <w:sz w:val="24"/>
                <w:szCs w:val="24"/>
              </w:rPr>
              <w:t xml:space="preserve"> Ls </w:t>
            </w:r>
          </w:p>
          <w:p w:rsidR="0032714C" w:rsidRPr="00784DE8" w:rsidRDefault="0032714C" w:rsidP="0032714C">
            <w:pPr>
              <w:spacing w:after="0" w:line="240" w:lineRule="auto"/>
              <w:jc w:val="both"/>
              <w:rPr>
                <w:rFonts w:ascii="Times New Roman" w:hAnsi="Times New Roman"/>
                <w:sz w:val="24"/>
                <w:szCs w:val="24"/>
              </w:rPr>
            </w:pP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6.1.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ieņēmumu aprēķins</w:t>
            </w:r>
          </w:p>
        </w:tc>
        <w:tc>
          <w:tcPr>
            <w:tcW w:w="3378" w:type="pct"/>
            <w:gridSpan w:val="5"/>
            <w:vMerge/>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A94A9F">
            <w:pPr>
              <w:rPr>
                <w:rFonts w:ascii="Times New Roman" w:hAnsi="Times New Roman"/>
                <w:sz w:val="24"/>
                <w:szCs w:val="24"/>
              </w:rPr>
            </w:pPr>
          </w:p>
        </w:tc>
      </w:tr>
      <w:tr w:rsidR="0032714C" w:rsidRPr="00784DE8" w:rsidTr="009F0AF7">
        <w:tc>
          <w:tcPr>
            <w:tcW w:w="301" w:type="pct"/>
            <w:tcBorders>
              <w:top w:val="outset" w:sz="6" w:space="0" w:color="000000"/>
              <w:left w:val="outset" w:sz="6" w:space="0" w:color="000000"/>
              <w:bottom w:val="outset" w:sz="6" w:space="0" w:color="000000"/>
              <w:right w:val="single" w:sz="4" w:space="0" w:color="auto"/>
            </w:tcBorders>
          </w:tcPr>
          <w:p w:rsidR="0032714C" w:rsidRPr="00784DE8" w:rsidRDefault="0032714C" w:rsidP="00A94A9F">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84DE8">
              <w:rPr>
                <w:rFonts w:ascii="Times New Roman" w:hAnsi="Times New Roman"/>
                <w:sz w:val="24"/>
                <w:szCs w:val="24"/>
              </w:rPr>
              <w:t xml:space="preserve">6.2. </w:t>
            </w:r>
          </w:p>
        </w:tc>
        <w:tc>
          <w:tcPr>
            <w:tcW w:w="1321" w:type="pct"/>
            <w:tcBorders>
              <w:top w:val="outset" w:sz="6" w:space="0" w:color="000000"/>
              <w:left w:val="single" w:sz="4" w:space="0" w:color="auto"/>
              <w:bottom w:val="outset" w:sz="6" w:space="0" w:color="000000"/>
              <w:right w:val="outset" w:sz="6" w:space="0" w:color="000000"/>
            </w:tcBorders>
          </w:tcPr>
          <w:p w:rsidR="0032714C" w:rsidRPr="00784DE8" w:rsidRDefault="0032714C" w:rsidP="00A94A9F">
            <w:pPr>
              <w:spacing w:before="100" w:beforeAutospacing="1" w:after="100" w:afterAutospacing="1"/>
              <w:rPr>
                <w:rFonts w:ascii="Times New Roman" w:hAnsi="Times New Roman"/>
                <w:sz w:val="24"/>
                <w:szCs w:val="24"/>
              </w:rPr>
            </w:pPr>
            <w:r w:rsidRPr="00784DE8">
              <w:rPr>
                <w:rFonts w:ascii="Times New Roman" w:hAnsi="Times New Roman"/>
                <w:sz w:val="24"/>
                <w:szCs w:val="24"/>
              </w:rPr>
              <w:t>detalizēts izdevumu aprēķins</w:t>
            </w:r>
          </w:p>
        </w:tc>
        <w:tc>
          <w:tcPr>
            <w:tcW w:w="3378" w:type="pct"/>
            <w:gridSpan w:val="5"/>
            <w:vMerge/>
            <w:tcBorders>
              <w:top w:val="outset" w:sz="6" w:space="0" w:color="000000"/>
              <w:left w:val="outset" w:sz="6" w:space="0" w:color="000000"/>
              <w:bottom w:val="outset" w:sz="6" w:space="0" w:color="000000"/>
              <w:right w:val="outset" w:sz="6" w:space="0" w:color="000000"/>
            </w:tcBorders>
            <w:vAlign w:val="center"/>
          </w:tcPr>
          <w:p w:rsidR="0032714C" w:rsidRPr="00784DE8" w:rsidRDefault="0032714C" w:rsidP="00A94A9F">
            <w:pPr>
              <w:rPr>
                <w:rFonts w:ascii="Times New Roman" w:hAnsi="Times New Roman"/>
                <w:sz w:val="24"/>
                <w:szCs w:val="24"/>
              </w:rPr>
            </w:pPr>
          </w:p>
        </w:tc>
      </w:tr>
      <w:tr w:rsidR="0032714C" w:rsidRPr="0032714C" w:rsidTr="009F0AF7">
        <w:tc>
          <w:tcPr>
            <w:tcW w:w="301" w:type="pct"/>
            <w:tcBorders>
              <w:top w:val="outset" w:sz="6" w:space="0" w:color="000000"/>
              <w:left w:val="outset" w:sz="6" w:space="0" w:color="000000"/>
              <w:bottom w:val="outset" w:sz="6" w:space="0" w:color="000000"/>
              <w:right w:val="single" w:sz="4" w:space="0" w:color="auto"/>
            </w:tcBorders>
          </w:tcPr>
          <w:p w:rsidR="0032714C" w:rsidRPr="0032714C" w:rsidRDefault="0032714C" w:rsidP="00A94A9F">
            <w:pPr>
              <w:spacing w:before="100" w:beforeAutospacing="1" w:after="100" w:afterAutospacing="1"/>
              <w:rPr>
                <w:rFonts w:ascii="Times New Roman" w:hAnsi="Times New Roman"/>
                <w:sz w:val="24"/>
                <w:szCs w:val="24"/>
              </w:rPr>
            </w:pPr>
            <w:r w:rsidRPr="0032714C">
              <w:rPr>
                <w:rFonts w:ascii="Times New Roman" w:hAnsi="Times New Roman"/>
                <w:sz w:val="24"/>
                <w:szCs w:val="24"/>
              </w:rPr>
              <w:lastRenderedPageBreak/>
              <w:t xml:space="preserve"> 7. </w:t>
            </w:r>
          </w:p>
        </w:tc>
        <w:tc>
          <w:tcPr>
            <w:tcW w:w="1321" w:type="pct"/>
            <w:tcBorders>
              <w:top w:val="outset" w:sz="6" w:space="0" w:color="000000"/>
              <w:left w:val="single" w:sz="4" w:space="0" w:color="auto"/>
              <w:bottom w:val="outset" w:sz="6" w:space="0" w:color="000000"/>
              <w:right w:val="outset" w:sz="6" w:space="0" w:color="000000"/>
            </w:tcBorders>
          </w:tcPr>
          <w:p w:rsidR="0032714C" w:rsidRPr="0032714C" w:rsidRDefault="0032714C" w:rsidP="00A94A9F">
            <w:pPr>
              <w:spacing w:before="100" w:beforeAutospacing="1" w:after="100" w:afterAutospacing="1"/>
              <w:rPr>
                <w:rFonts w:ascii="Times New Roman" w:hAnsi="Times New Roman"/>
                <w:sz w:val="24"/>
                <w:szCs w:val="24"/>
              </w:rPr>
            </w:pPr>
            <w:r w:rsidRPr="0032714C">
              <w:rPr>
                <w:rFonts w:ascii="Times New Roman" w:hAnsi="Times New Roman"/>
                <w:sz w:val="24"/>
                <w:szCs w:val="24"/>
              </w:rPr>
              <w:t>Cita informācija</w:t>
            </w:r>
          </w:p>
        </w:tc>
        <w:tc>
          <w:tcPr>
            <w:tcW w:w="3378" w:type="pct"/>
            <w:gridSpan w:val="5"/>
            <w:tcBorders>
              <w:top w:val="outset" w:sz="6" w:space="0" w:color="000000"/>
              <w:left w:val="outset" w:sz="6" w:space="0" w:color="000000"/>
              <w:bottom w:val="outset" w:sz="6" w:space="0" w:color="000000"/>
              <w:right w:val="outset" w:sz="6" w:space="0" w:color="000000"/>
            </w:tcBorders>
          </w:tcPr>
          <w:p w:rsidR="0032714C" w:rsidRDefault="0032714C" w:rsidP="0032714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Funkcijas īstenošana tiks nodrošināta piešķirto valsts budžeta līdzekļu ietvaros. Papildus nepieciešamais f</w:t>
            </w:r>
            <w:r w:rsidRPr="0032714C">
              <w:rPr>
                <w:rFonts w:ascii="Times New Roman" w:hAnsi="Times New Roman"/>
                <w:sz w:val="24"/>
                <w:szCs w:val="24"/>
              </w:rPr>
              <w:t>inansējums izdevumu segšanai tiks nodrošināts, veicot finansējuma pārdali Tieslietu ministrijas budžeta programmu ietvaros.</w:t>
            </w:r>
          </w:p>
          <w:p w:rsidR="0032714C" w:rsidRPr="0032714C" w:rsidRDefault="0032714C" w:rsidP="0032714C">
            <w:pPr>
              <w:spacing w:before="100" w:beforeAutospacing="1" w:after="100" w:afterAutospacing="1" w:line="240" w:lineRule="auto"/>
              <w:jc w:val="both"/>
              <w:rPr>
                <w:rFonts w:ascii="Times New Roman" w:hAnsi="Times New Roman"/>
                <w:sz w:val="24"/>
                <w:szCs w:val="24"/>
              </w:rPr>
            </w:pPr>
            <w:r w:rsidRPr="0032714C">
              <w:rPr>
                <w:rFonts w:ascii="Times New Roman" w:hAnsi="Times New Roman"/>
                <w:sz w:val="24"/>
                <w:szCs w:val="24"/>
              </w:rPr>
              <w:t>Līdzekļu aprēķins, kas nepieciešams papildsoda probācijas uzraudzība ieviešanai ir norādīts saistītā likumprojekta ,,Grozījumi Krimināllikumā” sākotnējās ietekmes novērtējuma ziņojuma (anotācijas) III sadaļā.</w:t>
            </w:r>
          </w:p>
        </w:tc>
      </w:tr>
    </w:tbl>
    <w:p w:rsidR="007149F6" w:rsidRPr="0032714C" w:rsidRDefault="007149F6" w:rsidP="00A91395">
      <w:pPr>
        <w:spacing w:before="75" w:after="75" w:line="240" w:lineRule="auto"/>
        <w:jc w:val="both"/>
        <w:rPr>
          <w:rFonts w:ascii="Times New Roman" w:eastAsia="Times New Roman" w:hAnsi="Times New Roman"/>
          <w:sz w:val="24"/>
          <w:szCs w:val="24"/>
          <w:lang w:eastAsia="lv-LV"/>
        </w:rPr>
      </w:pPr>
    </w:p>
    <w:tbl>
      <w:tblPr>
        <w:tblW w:w="9251"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799"/>
        <w:gridCol w:w="5848"/>
      </w:tblGrid>
      <w:tr w:rsidR="00155E37" w:rsidRPr="007F5B4F" w:rsidTr="00A94A9F">
        <w:trPr>
          <w:jc w:val="center"/>
        </w:trPr>
        <w:tc>
          <w:tcPr>
            <w:tcW w:w="9251" w:type="dxa"/>
            <w:gridSpan w:val="3"/>
          </w:tcPr>
          <w:p w:rsidR="00155E37" w:rsidRPr="007F5B4F" w:rsidRDefault="00155E37" w:rsidP="00A94A9F">
            <w:pPr>
              <w:pStyle w:val="naisnod"/>
              <w:spacing w:before="0" w:after="0"/>
            </w:pPr>
            <w:r w:rsidRPr="007F5B4F">
              <w:t>IV. Tiesību akta projekta ietekme uz spēkā esošo tiesību normu sistēmu</w:t>
            </w:r>
          </w:p>
        </w:tc>
      </w:tr>
      <w:tr w:rsidR="00155E37" w:rsidRPr="007F5B4F" w:rsidTr="00A94A9F">
        <w:trPr>
          <w:jc w:val="center"/>
        </w:trPr>
        <w:tc>
          <w:tcPr>
            <w:tcW w:w="604" w:type="dxa"/>
          </w:tcPr>
          <w:p w:rsidR="00155E37" w:rsidRPr="007F5B4F" w:rsidRDefault="00155E37" w:rsidP="00A94A9F">
            <w:pPr>
              <w:pStyle w:val="naiskr"/>
              <w:tabs>
                <w:tab w:val="left" w:pos="2628"/>
              </w:tabs>
              <w:spacing w:before="0" w:after="0"/>
              <w:jc w:val="both"/>
              <w:rPr>
                <w:iCs/>
              </w:rPr>
            </w:pPr>
            <w:r w:rsidRPr="007F5B4F">
              <w:rPr>
                <w:iCs/>
              </w:rPr>
              <w:t>1.</w:t>
            </w:r>
          </w:p>
        </w:tc>
        <w:tc>
          <w:tcPr>
            <w:tcW w:w="2799" w:type="dxa"/>
          </w:tcPr>
          <w:p w:rsidR="00155E37" w:rsidRPr="007F5B4F" w:rsidRDefault="00155E37" w:rsidP="00A94A9F">
            <w:pPr>
              <w:pStyle w:val="naiskr"/>
              <w:tabs>
                <w:tab w:val="left" w:pos="2628"/>
              </w:tabs>
              <w:spacing w:before="0" w:after="0"/>
              <w:jc w:val="both"/>
              <w:rPr>
                <w:iCs/>
              </w:rPr>
            </w:pPr>
            <w:r w:rsidRPr="007F5B4F">
              <w:t>Nepieciešamie saistītie tiesību aktu projekti</w:t>
            </w:r>
          </w:p>
        </w:tc>
        <w:tc>
          <w:tcPr>
            <w:tcW w:w="5848" w:type="dxa"/>
          </w:tcPr>
          <w:p w:rsidR="00155E37" w:rsidRPr="0019033D" w:rsidRDefault="00155E37" w:rsidP="00A94A9F">
            <w:pPr>
              <w:pStyle w:val="naispant"/>
              <w:spacing w:before="0" w:after="0"/>
              <w:ind w:left="0" w:firstLine="0"/>
              <w:rPr>
                <w:b w:val="0"/>
                <w:color w:val="000000"/>
                <w:highlight w:val="yellow"/>
              </w:rPr>
            </w:pPr>
            <w:r w:rsidRPr="0019033D">
              <w:t xml:space="preserve">       </w:t>
            </w:r>
            <w:r w:rsidRPr="0019033D">
              <w:rPr>
                <w:b w:val="0"/>
              </w:rPr>
              <w:t>Īstenojot koncepcijā ietverto risinājumu par kriminālsoda</w:t>
            </w:r>
            <w:r w:rsidRPr="0019033D">
              <w:t xml:space="preserve"> </w:t>
            </w:r>
            <w:r w:rsidRPr="0019033D">
              <w:rPr>
                <w:b w:val="0"/>
              </w:rPr>
              <w:t>– policijas kontrole aizstāšanu ar jaunu kriminālsodu – probācijas uzraudzība, paralēli šim likumprojektam ir sagatavots</w:t>
            </w:r>
            <w:r w:rsidRPr="0019033D">
              <w:rPr>
                <w:b w:val="0"/>
                <w:color w:val="000000"/>
              </w:rPr>
              <w:t xml:space="preserve"> likumprojekts </w:t>
            </w:r>
            <w:r>
              <w:rPr>
                <w:b w:val="0"/>
                <w:color w:val="000000"/>
              </w:rPr>
              <w:t xml:space="preserve">,,Grozījumi Krimināllikumā” un likumprojekts </w:t>
            </w:r>
            <w:r w:rsidRPr="0019033D">
              <w:rPr>
                <w:b w:val="0"/>
                <w:color w:val="000000"/>
              </w:rPr>
              <w:t>„Grozījumi Latvijas Sodu izpildes kodeksā”</w:t>
            </w:r>
            <w:r w:rsidRPr="0019033D">
              <w:rPr>
                <w:color w:val="000000"/>
              </w:rPr>
              <w:t>.</w:t>
            </w:r>
          </w:p>
        </w:tc>
      </w:tr>
      <w:tr w:rsidR="00155E37" w:rsidRPr="007F5B4F" w:rsidTr="00A94A9F">
        <w:trPr>
          <w:jc w:val="center"/>
        </w:trPr>
        <w:tc>
          <w:tcPr>
            <w:tcW w:w="604" w:type="dxa"/>
          </w:tcPr>
          <w:p w:rsidR="00155E37" w:rsidRPr="007F5B4F" w:rsidRDefault="00155E37" w:rsidP="00A94A9F">
            <w:pPr>
              <w:pStyle w:val="naiskr"/>
              <w:tabs>
                <w:tab w:val="left" w:pos="2628"/>
              </w:tabs>
              <w:spacing w:before="0" w:after="0"/>
              <w:jc w:val="both"/>
              <w:rPr>
                <w:iCs/>
              </w:rPr>
            </w:pPr>
            <w:r w:rsidRPr="007F5B4F">
              <w:rPr>
                <w:iCs/>
              </w:rPr>
              <w:t>2.</w:t>
            </w:r>
          </w:p>
        </w:tc>
        <w:tc>
          <w:tcPr>
            <w:tcW w:w="2799" w:type="dxa"/>
          </w:tcPr>
          <w:p w:rsidR="00155E37" w:rsidRPr="007F5B4F" w:rsidRDefault="00155E37" w:rsidP="00A94A9F">
            <w:pPr>
              <w:pStyle w:val="naiskr"/>
              <w:tabs>
                <w:tab w:val="left" w:pos="2628"/>
              </w:tabs>
              <w:spacing w:before="0" w:after="0"/>
              <w:jc w:val="both"/>
              <w:rPr>
                <w:iCs/>
              </w:rPr>
            </w:pPr>
            <w:r w:rsidRPr="007F5B4F">
              <w:t>Cita informācija</w:t>
            </w:r>
          </w:p>
        </w:tc>
        <w:tc>
          <w:tcPr>
            <w:tcW w:w="5848" w:type="dxa"/>
          </w:tcPr>
          <w:p w:rsidR="00155E37" w:rsidRPr="007F5B4F" w:rsidRDefault="00155E37" w:rsidP="00A94A9F">
            <w:pPr>
              <w:pStyle w:val="naiskr"/>
              <w:tabs>
                <w:tab w:val="left" w:pos="2628"/>
              </w:tabs>
              <w:spacing w:before="0" w:after="0"/>
              <w:ind w:firstLine="459"/>
              <w:jc w:val="both"/>
              <w:rPr>
                <w:iCs/>
              </w:rPr>
            </w:pPr>
            <w:r w:rsidRPr="007F5B4F">
              <w:t xml:space="preserve">Nav.             </w:t>
            </w:r>
          </w:p>
        </w:tc>
      </w:tr>
    </w:tbl>
    <w:p w:rsidR="00155E37" w:rsidRDefault="00155E37" w:rsidP="00A91395">
      <w:pPr>
        <w:spacing w:before="75" w:after="75" w:line="240" w:lineRule="auto"/>
        <w:jc w:val="both"/>
        <w:rPr>
          <w:rFonts w:ascii="Times New Roman" w:eastAsia="Times New Roman" w:hAnsi="Times New Roman"/>
          <w:sz w:val="24"/>
          <w:szCs w:val="24"/>
          <w:lang w:eastAsia="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1"/>
      </w:tblGrid>
      <w:tr w:rsidR="00155E37" w:rsidRPr="007F5B4F" w:rsidTr="00A94A9F">
        <w:tc>
          <w:tcPr>
            <w:tcW w:w="9321" w:type="dxa"/>
          </w:tcPr>
          <w:p w:rsidR="00155E37" w:rsidRPr="007F5B4F" w:rsidRDefault="00155E37" w:rsidP="00A94A9F">
            <w:pPr>
              <w:spacing w:before="75" w:after="75" w:line="240" w:lineRule="auto"/>
              <w:jc w:val="both"/>
              <w:rPr>
                <w:rFonts w:ascii="Times New Roman" w:eastAsia="Times New Roman" w:hAnsi="Times New Roman"/>
                <w:b/>
                <w:sz w:val="24"/>
                <w:szCs w:val="24"/>
                <w:lang w:eastAsia="lv-LV"/>
              </w:rPr>
            </w:pPr>
            <w:r w:rsidRPr="007F5B4F">
              <w:rPr>
                <w:rFonts w:ascii="Times New Roman" w:hAnsi="Times New Roman"/>
                <w:b/>
                <w:sz w:val="24"/>
                <w:szCs w:val="24"/>
              </w:rPr>
              <w:t>V. Tiesību akta projekta atbilstība Latvijas Republikas starptautiskajām saistībām</w:t>
            </w:r>
          </w:p>
        </w:tc>
      </w:tr>
      <w:tr w:rsidR="00155E37" w:rsidRPr="007F5B4F" w:rsidTr="00A94A9F">
        <w:tc>
          <w:tcPr>
            <w:tcW w:w="9321" w:type="dxa"/>
          </w:tcPr>
          <w:p w:rsidR="00155E37" w:rsidRPr="007F5B4F" w:rsidRDefault="00155E37" w:rsidP="00A94A9F">
            <w:pPr>
              <w:spacing w:before="75" w:after="75" w:line="240" w:lineRule="auto"/>
              <w:jc w:val="center"/>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Nav attiecināms.</w:t>
            </w:r>
          </w:p>
        </w:tc>
      </w:tr>
    </w:tbl>
    <w:p w:rsidR="00155E37" w:rsidRPr="007F5B4F" w:rsidRDefault="00155E37" w:rsidP="00A91395">
      <w:pPr>
        <w:spacing w:before="75" w:after="75" w:line="240" w:lineRule="auto"/>
        <w:jc w:val="both"/>
        <w:rPr>
          <w:rFonts w:ascii="Times New Roman" w:eastAsia="Times New Roman" w:hAnsi="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3990"/>
        <w:gridCol w:w="4758"/>
      </w:tblGrid>
      <w:tr w:rsidR="00D1739C" w:rsidRPr="00A65F4C" w:rsidTr="00A65F4C">
        <w:tc>
          <w:tcPr>
            <w:tcW w:w="10410" w:type="dxa"/>
            <w:gridSpan w:val="3"/>
          </w:tcPr>
          <w:p w:rsidR="00D1739C" w:rsidRPr="00A65F4C" w:rsidRDefault="00D1739C" w:rsidP="00A65F4C">
            <w:pPr>
              <w:spacing w:before="75" w:after="75"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VI. Sabiedrības līdzdalība un šīs līdzdalības rezultāti</w:t>
            </w:r>
          </w:p>
        </w:tc>
      </w:tr>
      <w:tr w:rsidR="00D1739C" w:rsidRPr="00A65F4C" w:rsidTr="00A65F4C">
        <w:trPr>
          <w:trHeight w:val="553"/>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informēšana par projekta izstrādes uzsākšanu</w:t>
            </w:r>
          </w:p>
        </w:tc>
        <w:tc>
          <w:tcPr>
            <w:tcW w:w="5355" w:type="dxa"/>
          </w:tcPr>
          <w:p w:rsidR="00D1739C" w:rsidRPr="00A65F4C" w:rsidRDefault="0090706C" w:rsidP="00A65F4C">
            <w:pPr>
              <w:spacing w:before="75" w:after="75" w:line="240" w:lineRule="auto"/>
              <w:ind w:firstLine="416"/>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339"/>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 projekta izstrādē</w:t>
            </w:r>
          </w:p>
        </w:tc>
        <w:tc>
          <w:tcPr>
            <w:tcW w:w="5355" w:type="dxa"/>
          </w:tcPr>
          <w:p w:rsidR="00460C1A" w:rsidRPr="00A65F4C" w:rsidRDefault="0090706C" w:rsidP="00A65F4C">
            <w:pPr>
              <w:spacing w:before="75" w:after="75" w:line="240" w:lineRule="auto"/>
              <w:ind w:firstLine="416"/>
              <w:jc w:val="both"/>
              <w:rPr>
                <w:rFonts w:ascii="Times New Roman" w:hAnsi="Times New Roman"/>
                <w:sz w:val="24"/>
                <w:szCs w:val="24"/>
              </w:rPr>
            </w:pPr>
            <w:r w:rsidRPr="00A65F4C">
              <w:rPr>
                <w:rFonts w:ascii="Times New Roman" w:eastAsia="Times New Roman" w:hAnsi="Times New Roman"/>
                <w:sz w:val="24"/>
                <w:szCs w:val="24"/>
                <w:lang w:eastAsia="lv-LV"/>
              </w:rPr>
              <w:t xml:space="preserve">Konsultācijas par likumprojekta izstrādāti notikušas ar </w:t>
            </w:r>
            <w:r w:rsidR="00912648" w:rsidRPr="00A65F4C">
              <w:rPr>
                <w:rFonts w:ascii="Times New Roman" w:hAnsi="Times New Roman"/>
                <w:sz w:val="24"/>
                <w:szCs w:val="24"/>
              </w:rPr>
              <w:t>Sabiedriskās politikas centru PROVIDUS</w:t>
            </w:r>
            <w:r w:rsidR="00460C1A" w:rsidRPr="00A65F4C">
              <w:rPr>
                <w:rFonts w:ascii="Times New Roman" w:hAnsi="Times New Roman"/>
                <w:sz w:val="24"/>
                <w:szCs w:val="24"/>
              </w:rPr>
              <w:t>.</w:t>
            </w:r>
          </w:p>
        </w:tc>
      </w:tr>
      <w:tr w:rsidR="00D1739C" w:rsidRPr="00A65F4C" w:rsidTr="00A65F4C">
        <w:trPr>
          <w:trHeight w:val="375"/>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līdzdalības rezultāti</w:t>
            </w:r>
          </w:p>
        </w:tc>
        <w:tc>
          <w:tcPr>
            <w:tcW w:w="5355" w:type="dxa"/>
          </w:tcPr>
          <w:p w:rsidR="004F731E" w:rsidRPr="00A65F4C" w:rsidRDefault="00A54F6E" w:rsidP="00A65F4C">
            <w:pPr>
              <w:spacing w:before="75" w:after="75" w:line="240" w:lineRule="auto"/>
              <w:ind w:firstLine="416"/>
              <w:jc w:val="both"/>
              <w:rPr>
                <w:rFonts w:ascii="Times New Roman" w:eastAsia="Times New Roman" w:hAnsi="Times New Roman"/>
                <w:sz w:val="24"/>
                <w:szCs w:val="24"/>
                <w:lang w:eastAsia="lv-LV"/>
              </w:rPr>
            </w:pPr>
            <w:r w:rsidRPr="00A65F4C">
              <w:rPr>
                <w:rFonts w:ascii="Times New Roman" w:hAnsi="Times New Roman"/>
                <w:sz w:val="24"/>
                <w:szCs w:val="24"/>
              </w:rPr>
              <w:t xml:space="preserve">Sabiedriskās politikas centrs PROVIDUS </w:t>
            </w:r>
            <w:r w:rsidR="00301937" w:rsidRPr="00A65F4C">
              <w:rPr>
                <w:rFonts w:ascii="Times New Roman" w:hAnsi="Times New Roman"/>
                <w:sz w:val="24"/>
                <w:szCs w:val="24"/>
              </w:rPr>
              <w:t>atbalstīj</w:t>
            </w:r>
            <w:r w:rsidRPr="00A65F4C">
              <w:rPr>
                <w:rFonts w:ascii="Times New Roman" w:hAnsi="Times New Roman"/>
                <w:sz w:val="24"/>
                <w:szCs w:val="24"/>
              </w:rPr>
              <w:t>a</w:t>
            </w:r>
            <w:r w:rsidR="00301937" w:rsidRPr="00A65F4C">
              <w:rPr>
                <w:rFonts w:ascii="Times New Roman" w:hAnsi="Times New Roman"/>
                <w:sz w:val="24"/>
                <w:szCs w:val="24"/>
              </w:rPr>
              <w:t xml:space="preserve"> izstrādāto likumprojekta redakciju.</w:t>
            </w:r>
          </w:p>
        </w:tc>
      </w:tr>
      <w:tr w:rsidR="00D1739C" w:rsidRPr="00A65F4C" w:rsidTr="00A65F4C">
        <w:trPr>
          <w:trHeight w:val="397"/>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Saeimas un ekspertu līdzdalība</w:t>
            </w:r>
          </w:p>
        </w:tc>
        <w:tc>
          <w:tcPr>
            <w:tcW w:w="5355" w:type="dxa"/>
          </w:tcPr>
          <w:p w:rsidR="00D1739C" w:rsidRPr="00A65F4C" w:rsidRDefault="00EA427B" w:rsidP="00A65F4C">
            <w:pPr>
              <w:spacing w:before="75" w:after="75" w:line="240" w:lineRule="auto"/>
              <w:ind w:firstLine="416"/>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476"/>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Cita informācija</w:t>
            </w:r>
          </w:p>
        </w:tc>
        <w:tc>
          <w:tcPr>
            <w:tcW w:w="5355" w:type="dxa"/>
          </w:tcPr>
          <w:p w:rsidR="00CF2F05" w:rsidRPr="00A65F4C" w:rsidRDefault="00EA427B" w:rsidP="00A65F4C">
            <w:pPr>
              <w:spacing w:before="75" w:after="75" w:line="240" w:lineRule="auto"/>
              <w:ind w:firstLine="416"/>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922DD7">
      <w:pPr>
        <w:spacing w:before="75" w:after="75"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5334"/>
        <w:gridCol w:w="3420"/>
      </w:tblGrid>
      <w:tr w:rsidR="00A54F6E" w:rsidRPr="007F5B4F" w:rsidTr="00155E37">
        <w:tc>
          <w:tcPr>
            <w:tcW w:w="9322" w:type="dxa"/>
            <w:gridSpan w:val="3"/>
            <w:tcBorders>
              <w:top w:val="single" w:sz="4" w:space="0" w:color="auto"/>
            </w:tcBorders>
          </w:tcPr>
          <w:p w:rsidR="00A54F6E" w:rsidRPr="007F5B4F" w:rsidRDefault="00A54F6E" w:rsidP="00A54F6E">
            <w:pPr>
              <w:pStyle w:val="naisnod"/>
              <w:spacing w:before="0" w:after="0"/>
              <w:ind w:left="57" w:right="57"/>
            </w:pPr>
            <w:r w:rsidRPr="007F5B4F">
              <w:t>VII. Tiesību akta projekta izpildes nodrošināšana un tās ietekme uz institūcijām</w:t>
            </w:r>
          </w:p>
        </w:tc>
      </w:tr>
      <w:tr w:rsidR="00A54F6E" w:rsidRPr="007F5B4F" w:rsidTr="00155E37">
        <w:trPr>
          <w:trHeight w:val="427"/>
        </w:trPr>
        <w:tc>
          <w:tcPr>
            <w:tcW w:w="568" w:type="dxa"/>
          </w:tcPr>
          <w:p w:rsidR="00A54F6E" w:rsidRPr="007F5B4F" w:rsidRDefault="00A54F6E" w:rsidP="00A54F6E">
            <w:pPr>
              <w:pStyle w:val="naisnod"/>
              <w:spacing w:before="0" w:after="0"/>
              <w:ind w:left="57" w:right="57"/>
              <w:jc w:val="left"/>
              <w:rPr>
                <w:b w:val="0"/>
              </w:rPr>
            </w:pPr>
            <w:r w:rsidRPr="007F5B4F">
              <w:rPr>
                <w:b w:val="0"/>
              </w:rPr>
              <w:lastRenderedPageBreak/>
              <w:t>1.</w:t>
            </w:r>
          </w:p>
        </w:tc>
        <w:tc>
          <w:tcPr>
            <w:tcW w:w="5334" w:type="dxa"/>
          </w:tcPr>
          <w:p w:rsidR="00A54F6E" w:rsidRPr="007F5B4F" w:rsidRDefault="00A54F6E" w:rsidP="00A54F6E">
            <w:pPr>
              <w:pStyle w:val="naisf"/>
              <w:spacing w:before="0" w:after="0"/>
              <w:ind w:left="57" w:right="57"/>
            </w:pPr>
            <w:r w:rsidRPr="007F5B4F">
              <w:t xml:space="preserve">Projekta izpildē iesaistītās institūcijas </w:t>
            </w:r>
          </w:p>
        </w:tc>
        <w:tc>
          <w:tcPr>
            <w:tcW w:w="3420" w:type="dxa"/>
          </w:tcPr>
          <w:p w:rsidR="00A54F6E" w:rsidRPr="007F5B4F" w:rsidRDefault="00A54F6E" w:rsidP="00A54F6E">
            <w:pPr>
              <w:pStyle w:val="naisf"/>
              <w:spacing w:before="0" w:after="0"/>
              <w:rPr>
                <w:highlight w:val="yellow"/>
              </w:rPr>
            </w:pPr>
            <w:r w:rsidRPr="007F5B4F">
              <w:t xml:space="preserve">Tiesību akta izpilde notiks esošo valsts institūciju ietvaros. </w:t>
            </w:r>
          </w:p>
        </w:tc>
      </w:tr>
      <w:tr w:rsidR="00A54F6E" w:rsidRPr="007F5B4F" w:rsidTr="00155E37">
        <w:trPr>
          <w:trHeight w:val="463"/>
        </w:trPr>
        <w:tc>
          <w:tcPr>
            <w:tcW w:w="568" w:type="dxa"/>
          </w:tcPr>
          <w:p w:rsidR="00A54F6E" w:rsidRPr="007F5B4F" w:rsidRDefault="00A54F6E" w:rsidP="00A54F6E">
            <w:pPr>
              <w:pStyle w:val="naisnod"/>
              <w:spacing w:before="0" w:after="0"/>
              <w:ind w:left="57" w:right="57"/>
              <w:jc w:val="left"/>
              <w:rPr>
                <w:b w:val="0"/>
              </w:rPr>
            </w:pPr>
            <w:r w:rsidRPr="007F5B4F">
              <w:rPr>
                <w:b w:val="0"/>
              </w:rPr>
              <w:t>2.</w:t>
            </w:r>
          </w:p>
        </w:tc>
        <w:tc>
          <w:tcPr>
            <w:tcW w:w="5334" w:type="dxa"/>
          </w:tcPr>
          <w:p w:rsidR="00A54F6E" w:rsidRPr="007F5B4F" w:rsidRDefault="00A54F6E" w:rsidP="00A54F6E">
            <w:pPr>
              <w:pStyle w:val="naisf"/>
              <w:spacing w:before="0" w:after="0"/>
              <w:ind w:left="57" w:right="57"/>
            </w:pPr>
            <w:r w:rsidRPr="007F5B4F">
              <w:t xml:space="preserve">Projekta izpildes ietekme uz pārvaldes funkcijām </w:t>
            </w:r>
          </w:p>
        </w:tc>
        <w:tc>
          <w:tcPr>
            <w:tcW w:w="3420" w:type="dxa"/>
          </w:tcPr>
          <w:p w:rsidR="00A54F6E" w:rsidRPr="007F5B4F" w:rsidRDefault="00A54F6E" w:rsidP="00A54F6E">
            <w:pPr>
              <w:pStyle w:val="naisnod"/>
              <w:spacing w:before="0" w:after="0"/>
              <w:ind w:left="57" w:right="57" w:firstLine="296"/>
              <w:jc w:val="left"/>
              <w:rPr>
                <w:b w:val="0"/>
              </w:rPr>
            </w:pPr>
            <w:r w:rsidRPr="007F5B4F">
              <w:rPr>
                <w:b w:val="0"/>
                <w:iCs/>
              </w:rPr>
              <w:t>Nav attiecināms.</w:t>
            </w:r>
          </w:p>
        </w:tc>
      </w:tr>
      <w:tr w:rsidR="00A54F6E" w:rsidRPr="007F5B4F" w:rsidTr="00155E37">
        <w:trPr>
          <w:trHeight w:val="725"/>
        </w:trPr>
        <w:tc>
          <w:tcPr>
            <w:tcW w:w="568" w:type="dxa"/>
          </w:tcPr>
          <w:p w:rsidR="00A54F6E" w:rsidRPr="007F5B4F" w:rsidRDefault="00A54F6E" w:rsidP="00A54F6E">
            <w:pPr>
              <w:pStyle w:val="naisnod"/>
              <w:spacing w:before="0" w:after="0"/>
              <w:ind w:left="57" w:right="57"/>
              <w:jc w:val="left"/>
              <w:rPr>
                <w:b w:val="0"/>
              </w:rPr>
            </w:pPr>
            <w:r w:rsidRPr="007F5B4F">
              <w:rPr>
                <w:b w:val="0"/>
              </w:rPr>
              <w:t>3.</w:t>
            </w:r>
          </w:p>
        </w:tc>
        <w:tc>
          <w:tcPr>
            <w:tcW w:w="5334"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Jaunu institūciju izveide</w:t>
            </w:r>
          </w:p>
        </w:tc>
        <w:tc>
          <w:tcPr>
            <w:tcW w:w="3420" w:type="dxa"/>
          </w:tcPr>
          <w:p w:rsidR="00A54F6E" w:rsidRPr="007F5B4F" w:rsidRDefault="00A54F6E" w:rsidP="00A54F6E">
            <w:pPr>
              <w:pStyle w:val="naisnod"/>
              <w:spacing w:before="0" w:after="0"/>
              <w:ind w:left="57" w:right="57" w:firstLine="296"/>
              <w:jc w:val="left"/>
              <w:rPr>
                <w:b w:val="0"/>
                <w:highlight w:val="yellow"/>
              </w:rPr>
            </w:pPr>
            <w:r w:rsidRPr="007F5B4F">
              <w:rPr>
                <w:b w:val="0"/>
              </w:rPr>
              <w:t xml:space="preserve">Jaunas valsts institūcijas netiek radītas. </w:t>
            </w:r>
          </w:p>
        </w:tc>
      </w:tr>
      <w:tr w:rsidR="00A54F6E" w:rsidRPr="007F5B4F" w:rsidTr="00155E37">
        <w:trPr>
          <w:trHeight w:val="780"/>
        </w:trPr>
        <w:tc>
          <w:tcPr>
            <w:tcW w:w="568" w:type="dxa"/>
          </w:tcPr>
          <w:p w:rsidR="00A54F6E" w:rsidRPr="007F5B4F" w:rsidRDefault="00A54F6E" w:rsidP="00A54F6E">
            <w:pPr>
              <w:pStyle w:val="naisnod"/>
              <w:spacing w:before="0" w:after="0"/>
              <w:ind w:left="57" w:right="57"/>
              <w:jc w:val="left"/>
              <w:rPr>
                <w:b w:val="0"/>
              </w:rPr>
            </w:pPr>
            <w:r w:rsidRPr="007F5B4F">
              <w:rPr>
                <w:b w:val="0"/>
              </w:rPr>
              <w:t>4.</w:t>
            </w:r>
          </w:p>
        </w:tc>
        <w:tc>
          <w:tcPr>
            <w:tcW w:w="5334"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Esošu institūciju likvidācija</w:t>
            </w:r>
          </w:p>
        </w:tc>
        <w:tc>
          <w:tcPr>
            <w:tcW w:w="3420" w:type="dxa"/>
          </w:tcPr>
          <w:p w:rsidR="00A54F6E" w:rsidRPr="007F5B4F" w:rsidRDefault="00A54F6E" w:rsidP="00A54F6E">
            <w:pPr>
              <w:pStyle w:val="naisnod"/>
              <w:spacing w:before="0" w:after="0"/>
              <w:ind w:left="57" w:right="57" w:firstLine="296"/>
              <w:jc w:val="left"/>
              <w:rPr>
                <w:b w:val="0"/>
                <w:highlight w:val="yellow"/>
              </w:rPr>
            </w:pPr>
            <w:r w:rsidRPr="007F5B4F">
              <w:rPr>
                <w:b w:val="0"/>
                <w:iCs/>
              </w:rPr>
              <w:t>Nav attiecināms.</w:t>
            </w:r>
          </w:p>
        </w:tc>
      </w:tr>
      <w:tr w:rsidR="00A54F6E" w:rsidRPr="007F5B4F" w:rsidTr="00155E37">
        <w:trPr>
          <w:trHeight w:val="703"/>
        </w:trPr>
        <w:tc>
          <w:tcPr>
            <w:tcW w:w="568" w:type="dxa"/>
          </w:tcPr>
          <w:p w:rsidR="00A54F6E" w:rsidRPr="007F5B4F" w:rsidRDefault="00A54F6E" w:rsidP="00A54F6E">
            <w:pPr>
              <w:pStyle w:val="naisnod"/>
              <w:spacing w:before="0" w:after="0"/>
              <w:ind w:left="57" w:right="57"/>
              <w:jc w:val="left"/>
              <w:rPr>
                <w:b w:val="0"/>
              </w:rPr>
            </w:pPr>
            <w:r w:rsidRPr="007F5B4F">
              <w:rPr>
                <w:b w:val="0"/>
              </w:rPr>
              <w:t>5.</w:t>
            </w:r>
          </w:p>
        </w:tc>
        <w:tc>
          <w:tcPr>
            <w:tcW w:w="5334"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Esošu institūciju reorganizācija</w:t>
            </w:r>
          </w:p>
        </w:tc>
        <w:tc>
          <w:tcPr>
            <w:tcW w:w="3420" w:type="dxa"/>
          </w:tcPr>
          <w:p w:rsidR="00A54F6E" w:rsidRPr="007F5B4F" w:rsidRDefault="00A54F6E" w:rsidP="00A54F6E">
            <w:pPr>
              <w:pStyle w:val="naisnod"/>
              <w:spacing w:before="0" w:after="0"/>
              <w:ind w:left="57" w:right="57" w:firstLine="296"/>
              <w:jc w:val="left"/>
              <w:rPr>
                <w:b w:val="0"/>
              </w:rPr>
            </w:pPr>
            <w:r w:rsidRPr="007F5B4F">
              <w:rPr>
                <w:b w:val="0"/>
                <w:iCs/>
              </w:rPr>
              <w:t>Nav attiecināms.</w:t>
            </w:r>
          </w:p>
        </w:tc>
      </w:tr>
      <w:tr w:rsidR="00A54F6E" w:rsidRPr="007F5B4F" w:rsidTr="00155E37">
        <w:trPr>
          <w:trHeight w:val="476"/>
        </w:trPr>
        <w:tc>
          <w:tcPr>
            <w:tcW w:w="568" w:type="dxa"/>
          </w:tcPr>
          <w:p w:rsidR="00A54F6E" w:rsidRPr="007F5B4F" w:rsidRDefault="00A54F6E" w:rsidP="00A54F6E">
            <w:pPr>
              <w:pStyle w:val="naiskr"/>
              <w:spacing w:before="0" w:after="0"/>
              <w:ind w:left="57" w:right="57"/>
            </w:pPr>
            <w:r w:rsidRPr="007F5B4F">
              <w:t>6.</w:t>
            </w:r>
          </w:p>
        </w:tc>
        <w:tc>
          <w:tcPr>
            <w:tcW w:w="5334" w:type="dxa"/>
          </w:tcPr>
          <w:p w:rsidR="00A54F6E" w:rsidRPr="007F5B4F" w:rsidRDefault="00A54F6E" w:rsidP="00A54F6E">
            <w:pPr>
              <w:pStyle w:val="naiskr"/>
              <w:spacing w:before="0" w:after="0"/>
              <w:ind w:left="57" w:right="57"/>
            </w:pPr>
            <w:r w:rsidRPr="007F5B4F">
              <w:t>Cita informācija</w:t>
            </w:r>
          </w:p>
        </w:tc>
        <w:tc>
          <w:tcPr>
            <w:tcW w:w="3420" w:type="dxa"/>
          </w:tcPr>
          <w:p w:rsidR="00A54F6E" w:rsidRPr="007F5B4F" w:rsidRDefault="00A54F6E" w:rsidP="00A54F6E">
            <w:pPr>
              <w:pStyle w:val="naiskr"/>
              <w:spacing w:before="0" w:after="0"/>
              <w:ind w:left="57" w:right="57" w:firstLine="296"/>
            </w:pPr>
            <w:r w:rsidRPr="007F5B4F">
              <w:t>Nav.</w:t>
            </w:r>
          </w:p>
        </w:tc>
      </w:tr>
    </w:tbl>
    <w:p w:rsidR="00491098" w:rsidRPr="007F5B4F" w:rsidRDefault="00491098" w:rsidP="00D779E9">
      <w:pPr>
        <w:pStyle w:val="naisf"/>
        <w:tabs>
          <w:tab w:val="left" w:pos="6710"/>
        </w:tabs>
        <w:spacing w:before="0" w:beforeAutospacing="0" w:after="0" w:afterAutospacing="0"/>
      </w:pPr>
    </w:p>
    <w:p w:rsidR="00B872C9" w:rsidRDefault="00B872C9" w:rsidP="00155E37">
      <w:pPr>
        <w:tabs>
          <w:tab w:val="right" w:pos="8820"/>
        </w:tabs>
        <w:spacing w:line="240" w:lineRule="auto"/>
        <w:rPr>
          <w:rFonts w:ascii="Times New Roman" w:hAnsi="Times New Roman"/>
          <w:sz w:val="24"/>
          <w:szCs w:val="24"/>
        </w:rPr>
      </w:pPr>
    </w:p>
    <w:p w:rsidR="0001532E" w:rsidRDefault="00C17809" w:rsidP="00155E37">
      <w:pPr>
        <w:tabs>
          <w:tab w:val="right" w:pos="8820"/>
        </w:tabs>
        <w:spacing w:line="240" w:lineRule="auto"/>
        <w:rPr>
          <w:rFonts w:ascii="Times New Roman" w:hAnsi="Times New Roman"/>
          <w:color w:val="000000"/>
          <w:sz w:val="24"/>
          <w:szCs w:val="24"/>
        </w:rPr>
      </w:pPr>
      <w:r>
        <w:rPr>
          <w:rFonts w:ascii="Times New Roman" w:hAnsi="Times New Roman"/>
          <w:sz w:val="24"/>
          <w:szCs w:val="24"/>
        </w:rPr>
        <w:t xml:space="preserve">Tieslietu </w:t>
      </w:r>
      <w:r w:rsidR="007F5B4F" w:rsidRPr="007F5B4F">
        <w:rPr>
          <w:rFonts w:ascii="Times New Roman" w:hAnsi="Times New Roman"/>
          <w:sz w:val="24"/>
          <w:szCs w:val="24"/>
        </w:rPr>
        <w:t xml:space="preserve">ministrs                                                                                         </w:t>
      </w:r>
      <w:r>
        <w:rPr>
          <w:rFonts w:ascii="Times New Roman" w:hAnsi="Times New Roman"/>
          <w:color w:val="000000"/>
          <w:sz w:val="24"/>
          <w:szCs w:val="24"/>
        </w:rPr>
        <w:t>A.Štokenbergs</w:t>
      </w:r>
    </w:p>
    <w:p w:rsidR="00B872C9" w:rsidRPr="007F5B4F" w:rsidRDefault="00B872C9" w:rsidP="00155E37">
      <w:pPr>
        <w:tabs>
          <w:tab w:val="right" w:pos="8820"/>
        </w:tabs>
        <w:spacing w:line="240" w:lineRule="auto"/>
        <w:rPr>
          <w:rFonts w:ascii="Times New Roman" w:hAnsi="Times New Roman"/>
          <w:sz w:val="24"/>
          <w:szCs w:val="24"/>
        </w:rPr>
      </w:pPr>
    </w:p>
    <w:p w:rsidR="007F5B4F" w:rsidRPr="007F5B4F" w:rsidRDefault="00C17809" w:rsidP="007F5B4F">
      <w:pPr>
        <w:spacing w:after="0" w:line="240" w:lineRule="auto"/>
        <w:rPr>
          <w:rFonts w:ascii="Times New Roman" w:hAnsi="Times New Roman"/>
          <w:sz w:val="20"/>
          <w:szCs w:val="20"/>
        </w:rPr>
      </w:pPr>
      <w:r>
        <w:rPr>
          <w:rFonts w:ascii="Times New Roman" w:hAnsi="Times New Roman"/>
          <w:sz w:val="20"/>
          <w:szCs w:val="20"/>
        </w:rPr>
        <w:t>04.01.2011. 10</w:t>
      </w:r>
      <w:r w:rsidR="00F004B6">
        <w:rPr>
          <w:rFonts w:ascii="Times New Roman" w:hAnsi="Times New Roman"/>
          <w:sz w:val="20"/>
          <w:szCs w:val="20"/>
        </w:rPr>
        <w:t>:10</w:t>
      </w:r>
    </w:p>
    <w:p w:rsidR="007F5B4F" w:rsidRPr="007F5B4F" w:rsidRDefault="00C17809" w:rsidP="007F5B4F">
      <w:pPr>
        <w:spacing w:after="0" w:line="240" w:lineRule="auto"/>
        <w:rPr>
          <w:rFonts w:ascii="Times New Roman" w:hAnsi="Times New Roman"/>
          <w:sz w:val="20"/>
          <w:szCs w:val="20"/>
        </w:rPr>
      </w:pPr>
      <w:r>
        <w:rPr>
          <w:rFonts w:ascii="Times New Roman" w:hAnsi="Times New Roman"/>
          <w:sz w:val="20"/>
          <w:szCs w:val="20"/>
        </w:rPr>
        <w:t>17</w:t>
      </w:r>
      <w:r w:rsidR="00B872C9">
        <w:rPr>
          <w:rFonts w:ascii="Times New Roman" w:hAnsi="Times New Roman"/>
          <w:sz w:val="20"/>
          <w:szCs w:val="20"/>
        </w:rPr>
        <w:t>54</w:t>
      </w:r>
    </w:p>
    <w:p w:rsidR="009F0AF7" w:rsidRDefault="009F0AF7" w:rsidP="007F5B4F">
      <w:pPr>
        <w:spacing w:after="0" w:line="240" w:lineRule="auto"/>
        <w:rPr>
          <w:rFonts w:ascii="Times New Roman" w:hAnsi="Times New Roman"/>
          <w:sz w:val="20"/>
          <w:szCs w:val="20"/>
        </w:rPr>
      </w:pPr>
      <w:proofErr w:type="spellStart"/>
      <w:r>
        <w:rPr>
          <w:rFonts w:ascii="Times New Roman" w:hAnsi="Times New Roman"/>
          <w:sz w:val="20"/>
          <w:szCs w:val="20"/>
        </w:rPr>
        <w:t>M.Papsujevičs</w:t>
      </w:r>
      <w:proofErr w:type="spellEnd"/>
    </w:p>
    <w:p w:rsidR="006E196A" w:rsidRPr="00155E37" w:rsidRDefault="009F0AF7" w:rsidP="007F5B4F">
      <w:pPr>
        <w:spacing w:after="0" w:line="240" w:lineRule="auto"/>
        <w:rPr>
          <w:rFonts w:ascii="Times New Roman" w:hAnsi="Times New Roman"/>
          <w:sz w:val="20"/>
          <w:szCs w:val="20"/>
        </w:rPr>
      </w:pPr>
      <w:r>
        <w:rPr>
          <w:rFonts w:ascii="Times New Roman" w:hAnsi="Times New Roman"/>
          <w:sz w:val="20"/>
          <w:szCs w:val="20"/>
        </w:rPr>
        <w:t xml:space="preserve">67021128, </w:t>
      </w:r>
      <w:smartTag w:uri="urn:schemas-microsoft-com:office:smarttags" w:element="PersonName">
        <w:r>
          <w:rPr>
            <w:rFonts w:ascii="Times New Roman" w:hAnsi="Times New Roman"/>
            <w:sz w:val="20"/>
            <w:szCs w:val="20"/>
          </w:rPr>
          <w:t>mihails.papsujevics@vpd.gov.lv</w:t>
        </w:r>
      </w:smartTag>
    </w:p>
    <w:sectPr w:rsidR="006E196A" w:rsidRPr="00155E37" w:rsidSect="00DF572D">
      <w:headerReference w:type="default" r:id="rId8"/>
      <w:footerReference w:type="default" r:id="rId9"/>
      <w:footerReference w:type="first" r:id="rId10"/>
      <w:pgSz w:w="11906" w:h="16838"/>
      <w:pgMar w:top="1276" w:right="1134" w:bottom="1560" w:left="1701" w:header="709" w:footer="7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6F" w:rsidRDefault="0008086F" w:rsidP="0075141E">
      <w:pPr>
        <w:spacing w:after="0" w:line="240" w:lineRule="auto"/>
      </w:pPr>
      <w:r>
        <w:separator/>
      </w:r>
    </w:p>
  </w:endnote>
  <w:endnote w:type="continuationSeparator" w:id="1">
    <w:p w:rsidR="0008086F" w:rsidRDefault="0008086F" w:rsidP="0075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6" w:rsidRPr="004A1B2F" w:rsidRDefault="00F004B6" w:rsidP="004A1B2F">
    <w:pPr>
      <w:pStyle w:val="Kjene"/>
      <w:rPr>
        <w:rFonts w:ascii="Times New Roman" w:hAnsi="Times New Roman"/>
        <w:sz w:val="20"/>
        <w:szCs w:val="20"/>
      </w:rPr>
    </w:pPr>
    <w:r w:rsidRPr="004A1B2F">
      <w:rPr>
        <w:rFonts w:ascii="Times New Roman" w:hAnsi="Times New Roman"/>
        <w:sz w:val="20"/>
        <w:szCs w:val="20"/>
      </w:rPr>
      <w:t>TMAnot_</w:t>
    </w:r>
    <w:r w:rsidR="00C17809">
      <w:rPr>
        <w:rFonts w:ascii="Times New Roman" w:hAnsi="Times New Roman"/>
        <w:sz w:val="20"/>
        <w:szCs w:val="20"/>
      </w:rPr>
      <w:t>040111</w:t>
    </w:r>
    <w:r>
      <w:rPr>
        <w:rFonts w:ascii="Times New Roman" w:hAnsi="Times New Roman"/>
        <w:sz w:val="20"/>
        <w:szCs w:val="20"/>
      </w:rPr>
      <w:t>_prob</w:t>
    </w:r>
    <w:r w:rsidRPr="004A1B2F">
      <w:rPr>
        <w:rFonts w:ascii="Times New Roman" w:hAnsi="Times New Roman"/>
        <w:sz w:val="20"/>
        <w:szCs w:val="20"/>
      </w:rPr>
      <w:t>; Likumpro</w:t>
    </w:r>
    <w:r>
      <w:rPr>
        <w:rFonts w:ascii="Times New Roman" w:hAnsi="Times New Roman"/>
        <w:sz w:val="20"/>
        <w:szCs w:val="20"/>
      </w:rPr>
      <w:t>jekta „Grozījumi Valsts probācijas dienesta likumā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F004B6" w:rsidRPr="0098555C" w:rsidRDefault="00F004B6" w:rsidP="0098555C">
    <w:pPr>
      <w:pStyle w:val="ParastaisWeb"/>
      <w:spacing w:before="0" w:beforeAutospacing="0" w:after="0" w:afterAutospacing="0"/>
      <w:jc w:val="both"/>
      <w:rPr>
        <w:rFonts w:ascii="Times New Roman" w:hAnsi="Times New Roman"/>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6" w:rsidRPr="004A1B2F" w:rsidRDefault="00F004B6" w:rsidP="004A1B2F">
    <w:pPr>
      <w:pStyle w:val="Kjene"/>
      <w:rPr>
        <w:rFonts w:ascii="Times New Roman" w:hAnsi="Times New Roman"/>
        <w:sz w:val="20"/>
        <w:szCs w:val="20"/>
      </w:rPr>
    </w:pPr>
    <w:r w:rsidRPr="004A1B2F">
      <w:rPr>
        <w:rFonts w:ascii="Times New Roman" w:hAnsi="Times New Roman"/>
        <w:sz w:val="20"/>
        <w:szCs w:val="20"/>
      </w:rPr>
      <w:t>TMAnot_</w:t>
    </w:r>
    <w:r w:rsidR="00C17809">
      <w:rPr>
        <w:rFonts w:ascii="Times New Roman" w:hAnsi="Times New Roman"/>
        <w:sz w:val="20"/>
        <w:szCs w:val="20"/>
      </w:rPr>
      <w:t>040111</w:t>
    </w:r>
    <w:r>
      <w:rPr>
        <w:rFonts w:ascii="Times New Roman" w:hAnsi="Times New Roman"/>
        <w:sz w:val="20"/>
        <w:szCs w:val="20"/>
      </w:rPr>
      <w:t>_prob</w:t>
    </w:r>
    <w:r w:rsidRPr="004A1B2F">
      <w:rPr>
        <w:rFonts w:ascii="Times New Roman" w:hAnsi="Times New Roman"/>
        <w:sz w:val="20"/>
        <w:szCs w:val="20"/>
      </w:rPr>
      <w:t>; Likumpr</w:t>
    </w:r>
    <w:r>
      <w:rPr>
        <w:rFonts w:ascii="Times New Roman" w:hAnsi="Times New Roman"/>
        <w:sz w:val="20"/>
        <w:szCs w:val="20"/>
      </w:rPr>
      <w:t>ojekta „Grozījumi Valsts probācijas dienesta likumā</w:t>
    </w:r>
    <w:r w:rsidRPr="004A1B2F">
      <w:rPr>
        <w:rFonts w:ascii="Times New Roman" w:hAnsi="Times New Roman"/>
        <w:sz w:val="20"/>
        <w:szCs w:val="20"/>
      </w:rPr>
      <w:t>”</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F004B6" w:rsidRPr="0098555C" w:rsidRDefault="00F004B6" w:rsidP="00B90B55">
    <w:pPr>
      <w:pStyle w:val="ParastaisWeb"/>
      <w:spacing w:before="0" w:beforeAutospacing="0" w:after="0" w:afterAutospacing="0"/>
      <w:jc w:val="both"/>
      <w:rPr>
        <w:rFonts w:ascii="Times New Roman" w:hAnsi="Times New Roman"/>
        <w:sz w:val="22"/>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6F" w:rsidRDefault="0008086F" w:rsidP="0075141E">
      <w:pPr>
        <w:spacing w:after="0" w:line="240" w:lineRule="auto"/>
      </w:pPr>
      <w:r>
        <w:separator/>
      </w:r>
    </w:p>
  </w:footnote>
  <w:footnote w:type="continuationSeparator" w:id="1">
    <w:p w:rsidR="0008086F" w:rsidRDefault="0008086F" w:rsidP="0075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4E" w:rsidRDefault="004E67FD">
    <w:pPr>
      <w:pStyle w:val="Galvene"/>
      <w:jc w:val="center"/>
    </w:pPr>
    <w:fldSimple w:instr=" PAGE   \* MERGEFORMAT ">
      <w:r w:rsidR="00BB19DE">
        <w:rPr>
          <w:noProof/>
        </w:rPr>
        <w:t>8</w:t>
      </w:r>
    </w:fldSimple>
  </w:p>
  <w:p w:rsidR="00F004B6" w:rsidRPr="002226F8" w:rsidRDefault="00F004B6" w:rsidP="0001022C">
    <w:pPr>
      <w:pStyle w:val="Galvene"/>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0D4A46"/>
    <w:multiLevelType w:val="hybridMultilevel"/>
    <w:tmpl w:val="0804DED6"/>
    <w:lvl w:ilvl="0" w:tplc="AD808774">
      <w:start w:val="1"/>
      <w:numFmt w:val="decimal"/>
      <w:lvlText w:val="%1."/>
      <w:lvlJc w:val="left"/>
      <w:pPr>
        <w:ind w:left="930" w:hanging="57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B2284"/>
    <w:rsid w:val="00000C18"/>
    <w:rsid w:val="00003D5F"/>
    <w:rsid w:val="0001022C"/>
    <w:rsid w:val="0001532E"/>
    <w:rsid w:val="0003359C"/>
    <w:rsid w:val="00036706"/>
    <w:rsid w:val="00052839"/>
    <w:rsid w:val="00064D75"/>
    <w:rsid w:val="0008039A"/>
    <w:rsid w:val="0008086F"/>
    <w:rsid w:val="00083E7E"/>
    <w:rsid w:val="0009500A"/>
    <w:rsid w:val="000A2889"/>
    <w:rsid w:val="000A4CAA"/>
    <w:rsid w:val="000A5DF2"/>
    <w:rsid w:val="000B17B7"/>
    <w:rsid w:val="000B2284"/>
    <w:rsid w:val="000C2331"/>
    <w:rsid w:val="000C49D7"/>
    <w:rsid w:val="000C53F8"/>
    <w:rsid w:val="000C56DE"/>
    <w:rsid w:val="000E35D7"/>
    <w:rsid w:val="000E6DA8"/>
    <w:rsid w:val="00102FA8"/>
    <w:rsid w:val="001060E8"/>
    <w:rsid w:val="00111EFE"/>
    <w:rsid w:val="00113107"/>
    <w:rsid w:val="001156BD"/>
    <w:rsid w:val="00117C1A"/>
    <w:rsid w:val="0012480A"/>
    <w:rsid w:val="001251C9"/>
    <w:rsid w:val="00126EDD"/>
    <w:rsid w:val="0014037E"/>
    <w:rsid w:val="00155E37"/>
    <w:rsid w:val="00170D18"/>
    <w:rsid w:val="001737B3"/>
    <w:rsid w:val="00184685"/>
    <w:rsid w:val="0019033D"/>
    <w:rsid w:val="00190788"/>
    <w:rsid w:val="001944EC"/>
    <w:rsid w:val="001A084C"/>
    <w:rsid w:val="001A3511"/>
    <w:rsid w:val="001A5F17"/>
    <w:rsid w:val="001B7460"/>
    <w:rsid w:val="001D3187"/>
    <w:rsid w:val="001E3942"/>
    <w:rsid w:val="001E4DFF"/>
    <w:rsid w:val="001E5A9B"/>
    <w:rsid w:val="001E73E5"/>
    <w:rsid w:val="001F22AF"/>
    <w:rsid w:val="001F4362"/>
    <w:rsid w:val="00200A0D"/>
    <w:rsid w:val="00206A98"/>
    <w:rsid w:val="00207417"/>
    <w:rsid w:val="00210764"/>
    <w:rsid w:val="00212389"/>
    <w:rsid w:val="00214864"/>
    <w:rsid w:val="00220A56"/>
    <w:rsid w:val="00222130"/>
    <w:rsid w:val="00226F81"/>
    <w:rsid w:val="002450D9"/>
    <w:rsid w:val="00250AD3"/>
    <w:rsid w:val="0025133F"/>
    <w:rsid w:val="00267085"/>
    <w:rsid w:val="00272A2F"/>
    <w:rsid w:val="00283A98"/>
    <w:rsid w:val="002846A4"/>
    <w:rsid w:val="002A7965"/>
    <w:rsid w:val="002B019F"/>
    <w:rsid w:val="002C45E0"/>
    <w:rsid w:val="002C4B3E"/>
    <w:rsid w:val="002C620D"/>
    <w:rsid w:val="002C7EAA"/>
    <w:rsid w:val="002F4582"/>
    <w:rsid w:val="002F72D1"/>
    <w:rsid w:val="00300233"/>
    <w:rsid w:val="00301937"/>
    <w:rsid w:val="00301E8C"/>
    <w:rsid w:val="003139F3"/>
    <w:rsid w:val="00316070"/>
    <w:rsid w:val="003244DC"/>
    <w:rsid w:val="00324F76"/>
    <w:rsid w:val="0032714C"/>
    <w:rsid w:val="003404D9"/>
    <w:rsid w:val="003472CD"/>
    <w:rsid w:val="003518B6"/>
    <w:rsid w:val="0037046C"/>
    <w:rsid w:val="003762DA"/>
    <w:rsid w:val="00380040"/>
    <w:rsid w:val="0038449F"/>
    <w:rsid w:val="003972B7"/>
    <w:rsid w:val="003A6A98"/>
    <w:rsid w:val="003B5281"/>
    <w:rsid w:val="003B7570"/>
    <w:rsid w:val="003C3A00"/>
    <w:rsid w:val="003E627F"/>
    <w:rsid w:val="00403BCD"/>
    <w:rsid w:val="00407B95"/>
    <w:rsid w:val="00407D3B"/>
    <w:rsid w:val="00416D64"/>
    <w:rsid w:val="00417FF8"/>
    <w:rsid w:val="00424B0C"/>
    <w:rsid w:val="004419E6"/>
    <w:rsid w:val="00453364"/>
    <w:rsid w:val="00453E7E"/>
    <w:rsid w:val="00460C1A"/>
    <w:rsid w:val="00464F21"/>
    <w:rsid w:val="00470203"/>
    <w:rsid w:val="0047088B"/>
    <w:rsid w:val="004729B2"/>
    <w:rsid w:val="00476DFF"/>
    <w:rsid w:val="004814E8"/>
    <w:rsid w:val="00491098"/>
    <w:rsid w:val="00491E68"/>
    <w:rsid w:val="00495923"/>
    <w:rsid w:val="004A1B2F"/>
    <w:rsid w:val="004A5ACA"/>
    <w:rsid w:val="004B61E1"/>
    <w:rsid w:val="004C1620"/>
    <w:rsid w:val="004C5FEF"/>
    <w:rsid w:val="004D6706"/>
    <w:rsid w:val="004D7F73"/>
    <w:rsid w:val="004E305C"/>
    <w:rsid w:val="004E67FD"/>
    <w:rsid w:val="004F5D33"/>
    <w:rsid w:val="004F7276"/>
    <w:rsid w:val="004F731E"/>
    <w:rsid w:val="00510C42"/>
    <w:rsid w:val="00536DFF"/>
    <w:rsid w:val="00537594"/>
    <w:rsid w:val="00551DB5"/>
    <w:rsid w:val="0055307D"/>
    <w:rsid w:val="00555EA8"/>
    <w:rsid w:val="005567F3"/>
    <w:rsid w:val="00560801"/>
    <w:rsid w:val="00560AEA"/>
    <w:rsid w:val="00571005"/>
    <w:rsid w:val="0057432D"/>
    <w:rsid w:val="00574DDC"/>
    <w:rsid w:val="00597789"/>
    <w:rsid w:val="005A3A3E"/>
    <w:rsid w:val="005B176C"/>
    <w:rsid w:val="005B3650"/>
    <w:rsid w:val="005C0678"/>
    <w:rsid w:val="005C1C08"/>
    <w:rsid w:val="005C30B0"/>
    <w:rsid w:val="005C3608"/>
    <w:rsid w:val="005C409A"/>
    <w:rsid w:val="005C7E89"/>
    <w:rsid w:val="005D0C92"/>
    <w:rsid w:val="005D4B2B"/>
    <w:rsid w:val="005F1518"/>
    <w:rsid w:val="006033EB"/>
    <w:rsid w:val="006163C5"/>
    <w:rsid w:val="006260E7"/>
    <w:rsid w:val="006301AC"/>
    <w:rsid w:val="00631CFD"/>
    <w:rsid w:val="00641722"/>
    <w:rsid w:val="00641E61"/>
    <w:rsid w:val="0064312A"/>
    <w:rsid w:val="0064366F"/>
    <w:rsid w:val="00644783"/>
    <w:rsid w:val="00646DE3"/>
    <w:rsid w:val="00685963"/>
    <w:rsid w:val="006861E0"/>
    <w:rsid w:val="00693334"/>
    <w:rsid w:val="0069444E"/>
    <w:rsid w:val="00695F75"/>
    <w:rsid w:val="006A0410"/>
    <w:rsid w:val="006A5FFD"/>
    <w:rsid w:val="006B101E"/>
    <w:rsid w:val="006B2DC5"/>
    <w:rsid w:val="006C2D83"/>
    <w:rsid w:val="006C3CE8"/>
    <w:rsid w:val="006C6DAA"/>
    <w:rsid w:val="006D4D97"/>
    <w:rsid w:val="006E196A"/>
    <w:rsid w:val="006E4240"/>
    <w:rsid w:val="006E51BD"/>
    <w:rsid w:val="006F6472"/>
    <w:rsid w:val="006F6739"/>
    <w:rsid w:val="0070036D"/>
    <w:rsid w:val="007045AE"/>
    <w:rsid w:val="007149F6"/>
    <w:rsid w:val="00721E5F"/>
    <w:rsid w:val="0072657B"/>
    <w:rsid w:val="00727196"/>
    <w:rsid w:val="0073463A"/>
    <w:rsid w:val="0073477B"/>
    <w:rsid w:val="0073700D"/>
    <w:rsid w:val="00740DB9"/>
    <w:rsid w:val="00745AF9"/>
    <w:rsid w:val="007506B1"/>
    <w:rsid w:val="0075141E"/>
    <w:rsid w:val="007544A0"/>
    <w:rsid w:val="00763884"/>
    <w:rsid w:val="00770429"/>
    <w:rsid w:val="007737B0"/>
    <w:rsid w:val="007751E2"/>
    <w:rsid w:val="00782A4D"/>
    <w:rsid w:val="0078704D"/>
    <w:rsid w:val="00787A0D"/>
    <w:rsid w:val="00791EF3"/>
    <w:rsid w:val="007A182C"/>
    <w:rsid w:val="007A2E40"/>
    <w:rsid w:val="007A5FF6"/>
    <w:rsid w:val="007B4DD0"/>
    <w:rsid w:val="007C096C"/>
    <w:rsid w:val="007C6B16"/>
    <w:rsid w:val="007D350E"/>
    <w:rsid w:val="007E1A4B"/>
    <w:rsid w:val="007E4D22"/>
    <w:rsid w:val="007E6A8A"/>
    <w:rsid w:val="007F2FAB"/>
    <w:rsid w:val="007F5B4F"/>
    <w:rsid w:val="007F704F"/>
    <w:rsid w:val="00804C36"/>
    <w:rsid w:val="0083153D"/>
    <w:rsid w:val="008315F2"/>
    <w:rsid w:val="00836E18"/>
    <w:rsid w:val="00844033"/>
    <w:rsid w:val="008457ED"/>
    <w:rsid w:val="00850C27"/>
    <w:rsid w:val="008513BA"/>
    <w:rsid w:val="008575E9"/>
    <w:rsid w:val="008670BC"/>
    <w:rsid w:val="0086797B"/>
    <w:rsid w:val="00871BE4"/>
    <w:rsid w:val="00874505"/>
    <w:rsid w:val="00877E0D"/>
    <w:rsid w:val="00880D07"/>
    <w:rsid w:val="008937B9"/>
    <w:rsid w:val="008B066B"/>
    <w:rsid w:val="008B307C"/>
    <w:rsid w:val="008B3526"/>
    <w:rsid w:val="008C5536"/>
    <w:rsid w:val="008C69BF"/>
    <w:rsid w:val="008C7255"/>
    <w:rsid w:val="008D02DB"/>
    <w:rsid w:val="008D1442"/>
    <w:rsid w:val="008D28B8"/>
    <w:rsid w:val="008F62BA"/>
    <w:rsid w:val="008F6F47"/>
    <w:rsid w:val="00905415"/>
    <w:rsid w:val="0090706C"/>
    <w:rsid w:val="00912648"/>
    <w:rsid w:val="00915E74"/>
    <w:rsid w:val="0092248D"/>
    <w:rsid w:val="00922DD7"/>
    <w:rsid w:val="009273E4"/>
    <w:rsid w:val="00927637"/>
    <w:rsid w:val="00943233"/>
    <w:rsid w:val="0094476E"/>
    <w:rsid w:val="009476E9"/>
    <w:rsid w:val="00953BCF"/>
    <w:rsid w:val="00960F90"/>
    <w:rsid w:val="0096322B"/>
    <w:rsid w:val="00967022"/>
    <w:rsid w:val="00975754"/>
    <w:rsid w:val="00976B23"/>
    <w:rsid w:val="0098555C"/>
    <w:rsid w:val="00992F2A"/>
    <w:rsid w:val="009969C6"/>
    <w:rsid w:val="009B04E3"/>
    <w:rsid w:val="009C4E6A"/>
    <w:rsid w:val="009C6167"/>
    <w:rsid w:val="009E4B7B"/>
    <w:rsid w:val="009E741D"/>
    <w:rsid w:val="009F0AF7"/>
    <w:rsid w:val="009F2C01"/>
    <w:rsid w:val="009F2D63"/>
    <w:rsid w:val="00A019E8"/>
    <w:rsid w:val="00A12DF0"/>
    <w:rsid w:val="00A139DF"/>
    <w:rsid w:val="00A17953"/>
    <w:rsid w:val="00A24FFD"/>
    <w:rsid w:val="00A271A2"/>
    <w:rsid w:val="00A31DA0"/>
    <w:rsid w:val="00A3479C"/>
    <w:rsid w:val="00A36C5F"/>
    <w:rsid w:val="00A44E6D"/>
    <w:rsid w:val="00A47B3D"/>
    <w:rsid w:val="00A54F6E"/>
    <w:rsid w:val="00A566BD"/>
    <w:rsid w:val="00A61167"/>
    <w:rsid w:val="00A6398E"/>
    <w:rsid w:val="00A65F4C"/>
    <w:rsid w:val="00A67868"/>
    <w:rsid w:val="00A70CB8"/>
    <w:rsid w:val="00A8385D"/>
    <w:rsid w:val="00A8429A"/>
    <w:rsid w:val="00A91395"/>
    <w:rsid w:val="00A94A9F"/>
    <w:rsid w:val="00A94E43"/>
    <w:rsid w:val="00A979BA"/>
    <w:rsid w:val="00AA2F5E"/>
    <w:rsid w:val="00AA4376"/>
    <w:rsid w:val="00AA6B75"/>
    <w:rsid w:val="00AB0B1F"/>
    <w:rsid w:val="00AB3946"/>
    <w:rsid w:val="00AC7D07"/>
    <w:rsid w:val="00AF1562"/>
    <w:rsid w:val="00AF2824"/>
    <w:rsid w:val="00AF2FF2"/>
    <w:rsid w:val="00AF6250"/>
    <w:rsid w:val="00AF70DF"/>
    <w:rsid w:val="00B03A37"/>
    <w:rsid w:val="00B03F68"/>
    <w:rsid w:val="00B2016F"/>
    <w:rsid w:val="00B2538C"/>
    <w:rsid w:val="00B25AD9"/>
    <w:rsid w:val="00B31EB9"/>
    <w:rsid w:val="00B33756"/>
    <w:rsid w:val="00B41C17"/>
    <w:rsid w:val="00B514B7"/>
    <w:rsid w:val="00B51DED"/>
    <w:rsid w:val="00B61B60"/>
    <w:rsid w:val="00B872C9"/>
    <w:rsid w:val="00B9073A"/>
    <w:rsid w:val="00B90B55"/>
    <w:rsid w:val="00BA076B"/>
    <w:rsid w:val="00BA11AB"/>
    <w:rsid w:val="00BB19DE"/>
    <w:rsid w:val="00BC42DD"/>
    <w:rsid w:val="00BD538E"/>
    <w:rsid w:val="00BE2F72"/>
    <w:rsid w:val="00BF1107"/>
    <w:rsid w:val="00BF744A"/>
    <w:rsid w:val="00C03361"/>
    <w:rsid w:val="00C065DE"/>
    <w:rsid w:val="00C103E2"/>
    <w:rsid w:val="00C16ECF"/>
    <w:rsid w:val="00C17809"/>
    <w:rsid w:val="00C271B0"/>
    <w:rsid w:val="00C318EC"/>
    <w:rsid w:val="00C43463"/>
    <w:rsid w:val="00C62CF8"/>
    <w:rsid w:val="00C6389D"/>
    <w:rsid w:val="00C64287"/>
    <w:rsid w:val="00C76262"/>
    <w:rsid w:val="00C82817"/>
    <w:rsid w:val="00C86677"/>
    <w:rsid w:val="00C869A2"/>
    <w:rsid w:val="00C95D7D"/>
    <w:rsid w:val="00CA5F0B"/>
    <w:rsid w:val="00CA7A3E"/>
    <w:rsid w:val="00CB42CC"/>
    <w:rsid w:val="00CC26B5"/>
    <w:rsid w:val="00CC3F7F"/>
    <w:rsid w:val="00CD264C"/>
    <w:rsid w:val="00CE2F01"/>
    <w:rsid w:val="00CE5EFF"/>
    <w:rsid w:val="00CE688D"/>
    <w:rsid w:val="00CE7A64"/>
    <w:rsid w:val="00CF2F05"/>
    <w:rsid w:val="00D00409"/>
    <w:rsid w:val="00D05A4A"/>
    <w:rsid w:val="00D06DDE"/>
    <w:rsid w:val="00D1739C"/>
    <w:rsid w:val="00D34702"/>
    <w:rsid w:val="00D61532"/>
    <w:rsid w:val="00D62E6E"/>
    <w:rsid w:val="00D71057"/>
    <w:rsid w:val="00D777C5"/>
    <w:rsid w:val="00D779E9"/>
    <w:rsid w:val="00D93B17"/>
    <w:rsid w:val="00D96CA8"/>
    <w:rsid w:val="00D975AB"/>
    <w:rsid w:val="00DA4432"/>
    <w:rsid w:val="00DB1AE0"/>
    <w:rsid w:val="00DC08FA"/>
    <w:rsid w:val="00DC7EC7"/>
    <w:rsid w:val="00DD40AD"/>
    <w:rsid w:val="00DD677E"/>
    <w:rsid w:val="00DE39AD"/>
    <w:rsid w:val="00DF551D"/>
    <w:rsid w:val="00DF572D"/>
    <w:rsid w:val="00DF6FED"/>
    <w:rsid w:val="00E0004D"/>
    <w:rsid w:val="00E00D01"/>
    <w:rsid w:val="00E01E97"/>
    <w:rsid w:val="00E05831"/>
    <w:rsid w:val="00E125CF"/>
    <w:rsid w:val="00E12E22"/>
    <w:rsid w:val="00E14E55"/>
    <w:rsid w:val="00E22068"/>
    <w:rsid w:val="00E247B5"/>
    <w:rsid w:val="00E268E2"/>
    <w:rsid w:val="00E2701D"/>
    <w:rsid w:val="00E27C25"/>
    <w:rsid w:val="00E30499"/>
    <w:rsid w:val="00E336D3"/>
    <w:rsid w:val="00E33CFC"/>
    <w:rsid w:val="00E3615C"/>
    <w:rsid w:val="00E410EB"/>
    <w:rsid w:val="00E4163F"/>
    <w:rsid w:val="00E47FC8"/>
    <w:rsid w:val="00E55905"/>
    <w:rsid w:val="00E63E01"/>
    <w:rsid w:val="00E657C9"/>
    <w:rsid w:val="00E72CB3"/>
    <w:rsid w:val="00E75CDC"/>
    <w:rsid w:val="00E803B8"/>
    <w:rsid w:val="00E9024E"/>
    <w:rsid w:val="00E92797"/>
    <w:rsid w:val="00E92CAA"/>
    <w:rsid w:val="00E9507B"/>
    <w:rsid w:val="00EA427B"/>
    <w:rsid w:val="00EA4983"/>
    <w:rsid w:val="00EA7F4D"/>
    <w:rsid w:val="00EB16C1"/>
    <w:rsid w:val="00EB4F33"/>
    <w:rsid w:val="00ED50B5"/>
    <w:rsid w:val="00ED7F7F"/>
    <w:rsid w:val="00EE5EFC"/>
    <w:rsid w:val="00EF0B2C"/>
    <w:rsid w:val="00EF46EF"/>
    <w:rsid w:val="00F004B6"/>
    <w:rsid w:val="00F0209C"/>
    <w:rsid w:val="00F06AE9"/>
    <w:rsid w:val="00F178B3"/>
    <w:rsid w:val="00F40DE2"/>
    <w:rsid w:val="00F430A0"/>
    <w:rsid w:val="00F5374A"/>
    <w:rsid w:val="00F546E5"/>
    <w:rsid w:val="00F67595"/>
    <w:rsid w:val="00F7476F"/>
    <w:rsid w:val="00F813F4"/>
    <w:rsid w:val="00F82F63"/>
    <w:rsid w:val="00F91B75"/>
    <w:rsid w:val="00F92030"/>
    <w:rsid w:val="00F94CB3"/>
    <w:rsid w:val="00FA1518"/>
    <w:rsid w:val="00FA24BD"/>
    <w:rsid w:val="00FA2F7B"/>
    <w:rsid w:val="00FA2FA7"/>
    <w:rsid w:val="00FA6849"/>
    <w:rsid w:val="00FB273C"/>
    <w:rsid w:val="00FB32E0"/>
    <w:rsid w:val="00FD18BF"/>
    <w:rsid w:val="00FD7C8D"/>
    <w:rsid w:val="00FE0208"/>
    <w:rsid w:val="00FE799D"/>
    <w:rsid w:val="00FE7A58"/>
    <w:rsid w:val="00FF05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2284"/>
    <w:pPr>
      <w:spacing w:after="200" w:line="276" w:lineRule="auto"/>
    </w:pPr>
    <w:rPr>
      <w:sz w:val="22"/>
      <w:szCs w:val="22"/>
      <w:lang w:eastAsia="en-US"/>
    </w:rPr>
  </w:style>
  <w:style w:type="paragraph" w:styleId="Virsraksts1">
    <w:name w:val="heading 1"/>
    <w:basedOn w:val="Parastais"/>
    <w:link w:val="Virsraksts1Rakstz"/>
    <w:uiPriority w:val="9"/>
    <w:qFormat/>
    <w:rsid w:val="001D3187"/>
    <w:pPr>
      <w:spacing w:after="0" w:line="240" w:lineRule="auto"/>
      <w:outlineLvl w:val="0"/>
    </w:pPr>
    <w:rPr>
      <w:rFonts w:ascii="Tahoma" w:eastAsia="Times New Roman"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0B2284"/>
    <w:pPr>
      <w:tabs>
        <w:tab w:val="center" w:pos="4153"/>
        <w:tab w:val="right" w:pos="8306"/>
      </w:tabs>
    </w:pPr>
  </w:style>
  <w:style w:type="character" w:customStyle="1" w:styleId="GalveneRakstz">
    <w:name w:val="Galvene Rakstz."/>
    <w:basedOn w:val="Noklusjumarindkopasfonts"/>
    <w:link w:val="Galvene"/>
    <w:uiPriority w:val="99"/>
    <w:rsid w:val="000B2284"/>
    <w:rPr>
      <w:rFonts w:ascii="Calibri" w:eastAsia="Calibri" w:hAnsi="Calibri" w:cs="Times New Roman"/>
    </w:rPr>
  </w:style>
  <w:style w:type="paragraph" w:styleId="Kjene">
    <w:name w:val="footer"/>
    <w:basedOn w:val="Parastais"/>
    <w:link w:val="KjeneRakstz"/>
    <w:uiPriority w:val="99"/>
    <w:unhideWhenUsed/>
    <w:rsid w:val="000B2284"/>
    <w:pPr>
      <w:tabs>
        <w:tab w:val="center" w:pos="4153"/>
        <w:tab w:val="right" w:pos="8306"/>
      </w:tabs>
    </w:pPr>
  </w:style>
  <w:style w:type="character" w:customStyle="1" w:styleId="KjeneRakstz">
    <w:name w:val="Kājene Rakstz."/>
    <w:basedOn w:val="Noklusjumarindkopasfonts"/>
    <w:link w:val="Kjene"/>
    <w:uiPriority w:val="99"/>
    <w:rsid w:val="000B2284"/>
    <w:rPr>
      <w:rFonts w:ascii="Calibri" w:eastAsia="Calibri" w:hAnsi="Calibri" w:cs="Times New Roman"/>
    </w:rPr>
  </w:style>
  <w:style w:type="character" w:styleId="Hipersaite">
    <w:name w:val="Hyperlink"/>
    <w:basedOn w:val="Noklusjumarindkopasfonts"/>
    <w:uiPriority w:val="99"/>
    <w:unhideWhenUsed/>
    <w:rsid w:val="000B2284"/>
    <w:rPr>
      <w:color w:val="0000FF"/>
      <w:u w:val="single"/>
    </w:rPr>
  </w:style>
  <w:style w:type="paragraph" w:customStyle="1" w:styleId="StyleRight">
    <w:name w:val="Style Right"/>
    <w:basedOn w:val="Parastais"/>
    <w:rsid w:val="000B2284"/>
    <w:pPr>
      <w:spacing w:after="120" w:line="240" w:lineRule="auto"/>
      <w:ind w:firstLine="720"/>
      <w:jc w:val="right"/>
    </w:pPr>
    <w:rPr>
      <w:rFonts w:ascii="Times New Roman" w:eastAsia="Times New Roman" w:hAnsi="Times New Roman"/>
      <w:sz w:val="28"/>
      <w:szCs w:val="28"/>
    </w:rPr>
  </w:style>
  <w:style w:type="paragraph" w:styleId="ParastaisWeb">
    <w:name w:val="Normal (Web)"/>
    <w:basedOn w:val="Parastais"/>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Izteiksmgs">
    <w:name w:val="Strong"/>
    <w:basedOn w:val="Noklusjumarindkopasfonts"/>
    <w:uiPriority w:val="22"/>
    <w:qFormat/>
    <w:rsid w:val="000B2284"/>
    <w:rPr>
      <w:b/>
      <w:bCs/>
    </w:rPr>
  </w:style>
  <w:style w:type="paragraph" w:customStyle="1" w:styleId="Char">
    <w:name w:val="Char"/>
    <w:basedOn w:val="Parastais"/>
    <w:next w:val="Parastais"/>
    <w:rsid w:val="00E12E22"/>
    <w:pPr>
      <w:spacing w:before="120" w:after="160" w:line="240" w:lineRule="exact"/>
      <w:ind w:firstLine="720"/>
      <w:jc w:val="both"/>
    </w:pPr>
    <w:rPr>
      <w:rFonts w:ascii="Verdana" w:eastAsia="Times New Roman" w:hAnsi="Verdana"/>
      <w:sz w:val="20"/>
      <w:szCs w:val="20"/>
      <w:lang w:val="en-US"/>
    </w:rPr>
  </w:style>
  <w:style w:type="paragraph" w:customStyle="1" w:styleId="Sarakstarindkopa1">
    <w:name w:val="Saraksta rindkopa1"/>
    <w:basedOn w:val="Parastais"/>
    <w:uiPriority w:val="34"/>
    <w:qFormat/>
    <w:rsid w:val="008C7255"/>
    <w:pPr>
      <w:ind w:left="720"/>
      <w:contextualSpacing/>
    </w:pPr>
  </w:style>
  <w:style w:type="paragraph" w:customStyle="1" w:styleId="Char0">
    <w:name w:val="Char"/>
    <w:basedOn w:val="Parastais"/>
    <w:next w:val="Parastais"/>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Parastais"/>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ais"/>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Parastais"/>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ais"/>
    <w:rsid w:val="00D1739C"/>
    <w:pPr>
      <w:spacing w:before="75" w:after="75" w:line="240" w:lineRule="auto"/>
      <w:jc w:val="center"/>
    </w:pPr>
    <w:rPr>
      <w:rFonts w:ascii="Times New Roman" w:eastAsia="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9"/>
    <w:rsid w:val="001D3187"/>
    <w:rPr>
      <w:rFonts w:ascii="Tahoma" w:eastAsia="Times New Roman" w:hAnsi="Tahoma" w:cs="Tahoma"/>
      <w:b/>
      <w:bCs/>
      <w:kern w:val="36"/>
      <w:sz w:val="38"/>
      <w:szCs w:val="38"/>
    </w:rPr>
  </w:style>
  <w:style w:type="paragraph" w:customStyle="1" w:styleId="naispant">
    <w:name w:val="naispant"/>
    <w:basedOn w:val="Parastais"/>
    <w:rsid w:val="00272A2F"/>
    <w:pPr>
      <w:spacing w:before="300" w:after="150" w:line="240" w:lineRule="auto"/>
      <w:ind w:left="375" w:firstLine="375"/>
      <w:jc w:val="both"/>
    </w:pPr>
    <w:rPr>
      <w:rFonts w:ascii="Times New Roman" w:eastAsia="Times New Roman" w:hAnsi="Times New Roman"/>
      <w:b/>
      <w:bCs/>
      <w:sz w:val="24"/>
      <w:szCs w:val="24"/>
      <w:lang w:eastAsia="lv-LV"/>
    </w:rPr>
  </w:style>
  <w:style w:type="paragraph" w:styleId="Pamattekstsaratkpi">
    <w:name w:val="Body Text Indent"/>
    <w:basedOn w:val="Parastais"/>
    <w:link w:val="PamattekstsaratkpiRakstz"/>
    <w:uiPriority w:val="99"/>
    <w:rsid w:val="00DB1AE0"/>
    <w:pPr>
      <w:spacing w:after="0" w:line="240" w:lineRule="auto"/>
      <w:ind w:firstLine="720"/>
      <w:jc w:val="both"/>
    </w:pPr>
    <w:rPr>
      <w:rFonts w:ascii="Times New Roman" w:eastAsia="Times New Roman" w:hAnsi="Times New Roman"/>
      <w:sz w:val="24"/>
      <w:szCs w:val="24"/>
      <w:lang w:eastAsia="ru-RU"/>
    </w:rPr>
  </w:style>
  <w:style w:type="character" w:customStyle="1" w:styleId="PamattekstsaratkpiRakstz">
    <w:name w:val="Pamatteksts ar atkāpi Rakstz."/>
    <w:basedOn w:val="Noklusjumarindkopasfonts"/>
    <w:link w:val="Pamattekstsaratkpi"/>
    <w:uiPriority w:val="99"/>
    <w:rsid w:val="00DB1AE0"/>
    <w:rPr>
      <w:rFonts w:ascii="Times New Roman" w:eastAsia="Times New Roman" w:hAnsi="Times New Roman"/>
      <w:sz w:val="24"/>
      <w:szCs w:val="24"/>
      <w:lang w:eastAsia="ru-RU"/>
    </w:rPr>
  </w:style>
  <w:style w:type="paragraph" w:styleId="Vresteksts">
    <w:name w:val="footnote text"/>
    <w:basedOn w:val="Parastais"/>
    <w:link w:val="VrestekstsRakstz"/>
    <w:semiHidden/>
    <w:rsid w:val="00052839"/>
    <w:pPr>
      <w:spacing w:after="0" w:line="240" w:lineRule="auto"/>
    </w:pPr>
    <w:rPr>
      <w:rFonts w:ascii="Times New Roman" w:eastAsia="Times New Roman" w:hAnsi="Times New Roman"/>
      <w:sz w:val="20"/>
      <w:szCs w:val="20"/>
      <w:lang w:eastAsia="ru-RU"/>
    </w:rPr>
  </w:style>
  <w:style w:type="character" w:customStyle="1" w:styleId="VrestekstsRakstz">
    <w:name w:val="Vēres teksts Rakstz."/>
    <w:basedOn w:val="Noklusjumarindkopasfonts"/>
    <w:link w:val="Vresteksts"/>
    <w:semiHidden/>
    <w:rsid w:val="00052839"/>
    <w:rPr>
      <w:rFonts w:ascii="Times New Roman" w:eastAsia="Times New Roman" w:hAnsi="Times New Roman"/>
      <w:lang w:eastAsia="ru-RU"/>
    </w:rPr>
  </w:style>
  <w:style w:type="character" w:styleId="Vresatsauce">
    <w:name w:val="footnote reference"/>
    <w:basedOn w:val="Noklusjumarindkopasfonts"/>
    <w:semiHidden/>
    <w:rsid w:val="00052839"/>
    <w:rPr>
      <w:rFonts w:cs="Times New Roman"/>
      <w:vertAlign w:val="superscript"/>
    </w:rPr>
  </w:style>
  <w:style w:type="character" w:customStyle="1" w:styleId="iil-resultnotpaid1">
    <w:name w:val="iil-resultnotpaid1"/>
    <w:basedOn w:val="Noklusjumarindkopasfonts"/>
    <w:rsid w:val="004F7276"/>
    <w:rPr>
      <w:rFonts w:ascii="Arial" w:hAnsi="Arial" w:cs="Arial" w:hint="default"/>
      <w:color w:val="0F1478"/>
      <w:sz w:val="15"/>
      <w:szCs w:val="15"/>
    </w:rPr>
  </w:style>
  <w:style w:type="paragraph" w:styleId="Pamatteksts">
    <w:name w:val="Body Text"/>
    <w:basedOn w:val="Parastais"/>
    <w:link w:val="PamattekstsRakstz"/>
    <w:uiPriority w:val="99"/>
    <w:unhideWhenUsed/>
    <w:rsid w:val="00E47FC8"/>
    <w:pPr>
      <w:spacing w:after="120"/>
    </w:pPr>
  </w:style>
  <w:style w:type="character" w:customStyle="1" w:styleId="PamattekstsRakstz">
    <w:name w:val="Pamatteksts Rakstz."/>
    <w:basedOn w:val="Noklusjumarindkopasfonts"/>
    <w:link w:val="Pamatteksts"/>
    <w:uiPriority w:val="99"/>
    <w:rsid w:val="00E47FC8"/>
    <w:rPr>
      <w:sz w:val="22"/>
      <w:szCs w:val="22"/>
      <w:lang w:eastAsia="en-US"/>
    </w:rPr>
  </w:style>
  <w:style w:type="character" w:styleId="Komentraatsauce">
    <w:name w:val="annotation reference"/>
    <w:basedOn w:val="Noklusjumarindkopasfonts"/>
    <w:uiPriority w:val="99"/>
    <w:semiHidden/>
    <w:unhideWhenUsed/>
    <w:rsid w:val="00967022"/>
    <w:rPr>
      <w:sz w:val="16"/>
      <w:szCs w:val="16"/>
    </w:rPr>
  </w:style>
  <w:style w:type="paragraph" w:styleId="Komentrateksts">
    <w:name w:val="annotation text"/>
    <w:basedOn w:val="Parastais"/>
    <w:link w:val="KomentratekstsRakstz"/>
    <w:uiPriority w:val="99"/>
    <w:semiHidden/>
    <w:unhideWhenUsed/>
    <w:rsid w:val="00967022"/>
    <w:rPr>
      <w:sz w:val="20"/>
      <w:szCs w:val="20"/>
    </w:rPr>
  </w:style>
  <w:style w:type="character" w:customStyle="1" w:styleId="KomentratekstsRakstz">
    <w:name w:val="Komentāra teksts Rakstz."/>
    <w:basedOn w:val="Noklusjumarindkopasfonts"/>
    <w:link w:val="Komentrateksts"/>
    <w:uiPriority w:val="99"/>
    <w:semiHidden/>
    <w:rsid w:val="00967022"/>
    <w:rPr>
      <w:lang w:eastAsia="en-US"/>
    </w:rPr>
  </w:style>
  <w:style w:type="paragraph" w:styleId="Komentratma">
    <w:name w:val="annotation subject"/>
    <w:basedOn w:val="Komentrateksts"/>
    <w:next w:val="Komentrateksts"/>
    <w:link w:val="KomentratmaRakstz"/>
    <w:uiPriority w:val="99"/>
    <w:semiHidden/>
    <w:unhideWhenUsed/>
    <w:rsid w:val="00967022"/>
    <w:rPr>
      <w:b/>
      <w:bCs/>
    </w:rPr>
  </w:style>
  <w:style w:type="character" w:customStyle="1" w:styleId="KomentratmaRakstz">
    <w:name w:val="Komentāra tēma Rakstz."/>
    <w:basedOn w:val="KomentratekstsRakstz"/>
    <w:link w:val="Komentratma"/>
    <w:uiPriority w:val="99"/>
    <w:semiHidden/>
    <w:rsid w:val="00967022"/>
    <w:rPr>
      <w:b/>
      <w:bCs/>
    </w:rPr>
  </w:style>
  <w:style w:type="paragraph" w:styleId="Balonteksts">
    <w:name w:val="Balloon Text"/>
    <w:basedOn w:val="Parastais"/>
    <w:link w:val="BalontekstsRakstz"/>
    <w:uiPriority w:val="99"/>
    <w:semiHidden/>
    <w:unhideWhenUsed/>
    <w:rsid w:val="009670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70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1220626660">
      <w:bodyDiv w:val="1"/>
      <w:marLeft w:val="0"/>
      <w:marRight w:val="0"/>
      <w:marTop w:val="0"/>
      <w:marBottom w:val="0"/>
      <w:divBdr>
        <w:top w:val="none" w:sz="0" w:space="0" w:color="auto"/>
        <w:left w:val="none" w:sz="0" w:space="0" w:color="auto"/>
        <w:bottom w:val="none" w:sz="0" w:space="0" w:color="auto"/>
        <w:right w:val="none" w:sz="0" w:space="0" w:color="auto"/>
      </w:divBdr>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AEDB-7BE0-4033-94DF-97F942C7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9073</Words>
  <Characters>5173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probācijas dienesta likumā” sākotnējās ietekmes novērtējuma ziņojums (anotācija)</vt:lpstr>
      <vt:lpstr>Likumprojekts „Grozījumi Civilprocesa likumā”</vt:lpstr>
    </vt:vector>
  </TitlesOfParts>
  <Company>LR Ekonomikas ministrija</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probācijas dienesta likumā” sākotnējās ietekmes novērtējuma ziņojums (anotācija)</dc:title>
  <dc:subject>Anotācija</dc:subject>
  <dc:creator>M.Papsujevičs_x000d_
67021128, mihails.papsujevics@vpd.gov.lv</dc:creator>
  <cp:lastModifiedBy>uz1401</cp:lastModifiedBy>
  <cp:revision>3</cp:revision>
  <cp:lastPrinted>2010-11-24T13:10:00Z</cp:lastPrinted>
  <dcterms:created xsi:type="dcterms:W3CDTF">2011-01-18T10:20:00Z</dcterms:created>
  <dcterms:modified xsi:type="dcterms:W3CDTF">2011-01-18T10:22:00Z</dcterms:modified>
</cp:coreProperties>
</file>