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8" w:rsidRPr="00632EF8" w:rsidRDefault="00E14098" w:rsidP="00D14D31">
      <w:pPr>
        <w:pStyle w:val="naislab"/>
        <w:spacing w:before="0" w:after="0"/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_GoBack"/>
      <w:bookmarkEnd w:id="4"/>
      <w:r w:rsidRPr="00632EF8">
        <w:rPr>
          <w:b/>
        </w:rPr>
        <w:t>Ministru kabineta noteikumu projekta</w:t>
      </w:r>
      <w:bookmarkEnd w:id="0"/>
      <w:bookmarkEnd w:id="1"/>
    </w:p>
    <w:p w:rsidR="00E14098" w:rsidRDefault="00E14098" w:rsidP="00897C76">
      <w:pPr>
        <w:pStyle w:val="Pamatteksts"/>
        <w:ind w:firstLine="0"/>
        <w:jc w:val="left"/>
        <w:rPr>
          <w:sz w:val="24"/>
          <w:szCs w:val="24"/>
        </w:rPr>
      </w:pPr>
      <w:r w:rsidRPr="00E67E03">
        <w:rPr>
          <w:sz w:val="24"/>
          <w:szCs w:val="24"/>
        </w:rPr>
        <w:t>„Grozījum</w:t>
      </w:r>
      <w:r>
        <w:rPr>
          <w:sz w:val="24"/>
          <w:szCs w:val="24"/>
        </w:rPr>
        <w:t>s</w:t>
      </w:r>
      <w:r w:rsidRPr="00E67E03">
        <w:rPr>
          <w:sz w:val="24"/>
          <w:szCs w:val="24"/>
        </w:rPr>
        <w:t xml:space="preserve"> Ministru kabineta 2005.gada 19.aprīļa noteikumos Nr.267 „Noteikumi par uzticama sertifikācijas pakalpojumu sniedzēja civiltiesiskās atbildības minimālo apdrošināšanas summu””</w:t>
      </w:r>
      <w:bookmarkStart w:id="5" w:name="OLE_LINK3"/>
      <w:bookmarkStart w:id="6" w:name="OLE_LINK4"/>
      <w:r w:rsidRPr="00E67E03">
        <w:rPr>
          <w:sz w:val="24"/>
          <w:szCs w:val="24"/>
        </w:rPr>
        <w:t xml:space="preserve"> sākotnējās ietekmes novērtējuma ziņojums (anotācija)</w:t>
      </w:r>
      <w:bookmarkEnd w:id="5"/>
      <w:bookmarkEnd w:id="6"/>
    </w:p>
    <w:p w:rsidR="00E14098" w:rsidRPr="00E67E03" w:rsidRDefault="00E14098" w:rsidP="00897C76">
      <w:pPr>
        <w:pStyle w:val="Pamatteksts"/>
        <w:ind w:firstLine="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89"/>
        <w:gridCol w:w="5123"/>
      </w:tblGrid>
      <w:tr w:rsidR="00E14098" w:rsidRPr="00CB6475" w:rsidTr="00897C76">
        <w:tc>
          <w:tcPr>
            <w:tcW w:w="9037" w:type="dxa"/>
            <w:gridSpan w:val="3"/>
            <w:vAlign w:val="center"/>
          </w:tcPr>
          <w:bookmarkEnd w:id="2"/>
          <w:bookmarkEnd w:id="3"/>
          <w:p w:rsidR="00E14098" w:rsidRDefault="00E14098" w:rsidP="00497DD9">
            <w:pPr>
              <w:pStyle w:val="naisnod"/>
              <w:spacing w:before="0" w:after="0"/>
            </w:pPr>
            <w:r w:rsidRPr="00497DD9">
              <w:t>I. Tiesību akta projekta izstrādes nepieciešamība</w:t>
            </w:r>
          </w:p>
          <w:p w:rsidR="00E14098" w:rsidRPr="00CB6475" w:rsidRDefault="00E14098" w:rsidP="00497DD9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E14098" w:rsidRPr="00CB6475" w:rsidTr="00897C76">
        <w:trPr>
          <w:trHeight w:val="630"/>
        </w:trPr>
        <w:tc>
          <w:tcPr>
            <w:tcW w:w="425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1.</w:t>
            </w:r>
          </w:p>
        </w:tc>
        <w:tc>
          <w:tcPr>
            <w:tcW w:w="3489" w:type="dxa"/>
          </w:tcPr>
          <w:p w:rsidR="00E14098" w:rsidRPr="00497DD9" w:rsidRDefault="00E14098" w:rsidP="006C4607">
            <w:pPr>
              <w:pStyle w:val="naiskr"/>
              <w:spacing w:before="0" w:after="0"/>
              <w:ind w:hanging="10"/>
            </w:pPr>
            <w:r w:rsidRPr="00497DD9">
              <w:rPr>
                <w:sz w:val="22"/>
                <w:szCs w:val="22"/>
              </w:rPr>
              <w:t>Pamatojums</w:t>
            </w:r>
          </w:p>
        </w:tc>
        <w:tc>
          <w:tcPr>
            <w:tcW w:w="5123" w:type="dxa"/>
          </w:tcPr>
          <w:p w:rsidR="00E14098" w:rsidRPr="00497DD9" w:rsidRDefault="00E14098" w:rsidP="00897C76">
            <w:pPr>
              <w:pStyle w:val="naiskr"/>
              <w:spacing w:before="0" w:after="0"/>
              <w:ind w:left="100" w:right="34" w:firstLine="427"/>
              <w:jc w:val="both"/>
            </w:pPr>
            <w:r w:rsidRPr="003A7F65">
              <w:rPr>
                <w:i/>
              </w:rPr>
              <w:t>Euro</w:t>
            </w:r>
            <w:r>
              <w:t xml:space="preserve"> ieviešanas kārtības likuma 30.panta pirmā daļa, Ministru kabineta 2012.gada 27.jūnija rīkojuma Nr.282 „Par „Koncepciju par normatīvo aktu sakārtošanu saistībā ar eiro ieviešanu Latvijā”” 1.1.2.apakšpunkts un Latvijas Nacionālā </w:t>
            </w:r>
            <w:r w:rsidRPr="003A7F65">
              <w:rPr>
                <w:i/>
              </w:rPr>
              <w:t>euro</w:t>
            </w:r>
            <w:r>
              <w:t xml:space="preserve"> ieviešanas plāna (apstiprināts ar Ministru kabineta 2013.gada 4.aprīļa rīkojumu Nr.136) 1.pielikuma J2.2.1 pasākums.</w:t>
            </w:r>
          </w:p>
        </w:tc>
      </w:tr>
      <w:tr w:rsidR="00E14098" w:rsidRPr="00CB6475" w:rsidTr="00897C76">
        <w:trPr>
          <w:trHeight w:val="472"/>
        </w:trPr>
        <w:tc>
          <w:tcPr>
            <w:tcW w:w="425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2.</w:t>
            </w:r>
          </w:p>
        </w:tc>
        <w:tc>
          <w:tcPr>
            <w:tcW w:w="3489" w:type="dxa"/>
          </w:tcPr>
          <w:p w:rsidR="00E14098" w:rsidRPr="00497DD9" w:rsidRDefault="00E14098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497DD9">
              <w:rPr>
                <w:sz w:val="22"/>
                <w:szCs w:val="22"/>
              </w:rPr>
              <w:t>Pašreizējā situācija un problēmas</w:t>
            </w:r>
          </w:p>
        </w:tc>
        <w:tc>
          <w:tcPr>
            <w:tcW w:w="5123" w:type="dxa"/>
          </w:tcPr>
          <w:p w:rsidR="00E14098" w:rsidRPr="0095485C" w:rsidRDefault="00E14098" w:rsidP="00897C76">
            <w:pPr>
              <w:ind w:left="100" w:right="34" w:firstLine="427"/>
              <w:jc w:val="both"/>
            </w:pPr>
            <w:r>
              <w:rPr>
                <w:kern w:val="1"/>
                <w:lang w:eastAsia="ar-SA"/>
              </w:rPr>
              <w:t xml:space="preserve">Ņemot vērā, ka ar 2014.gada 1.janvāri Latvijā plānots ieviest </w:t>
            </w:r>
            <w:r w:rsidRPr="003A7F65">
              <w:rPr>
                <w:i/>
              </w:rPr>
              <w:t>euro</w:t>
            </w:r>
            <w:r>
              <w:rPr>
                <w:kern w:val="1"/>
                <w:lang w:eastAsia="ar-SA"/>
              </w:rPr>
              <w:t xml:space="preserve">, ir nepieciešams veikt grozījumu Ministru kabineta </w:t>
            </w:r>
            <w:r w:rsidRPr="00EE60A0">
              <w:rPr>
                <w:kern w:val="1"/>
                <w:lang w:eastAsia="ar-SA"/>
              </w:rPr>
              <w:t>2005.gada 19.aprīļa noteikumos Nr.267 „Noteikumi par uzticama sertifikācijas pakalpojumu sniedzēja civiltiesiskās atbildība</w:t>
            </w:r>
            <w:r>
              <w:rPr>
                <w:kern w:val="1"/>
                <w:lang w:eastAsia="ar-SA"/>
              </w:rPr>
              <w:t>s minimālo apdrošināšanas summu” (turpmāk – MK noteikumi Nr.267)</w:t>
            </w:r>
            <w:r>
              <w:t xml:space="preserve">, aizstājot tajos latus ar </w:t>
            </w:r>
            <w:r w:rsidRPr="003A7F65">
              <w:rPr>
                <w:i/>
              </w:rPr>
              <w:t>euro</w:t>
            </w:r>
            <w:r>
              <w:t xml:space="preserve">. </w:t>
            </w:r>
          </w:p>
        </w:tc>
      </w:tr>
      <w:tr w:rsidR="00E14098" w:rsidRPr="00CB6475" w:rsidTr="00897C76">
        <w:trPr>
          <w:trHeight w:val="699"/>
        </w:trPr>
        <w:tc>
          <w:tcPr>
            <w:tcW w:w="425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3.</w:t>
            </w:r>
          </w:p>
        </w:tc>
        <w:tc>
          <w:tcPr>
            <w:tcW w:w="3489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Saistītie politikas ietekmes novērtējumi un pētījumi</w:t>
            </w:r>
          </w:p>
        </w:tc>
        <w:tc>
          <w:tcPr>
            <w:tcW w:w="5123" w:type="dxa"/>
          </w:tcPr>
          <w:p w:rsidR="00E14098" w:rsidRPr="00497DD9" w:rsidRDefault="00E14098" w:rsidP="00D47F77">
            <w:pPr>
              <w:pStyle w:val="naiskr"/>
              <w:spacing w:before="0" w:after="0"/>
              <w:ind w:left="100" w:right="34" w:firstLine="427"/>
            </w:pPr>
            <w:r w:rsidRPr="00497DD9">
              <w:t>Projekts šo jomu neskar.</w:t>
            </w:r>
          </w:p>
        </w:tc>
      </w:tr>
      <w:tr w:rsidR="00E14098" w:rsidRPr="00CB6475" w:rsidTr="00897C76">
        <w:trPr>
          <w:trHeight w:val="384"/>
        </w:trPr>
        <w:tc>
          <w:tcPr>
            <w:tcW w:w="425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4.</w:t>
            </w:r>
          </w:p>
        </w:tc>
        <w:tc>
          <w:tcPr>
            <w:tcW w:w="3489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Tiesiskā regulējuma mērķis un būtība</w:t>
            </w:r>
          </w:p>
        </w:tc>
        <w:tc>
          <w:tcPr>
            <w:tcW w:w="5123" w:type="dxa"/>
          </w:tcPr>
          <w:p w:rsidR="00E14098" w:rsidRDefault="00E14098" w:rsidP="00D47F77">
            <w:pPr>
              <w:pStyle w:val="naiskr"/>
              <w:spacing w:before="0" w:after="0"/>
              <w:ind w:left="100" w:right="34" w:firstLine="4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Šā projekta mērķis ir pielāgot MK noteikumus Nr.267 </w:t>
            </w:r>
            <w:r w:rsidRPr="003A7F65">
              <w:rPr>
                <w:i/>
                <w:lang w:eastAsia="en-US"/>
              </w:rPr>
              <w:t>euro</w:t>
            </w:r>
            <w:r>
              <w:rPr>
                <w:lang w:eastAsia="en-US"/>
              </w:rPr>
              <w:t xml:space="preserve"> ieviešanai, aizstājot tajos latus ar </w:t>
            </w:r>
            <w:r w:rsidRPr="003A7F65">
              <w:rPr>
                <w:i/>
              </w:rPr>
              <w:t>euro</w:t>
            </w:r>
            <w:r>
              <w:rPr>
                <w:lang w:eastAsia="en-US"/>
              </w:rPr>
              <w:t xml:space="preserve">. </w:t>
            </w:r>
          </w:p>
          <w:p w:rsidR="00E14098" w:rsidRDefault="00E14098" w:rsidP="00D47F77">
            <w:pPr>
              <w:pStyle w:val="naiskr"/>
              <w:spacing w:before="0" w:after="0"/>
              <w:ind w:left="100" w:right="34" w:firstLine="4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Šis projekts paredz aizstāt attiecīgajā normatīvajā aktā latus ar </w:t>
            </w:r>
            <w:r w:rsidRPr="00291E8E">
              <w:rPr>
                <w:i/>
                <w:lang w:eastAsia="en-US"/>
              </w:rPr>
              <w:t>euro</w:t>
            </w:r>
            <w:r>
              <w:rPr>
                <w:lang w:eastAsia="en-US"/>
              </w:rPr>
              <w:t xml:space="preserve"> atbilstoši </w:t>
            </w:r>
            <w:r w:rsidRPr="00291E8E">
              <w:rPr>
                <w:i/>
                <w:lang w:eastAsia="en-US"/>
              </w:rPr>
              <w:t>Euro</w:t>
            </w:r>
            <w:r>
              <w:rPr>
                <w:lang w:eastAsia="en-US"/>
              </w:rPr>
              <w:t xml:space="preserve"> ieviešanas kārtības likuma 32.panta otrās daļas 2. punktā paredzētajiem principiem.</w:t>
            </w:r>
          </w:p>
          <w:p w:rsidR="00E14098" w:rsidRDefault="00E14098" w:rsidP="00D47F77">
            <w:pPr>
              <w:pStyle w:val="naiskr"/>
              <w:spacing w:before="0" w:after="0"/>
              <w:ind w:left="100" w:right="34" w:firstLine="4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Grozītajā tiesību normā ir ietverta uzticama sertifikācijas pakalpojumu sniedzēja civiltiesiskās atbildības minimālā apdrošināšanas summa, kas, pielāgojot to </w:t>
            </w:r>
            <w:r w:rsidRPr="003213D2">
              <w:rPr>
                <w:i/>
                <w:color w:val="000000"/>
              </w:rPr>
              <w:t>euro</w:t>
            </w:r>
            <w:r>
              <w:rPr>
                <w:color w:val="000000"/>
              </w:rPr>
              <w:t xml:space="preserve"> ieviešanai, ir noapaļota uz leju līdz veseliem desmitiem </w:t>
            </w:r>
            <w:r w:rsidRPr="00533AE3">
              <w:rPr>
                <w:i/>
                <w:color w:val="000000"/>
              </w:rPr>
              <w:t>euro</w:t>
            </w:r>
            <w:r>
              <w:rPr>
                <w:color w:val="000000"/>
              </w:rPr>
              <w:t xml:space="preserve"> (</w:t>
            </w:r>
            <w:r>
              <w:rPr>
                <w:lang w:eastAsia="en-US"/>
              </w:rPr>
              <w:t>u</w:t>
            </w:r>
            <w:r w:rsidRPr="00626554">
              <w:rPr>
                <w:lang w:eastAsia="en-US"/>
              </w:rPr>
              <w:t>zticama sertifikācijas pakalpojumu sniedzēja civiltiesiskās atbildība</w:t>
            </w:r>
            <w:r>
              <w:rPr>
                <w:lang w:eastAsia="en-US"/>
              </w:rPr>
              <w:t xml:space="preserve">s minimālā apdrošināšanas summa samazināta par 1,54 </w:t>
            </w:r>
            <w:r w:rsidRPr="00BC0DCE">
              <w:rPr>
                <w:i/>
                <w:color w:val="000000"/>
              </w:rPr>
              <w:t>euro</w:t>
            </w:r>
            <w:r>
              <w:rPr>
                <w:color w:val="000000"/>
              </w:rPr>
              <w:t xml:space="preserve">, salīdzinot ar šobrīd spēkā esošo summu latos). Summa noapaļota uz leju līdz veseliem desmitiem </w:t>
            </w:r>
            <w:r>
              <w:rPr>
                <w:i/>
                <w:color w:val="000000"/>
              </w:rPr>
              <w:t>euro</w:t>
            </w:r>
            <w:r>
              <w:rPr>
                <w:color w:val="000000"/>
              </w:rPr>
              <w:t>, lai minimālā apdrošināšanas summa būtu izteikta veselos skaitļos, tādējādi padarot normatīvo aktu vieglāk uztveramu.</w:t>
            </w:r>
          </w:p>
          <w:p w:rsidR="00E14098" w:rsidRDefault="00E14098" w:rsidP="00D47F77">
            <w:pPr>
              <w:pStyle w:val="naisnod"/>
              <w:spacing w:before="0" w:after="0"/>
              <w:ind w:left="100" w:right="34" w:firstLine="427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Grozītās tiesību normas </w:t>
            </w:r>
            <w:r>
              <w:rPr>
                <w:b w:val="0"/>
                <w:i/>
                <w:color w:val="000000"/>
              </w:rPr>
              <w:t xml:space="preserve">euro </w:t>
            </w:r>
            <w:r>
              <w:rPr>
                <w:b w:val="0"/>
                <w:color w:val="000000"/>
              </w:rPr>
              <w:t>valūtā nav personai nelabvēlīgākas par šobrīd spēkā esošajām tiesību normām, kurās skaitliskā vērtība izteikta latos, un tās nerada ietekmi uz valsts budžetu.</w:t>
            </w:r>
          </w:p>
          <w:p w:rsidR="00E14098" w:rsidRPr="00497DD9" w:rsidRDefault="00E14098" w:rsidP="00D47F77">
            <w:pPr>
              <w:pStyle w:val="naiskr"/>
              <w:spacing w:before="0" w:after="0"/>
              <w:ind w:left="100" w:right="34" w:firstLine="427"/>
              <w:jc w:val="both"/>
              <w:rPr>
                <w:lang w:eastAsia="en-US"/>
              </w:rPr>
            </w:pPr>
            <w:r w:rsidRPr="006D3989">
              <w:lastRenderedPageBreak/>
              <w:t xml:space="preserve">Pārrēķins no latiem uz </w:t>
            </w:r>
            <w:r w:rsidRPr="006D3989">
              <w:rPr>
                <w:i/>
              </w:rPr>
              <w:t>euro</w:t>
            </w:r>
            <w:r w:rsidRPr="006D3989">
              <w:t xml:space="preserve"> ietverts šīs anotācijas pielikumā.</w:t>
            </w:r>
          </w:p>
        </w:tc>
      </w:tr>
      <w:tr w:rsidR="00E14098" w:rsidRPr="00CB6475" w:rsidTr="00897C76">
        <w:trPr>
          <w:trHeight w:val="476"/>
        </w:trPr>
        <w:tc>
          <w:tcPr>
            <w:tcW w:w="425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89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5123" w:type="dxa"/>
          </w:tcPr>
          <w:p w:rsidR="00E14098" w:rsidRPr="00497DD9" w:rsidRDefault="00E14098" w:rsidP="00897C76">
            <w:pPr>
              <w:pStyle w:val="naiskr"/>
              <w:spacing w:before="0" w:after="0"/>
              <w:ind w:firstLine="527"/>
              <w:jc w:val="both"/>
            </w:pPr>
            <w:r>
              <w:t>Tieslietu ministrija, Datu valsts inspekcija.</w:t>
            </w:r>
            <w:r w:rsidRPr="00497DD9">
              <w:t xml:space="preserve"> </w:t>
            </w:r>
          </w:p>
        </w:tc>
      </w:tr>
      <w:tr w:rsidR="00E14098" w:rsidRPr="00CB6475" w:rsidTr="00897C76">
        <w:trPr>
          <w:trHeight w:val="934"/>
        </w:trPr>
        <w:tc>
          <w:tcPr>
            <w:tcW w:w="425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6.</w:t>
            </w:r>
          </w:p>
        </w:tc>
        <w:tc>
          <w:tcPr>
            <w:tcW w:w="3489" w:type="dxa"/>
          </w:tcPr>
          <w:p w:rsidR="00E14098" w:rsidRPr="00497DD9" w:rsidRDefault="00E14098" w:rsidP="006C4607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497DD9">
              <w:rPr>
                <w:sz w:val="22"/>
                <w:szCs w:val="22"/>
              </w:rPr>
              <w:t>Iemesli, kādēļ netika nodrošināta sabiedrības līdzdalība</w:t>
            </w:r>
          </w:p>
        </w:tc>
        <w:tc>
          <w:tcPr>
            <w:tcW w:w="5123" w:type="dxa"/>
          </w:tcPr>
          <w:p w:rsidR="00E14098" w:rsidRPr="00497DD9" w:rsidRDefault="00E14098" w:rsidP="00D47F77">
            <w:pPr>
              <w:pStyle w:val="naiskr"/>
              <w:spacing w:before="0" w:after="0"/>
              <w:ind w:left="100" w:right="34" w:firstLine="427"/>
              <w:jc w:val="both"/>
            </w:pPr>
            <w:r>
              <w:rPr>
                <w:iCs/>
              </w:rPr>
              <w:t xml:space="preserve">Sabiedrības līdzdalība projekta izstrādē netika nodrošināta, jo projekts nemaina pastāvošo tiesisko regulējumu pēc būtības, bet tikai aizstāj latus ar </w:t>
            </w:r>
            <w:r w:rsidRPr="003A7F65">
              <w:rPr>
                <w:i/>
              </w:rPr>
              <w:t>euro</w:t>
            </w:r>
            <w:r>
              <w:rPr>
                <w:iCs/>
              </w:rPr>
              <w:t>.</w:t>
            </w:r>
          </w:p>
        </w:tc>
      </w:tr>
      <w:tr w:rsidR="00E14098" w:rsidRPr="00CB6475" w:rsidTr="00897C76">
        <w:tc>
          <w:tcPr>
            <w:tcW w:w="425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7.</w:t>
            </w:r>
          </w:p>
        </w:tc>
        <w:tc>
          <w:tcPr>
            <w:tcW w:w="3489" w:type="dxa"/>
          </w:tcPr>
          <w:p w:rsidR="00E14098" w:rsidRPr="00497DD9" w:rsidRDefault="00E14098" w:rsidP="006C4607">
            <w:pPr>
              <w:pStyle w:val="naiskr"/>
              <w:spacing w:before="0" w:after="0"/>
            </w:pPr>
            <w:r w:rsidRPr="00497DD9">
              <w:rPr>
                <w:sz w:val="22"/>
                <w:szCs w:val="22"/>
              </w:rPr>
              <w:t>Cita informācija</w:t>
            </w:r>
          </w:p>
        </w:tc>
        <w:tc>
          <w:tcPr>
            <w:tcW w:w="5123" w:type="dxa"/>
          </w:tcPr>
          <w:p w:rsidR="00E14098" w:rsidRPr="00497DD9" w:rsidRDefault="00E14098" w:rsidP="00D47F77">
            <w:pPr>
              <w:pStyle w:val="naiskr"/>
              <w:tabs>
                <w:tab w:val="left" w:pos="5103"/>
              </w:tabs>
              <w:spacing w:before="0" w:after="0"/>
              <w:ind w:left="100" w:right="34" w:firstLine="427"/>
              <w:jc w:val="both"/>
            </w:pPr>
            <w:r>
              <w:rPr>
                <w:iCs/>
              </w:rPr>
              <w:t xml:space="preserve">Šim projektam ir jābūt apstiprinātam un publicētam oficiālajā izdevumā „Latvijas Vēstnesis” līdz </w:t>
            </w:r>
            <w:r w:rsidRPr="003A7F65">
              <w:rPr>
                <w:i/>
                <w:iCs/>
              </w:rPr>
              <w:t>euro</w:t>
            </w:r>
            <w:r>
              <w:rPr>
                <w:iCs/>
              </w:rPr>
              <w:t xml:space="preserve"> ieviešanas dienai. </w:t>
            </w:r>
          </w:p>
        </w:tc>
      </w:tr>
    </w:tbl>
    <w:p w:rsidR="00E14098" w:rsidRDefault="00E14098" w:rsidP="006E0D69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"/>
        <w:gridCol w:w="3542"/>
        <w:gridCol w:w="5103"/>
      </w:tblGrid>
      <w:tr w:rsidR="00E14098" w:rsidRPr="003B0A3F" w:rsidTr="00897C7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E14098" w:rsidRPr="003B0A3F" w:rsidRDefault="00E14098" w:rsidP="00004375">
            <w:pPr>
              <w:jc w:val="center"/>
              <w:rPr>
                <w:b/>
              </w:rPr>
            </w:pPr>
            <w:r w:rsidRPr="003B0A3F">
              <w:rPr>
                <w:b/>
              </w:rPr>
              <w:t>II. Tiesību akta projekta ietekme uz sabiedrību</w:t>
            </w:r>
          </w:p>
        </w:tc>
      </w:tr>
      <w:tr w:rsidR="00E14098" w:rsidRPr="003B0A3F" w:rsidTr="00897C76">
        <w:tc>
          <w:tcPr>
            <w:tcW w:w="23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1.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Sabiedrības mērķgrupa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4098" w:rsidRDefault="00E14098" w:rsidP="00D47F77">
            <w:pPr>
              <w:ind w:left="34" w:right="112" w:firstLine="393"/>
              <w:jc w:val="both"/>
            </w:pPr>
            <w:r>
              <w:t xml:space="preserve">Projektā paredzētais regulējums skars uzticama sertifikācijas pakalpojuma sniedzējus. </w:t>
            </w:r>
          </w:p>
          <w:p w:rsidR="00E14098" w:rsidRPr="003B0A3F" w:rsidRDefault="00E14098" w:rsidP="00D47F77">
            <w:pPr>
              <w:ind w:left="34" w:right="112" w:firstLine="393"/>
              <w:jc w:val="both"/>
              <w:rPr>
                <w:iCs/>
              </w:rPr>
            </w:pPr>
            <w:r>
              <w:rPr>
                <w:bCs/>
              </w:rPr>
              <w:t xml:space="preserve">Šobrīd ir </w:t>
            </w:r>
            <w:r w:rsidRPr="005E0527">
              <w:rPr>
                <w:bCs/>
              </w:rPr>
              <w:t>viens</w:t>
            </w:r>
            <w:r>
              <w:rPr>
                <w:bCs/>
              </w:rPr>
              <w:t xml:space="preserve"> uzticams sertifikācijas pakalpojumu sniedzējs.</w:t>
            </w:r>
          </w:p>
        </w:tc>
      </w:tr>
      <w:tr w:rsidR="00E14098" w:rsidRPr="003B0A3F" w:rsidTr="00897C76">
        <w:tc>
          <w:tcPr>
            <w:tcW w:w="23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2.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Citas sabiedrības grupas (bez mērķgrupas), kuras tiesiskais regulējums arī ietekmē vai varētu ietekmēt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4098" w:rsidRPr="003B0A3F" w:rsidRDefault="00E14098" w:rsidP="00004375">
            <w:pPr>
              <w:ind w:left="110" w:firstLine="283"/>
              <w:rPr>
                <w:b/>
              </w:rPr>
            </w:pPr>
            <w:r w:rsidRPr="00F30E36">
              <w:t>Projekts šo jomu neskar.</w:t>
            </w:r>
          </w:p>
        </w:tc>
      </w:tr>
      <w:tr w:rsidR="00E14098" w:rsidTr="00897C76">
        <w:tc>
          <w:tcPr>
            <w:tcW w:w="23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3.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Tiesiskā regulējuma finansiālā ietekme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4098" w:rsidRPr="00F118C5" w:rsidRDefault="00E14098" w:rsidP="00872DC9">
            <w:pPr>
              <w:ind w:left="34" w:right="108" w:firstLine="39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Finansiālā ietekme ir nebūtiska, jo projekts paredz grozīt uzticama sertifikācijas pakalpojumu sniedzēja civiltiesiskās atbildības minimālo apdrošināšanas summu, </w:t>
            </w:r>
            <w:r>
              <w:rPr>
                <w:lang w:eastAsia="en-US"/>
              </w:rPr>
              <w:t>samazinot to par 1,54 </w:t>
            </w:r>
            <w:r w:rsidRPr="00BC0DCE">
              <w:rPr>
                <w:i/>
                <w:color w:val="000000"/>
              </w:rPr>
              <w:t>euro</w:t>
            </w:r>
            <w:r>
              <w:rPr>
                <w:color w:val="000000"/>
              </w:rPr>
              <w:t>, salīdzinot ar šobrīd spēkā esošo summu latos.</w:t>
            </w:r>
          </w:p>
        </w:tc>
      </w:tr>
      <w:tr w:rsidR="00E14098" w:rsidTr="00897C76">
        <w:tc>
          <w:tcPr>
            <w:tcW w:w="23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4.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Tiesiskā regulējuma nefinansiālā ietekme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4098" w:rsidRDefault="00E14098" w:rsidP="00004375">
            <w:pPr>
              <w:ind w:left="110" w:firstLine="283"/>
            </w:pPr>
            <w:r w:rsidRPr="0025197B">
              <w:t>Projekts šo jomu neskar.</w:t>
            </w:r>
          </w:p>
        </w:tc>
      </w:tr>
      <w:tr w:rsidR="00E14098" w:rsidTr="00897C76">
        <w:tc>
          <w:tcPr>
            <w:tcW w:w="23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5.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Administratīvās procedūras raksturojums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4098" w:rsidRDefault="00E14098" w:rsidP="00004375">
            <w:pPr>
              <w:ind w:left="110" w:firstLine="283"/>
            </w:pPr>
            <w:r w:rsidRPr="0025197B">
              <w:t>Projekts šo jomu neskar.</w:t>
            </w:r>
          </w:p>
        </w:tc>
      </w:tr>
      <w:tr w:rsidR="00E14098" w:rsidTr="00897C76">
        <w:tc>
          <w:tcPr>
            <w:tcW w:w="23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6.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Administratīvo izmaksu monetārs novērtējums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4098" w:rsidRDefault="00E14098" w:rsidP="00004375">
            <w:pPr>
              <w:ind w:left="110" w:firstLine="283"/>
            </w:pPr>
            <w:r w:rsidRPr="0025197B">
              <w:t>Projekts šo jomu neskar.</w:t>
            </w:r>
          </w:p>
        </w:tc>
      </w:tr>
      <w:tr w:rsidR="00E14098" w:rsidRPr="003B0A3F" w:rsidTr="00897C76">
        <w:tc>
          <w:tcPr>
            <w:tcW w:w="23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7.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098" w:rsidRPr="003B0A3F" w:rsidRDefault="00E14098" w:rsidP="00004375">
            <w:r w:rsidRPr="003B0A3F">
              <w:t>Cita informācija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4098" w:rsidRPr="003B0A3F" w:rsidRDefault="00E14098" w:rsidP="00004375">
            <w:pPr>
              <w:ind w:firstLine="393"/>
            </w:pPr>
            <w:r w:rsidRPr="003B0A3F">
              <w:t>Nav.</w:t>
            </w:r>
          </w:p>
        </w:tc>
      </w:tr>
    </w:tbl>
    <w:p w:rsidR="00E14098" w:rsidRDefault="00E14098" w:rsidP="006E0D69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184" w:type="dxa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056"/>
        <w:gridCol w:w="1625"/>
        <w:gridCol w:w="1223"/>
        <w:gridCol w:w="1261"/>
        <w:gridCol w:w="1412"/>
      </w:tblGrid>
      <w:tr w:rsidR="00E14098" w:rsidRPr="003B0A3F" w:rsidTr="00897C76">
        <w:trPr>
          <w:trHeight w:val="652"/>
          <w:jc w:val="center"/>
        </w:trPr>
        <w:tc>
          <w:tcPr>
            <w:tcW w:w="9184" w:type="dxa"/>
            <w:gridSpan w:val="6"/>
          </w:tcPr>
          <w:p w:rsidR="00E14098" w:rsidRPr="003B0A3F" w:rsidRDefault="00E14098" w:rsidP="00004375">
            <w:pPr>
              <w:jc w:val="center"/>
              <w:rPr>
                <w:b/>
                <w:bCs/>
                <w:i/>
              </w:rPr>
            </w:pPr>
            <w:r w:rsidRPr="003B0A3F">
              <w:rPr>
                <w:b/>
                <w:bCs/>
              </w:rPr>
              <w:br w:type="page"/>
              <w:t>III. Tiesību akta projekta ietekme uz valsts budžetu un pašvaldību budžetiem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  <w:vMerge w:val="restart"/>
            <w:vAlign w:val="center"/>
          </w:tcPr>
          <w:p w:rsidR="00E14098" w:rsidRPr="003B0A3F" w:rsidRDefault="00E14098" w:rsidP="00004375">
            <w:pPr>
              <w:rPr>
                <w:b/>
              </w:rPr>
            </w:pPr>
            <w:r w:rsidRPr="003B0A3F">
              <w:rPr>
                <w:b/>
              </w:rPr>
              <w:t>Rādītāji</w:t>
            </w:r>
          </w:p>
        </w:tc>
        <w:tc>
          <w:tcPr>
            <w:tcW w:w="2681" w:type="dxa"/>
            <w:gridSpan w:val="2"/>
            <w:vMerge w:val="restart"/>
            <w:vAlign w:val="center"/>
          </w:tcPr>
          <w:p w:rsidR="00E14098" w:rsidRPr="003B0A3F" w:rsidRDefault="00E14098" w:rsidP="00004375">
            <w:pPr>
              <w:rPr>
                <w:b/>
              </w:rPr>
            </w:pPr>
            <w:r>
              <w:rPr>
                <w:b/>
              </w:rPr>
              <w:t>2013.</w:t>
            </w:r>
            <w:r w:rsidRPr="003B0A3F">
              <w:rPr>
                <w:b/>
              </w:rPr>
              <w:t>gads</w:t>
            </w:r>
          </w:p>
        </w:tc>
        <w:tc>
          <w:tcPr>
            <w:tcW w:w="3896" w:type="dxa"/>
            <w:gridSpan w:val="3"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  <w:r w:rsidRPr="003B0A3F">
              <w:t>Turpmākie trīs gadi (</w:t>
            </w:r>
            <w:r w:rsidRPr="007D6E4C">
              <w:rPr>
                <w:i/>
              </w:rPr>
              <w:t>euro</w:t>
            </w:r>
            <w:r w:rsidRPr="003B0A3F">
              <w:t>)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  <w:vMerge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2681" w:type="dxa"/>
            <w:gridSpan w:val="2"/>
            <w:vMerge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23" w:type="dxa"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  <w:r w:rsidRPr="003B0A3F">
              <w:rPr>
                <w:b/>
                <w:bCs/>
              </w:rPr>
              <w:t>2014</w:t>
            </w:r>
            <w:r>
              <w:rPr>
                <w:b/>
                <w:bCs/>
              </w:rPr>
              <w:t>.gads</w:t>
            </w:r>
          </w:p>
        </w:tc>
        <w:tc>
          <w:tcPr>
            <w:tcW w:w="1261" w:type="dxa"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  <w:r w:rsidRPr="003B0A3F">
              <w:rPr>
                <w:b/>
                <w:bCs/>
              </w:rPr>
              <w:t>2015</w:t>
            </w:r>
            <w:r>
              <w:rPr>
                <w:b/>
                <w:bCs/>
              </w:rPr>
              <w:t>.gads</w:t>
            </w:r>
          </w:p>
        </w:tc>
        <w:tc>
          <w:tcPr>
            <w:tcW w:w="1412" w:type="dxa"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  <w:r w:rsidRPr="003B0A3F">
              <w:rPr>
                <w:b/>
                <w:bCs/>
              </w:rPr>
              <w:t>2016</w:t>
            </w:r>
            <w:r>
              <w:rPr>
                <w:b/>
                <w:bCs/>
              </w:rPr>
              <w:t>.gads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  <w:vMerge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056" w:type="dxa"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  <w:r w:rsidRPr="003B0A3F">
              <w:t>Saskaņā ar valsts budžetu kārtējam gadam</w:t>
            </w:r>
          </w:p>
        </w:tc>
        <w:tc>
          <w:tcPr>
            <w:tcW w:w="1625" w:type="dxa"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  <w:r w:rsidRPr="003B0A3F">
              <w:t>Izmaiņas kārtējā gadā, salīdzinot ar budžetu kārtējam gadam</w:t>
            </w:r>
          </w:p>
        </w:tc>
        <w:tc>
          <w:tcPr>
            <w:tcW w:w="1223" w:type="dxa"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  <w:r w:rsidRPr="003B0A3F">
              <w:t xml:space="preserve">Izmaiņas, salīdzinot ar </w:t>
            </w:r>
            <w:r>
              <w:t>kārtējo 2013.</w:t>
            </w:r>
            <w:r w:rsidRPr="003B0A3F">
              <w:t>gadu</w:t>
            </w:r>
          </w:p>
        </w:tc>
        <w:tc>
          <w:tcPr>
            <w:tcW w:w="1261" w:type="dxa"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  <w:r w:rsidRPr="003B0A3F">
              <w:t>Izma</w:t>
            </w:r>
            <w:r>
              <w:t>iņas, salīdzinot ar kārtējo 2013.</w:t>
            </w:r>
            <w:r w:rsidRPr="003B0A3F">
              <w:t>gadu</w:t>
            </w:r>
          </w:p>
        </w:tc>
        <w:tc>
          <w:tcPr>
            <w:tcW w:w="1412" w:type="dxa"/>
            <w:vAlign w:val="center"/>
          </w:tcPr>
          <w:p w:rsidR="00E14098" w:rsidRPr="003B0A3F" w:rsidRDefault="00E14098" w:rsidP="00004375">
            <w:pPr>
              <w:rPr>
                <w:b/>
                <w:i/>
              </w:rPr>
            </w:pPr>
            <w:r w:rsidRPr="003B0A3F">
              <w:t xml:space="preserve">Izmaiņas, salīdzinot ar kārtējo </w:t>
            </w:r>
            <w:r>
              <w:t>2013.</w:t>
            </w:r>
            <w:r w:rsidRPr="003B0A3F">
              <w:t>gadu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  <w:vAlign w:val="center"/>
          </w:tcPr>
          <w:p w:rsidR="00E14098" w:rsidRPr="003B0A3F" w:rsidRDefault="00E14098" w:rsidP="00004375">
            <w:pPr>
              <w:rPr>
                <w:bCs/>
              </w:rPr>
            </w:pPr>
            <w:r w:rsidRPr="003B0A3F">
              <w:rPr>
                <w:bCs/>
              </w:rPr>
              <w:t>1</w:t>
            </w:r>
          </w:p>
        </w:tc>
        <w:tc>
          <w:tcPr>
            <w:tcW w:w="1056" w:type="dxa"/>
            <w:vAlign w:val="center"/>
          </w:tcPr>
          <w:p w:rsidR="00E14098" w:rsidRPr="003B0A3F" w:rsidRDefault="00E14098" w:rsidP="00004375">
            <w:pPr>
              <w:rPr>
                <w:bCs/>
              </w:rPr>
            </w:pPr>
            <w:r w:rsidRPr="003B0A3F">
              <w:rPr>
                <w:bCs/>
              </w:rPr>
              <w:t>2</w:t>
            </w:r>
          </w:p>
        </w:tc>
        <w:tc>
          <w:tcPr>
            <w:tcW w:w="1625" w:type="dxa"/>
            <w:vAlign w:val="center"/>
          </w:tcPr>
          <w:p w:rsidR="00E14098" w:rsidRPr="003B0A3F" w:rsidRDefault="00E14098" w:rsidP="00004375">
            <w:pPr>
              <w:rPr>
                <w:bCs/>
              </w:rPr>
            </w:pPr>
            <w:r w:rsidRPr="003B0A3F">
              <w:rPr>
                <w:bCs/>
              </w:rPr>
              <w:t>3</w:t>
            </w:r>
          </w:p>
        </w:tc>
        <w:tc>
          <w:tcPr>
            <w:tcW w:w="1223" w:type="dxa"/>
            <w:vAlign w:val="center"/>
          </w:tcPr>
          <w:p w:rsidR="00E14098" w:rsidRPr="003B0A3F" w:rsidRDefault="00E14098" w:rsidP="00004375">
            <w:pPr>
              <w:rPr>
                <w:bCs/>
              </w:rPr>
            </w:pPr>
            <w:r w:rsidRPr="003B0A3F">
              <w:rPr>
                <w:bCs/>
              </w:rPr>
              <w:t>4</w:t>
            </w:r>
          </w:p>
        </w:tc>
        <w:tc>
          <w:tcPr>
            <w:tcW w:w="1261" w:type="dxa"/>
            <w:vAlign w:val="center"/>
          </w:tcPr>
          <w:p w:rsidR="00E14098" w:rsidRPr="003B0A3F" w:rsidRDefault="00E14098" w:rsidP="00004375">
            <w:pPr>
              <w:rPr>
                <w:bCs/>
              </w:rPr>
            </w:pPr>
            <w:r w:rsidRPr="003B0A3F">
              <w:rPr>
                <w:bCs/>
              </w:rPr>
              <w:t>5</w:t>
            </w:r>
          </w:p>
        </w:tc>
        <w:tc>
          <w:tcPr>
            <w:tcW w:w="1412" w:type="dxa"/>
            <w:vAlign w:val="center"/>
          </w:tcPr>
          <w:p w:rsidR="00E14098" w:rsidRPr="003B0A3F" w:rsidRDefault="00E14098" w:rsidP="00004375">
            <w:pPr>
              <w:rPr>
                <w:bCs/>
              </w:rPr>
            </w:pPr>
            <w:r w:rsidRPr="003B0A3F">
              <w:rPr>
                <w:bCs/>
              </w:rPr>
              <w:t>6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pPr>
              <w:rPr>
                <w:i/>
              </w:rPr>
            </w:pPr>
            <w:r w:rsidRPr="003B0A3F">
              <w:t>1. Budžeta ieņēmumi:</w:t>
            </w:r>
          </w:p>
        </w:tc>
        <w:tc>
          <w:tcPr>
            <w:tcW w:w="1056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pPr>
              <w:rPr>
                <w:i/>
              </w:rPr>
            </w:pPr>
            <w:r w:rsidRPr="003B0A3F">
              <w:lastRenderedPageBreak/>
              <w:t>1.1. valsts pamatbudžets, tai skaitā ieņēmumi no maksas pakalpojumiem un citi pašu ieņēmumi</w:t>
            </w:r>
          </w:p>
        </w:tc>
        <w:tc>
          <w:tcPr>
            <w:tcW w:w="1056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pPr>
              <w:rPr>
                <w:i/>
              </w:rPr>
            </w:pPr>
            <w:r w:rsidRPr="003B0A3F">
              <w:t>1.2. valsts speciālais budžets</w:t>
            </w:r>
          </w:p>
        </w:tc>
        <w:tc>
          <w:tcPr>
            <w:tcW w:w="1056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412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pPr>
              <w:rPr>
                <w:i/>
              </w:rPr>
            </w:pPr>
            <w:r w:rsidRPr="003B0A3F">
              <w:t>1.3. pašvaldību budžets</w:t>
            </w:r>
          </w:p>
        </w:tc>
        <w:tc>
          <w:tcPr>
            <w:tcW w:w="1056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412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2. Budžeta izdevumi:</w:t>
            </w:r>
          </w:p>
        </w:tc>
        <w:tc>
          <w:tcPr>
            <w:tcW w:w="1056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2.1. valsts pamatbudžets</w:t>
            </w:r>
          </w:p>
        </w:tc>
        <w:tc>
          <w:tcPr>
            <w:tcW w:w="1056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2.2. valsts speciālais budžets</w:t>
            </w:r>
          </w:p>
        </w:tc>
        <w:tc>
          <w:tcPr>
            <w:tcW w:w="1056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412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 xml:space="preserve">2.3. pašvaldību budžets </w:t>
            </w:r>
          </w:p>
        </w:tc>
        <w:tc>
          <w:tcPr>
            <w:tcW w:w="1056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412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3. Finansiālā ietekme:</w:t>
            </w:r>
          </w:p>
        </w:tc>
        <w:tc>
          <w:tcPr>
            <w:tcW w:w="1056" w:type="dxa"/>
            <w:vAlign w:val="center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3.1. valsts pamatbudžets</w:t>
            </w:r>
          </w:p>
        </w:tc>
        <w:tc>
          <w:tcPr>
            <w:tcW w:w="1056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3.2. speciālais budžets</w:t>
            </w:r>
          </w:p>
        </w:tc>
        <w:tc>
          <w:tcPr>
            <w:tcW w:w="1056" w:type="dxa"/>
          </w:tcPr>
          <w:p w:rsidR="00E14098" w:rsidRPr="003B0A3F" w:rsidRDefault="00E14098" w:rsidP="00004375">
            <w:pPr>
              <w:rPr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412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 xml:space="preserve">3.3. pašvaldību budžets </w:t>
            </w:r>
          </w:p>
        </w:tc>
        <w:tc>
          <w:tcPr>
            <w:tcW w:w="1056" w:type="dxa"/>
          </w:tcPr>
          <w:p w:rsidR="00E14098" w:rsidRPr="003B0A3F" w:rsidRDefault="00E14098" w:rsidP="00004375">
            <w:pPr>
              <w:rPr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412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  <w:vMerge w:val="restart"/>
          </w:tcPr>
          <w:p w:rsidR="00E14098" w:rsidRPr="003B0A3F" w:rsidRDefault="00E14098" w:rsidP="00004375">
            <w:r w:rsidRPr="003B0A3F">
              <w:t>4. Finanšu līdzekļi papildu izde</w:t>
            </w:r>
            <w:r w:rsidRPr="003B0A3F">
              <w:softHyphen/>
              <w:t>vumu finansēšanai (kompensējošu izdevumu samazinājumu norāda ar "+" zīmi)</w:t>
            </w:r>
          </w:p>
        </w:tc>
        <w:tc>
          <w:tcPr>
            <w:tcW w:w="1056" w:type="dxa"/>
            <w:vMerge w:val="restart"/>
          </w:tcPr>
          <w:p w:rsidR="00E14098" w:rsidRPr="003B0A3F" w:rsidRDefault="00E14098" w:rsidP="00004375">
            <w:pPr>
              <w:rPr>
                <w:i/>
              </w:rPr>
            </w:pPr>
            <w:r w:rsidRPr="003B0A3F">
              <w:t>X</w:t>
            </w: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  <w:vMerge/>
          </w:tcPr>
          <w:p w:rsidR="00E14098" w:rsidRPr="003B0A3F" w:rsidRDefault="00E14098" w:rsidP="00004375"/>
        </w:tc>
        <w:tc>
          <w:tcPr>
            <w:tcW w:w="1056" w:type="dxa"/>
            <w:vMerge/>
          </w:tcPr>
          <w:p w:rsidR="00E14098" w:rsidRPr="003B0A3F" w:rsidRDefault="00E14098" w:rsidP="00004375">
            <w:pPr>
              <w:rPr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  <w:vMerge/>
          </w:tcPr>
          <w:p w:rsidR="00E14098" w:rsidRPr="003B0A3F" w:rsidRDefault="00E14098" w:rsidP="00004375"/>
        </w:tc>
        <w:tc>
          <w:tcPr>
            <w:tcW w:w="1056" w:type="dxa"/>
            <w:vMerge/>
          </w:tcPr>
          <w:p w:rsidR="00E14098" w:rsidRPr="003B0A3F" w:rsidRDefault="00E14098" w:rsidP="00004375">
            <w:pPr>
              <w:rPr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5. Precizēta finansiālā ietekme:</w:t>
            </w:r>
          </w:p>
        </w:tc>
        <w:tc>
          <w:tcPr>
            <w:tcW w:w="1056" w:type="dxa"/>
            <w:vMerge w:val="restart"/>
          </w:tcPr>
          <w:p w:rsidR="00E14098" w:rsidRPr="003B0A3F" w:rsidRDefault="00E14098" w:rsidP="00004375">
            <w:pPr>
              <w:rPr>
                <w:i/>
              </w:rPr>
            </w:pPr>
            <w:r w:rsidRPr="003B0A3F">
              <w:t>X</w:t>
            </w: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5.1. valsts pamatbudžets</w:t>
            </w:r>
          </w:p>
        </w:tc>
        <w:tc>
          <w:tcPr>
            <w:tcW w:w="1056" w:type="dxa"/>
            <w:vMerge/>
            <w:vAlign w:val="center"/>
          </w:tcPr>
          <w:p w:rsidR="00E14098" w:rsidRPr="003B0A3F" w:rsidRDefault="00E14098" w:rsidP="00004375">
            <w:pPr>
              <w:rPr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23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261" w:type="dxa"/>
          </w:tcPr>
          <w:p w:rsidR="00E14098" w:rsidRPr="003B0A3F" w:rsidRDefault="00E14098" w:rsidP="00004375">
            <w:r w:rsidRPr="003B0A3F">
              <w:t>0</w:t>
            </w:r>
          </w:p>
        </w:tc>
        <w:tc>
          <w:tcPr>
            <w:tcW w:w="1412" w:type="dxa"/>
          </w:tcPr>
          <w:p w:rsidR="00E14098" w:rsidRPr="003B0A3F" w:rsidRDefault="00E14098" w:rsidP="00004375">
            <w:r w:rsidRPr="003B0A3F">
              <w:t>0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5.2. speciālais budžets</w:t>
            </w:r>
          </w:p>
        </w:tc>
        <w:tc>
          <w:tcPr>
            <w:tcW w:w="1056" w:type="dxa"/>
            <w:vMerge/>
            <w:vAlign w:val="center"/>
          </w:tcPr>
          <w:p w:rsidR="00E14098" w:rsidRPr="003B0A3F" w:rsidRDefault="00E14098" w:rsidP="00004375">
            <w:pPr>
              <w:rPr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412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 xml:space="preserve">5.3. pašvaldību budžets </w:t>
            </w:r>
          </w:p>
        </w:tc>
        <w:tc>
          <w:tcPr>
            <w:tcW w:w="1056" w:type="dxa"/>
            <w:vMerge/>
            <w:vAlign w:val="center"/>
          </w:tcPr>
          <w:p w:rsidR="00E14098" w:rsidRPr="003B0A3F" w:rsidRDefault="00E14098" w:rsidP="00004375">
            <w:pPr>
              <w:rPr>
                <w:i/>
              </w:rPr>
            </w:pPr>
          </w:p>
        </w:tc>
        <w:tc>
          <w:tcPr>
            <w:tcW w:w="1625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  <w:tc>
          <w:tcPr>
            <w:tcW w:w="1412" w:type="dxa"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6. Detalizēts ieņēmumu un izdevu</w:t>
            </w:r>
            <w:r w:rsidRPr="003B0A3F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577" w:type="dxa"/>
            <w:gridSpan w:val="5"/>
            <w:vMerge w:val="restart"/>
            <w:vAlign w:val="center"/>
          </w:tcPr>
          <w:p w:rsidR="00E14098" w:rsidRPr="003B0A3F" w:rsidRDefault="00E14098" w:rsidP="00004375">
            <w:r>
              <w:t>Projekts šo jomu neskar.</w:t>
            </w: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6.1. detalizēts ieņēmumu aprēķins</w:t>
            </w:r>
          </w:p>
        </w:tc>
        <w:tc>
          <w:tcPr>
            <w:tcW w:w="6577" w:type="dxa"/>
            <w:gridSpan w:val="5"/>
            <w:vMerge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6.2. detalizēts izdevumu aprēķins</w:t>
            </w:r>
          </w:p>
        </w:tc>
        <w:tc>
          <w:tcPr>
            <w:tcW w:w="6577" w:type="dxa"/>
            <w:gridSpan w:val="5"/>
            <w:vMerge/>
          </w:tcPr>
          <w:p w:rsidR="00E14098" w:rsidRPr="003B0A3F" w:rsidRDefault="00E14098" w:rsidP="00004375">
            <w:pPr>
              <w:rPr>
                <w:b/>
                <w:i/>
              </w:rPr>
            </w:pPr>
          </w:p>
        </w:tc>
      </w:tr>
      <w:tr w:rsidR="00E14098" w:rsidRPr="003B0A3F" w:rsidTr="00897C76">
        <w:trPr>
          <w:jc w:val="center"/>
        </w:trPr>
        <w:tc>
          <w:tcPr>
            <w:tcW w:w="2607" w:type="dxa"/>
          </w:tcPr>
          <w:p w:rsidR="00E14098" w:rsidRPr="003B0A3F" w:rsidRDefault="00E14098" w:rsidP="00004375">
            <w:r w:rsidRPr="003B0A3F">
              <w:t>7. Cita informācija</w:t>
            </w:r>
          </w:p>
        </w:tc>
        <w:tc>
          <w:tcPr>
            <w:tcW w:w="6577" w:type="dxa"/>
            <w:gridSpan w:val="5"/>
          </w:tcPr>
          <w:p w:rsidR="00E14098" w:rsidRPr="002624C9" w:rsidRDefault="00E14098" w:rsidP="00D47F77">
            <w:pPr>
              <w:ind w:left="-75" w:firstLine="720"/>
              <w:jc w:val="both"/>
            </w:pPr>
            <w:r>
              <w:rPr>
                <w:color w:val="000000"/>
              </w:rPr>
              <w:t>Projekts nerada ietekmi uz valsts budžetu, jo grozāmais normatīvais akts neparedz ieņēmumus valsts vai pašvaldības budžetā, kā arī izmaksas no valsts vai pašvaldības budžeta.</w:t>
            </w:r>
          </w:p>
        </w:tc>
      </w:tr>
    </w:tbl>
    <w:p w:rsidR="00E14098" w:rsidRDefault="00E14098" w:rsidP="006E0D69">
      <w:pPr>
        <w:pStyle w:val="naisf"/>
        <w:spacing w:before="0" w:after="0"/>
        <w:ind w:firstLine="0"/>
        <w:rPr>
          <w:sz w:val="28"/>
          <w:szCs w:val="28"/>
        </w:rPr>
      </w:pPr>
    </w:p>
    <w:p w:rsidR="00E14098" w:rsidRDefault="00E14098" w:rsidP="00F118C5">
      <w:pPr>
        <w:pStyle w:val="naisf"/>
        <w:spacing w:before="0" w:after="0"/>
        <w:ind w:firstLine="0"/>
        <w:rPr>
          <w:i/>
        </w:rPr>
      </w:pPr>
    </w:p>
    <w:p w:rsidR="00E14098" w:rsidRDefault="00E14098" w:rsidP="00F118C5">
      <w:pPr>
        <w:pStyle w:val="naisf"/>
        <w:spacing w:before="0" w:after="0"/>
        <w:ind w:firstLine="0"/>
        <w:rPr>
          <w:i/>
        </w:rPr>
      </w:pPr>
    </w:p>
    <w:p w:rsidR="00E14098" w:rsidRDefault="00E14098" w:rsidP="00F118C5">
      <w:pPr>
        <w:pStyle w:val="naisf"/>
        <w:spacing w:before="0" w:after="0"/>
        <w:ind w:firstLine="0"/>
        <w:rPr>
          <w:i/>
        </w:rPr>
      </w:pPr>
    </w:p>
    <w:p w:rsidR="00E14098" w:rsidRDefault="00E14098" w:rsidP="00F118C5">
      <w:pPr>
        <w:pStyle w:val="naisf"/>
        <w:spacing w:before="0" w:after="0"/>
        <w:ind w:firstLine="0"/>
        <w:rPr>
          <w:i/>
        </w:rPr>
      </w:pPr>
    </w:p>
    <w:p w:rsidR="00E14098" w:rsidRDefault="00E14098" w:rsidP="00F118C5">
      <w:pPr>
        <w:pStyle w:val="naisf"/>
        <w:spacing w:before="0" w:after="0"/>
        <w:ind w:firstLine="0"/>
        <w:rPr>
          <w:i/>
        </w:rPr>
      </w:pPr>
    </w:p>
    <w:p w:rsidR="00E14098" w:rsidRPr="00632EF8" w:rsidRDefault="00E14098" w:rsidP="00F118C5">
      <w:pPr>
        <w:pStyle w:val="naisf"/>
        <w:spacing w:before="0" w:after="0"/>
        <w:ind w:firstLine="0"/>
        <w:rPr>
          <w:i/>
        </w:rPr>
      </w:pPr>
      <w:r w:rsidRPr="00632EF8">
        <w:rPr>
          <w:i/>
        </w:rPr>
        <w:lastRenderedPageBreak/>
        <w:t xml:space="preserve">Anotācijas </w:t>
      </w:r>
      <w:r>
        <w:rPr>
          <w:i/>
        </w:rPr>
        <w:t xml:space="preserve">IV, V, VI, </w:t>
      </w:r>
      <w:r w:rsidRPr="00632EF8">
        <w:rPr>
          <w:i/>
        </w:rPr>
        <w:t xml:space="preserve">VII sadaļa </w:t>
      </w:r>
      <w:r w:rsidRPr="008B5FE4">
        <w:rPr>
          <w:i/>
        </w:rPr>
        <w:t>–</w:t>
      </w:r>
      <w:r w:rsidRPr="00632EF8">
        <w:rPr>
          <w:i/>
        </w:rPr>
        <w:t xml:space="preserve"> projekts šīs jomas neskar.</w:t>
      </w:r>
    </w:p>
    <w:p w:rsidR="00E14098" w:rsidRPr="00632EF8" w:rsidRDefault="00E14098" w:rsidP="00886021">
      <w:pPr>
        <w:jc w:val="both"/>
      </w:pPr>
    </w:p>
    <w:p w:rsidR="00E14098" w:rsidRPr="00632EF8" w:rsidRDefault="00E14098" w:rsidP="00260174">
      <w:pPr>
        <w:jc w:val="both"/>
      </w:pPr>
    </w:p>
    <w:p w:rsidR="00E14098" w:rsidRPr="00632EF8" w:rsidRDefault="00E14098" w:rsidP="00260174">
      <w:pPr>
        <w:jc w:val="both"/>
        <w:rPr>
          <w:highlight w:val="yellow"/>
        </w:rPr>
      </w:pPr>
      <w:r w:rsidRPr="00632EF8">
        <w:t xml:space="preserve">Tieslietu ministrs </w:t>
      </w:r>
      <w:r w:rsidRPr="008B5FE4">
        <w:tab/>
      </w:r>
      <w:r w:rsidRPr="008B5FE4">
        <w:tab/>
      </w:r>
      <w:r w:rsidRPr="008B5FE4">
        <w:tab/>
      </w:r>
      <w:r w:rsidRPr="008B5FE4">
        <w:tab/>
      </w:r>
      <w:r w:rsidRPr="008B5FE4">
        <w:tab/>
      </w:r>
      <w:r w:rsidRPr="008B5FE4">
        <w:tab/>
      </w:r>
      <w:r w:rsidRPr="008B5FE4">
        <w:tab/>
      </w:r>
      <w:r w:rsidRPr="008B5FE4">
        <w:tab/>
      </w:r>
      <w:r w:rsidRPr="00632EF8">
        <w:t>J.Bordāns</w:t>
      </w:r>
    </w:p>
    <w:p w:rsidR="00E14098" w:rsidRPr="00632EF8" w:rsidRDefault="00E14098" w:rsidP="00886021">
      <w:pPr>
        <w:tabs>
          <w:tab w:val="left" w:pos="6804"/>
        </w:tabs>
        <w:jc w:val="both"/>
        <w:rPr>
          <w:highlight w:val="yellow"/>
        </w:rPr>
      </w:pPr>
    </w:p>
    <w:p w:rsidR="00E14098" w:rsidRPr="00632EF8" w:rsidRDefault="00E14098" w:rsidP="00886021">
      <w:pPr>
        <w:jc w:val="both"/>
      </w:pPr>
    </w:p>
    <w:p w:rsidR="00E14098" w:rsidRPr="00632EF8" w:rsidRDefault="00E14098" w:rsidP="00886021">
      <w:pPr>
        <w:pStyle w:val="Nosaukums"/>
        <w:jc w:val="both"/>
        <w:rPr>
          <w:b w:val="0"/>
          <w:szCs w:val="24"/>
        </w:rPr>
      </w:pPr>
    </w:p>
    <w:p w:rsidR="00E14098" w:rsidRDefault="00E14098" w:rsidP="005344CD">
      <w:pPr>
        <w:jc w:val="both"/>
        <w:rPr>
          <w:sz w:val="20"/>
          <w:szCs w:val="20"/>
        </w:rPr>
      </w:pPr>
    </w:p>
    <w:p w:rsidR="00E14098" w:rsidRPr="003106F7" w:rsidRDefault="00E14098" w:rsidP="005344CD">
      <w:pPr>
        <w:jc w:val="both"/>
        <w:rPr>
          <w:sz w:val="28"/>
          <w:szCs w:val="28"/>
        </w:rPr>
      </w:pPr>
      <w:r>
        <w:rPr>
          <w:sz w:val="20"/>
          <w:szCs w:val="20"/>
        </w:rPr>
        <w:t>06.08.2013</w:t>
      </w:r>
      <w:r w:rsidRPr="003106F7">
        <w:rPr>
          <w:sz w:val="20"/>
          <w:szCs w:val="20"/>
        </w:rPr>
        <w:t xml:space="preserve">. </w:t>
      </w:r>
      <w:r>
        <w:rPr>
          <w:sz w:val="20"/>
          <w:szCs w:val="20"/>
        </w:rPr>
        <w:t>10:35</w:t>
      </w:r>
    </w:p>
    <w:p w:rsidR="00E14098" w:rsidRDefault="00E14098" w:rsidP="005344CD">
      <w:pPr>
        <w:rPr>
          <w:sz w:val="20"/>
          <w:szCs w:val="20"/>
        </w:rPr>
      </w:pPr>
      <w:r>
        <w:rPr>
          <w:sz w:val="20"/>
          <w:szCs w:val="20"/>
        </w:rPr>
        <w:t>698</w:t>
      </w:r>
    </w:p>
    <w:p w:rsidR="00E14098" w:rsidRPr="00D04C7F" w:rsidRDefault="00E14098" w:rsidP="005344CD">
      <w:pPr>
        <w:rPr>
          <w:sz w:val="20"/>
          <w:szCs w:val="20"/>
        </w:rPr>
      </w:pPr>
      <w:r>
        <w:rPr>
          <w:sz w:val="20"/>
          <w:szCs w:val="20"/>
        </w:rPr>
        <w:t>O.Graudiņa</w:t>
      </w:r>
    </w:p>
    <w:p w:rsidR="00E14098" w:rsidRPr="00127034" w:rsidRDefault="00E14098" w:rsidP="00127034">
      <w:r w:rsidRPr="00D04C7F">
        <w:rPr>
          <w:sz w:val="20"/>
          <w:szCs w:val="20"/>
        </w:rPr>
        <w:t>67223131</w:t>
      </w:r>
      <w:r>
        <w:rPr>
          <w:sz w:val="20"/>
          <w:szCs w:val="20"/>
        </w:rPr>
        <w:t xml:space="preserve">, </w:t>
      </w:r>
      <w:hyperlink r:id="rId8" w:history="1">
        <w:r w:rsidRPr="000D40BA">
          <w:rPr>
            <w:rStyle w:val="Hipersaite"/>
            <w:sz w:val="20"/>
            <w:szCs w:val="20"/>
          </w:rPr>
          <w:t>olga.graudina@dvi.gov.lv</w:t>
        </w:r>
      </w:hyperlink>
    </w:p>
    <w:sectPr w:rsidR="00E14098" w:rsidRPr="00127034" w:rsidSect="00632EF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98" w:rsidRDefault="00E14098">
      <w:r>
        <w:separator/>
      </w:r>
    </w:p>
  </w:endnote>
  <w:endnote w:type="continuationSeparator" w:id="0">
    <w:p w:rsidR="00E14098" w:rsidRDefault="00E1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8" w:rsidRPr="00985E67" w:rsidRDefault="00E14098" w:rsidP="00674D80">
    <w:pPr>
      <w:pStyle w:val="naislab"/>
      <w:spacing w:before="0" w:after="0"/>
      <w:jc w:val="both"/>
      <w:outlineLvl w:val="0"/>
      <w:rPr>
        <w:szCs w:val="16"/>
      </w:rPr>
    </w:pPr>
    <w:r w:rsidRPr="00AF48B2">
      <w:rPr>
        <w:sz w:val="20"/>
        <w:szCs w:val="20"/>
      </w:rPr>
      <w:t>TMAnot_</w:t>
    </w:r>
    <w:r>
      <w:rPr>
        <w:sz w:val="20"/>
        <w:szCs w:val="20"/>
      </w:rPr>
      <w:t>0608</w:t>
    </w:r>
    <w:r w:rsidRPr="00AF48B2">
      <w:rPr>
        <w:sz w:val="20"/>
        <w:szCs w:val="20"/>
      </w:rPr>
      <w:t>13_apdr; Minist</w:t>
    </w:r>
    <w:r>
      <w:rPr>
        <w:sz w:val="20"/>
        <w:szCs w:val="20"/>
      </w:rPr>
      <w:t xml:space="preserve">ru kabineta noteikumu projekta </w:t>
    </w:r>
    <w:r w:rsidRPr="00AF48B2">
      <w:rPr>
        <w:sz w:val="20"/>
        <w:szCs w:val="20"/>
      </w:rPr>
      <w:t>„</w:t>
    </w:r>
    <w:r w:rsidRPr="00897C76">
      <w:rPr>
        <w:sz w:val="20"/>
        <w:szCs w:val="20"/>
      </w:rPr>
      <w:t>Grozījums Ministru kabineta 2005.gada 19.aprīļa noteikumos Nr.267 „Noteikumi par uzticama sertifikācijas pakalpojumu sniedzēja civiltiesiskās atbildības minimālo apdrošināšanas summu””</w:t>
    </w:r>
    <w:r w:rsidRPr="00AF48B2">
      <w:rPr>
        <w:sz w:val="20"/>
        <w:szCs w:val="20"/>
      </w:rPr>
      <w:t xml:space="preserve"> sākotnējās ietekmes novērtējuma ziņojums (</w:t>
    </w:r>
    <w:r w:rsidRPr="00AF48B2">
      <w:rPr>
        <w:bCs/>
        <w:sz w:val="20"/>
        <w:szCs w:val="20"/>
      </w:rPr>
      <w:t>anotācija</w:t>
    </w:r>
    <w:r w:rsidRPr="005344CD">
      <w:rPr>
        <w:bCs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8" w:rsidRPr="00897C76" w:rsidRDefault="00E14098" w:rsidP="005344CD">
    <w:pPr>
      <w:pStyle w:val="naislab"/>
      <w:spacing w:before="0" w:after="0"/>
      <w:jc w:val="both"/>
      <w:outlineLvl w:val="0"/>
      <w:rPr>
        <w:sz w:val="20"/>
        <w:szCs w:val="20"/>
      </w:rPr>
    </w:pPr>
    <w:r w:rsidRPr="00897C76">
      <w:rPr>
        <w:sz w:val="20"/>
        <w:szCs w:val="20"/>
      </w:rPr>
      <w:t>TMAnot_</w:t>
    </w:r>
    <w:r>
      <w:rPr>
        <w:sz w:val="20"/>
        <w:szCs w:val="20"/>
      </w:rPr>
      <w:t>0608</w:t>
    </w:r>
    <w:r w:rsidRPr="00897C76">
      <w:rPr>
        <w:sz w:val="20"/>
        <w:szCs w:val="20"/>
      </w:rPr>
      <w:t>13_apdr; Ministru kabineta noteikumu projekta „Grozījums Ministru kabineta 2005.gada 19.aprīļa noteikumos Nr.267 „Noteikumi par uzticama sertifikācijas pakalpojumu sniedzēja civiltiesiskās atbildības minimālo apdrošināšanas summu”” sākotnējās ietekmes novērtējuma ziņojums (</w:t>
    </w:r>
    <w:r w:rsidRPr="00897C76">
      <w:rPr>
        <w:bCs/>
        <w:sz w:val="20"/>
        <w:szCs w:val="20"/>
      </w:rPr>
      <w:t>anotācija)</w:t>
    </w:r>
    <w:r w:rsidRPr="00897C76">
      <w:rPr>
        <w:sz w:val="20"/>
        <w:szCs w:val="20"/>
      </w:rPr>
      <w:t xml:space="preserve"> </w:t>
    </w:r>
  </w:p>
  <w:p w:rsidR="00E14098" w:rsidRPr="00897C76" w:rsidRDefault="00E14098" w:rsidP="00886021">
    <w:pPr>
      <w:pStyle w:val="naislab"/>
      <w:spacing w:before="0" w:after="0"/>
      <w:jc w:val="both"/>
      <w:outlineLvl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98" w:rsidRDefault="00E14098">
      <w:r>
        <w:separator/>
      </w:r>
    </w:p>
  </w:footnote>
  <w:footnote w:type="continuationSeparator" w:id="0">
    <w:p w:rsidR="00E14098" w:rsidRDefault="00E1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8" w:rsidRDefault="00E14098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14098" w:rsidRDefault="00E1409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8" w:rsidRDefault="00E14098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A00ED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E14098" w:rsidRDefault="00E1409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62DC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3092062E"/>
    <w:multiLevelType w:val="hybridMultilevel"/>
    <w:tmpl w:val="3FB2F0F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649"/>
    <w:rsid w:val="00004375"/>
    <w:rsid w:val="00006ADE"/>
    <w:rsid w:val="00006CFE"/>
    <w:rsid w:val="00011D24"/>
    <w:rsid w:val="00013FF4"/>
    <w:rsid w:val="00015BF4"/>
    <w:rsid w:val="0002029D"/>
    <w:rsid w:val="00020FE1"/>
    <w:rsid w:val="00021A8B"/>
    <w:rsid w:val="00022E13"/>
    <w:rsid w:val="0002438F"/>
    <w:rsid w:val="00024F2B"/>
    <w:rsid w:val="00032388"/>
    <w:rsid w:val="0003576C"/>
    <w:rsid w:val="00035CE2"/>
    <w:rsid w:val="0004234A"/>
    <w:rsid w:val="00054E93"/>
    <w:rsid w:val="0005553B"/>
    <w:rsid w:val="00056474"/>
    <w:rsid w:val="000604D2"/>
    <w:rsid w:val="0007788A"/>
    <w:rsid w:val="0008002C"/>
    <w:rsid w:val="00084C6B"/>
    <w:rsid w:val="0009005E"/>
    <w:rsid w:val="000905C4"/>
    <w:rsid w:val="000941C5"/>
    <w:rsid w:val="000963D7"/>
    <w:rsid w:val="000A6451"/>
    <w:rsid w:val="000B064E"/>
    <w:rsid w:val="000B69CF"/>
    <w:rsid w:val="000C3389"/>
    <w:rsid w:val="000C5148"/>
    <w:rsid w:val="000C790C"/>
    <w:rsid w:val="000D40BA"/>
    <w:rsid w:val="000E3E17"/>
    <w:rsid w:val="000F061D"/>
    <w:rsid w:val="000F154C"/>
    <w:rsid w:val="000F261B"/>
    <w:rsid w:val="000F4794"/>
    <w:rsid w:val="000F574F"/>
    <w:rsid w:val="00102C40"/>
    <w:rsid w:val="00112248"/>
    <w:rsid w:val="00124F12"/>
    <w:rsid w:val="00127034"/>
    <w:rsid w:val="0013391F"/>
    <w:rsid w:val="001401FC"/>
    <w:rsid w:val="00144E3A"/>
    <w:rsid w:val="00145236"/>
    <w:rsid w:val="0015060C"/>
    <w:rsid w:val="001554A3"/>
    <w:rsid w:val="0016018A"/>
    <w:rsid w:val="00161F0E"/>
    <w:rsid w:val="00170E2A"/>
    <w:rsid w:val="00176F82"/>
    <w:rsid w:val="00177394"/>
    <w:rsid w:val="00182C18"/>
    <w:rsid w:val="00183CC2"/>
    <w:rsid w:val="001900E4"/>
    <w:rsid w:val="00190F88"/>
    <w:rsid w:val="00193683"/>
    <w:rsid w:val="001A298B"/>
    <w:rsid w:val="001A4066"/>
    <w:rsid w:val="001A4EF4"/>
    <w:rsid w:val="001A6AE4"/>
    <w:rsid w:val="001A7F39"/>
    <w:rsid w:val="001B01FD"/>
    <w:rsid w:val="001B362A"/>
    <w:rsid w:val="001B4A71"/>
    <w:rsid w:val="001B6FF8"/>
    <w:rsid w:val="001D5B54"/>
    <w:rsid w:val="001E1DBF"/>
    <w:rsid w:val="001E4639"/>
    <w:rsid w:val="001E4A7D"/>
    <w:rsid w:val="001F051C"/>
    <w:rsid w:val="001F43A8"/>
    <w:rsid w:val="001F5CD6"/>
    <w:rsid w:val="00211B43"/>
    <w:rsid w:val="0021263D"/>
    <w:rsid w:val="00213F0C"/>
    <w:rsid w:val="00214094"/>
    <w:rsid w:val="00214760"/>
    <w:rsid w:val="00215780"/>
    <w:rsid w:val="0021592D"/>
    <w:rsid w:val="00222D76"/>
    <w:rsid w:val="00223EB1"/>
    <w:rsid w:val="00231344"/>
    <w:rsid w:val="0023436E"/>
    <w:rsid w:val="002347C0"/>
    <w:rsid w:val="00235C59"/>
    <w:rsid w:val="00241A6C"/>
    <w:rsid w:val="00242D2B"/>
    <w:rsid w:val="0024776C"/>
    <w:rsid w:val="00250198"/>
    <w:rsid w:val="0025197B"/>
    <w:rsid w:val="002572D7"/>
    <w:rsid w:val="00260174"/>
    <w:rsid w:val="00260B07"/>
    <w:rsid w:val="002624C9"/>
    <w:rsid w:val="002628F1"/>
    <w:rsid w:val="00262E2B"/>
    <w:rsid w:val="00270429"/>
    <w:rsid w:val="002723E9"/>
    <w:rsid w:val="00277929"/>
    <w:rsid w:val="00283B82"/>
    <w:rsid w:val="002846E9"/>
    <w:rsid w:val="00284C34"/>
    <w:rsid w:val="00286C15"/>
    <w:rsid w:val="0029066C"/>
    <w:rsid w:val="00291760"/>
    <w:rsid w:val="00291E8E"/>
    <w:rsid w:val="0029707E"/>
    <w:rsid w:val="002A00ED"/>
    <w:rsid w:val="002B50DB"/>
    <w:rsid w:val="002C12AB"/>
    <w:rsid w:val="002C667A"/>
    <w:rsid w:val="002C7678"/>
    <w:rsid w:val="002C7CAC"/>
    <w:rsid w:val="002D3306"/>
    <w:rsid w:val="002D48AA"/>
    <w:rsid w:val="002D4CD6"/>
    <w:rsid w:val="002D7BAA"/>
    <w:rsid w:val="002D7F54"/>
    <w:rsid w:val="002E3306"/>
    <w:rsid w:val="002E34DF"/>
    <w:rsid w:val="002E3FF4"/>
    <w:rsid w:val="002E790B"/>
    <w:rsid w:val="002F605E"/>
    <w:rsid w:val="002F6A48"/>
    <w:rsid w:val="002F78C8"/>
    <w:rsid w:val="00301CF3"/>
    <w:rsid w:val="003106F7"/>
    <w:rsid w:val="0031088E"/>
    <w:rsid w:val="00317B8E"/>
    <w:rsid w:val="00320378"/>
    <w:rsid w:val="003213D2"/>
    <w:rsid w:val="00325AFD"/>
    <w:rsid w:val="0032715C"/>
    <w:rsid w:val="003360DA"/>
    <w:rsid w:val="00337CA5"/>
    <w:rsid w:val="00355BD9"/>
    <w:rsid w:val="00360DD9"/>
    <w:rsid w:val="00362478"/>
    <w:rsid w:val="0036256D"/>
    <w:rsid w:val="003634DB"/>
    <w:rsid w:val="00363F03"/>
    <w:rsid w:val="00364326"/>
    <w:rsid w:val="003659E4"/>
    <w:rsid w:val="00367C19"/>
    <w:rsid w:val="00371527"/>
    <w:rsid w:val="003740EB"/>
    <w:rsid w:val="00375B25"/>
    <w:rsid w:val="00381CA4"/>
    <w:rsid w:val="00381CE2"/>
    <w:rsid w:val="003872E2"/>
    <w:rsid w:val="003914F5"/>
    <w:rsid w:val="00395BCA"/>
    <w:rsid w:val="00396542"/>
    <w:rsid w:val="0039685B"/>
    <w:rsid w:val="003A31A6"/>
    <w:rsid w:val="003A7F0C"/>
    <w:rsid w:val="003A7F65"/>
    <w:rsid w:val="003A7F79"/>
    <w:rsid w:val="003B0A3F"/>
    <w:rsid w:val="003B1D12"/>
    <w:rsid w:val="003B6404"/>
    <w:rsid w:val="003C449B"/>
    <w:rsid w:val="003D21FF"/>
    <w:rsid w:val="003D5E29"/>
    <w:rsid w:val="003D7F95"/>
    <w:rsid w:val="003E0FE2"/>
    <w:rsid w:val="003E4B6F"/>
    <w:rsid w:val="003F0112"/>
    <w:rsid w:val="003F071A"/>
    <w:rsid w:val="003F160B"/>
    <w:rsid w:val="003F1A80"/>
    <w:rsid w:val="00400032"/>
    <w:rsid w:val="00400B5B"/>
    <w:rsid w:val="00405A00"/>
    <w:rsid w:val="004136AD"/>
    <w:rsid w:val="00414FC4"/>
    <w:rsid w:val="00415124"/>
    <w:rsid w:val="00420870"/>
    <w:rsid w:val="004308DF"/>
    <w:rsid w:val="004356B3"/>
    <w:rsid w:val="00436153"/>
    <w:rsid w:val="0043791B"/>
    <w:rsid w:val="00441483"/>
    <w:rsid w:val="00441BCB"/>
    <w:rsid w:val="00442103"/>
    <w:rsid w:val="004442D0"/>
    <w:rsid w:val="0045176A"/>
    <w:rsid w:val="00456332"/>
    <w:rsid w:val="004603AC"/>
    <w:rsid w:val="0046077A"/>
    <w:rsid w:val="00461826"/>
    <w:rsid w:val="00465CBC"/>
    <w:rsid w:val="00471EA5"/>
    <w:rsid w:val="004800F9"/>
    <w:rsid w:val="004812B9"/>
    <w:rsid w:val="0048447B"/>
    <w:rsid w:val="00484735"/>
    <w:rsid w:val="004877D7"/>
    <w:rsid w:val="0049134A"/>
    <w:rsid w:val="004960A8"/>
    <w:rsid w:val="00497DD9"/>
    <w:rsid w:val="004A4D05"/>
    <w:rsid w:val="004A58CB"/>
    <w:rsid w:val="004B1795"/>
    <w:rsid w:val="004B56DD"/>
    <w:rsid w:val="004C020F"/>
    <w:rsid w:val="004C1AFD"/>
    <w:rsid w:val="004C558B"/>
    <w:rsid w:val="004E3F87"/>
    <w:rsid w:val="004E59D0"/>
    <w:rsid w:val="004F1F88"/>
    <w:rsid w:val="004F206A"/>
    <w:rsid w:val="004F5F1B"/>
    <w:rsid w:val="00501942"/>
    <w:rsid w:val="00502374"/>
    <w:rsid w:val="00503BE3"/>
    <w:rsid w:val="005060A1"/>
    <w:rsid w:val="00515C77"/>
    <w:rsid w:val="00516072"/>
    <w:rsid w:val="005332EC"/>
    <w:rsid w:val="00533AE3"/>
    <w:rsid w:val="00534418"/>
    <w:rsid w:val="005344CD"/>
    <w:rsid w:val="005353AB"/>
    <w:rsid w:val="0054616B"/>
    <w:rsid w:val="005560BC"/>
    <w:rsid w:val="005573BE"/>
    <w:rsid w:val="00572700"/>
    <w:rsid w:val="00580468"/>
    <w:rsid w:val="00582231"/>
    <w:rsid w:val="00583CA0"/>
    <w:rsid w:val="0058603B"/>
    <w:rsid w:val="0059431B"/>
    <w:rsid w:val="005A39CC"/>
    <w:rsid w:val="005B4730"/>
    <w:rsid w:val="005C4B17"/>
    <w:rsid w:val="005D3219"/>
    <w:rsid w:val="005D7CE1"/>
    <w:rsid w:val="005E0527"/>
    <w:rsid w:val="005E05D7"/>
    <w:rsid w:val="005E41E7"/>
    <w:rsid w:val="005E450F"/>
    <w:rsid w:val="005E7D0C"/>
    <w:rsid w:val="00610BB7"/>
    <w:rsid w:val="0061276B"/>
    <w:rsid w:val="00615094"/>
    <w:rsid w:val="00615F6C"/>
    <w:rsid w:val="006163D3"/>
    <w:rsid w:val="00622541"/>
    <w:rsid w:val="0062298A"/>
    <w:rsid w:val="00626514"/>
    <w:rsid w:val="00626554"/>
    <w:rsid w:val="00626589"/>
    <w:rsid w:val="00632EF8"/>
    <w:rsid w:val="006339A0"/>
    <w:rsid w:val="00637D4E"/>
    <w:rsid w:val="006413A8"/>
    <w:rsid w:val="00642E56"/>
    <w:rsid w:val="0064316C"/>
    <w:rsid w:val="00643537"/>
    <w:rsid w:val="00651E00"/>
    <w:rsid w:val="006614FA"/>
    <w:rsid w:val="00674572"/>
    <w:rsid w:val="00674D80"/>
    <w:rsid w:val="00677679"/>
    <w:rsid w:val="00682F89"/>
    <w:rsid w:val="006853F7"/>
    <w:rsid w:val="00687763"/>
    <w:rsid w:val="00692B0D"/>
    <w:rsid w:val="00693E0E"/>
    <w:rsid w:val="006A1AE3"/>
    <w:rsid w:val="006A5666"/>
    <w:rsid w:val="006C0456"/>
    <w:rsid w:val="006C30E1"/>
    <w:rsid w:val="006C4607"/>
    <w:rsid w:val="006D3989"/>
    <w:rsid w:val="006D48F1"/>
    <w:rsid w:val="006E0D69"/>
    <w:rsid w:val="006F16C8"/>
    <w:rsid w:val="006F45BE"/>
    <w:rsid w:val="007004FC"/>
    <w:rsid w:val="00702B34"/>
    <w:rsid w:val="00706670"/>
    <w:rsid w:val="007118F8"/>
    <w:rsid w:val="00711F59"/>
    <w:rsid w:val="0072158A"/>
    <w:rsid w:val="0072417C"/>
    <w:rsid w:val="00725DAF"/>
    <w:rsid w:val="00734450"/>
    <w:rsid w:val="0073492F"/>
    <w:rsid w:val="00745F67"/>
    <w:rsid w:val="00747EA4"/>
    <w:rsid w:val="0075039E"/>
    <w:rsid w:val="00751930"/>
    <w:rsid w:val="00752D9D"/>
    <w:rsid w:val="00754784"/>
    <w:rsid w:val="00757C6E"/>
    <w:rsid w:val="00762BDA"/>
    <w:rsid w:val="00765B25"/>
    <w:rsid w:val="00775C2F"/>
    <w:rsid w:val="007766BB"/>
    <w:rsid w:val="007805FD"/>
    <w:rsid w:val="00780BD8"/>
    <w:rsid w:val="0078212A"/>
    <w:rsid w:val="00784422"/>
    <w:rsid w:val="00785D22"/>
    <w:rsid w:val="007A7F63"/>
    <w:rsid w:val="007B3B54"/>
    <w:rsid w:val="007B3FA0"/>
    <w:rsid w:val="007C0F2C"/>
    <w:rsid w:val="007C2BCC"/>
    <w:rsid w:val="007C47B8"/>
    <w:rsid w:val="007C4EF0"/>
    <w:rsid w:val="007C7B73"/>
    <w:rsid w:val="007D099D"/>
    <w:rsid w:val="007D1C68"/>
    <w:rsid w:val="007D5039"/>
    <w:rsid w:val="007D6E4C"/>
    <w:rsid w:val="007E101F"/>
    <w:rsid w:val="007E25A4"/>
    <w:rsid w:val="007E2664"/>
    <w:rsid w:val="007E3ABF"/>
    <w:rsid w:val="007E5BFA"/>
    <w:rsid w:val="007E6689"/>
    <w:rsid w:val="007E731C"/>
    <w:rsid w:val="007F0A03"/>
    <w:rsid w:val="007F23ED"/>
    <w:rsid w:val="00804152"/>
    <w:rsid w:val="00805989"/>
    <w:rsid w:val="00806F35"/>
    <w:rsid w:val="0080759C"/>
    <w:rsid w:val="00810040"/>
    <w:rsid w:val="00815ADD"/>
    <w:rsid w:val="0082023A"/>
    <w:rsid w:val="00821A7A"/>
    <w:rsid w:val="008253F8"/>
    <w:rsid w:val="008325E4"/>
    <w:rsid w:val="00832A2B"/>
    <w:rsid w:val="00834EB0"/>
    <w:rsid w:val="00845811"/>
    <w:rsid w:val="00846994"/>
    <w:rsid w:val="00846A42"/>
    <w:rsid w:val="00850451"/>
    <w:rsid w:val="00852042"/>
    <w:rsid w:val="008534C9"/>
    <w:rsid w:val="0085599D"/>
    <w:rsid w:val="0085665E"/>
    <w:rsid w:val="00866C46"/>
    <w:rsid w:val="00870F16"/>
    <w:rsid w:val="008712C6"/>
    <w:rsid w:val="00872DC9"/>
    <w:rsid w:val="0087510C"/>
    <w:rsid w:val="00876892"/>
    <w:rsid w:val="008857E8"/>
    <w:rsid w:val="00885B56"/>
    <w:rsid w:val="00886021"/>
    <w:rsid w:val="008968D2"/>
    <w:rsid w:val="0089738E"/>
    <w:rsid w:val="00897C76"/>
    <w:rsid w:val="008A2B18"/>
    <w:rsid w:val="008A4935"/>
    <w:rsid w:val="008B397C"/>
    <w:rsid w:val="008B5FDB"/>
    <w:rsid w:val="008B5FE4"/>
    <w:rsid w:val="008C098E"/>
    <w:rsid w:val="008C120E"/>
    <w:rsid w:val="008C4F99"/>
    <w:rsid w:val="008C50F4"/>
    <w:rsid w:val="008C5649"/>
    <w:rsid w:val="008D27EF"/>
    <w:rsid w:val="008D2F61"/>
    <w:rsid w:val="008D3D7C"/>
    <w:rsid w:val="008D73FC"/>
    <w:rsid w:val="008E0DF3"/>
    <w:rsid w:val="008E0F03"/>
    <w:rsid w:val="008E44A2"/>
    <w:rsid w:val="008E697D"/>
    <w:rsid w:val="008F31F1"/>
    <w:rsid w:val="00903263"/>
    <w:rsid w:val="00905179"/>
    <w:rsid w:val="00905A27"/>
    <w:rsid w:val="00906A21"/>
    <w:rsid w:val="009079C3"/>
    <w:rsid w:val="00910462"/>
    <w:rsid w:val="00912AFA"/>
    <w:rsid w:val="00915AB1"/>
    <w:rsid w:val="00917334"/>
    <w:rsid w:val="00917532"/>
    <w:rsid w:val="009235BA"/>
    <w:rsid w:val="00924023"/>
    <w:rsid w:val="00924CE2"/>
    <w:rsid w:val="00925B9F"/>
    <w:rsid w:val="00931AED"/>
    <w:rsid w:val="00932043"/>
    <w:rsid w:val="0094022A"/>
    <w:rsid w:val="009476A3"/>
    <w:rsid w:val="0095334F"/>
    <w:rsid w:val="0095485C"/>
    <w:rsid w:val="00965897"/>
    <w:rsid w:val="0096765C"/>
    <w:rsid w:val="009727E4"/>
    <w:rsid w:val="00975470"/>
    <w:rsid w:val="009830B2"/>
    <w:rsid w:val="009843BE"/>
    <w:rsid w:val="00985E67"/>
    <w:rsid w:val="00987EF0"/>
    <w:rsid w:val="00990C7A"/>
    <w:rsid w:val="0099330B"/>
    <w:rsid w:val="009934C5"/>
    <w:rsid w:val="00994C0F"/>
    <w:rsid w:val="00995123"/>
    <w:rsid w:val="00996CBA"/>
    <w:rsid w:val="009B1218"/>
    <w:rsid w:val="009B22D7"/>
    <w:rsid w:val="009B595C"/>
    <w:rsid w:val="009B6335"/>
    <w:rsid w:val="009B72ED"/>
    <w:rsid w:val="009C3661"/>
    <w:rsid w:val="009C6DEB"/>
    <w:rsid w:val="009D6504"/>
    <w:rsid w:val="009E12D7"/>
    <w:rsid w:val="009E661A"/>
    <w:rsid w:val="009E7A1D"/>
    <w:rsid w:val="009F2D0C"/>
    <w:rsid w:val="00A06781"/>
    <w:rsid w:val="00A074C3"/>
    <w:rsid w:val="00A13278"/>
    <w:rsid w:val="00A1509C"/>
    <w:rsid w:val="00A17127"/>
    <w:rsid w:val="00A26E42"/>
    <w:rsid w:val="00A34260"/>
    <w:rsid w:val="00A51B88"/>
    <w:rsid w:val="00A5357E"/>
    <w:rsid w:val="00A6097D"/>
    <w:rsid w:val="00A63A97"/>
    <w:rsid w:val="00A70CFD"/>
    <w:rsid w:val="00A72A0B"/>
    <w:rsid w:val="00A81E42"/>
    <w:rsid w:val="00A864FE"/>
    <w:rsid w:val="00A86F41"/>
    <w:rsid w:val="00A87D04"/>
    <w:rsid w:val="00A87F99"/>
    <w:rsid w:val="00A9057A"/>
    <w:rsid w:val="00A950C5"/>
    <w:rsid w:val="00AA1D25"/>
    <w:rsid w:val="00AA630D"/>
    <w:rsid w:val="00AB2B1A"/>
    <w:rsid w:val="00AB397F"/>
    <w:rsid w:val="00AB5832"/>
    <w:rsid w:val="00AC1CB4"/>
    <w:rsid w:val="00AC4038"/>
    <w:rsid w:val="00AC51F2"/>
    <w:rsid w:val="00AD4CCF"/>
    <w:rsid w:val="00AE4B17"/>
    <w:rsid w:val="00AE5066"/>
    <w:rsid w:val="00AE5E24"/>
    <w:rsid w:val="00AE61B7"/>
    <w:rsid w:val="00AE6574"/>
    <w:rsid w:val="00AE6CBA"/>
    <w:rsid w:val="00AE6D7E"/>
    <w:rsid w:val="00AE79AD"/>
    <w:rsid w:val="00AF242D"/>
    <w:rsid w:val="00AF35E4"/>
    <w:rsid w:val="00AF48B2"/>
    <w:rsid w:val="00AF5CDE"/>
    <w:rsid w:val="00B004C6"/>
    <w:rsid w:val="00B02544"/>
    <w:rsid w:val="00B06958"/>
    <w:rsid w:val="00B07F0F"/>
    <w:rsid w:val="00B11A57"/>
    <w:rsid w:val="00B211C3"/>
    <w:rsid w:val="00B22792"/>
    <w:rsid w:val="00B25597"/>
    <w:rsid w:val="00B267B9"/>
    <w:rsid w:val="00B33E09"/>
    <w:rsid w:val="00B427CD"/>
    <w:rsid w:val="00B46631"/>
    <w:rsid w:val="00B46874"/>
    <w:rsid w:val="00B5040C"/>
    <w:rsid w:val="00B50708"/>
    <w:rsid w:val="00B50C68"/>
    <w:rsid w:val="00B51293"/>
    <w:rsid w:val="00B52B1E"/>
    <w:rsid w:val="00B55481"/>
    <w:rsid w:val="00B56C32"/>
    <w:rsid w:val="00B5716F"/>
    <w:rsid w:val="00B57ACF"/>
    <w:rsid w:val="00B64BB1"/>
    <w:rsid w:val="00B73166"/>
    <w:rsid w:val="00B74592"/>
    <w:rsid w:val="00B8426C"/>
    <w:rsid w:val="00B84387"/>
    <w:rsid w:val="00B8604D"/>
    <w:rsid w:val="00B91B8D"/>
    <w:rsid w:val="00B93E4D"/>
    <w:rsid w:val="00B94E90"/>
    <w:rsid w:val="00BB0A82"/>
    <w:rsid w:val="00BB2FAB"/>
    <w:rsid w:val="00BB7C94"/>
    <w:rsid w:val="00BC0A9D"/>
    <w:rsid w:val="00BC0DCE"/>
    <w:rsid w:val="00BD52AA"/>
    <w:rsid w:val="00BE189A"/>
    <w:rsid w:val="00BE480B"/>
    <w:rsid w:val="00BF0A51"/>
    <w:rsid w:val="00BF40ED"/>
    <w:rsid w:val="00BF5BC2"/>
    <w:rsid w:val="00C02CEF"/>
    <w:rsid w:val="00C1133D"/>
    <w:rsid w:val="00C119B2"/>
    <w:rsid w:val="00C27A08"/>
    <w:rsid w:val="00C31312"/>
    <w:rsid w:val="00C31E36"/>
    <w:rsid w:val="00C326C6"/>
    <w:rsid w:val="00C35295"/>
    <w:rsid w:val="00C36ADD"/>
    <w:rsid w:val="00C36E74"/>
    <w:rsid w:val="00C40595"/>
    <w:rsid w:val="00C40DE0"/>
    <w:rsid w:val="00C41621"/>
    <w:rsid w:val="00C449FA"/>
    <w:rsid w:val="00C4774E"/>
    <w:rsid w:val="00C52D9D"/>
    <w:rsid w:val="00C5384F"/>
    <w:rsid w:val="00C56964"/>
    <w:rsid w:val="00C656D5"/>
    <w:rsid w:val="00C66FF2"/>
    <w:rsid w:val="00C67103"/>
    <w:rsid w:val="00C71BB9"/>
    <w:rsid w:val="00C80AFD"/>
    <w:rsid w:val="00C82890"/>
    <w:rsid w:val="00C94C28"/>
    <w:rsid w:val="00C97979"/>
    <w:rsid w:val="00CA7DC8"/>
    <w:rsid w:val="00CB0247"/>
    <w:rsid w:val="00CB05B8"/>
    <w:rsid w:val="00CB3440"/>
    <w:rsid w:val="00CB3E52"/>
    <w:rsid w:val="00CB535F"/>
    <w:rsid w:val="00CB6475"/>
    <w:rsid w:val="00CC1692"/>
    <w:rsid w:val="00CD138B"/>
    <w:rsid w:val="00CD3E31"/>
    <w:rsid w:val="00CD74A3"/>
    <w:rsid w:val="00CE0527"/>
    <w:rsid w:val="00CE5B23"/>
    <w:rsid w:val="00CF70AD"/>
    <w:rsid w:val="00CF7729"/>
    <w:rsid w:val="00D00059"/>
    <w:rsid w:val="00D04C7F"/>
    <w:rsid w:val="00D107FA"/>
    <w:rsid w:val="00D12275"/>
    <w:rsid w:val="00D12766"/>
    <w:rsid w:val="00D13BE4"/>
    <w:rsid w:val="00D14D31"/>
    <w:rsid w:val="00D20FF4"/>
    <w:rsid w:val="00D24D2C"/>
    <w:rsid w:val="00D2587B"/>
    <w:rsid w:val="00D35881"/>
    <w:rsid w:val="00D37A71"/>
    <w:rsid w:val="00D43171"/>
    <w:rsid w:val="00D47F77"/>
    <w:rsid w:val="00D8545C"/>
    <w:rsid w:val="00D93210"/>
    <w:rsid w:val="00DA7DA5"/>
    <w:rsid w:val="00DB073B"/>
    <w:rsid w:val="00DB1C8B"/>
    <w:rsid w:val="00DB4C41"/>
    <w:rsid w:val="00DB78F0"/>
    <w:rsid w:val="00DC2041"/>
    <w:rsid w:val="00DC2E43"/>
    <w:rsid w:val="00DD095C"/>
    <w:rsid w:val="00DD1020"/>
    <w:rsid w:val="00DD1330"/>
    <w:rsid w:val="00DD37FD"/>
    <w:rsid w:val="00DE0B83"/>
    <w:rsid w:val="00DE1A81"/>
    <w:rsid w:val="00DE1C13"/>
    <w:rsid w:val="00DE37B6"/>
    <w:rsid w:val="00DE4E10"/>
    <w:rsid w:val="00DF56F4"/>
    <w:rsid w:val="00E0169C"/>
    <w:rsid w:val="00E02ABF"/>
    <w:rsid w:val="00E05117"/>
    <w:rsid w:val="00E066E0"/>
    <w:rsid w:val="00E110BD"/>
    <w:rsid w:val="00E14098"/>
    <w:rsid w:val="00E14995"/>
    <w:rsid w:val="00E179CD"/>
    <w:rsid w:val="00E2054B"/>
    <w:rsid w:val="00E23E8D"/>
    <w:rsid w:val="00E32D6C"/>
    <w:rsid w:val="00E37F98"/>
    <w:rsid w:val="00E46559"/>
    <w:rsid w:val="00E6670C"/>
    <w:rsid w:val="00E67E03"/>
    <w:rsid w:val="00E76A7B"/>
    <w:rsid w:val="00E76C73"/>
    <w:rsid w:val="00E776E8"/>
    <w:rsid w:val="00E801AB"/>
    <w:rsid w:val="00E81ACC"/>
    <w:rsid w:val="00E92C1F"/>
    <w:rsid w:val="00E95D4B"/>
    <w:rsid w:val="00EA3DFC"/>
    <w:rsid w:val="00EA7589"/>
    <w:rsid w:val="00EB199F"/>
    <w:rsid w:val="00EB6D3D"/>
    <w:rsid w:val="00EC23F7"/>
    <w:rsid w:val="00EC278B"/>
    <w:rsid w:val="00EC4BD8"/>
    <w:rsid w:val="00EC63EB"/>
    <w:rsid w:val="00ED412F"/>
    <w:rsid w:val="00ED7713"/>
    <w:rsid w:val="00EE60A0"/>
    <w:rsid w:val="00EF36B2"/>
    <w:rsid w:val="00EF4681"/>
    <w:rsid w:val="00F00FF5"/>
    <w:rsid w:val="00F02638"/>
    <w:rsid w:val="00F06402"/>
    <w:rsid w:val="00F118C5"/>
    <w:rsid w:val="00F1246B"/>
    <w:rsid w:val="00F15786"/>
    <w:rsid w:val="00F16712"/>
    <w:rsid w:val="00F201EC"/>
    <w:rsid w:val="00F208A9"/>
    <w:rsid w:val="00F2636D"/>
    <w:rsid w:val="00F26614"/>
    <w:rsid w:val="00F26A07"/>
    <w:rsid w:val="00F30E36"/>
    <w:rsid w:val="00F313C1"/>
    <w:rsid w:val="00F3733C"/>
    <w:rsid w:val="00F41D75"/>
    <w:rsid w:val="00F46828"/>
    <w:rsid w:val="00F5139D"/>
    <w:rsid w:val="00F53E8D"/>
    <w:rsid w:val="00F634EB"/>
    <w:rsid w:val="00F63DAC"/>
    <w:rsid w:val="00F64697"/>
    <w:rsid w:val="00F67385"/>
    <w:rsid w:val="00F719D2"/>
    <w:rsid w:val="00F739A6"/>
    <w:rsid w:val="00F7454F"/>
    <w:rsid w:val="00F76C1B"/>
    <w:rsid w:val="00F77988"/>
    <w:rsid w:val="00F77F48"/>
    <w:rsid w:val="00F84B71"/>
    <w:rsid w:val="00FA2451"/>
    <w:rsid w:val="00FA6102"/>
    <w:rsid w:val="00FB04A2"/>
    <w:rsid w:val="00FB30F1"/>
    <w:rsid w:val="00FB41DE"/>
    <w:rsid w:val="00FB53E7"/>
    <w:rsid w:val="00FD2A8A"/>
    <w:rsid w:val="00FE050B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8C5649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Noklusjumarindkopasfonts"/>
    <w:uiPriority w:val="99"/>
    <w:semiHidden/>
    <w:locked/>
    <w:rsid w:val="009B595C"/>
    <w:rPr>
      <w:rFonts w:cs="Times New Roman"/>
      <w:sz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8C5649"/>
    <w:rPr>
      <w:rFonts w:cs="Times New Roman"/>
    </w:rPr>
  </w:style>
  <w:style w:type="paragraph" w:customStyle="1" w:styleId="naisf">
    <w:name w:val="naisf"/>
    <w:basedOn w:val="Parasts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uiPriority w:val="99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8C5649"/>
    <w:pPr>
      <w:spacing w:before="75" w:after="75"/>
    </w:pPr>
  </w:style>
  <w:style w:type="paragraph" w:customStyle="1" w:styleId="naisc">
    <w:name w:val="naisc"/>
    <w:basedOn w:val="Parasts"/>
    <w:uiPriority w:val="99"/>
    <w:rsid w:val="008C5649"/>
    <w:pPr>
      <w:spacing w:before="75" w:after="75"/>
      <w:jc w:val="center"/>
    </w:pPr>
  </w:style>
  <w:style w:type="character" w:customStyle="1" w:styleId="th1">
    <w:name w:val="th1"/>
    <w:uiPriority w:val="99"/>
    <w:rsid w:val="008C5649"/>
    <w:rPr>
      <w:b/>
      <w:color w:val="333333"/>
    </w:rPr>
  </w:style>
  <w:style w:type="character" w:styleId="Komentraatsauce">
    <w:name w:val="annotation reference"/>
    <w:basedOn w:val="Noklusjumarindkopasfonts"/>
    <w:uiPriority w:val="99"/>
    <w:semiHidden/>
    <w:rsid w:val="008C5649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C5649"/>
    <w:rPr>
      <w:rFonts w:cs="Times New Roman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8C56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E37B6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8C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link w:val="VrestekstsRakstz"/>
    <w:uiPriority w:val="99"/>
    <w:rsid w:val="008C564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DE37B6"/>
    <w:rPr>
      <w:rFonts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rsid w:val="008C5649"/>
    <w:rPr>
      <w:rFonts w:cs="Times New Roman"/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62E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DE37B6"/>
    <w:rPr>
      <w:rFonts w:cs="Times New Roman"/>
      <w:b/>
      <w:bCs/>
      <w:sz w:val="20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231344"/>
    <w:rPr>
      <w:rFonts w:cs="Times New Roman"/>
      <w:sz w:val="24"/>
      <w:lang w:val="lv-LV" w:eastAsia="lv-LV"/>
    </w:rPr>
  </w:style>
  <w:style w:type="character" w:styleId="Hipersaite">
    <w:name w:val="Hyperlink"/>
    <w:basedOn w:val="Noklusjumarindkopasfonts"/>
    <w:uiPriority w:val="99"/>
    <w:rsid w:val="007004FC"/>
    <w:rPr>
      <w:rFonts w:cs="Times New Roman"/>
      <w:color w:val="0000FF"/>
      <w:u w:val="single"/>
    </w:rPr>
  </w:style>
  <w:style w:type="paragraph" w:styleId="Dokumentakarte">
    <w:name w:val="Document Map"/>
    <w:basedOn w:val="Parasts"/>
    <w:link w:val="DokumentakarteRakstz"/>
    <w:uiPriority w:val="99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DE37B6"/>
    <w:rPr>
      <w:rFonts w:cs="Times New Roman"/>
      <w:sz w:val="2"/>
    </w:rPr>
  </w:style>
  <w:style w:type="character" w:customStyle="1" w:styleId="GalveneRakstz">
    <w:name w:val="Galvene Rakstz."/>
    <w:link w:val="Galvene"/>
    <w:uiPriority w:val="99"/>
    <w:locked/>
    <w:rsid w:val="00886021"/>
    <w:rPr>
      <w:sz w:val="24"/>
    </w:rPr>
  </w:style>
  <w:style w:type="paragraph" w:styleId="Nosaukums">
    <w:name w:val="Title"/>
    <w:basedOn w:val="Parasts"/>
    <w:link w:val="NosaukumsRakstz"/>
    <w:uiPriority w:val="99"/>
    <w:qFormat/>
    <w:rsid w:val="00886021"/>
    <w:pPr>
      <w:jc w:val="center"/>
    </w:pPr>
    <w:rPr>
      <w:b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86021"/>
    <w:rPr>
      <w:rFonts w:cs="Times New Roman"/>
      <w:b/>
      <w:sz w:val="24"/>
      <w:lang w:eastAsia="en-US"/>
    </w:rPr>
  </w:style>
  <w:style w:type="paragraph" w:customStyle="1" w:styleId="Default">
    <w:name w:val="Default"/>
    <w:uiPriority w:val="99"/>
    <w:rsid w:val="004442D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8F31F1"/>
    <w:pPr>
      <w:suppressAutoHyphens/>
      <w:ind w:firstLine="720"/>
      <w:jc w:val="center"/>
    </w:pPr>
    <w:rPr>
      <w:b/>
      <w:kern w:val="1"/>
      <w:sz w:val="28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DE37B6"/>
    <w:rPr>
      <w:rFonts w:cs="Times New Roman"/>
      <w:sz w:val="24"/>
      <w:szCs w:val="24"/>
    </w:rPr>
  </w:style>
  <w:style w:type="paragraph" w:customStyle="1" w:styleId="CarCharCharChar">
    <w:name w:val="Car Char Char Char"/>
    <w:basedOn w:val="Parasts"/>
    <w:next w:val="Parasts"/>
    <w:uiPriority w:val="99"/>
    <w:rsid w:val="00211B4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Paraststmeklis">
    <w:name w:val="Normal (Web)"/>
    <w:basedOn w:val="Parasts"/>
    <w:uiPriority w:val="99"/>
    <w:rsid w:val="00A9057A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99"/>
    <w:qFormat/>
    <w:rsid w:val="00A9057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graudina@dv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3462</Words>
  <Characters>1974</Characters>
  <Application>Microsoft Office Word</Application>
  <DocSecurity>0</DocSecurity>
  <Lines>16</Lines>
  <Paragraphs>10</Paragraphs>
  <ScaleCrop>false</ScaleCrop>
  <Company>Tieslietu ministrija (Datu valsts inspekcija)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projekta„Grozījumis Ministru kabineta 2005.gada 19.aprīļa noteikumos Nr.267 „Noteikumi par uzticama sertifikācijas pakalpojumu sniedzēja civiltiesiskās atbildības minimālo apdrošināšanas summu”” sākotnējās ietekmes novērtējuma </dc:title>
  <dc:subject>Anotācija</dc:subject>
  <dc:creator>O.Graudiņa</dc:creator>
  <cp:keywords/>
  <dc:description>O.Graudiņa, 67223131, Olga.Graudina@dvi.gov.lv</dc:description>
  <cp:lastModifiedBy>Liga Kokare</cp:lastModifiedBy>
  <cp:revision>4</cp:revision>
  <cp:lastPrinted>2013-08-05T05:29:00Z</cp:lastPrinted>
  <dcterms:created xsi:type="dcterms:W3CDTF">2013-08-06T08:34:00Z</dcterms:created>
  <dcterms:modified xsi:type="dcterms:W3CDTF">2013-08-08T12:46:00Z</dcterms:modified>
</cp:coreProperties>
</file>