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73" w:rsidRPr="00D263B6" w:rsidRDefault="00DB1073" w:rsidP="00E9203E">
      <w:pPr>
        <w:pStyle w:val="tv2071"/>
        <w:spacing w:after="0" w:line="240" w:lineRule="auto"/>
        <w:rPr>
          <w:rFonts w:ascii="Times New Roman" w:hAnsi="Times New Roman"/>
          <w:sz w:val="26"/>
          <w:szCs w:val="26"/>
        </w:rPr>
      </w:pPr>
      <w:bookmarkStart w:id="0" w:name="_GoBack"/>
      <w:bookmarkEnd w:id="0"/>
      <w:r w:rsidRPr="00D263B6">
        <w:rPr>
          <w:rFonts w:ascii="Times New Roman" w:hAnsi="Times New Roman"/>
          <w:sz w:val="26"/>
          <w:szCs w:val="26"/>
        </w:rPr>
        <w:t xml:space="preserve">Likumprojekta „Grozījums likumā </w:t>
      </w:r>
      <w:r w:rsidR="00E9203E" w:rsidRPr="00D263B6">
        <w:rPr>
          <w:rFonts w:ascii="Times New Roman" w:hAnsi="Times New Roman"/>
          <w:sz w:val="26"/>
          <w:szCs w:val="26"/>
        </w:rPr>
        <w:t xml:space="preserve">„Par atjaunotā Latvijas Republikas 1937. gada Civillikuma saistību tiesību daļas spēkā stāšanās laiku un </w:t>
      </w:r>
      <w:r w:rsidR="000E0D92">
        <w:rPr>
          <w:rFonts w:ascii="Times New Roman" w:hAnsi="Times New Roman"/>
          <w:sz w:val="26"/>
          <w:szCs w:val="26"/>
        </w:rPr>
        <w:t xml:space="preserve">piemērošanas </w:t>
      </w:r>
      <w:r w:rsidR="00E9203E" w:rsidRPr="00D263B6">
        <w:rPr>
          <w:rFonts w:ascii="Times New Roman" w:hAnsi="Times New Roman"/>
          <w:sz w:val="26"/>
          <w:szCs w:val="26"/>
        </w:rPr>
        <w:t>kārtību””</w:t>
      </w:r>
      <w:r w:rsidR="00DD40E0" w:rsidRPr="00D263B6">
        <w:rPr>
          <w:rFonts w:ascii="Times New Roman" w:hAnsi="Times New Roman"/>
          <w:b w:val="0"/>
          <w:bCs w:val="0"/>
          <w:sz w:val="26"/>
          <w:szCs w:val="26"/>
        </w:rPr>
        <w:t xml:space="preserve"> </w:t>
      </w:r>
      <w:r w:rsidRPr="00D263B6">
        <w:rPr>
          <w:rFonts w:ascii="Times New Roman" w:hAnsi="Times New Roman"/>
          <w:sz w:val="26"/>
          <w:szCs w:val="26"/>
        </w:rPr>
        <w:t xml:space="preserve">sākotnējās ietekmes novērtējuma </w:t>
      </w:r>
      <w:smartTag w:uri="schemas-tilde-lv/tildestengine" w:element="veidnes">
        <w:smartTagPr>
          <w:attr w:name="text" w:val="ziņojums"/>
          <w:attr w:name="baseform" w:val="ziņojums"/>
          <w:attr w:name="id" w:val="-1"/>
        </w:smartTagPr>
        <w:r w:rsidRPr="00D263B6">
          <w:rPr>
            <w:rFonts w:ascii="Times New Roman" w:hAnsi="Times New Roman"/>
            <w:sz w:val="26"/>
            <w:szCs w:val="26"/>
          </w:rPr>
          <w:t>ziņojums</w:t>
        </w:r>
      </w:smartTag>
      <w:r w:rsidRPr="00D263B6">
        <w:rPr>
          <w:rFonts w:ascii="Times New Roman" w:hAnsi="Times New Roman"/>
          <w:sz w:val="26"/>
          <w:szCs w:val="26"/>
        </w:rPr>
        <w:t xml:space="preserve"> (anotācija)</w:t>
      </w:r>
    </w:p>
    <w:tbl>
      <w:tblPr>
        <w:tblpPr w:leftFromText="180" w:rightFromText="18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712"/>
        <w:gridCol w:w="5924"/>
      </w:tblGrid>
      <w:tr w:rsidR="00DB1073" w:rsidRPr="00D263B6" w:rsidTr="00EF627E">
        <w:tc>
          <w:tcPr>
            <w:tcW w:w="9067" w:type="dxa"/>
            <w:gridSpan w:val="3"/>
            <w:vAlign w:val="center"/>
          </w:tcPr>
          <w:p w:rsidR="00DB1073" w:rsidRPr="00D263B6" w:rsidRDefault="00DB1073" w:rsidP="001015AE">
            <w:pPr>
              <w:pStyle w:val="naisnod"/>
              <w:spacing w:before="0" w:after="0"/>
              <w:rPr>
                <w:sz w:val="26"/>
                <w:szCs w:val="26"/>
              </w:rPr>
            </w:pPr>
            <w:r w:rsidRPr="00D263B6">
              <w:rPr>
                <w:sz w:val="26"/>
                <w:szCs w:val="26"/>
              </w:rPr>
              <w:t>I. Tiesību akta projekta izstrādes nepieciešamība</w:t>
            </w:r>
          </w:p>
        </w:tc>
      </w:tr>
      <w:tr w:rsidR="00DB1073" w:rsidRPr="00D263B6" w:rsidTr="00EF627E">
        <w:trPr>
          <w:trHeight w:val="2253"/>
        </w:trPr>
        <w:tc>
          <w:tcPr>
            <w:tcW w:w="431" w:type="dxa"/>
          </w:tcPr>
          <w:p w:rsidR="00DB1073" w:rsidRPr="00D263B6" w:rsidRDefault="00DB1073" w:rsidP="001015AE">
            <w:pPr>
              <w:pStyle w:val="naiskr"/>
              <w:spacing w:before="0" w:after="0"/>
              <w:rPr>
                <w:b/>
                <w:sz w:val="26"/>
                <w:szCs w:val="26"/>
              </w:rPr>
            </w:pPr>
            <w:r w:rsidRPr="00D263B6">
              <w:rPr>
                <w:b/>
                <w:sz w:val="26"/>
                <w:szCs w:val="26"/>
              </w:rPr>
              <w:t>1.</w:t>
            </w:r>
          </w:p>
        </w:tc>
        <w:tc>
          <w:tcPr>
            <w:tcW w:w="2712" w:type="dxa"/>
          </w:tcPr>
          <w:p w:rsidR="00DB1073" w:rsidRPr="00D263B6" w:rsidRDefault="00DB1073" w:rsidP="001015AE">
            <w:pPr>
              <w:pStyle w:val="naiskr"/>
              <w:spacing w:before="0" w:after="0"/>
              <w:ind w:hanging="10"/>
              <w:rPr>
                <w:b/>
                <w:sz w:val="26"/>
                <w:szCs w:val="26"/>
              </w:rPr>
            </w:pPr>
            <w:r w:rsidRPr="00D263B6">
              <w:rPr>
                <w:b/>
                <w:sz w:val="26"/>
                <w:szCs w:val="26"/>
              </w:rPr>
              <w:t>Pamatojums</w:t>
            </w:r>
          </w:p>
        </w:tc>
        <w:tc>
          <w:tcPr>
            <w:tcW w:w="5924" w:type="dxa"/>
          </w:tcPr>
          <w:p w:rsidR="00427EB2" w:rsidRPr="00D263B6" w:rsidRDefault="00DB1073" w:rsidP="0028126D">
            <w:pPr>
              <w:pStyle w:val="naisf"/>
              <w:spacing w:before="0" w:after="0"/>
              <w:ind w:firstLine="0"/>
              <w:rPr>
                <w:sz w:val="26"/>
                <w:szCs w:val="26"/>
              </w:rPr>
            </w:pPr>
            <w:bookmarkStart w:id="1" w:name="OLE_LINK3"/>
            <w:bookmarkStart w:id="2" w:name="OLE_LINK4"/>
            <w:r w:rsidRPr="00D263B6">
              <w:rPr>
                <w:sz w:val="26"/>
                <w:szCs w:val="26"/>
              </w:rPr>
              <w:t xml:space="preserve">Likumprojekts </w:t>
            </w:r>
            <w:r w:rsidR="00A61B8A" w:rsidRPr="00D263B6">
              <w:rPr>
                <w:sz w:val="26"/>
                <w:szCs w:val="26"/>
              </w:rPr>
              <w:t xml:space="preserve">„Grozījums likumā „Par atjaunotā Latvijas Republikas 1937. gada Civillikuma saistību tiesību daļas spēkā stāšanās laiku un </w:t>
            </w:r>
            <w:r w:rsidR="008D77FE">
              <w:rPr>
                <w:sz w:val="26"/>
                <w:szCs w:val="26"/>
              </w:rPr>
              <w:t xml:space="preserve">piemērošanas </w:t>
            </w:r>
            <w:r w:rsidR="00A61B8A" w:rsidRPr="00D263B6">
              <w:rPr>
                <w:sz w:val="26"/>
                <w:szCs w:val="26"/>
              </w:rPr>
              <w:t xml:space="preserve">kārtību”” </w:t>
            </w:r>
            <w:bookmarkEnd w:id="1"/>
            <w:bookmarkEnd w:id="2"/>
            <w:r w:rsidRPr="00D263B6">
              <w:rPr>
                <w:sz w:val="26"/>
                <w:szCs w:val="26"/>
              </w:rPr>
              <w:t>(turpmāk – likumprojekts) izstrādāts</w:t>
            </w:r>
            <w:r w:rsidR="001015AE" w:rsidRPr="00D263B6">
              <w:rPr>
                <w:sz w:val="26"/>
                <w:szCs w:val="26"/>
              </w:rPr>
              <w:t>,</w:t>
            </w:r>
            <w:r w:rsidR="00427EB2" w:rsidRPr="00D263B6">
              <w:rPr>
                <w:sz w:val="26"/>
                <w:szCs w:val="26"/>
              </w:rPr>
              <w:t xml:space="preserve"> lai nodrošinātu </w:t>
            </w:r>
            <w:r w:rsidR="00F24036" w:rsidRPr="00D263B6">
              <w:rPr>
                <w:sz w:val="26"/>
                <w:szCs w:val="26"/>
              </w:rPr>
              <w:t>Eiropas Parlamenta un Padomes 2011. gada 16. februāra Direktīvas 2011/7/ES par maksājumu kavējumu novēršanu komercdarījumos nacionālajā tiesību sistēmā (turpmāk – Direktīva 2011/7/ES) pārņemšanu nacionālajā tiesību sistēmā un īstenotu Direktīvas 2011/7/ES 12. panta prasības.</w:t>
            </w:r>
          </w:p>
          <w:p w:rsidR="00DB1073" w:rsidRPr="00D263B6" w:rsidRDefault="00DB1073" w:rsidP="001015AE">
            <w:pPr>
              <w:pStyle w:val="naisf"/>
              <w:spacing w:before="0" w:after="0"/>
              <w:ind w:firstLine="527"/>
              <w:rPr>
                <w:sz w:val="26"/>
                <w:szCs w:val="26"/>
              </w:rPr>
            </w:pPr>
          </w:p>
        </w:tc>
      </w:tr>
      <w:tr w:rsidR="00DB1073" w:rsidRPr="00D263B6" w:rsidTr="00EF627E">
        <w:trPr>
          <w:trHeight w:val="472"/>
        </w:trPr>
        <w:tc>
          <w:tcPr>
            <w:tcW w:w="431" w:type="dxa"/>
          </w:tcPr>
          <w:p w:rsidR="00DB1073" w:rsidRPr="00D263B6" w:rsidRDefault="00DB1073" w:rsidP="001015AE">
            <w:pPr>
              <w:pStyle w:val="naiskr"/>
              <w:spacing w:before="0" w:after="0"/>
              <w:rPr>
                <w:b/>
                <w:sz w:val="26"/>
                <w:szCs w:val="26"/>
              </w:rPr>
            </w:pPr>
            <w:r w:rsidRPr="00D263B6">
              <w:rPr>
                <w:b/>
                <w:sz w:val="26"/>
                <w:szCs w:val="26"/>
              </w:rPr>
              <w:t>2.</w:t>
            </w:r>
          </w:p>
        </w:tc>
        <w:tc>
          <w:tcPr>
            <w:tcW w:w="2712" w:type="dxa"/>
          </w:tcPr>
          <w:p w:rsidR="00DB1073" w:rsidRPr="00D263B6" w:rsidRDefault="00DB1073" w:rsidP="001015AE">
            <w:pPr>
              <w:pStyle w:val="naiskr"/>
              <w:tabs>
                <w:tab w:val="left" w:pos="170"/>
              </w:tabs>
              <w:spacing w:before="0" w:after="0"/>
              <w:rPr>
                <w:b/>
                <w:sz w:val="26"/>
                <w:szCs w:val="26"/>
              </w:rPr>
            </w:pPr>
            <w:r w:rsidRPr="00D263B6">
              <w:rPr>
                <w:b/>
                <w:sz w:val="26"/>
                <w:szCs w:val="26"/>
              </w:rPr>
              <w:t>Pašreizējā situācija un problēmas</w:t>
            </w:r>
          </w:p>
        </w:tc>
        <w:tc>
          <w:tcPr>
            <w:tcW w:w="5924" w:type="dxa"/>
          </w:tcPr>
          <w:p w:rsidR="00DB1073" w:rsidRPr="00D263B6" w:rsidRDefault="00D8551F" w:rsidP="0028126D">
            <w:pPr>
              <w:jc w:val="both"/>
              <w:rPr>
                <w:sz w:val="26"/>
                <w:szCs w:val="26"/>
              </w:rPr>
            </w:pPr>
            <w:r w:rsidRPr="00D263B6">
              <w:rPr>
                <w:sz w:val="26"/>
                <w:szCs w:val="26"/>
              </w:rPr>
              <w:t>Direktīvas 2011/7/ES 12.</w:t>
            </w:r>
            <w:r w:rsidR="003C42FE" w:rsidRPr="00D263B6">
              <w:rPr>
                <w:sz w:val="26"/>
                <w:szCs w:val="26"/>
              </w:rPr>
              <w:t> </w:t>
            </w:r>
            <w:r w:rsidRPr="00D263B6">
              <w:rPr>
                <w:sz w:val="26"/>
                <w:szCs w:val="26"/>
              </w:rPr>
              <w:t>panta 1.</w:t>
            </w:r>
            <w:r w:rsidR="003C42FE" w:rsidRPr="00D263B6">
              <w:rPr>
                <w:sz w:val="26"/>
                <w:szCs w:val="26"/>
              </w:rPr>
              <w:t xml:space="preserve"> </w:t>
            </w:r>
            <w:r w:rsidRPr="00D263B6">
              <w:rPr>
                <w:sz w:val="26"/>
                <w:szCs w:val="26"/>
              </w:rPr>
              <w:t>punktā</w:t>
            </w:r>
            <w:r w:rsidR="00AF0809" w:rsidRPr="00D263B6">
              <w:rPr>
                <w:sz w:val="26"/>
                <w:szCs w:val="26"/>
              </w:rPr>
              <w:t xml:space="preserve"> noteikts, ka </w:t>
            </w:r>
            <w:r w:rsidRPr="00D263B6">
              <w:rPr>
                <w:sz w:val="26"/>
                <w:szCs w:val="26"/>
              </w:rPr>
              <w:t xml:space="preserve"> dalībvalstīs stājas spēkā normatīvie un administratīvie akti, kas vajadzīgi, lai līdz 2013. gada 16. martam izpildītu 1. līdz 8. panta un 10. panta prasības. Dalībvalstis tūlīt dara Komisijai zināmu šo noteikumu tekstu. Tieslietu ministrija ir izstrādājusi likumprojektu „Grozījumi Civillikumā”, kurā pilnībā pārņemtas Direktīvas 2011/7/ES prasības.</w:t>
            </w:r>
            <w:r w:rsidR="00D60AEF" w:rsidRPr="00D263B6">
              <w:rPr>
                <w:sz w:val="26"/>
                <w:szCs w:val="26"/>
              </w:rPr>
              <w:t xml:space="preserve"> Lai novērstu maksājumu kavējumus komercdarījumos, Direktīvā 2011/7/ES ir paredzēti papildus noteikumi, kurus nepieciešams pārņemt nacionālajā tiesību sistēmā. Vienlaikus ar Direktīvas 2011/7/ES pieņemšanu, pastiprināta valsts un pašvaldību atbildība, lai novērstu kavētu maksājumu iestāšanos. </w:t>
            </w:r>
            <w:r w:rsidR="006F32B7" w:rsidRPr="00D263B6">
              <w:rPr>
                <w:sz w:val="26"/>
                <w:szCs w:val="26"/>
              </w:rPr>
              <w:t xml:space="preserve">Lai nodrošinātu likumprojekta „Grozījumi Civillikumā” </w:t>
            </w:r>
            <w:r w:rsidR="00205DB6" w:rsidRPr="00D263B6">
              <w:rPr>
                <w:sz w:val="26"/>
                <w:szCs w:val="26"/>
              </w:rPr>
              <w:t>spēkā stāšanos atbils</w:t>
            </w:r>
            <w:r w:rsidR="00F12E85" w:rsidRPr="00D263B6">
              <w:rPr>
                <w:sz w:val="26"/>
                <w:szCs w:val="26"/>
              </w:rPr>
              <w:t>toši Direktīvas 2011/7/ES 12.</w:t>
            </w:r>
            <w:r w:rsidR="009325CA" w:rsidRPr="00D263B6">
              <w:rPr>
                <w:sz w:val="26"/>
                <w:szCs w:val="26"/>
              </w:rPr>
              <w:t> </w:t>
            </w:r>
            <w:r w:rsidR="00F12E85" w:rsidRPr="00D263B6">
              <w:rPr>
                <w:sz w:val="26"/>
                <w:szCs w:val="26"/>
              </w:rPr>
              <w:t>pantā noteiktajam termiņam – 2013.</w:t>
            </w:r>
            <w:r w:rsidR="00ED3DC7" w:rsidRPr="00D263B6">
              <w:rPr>
                <w:sz w:val="26"/>
                <w:szCs w:val="26"/>
              </w:rPr>
              <w:t> </w:t>
            </w:r>
            <w:r w:rsidR="00F12E85" w:rsidRPr="00D263B6">
              <w:rPr>
                <w:sz w:val="26"/>
                <w:szCs w:val="26"/>
              </w:rPr>
              <w:t>gada 16.</w:t>
            </w:r>
            <w:r w:rsidR="00ED3DC7" w:rsidRPr="00D263B6">
              <w:rPr>
                <w:sz w:val="26"/>
                <w:szCs w:val="26"/>
              </w:rPr>
              <w:t> </w:t>
            </w:r>
            <w:r w:rsidR="00F12E85" w:rsidRPr="00D263B6">
              <w:rPr>
                <w:sz w:val="26"/>
                <w:szCs w:val="26"/>
              </w:rPr>
              <w:t xml:space="preserve">marts, nepieciešams virzīt grozījumus </w:t>
            </w:r>
            <w:r w:rsidR="003C42FE" w:rsidRPr="00D263B6">
              <w:rPr>
                <w:sz w:val="26"/>
                <w:szCs w:val="26"/>
              </w:rPr>
              <w:t>l</w:t>
            </w:r>
            <w:r w:rsidR="00BE5F26" w:rsidRPr="00D263B6">
              <w:rPr>
                <w:bCs/>
                <w:sz w:val="26"/>
                <w:szCs w:val="26"/>
              </w:rPr>
              <w:t>ikumā</w:t>
            </w:r>
            <w:r w:rsidR="00BA178F" w:rsidRPr="00D263B6">
              <w:rPr>
                <w:sz w:val="26"/>
                <w:szCs w:val="26"/>
              </w:rPr>
              <w:t xml:space="preserve"> „Par atjaunotā Latvijas Republikas 1937. gada Civillikuma saistību tiesību daļas spēkā stāšanās laiku un </w:t>
            </w:r>
            <w:r w:rsidR="00A576BB">
              <w:rPr>
                <w:sz w:val="26"/>
                <w:szCs w:val="26"/>
              </w:rPr>
              <w:t xml:space="preserve">piemērošanas </w:t>
            </w:r>
            <w:r w:rsidR="00BA178F" w:rsidRPr="00D263B6">
              <w:rPr>
                <w:sz w:val="26"/>
                <w:szCs w:val="26"/>
              </w:rPr>
              <w:t>kārtību</w:t>
            </w:r>
            <w:r w:rsidR="00837260" w:rsidRPr="00D263B6">
              <w:rPr>
                <w:sz w:val="26"/>
                <w:szCs w:val="26"/>
              </w:rPr>
              <w:t>.</w:t>
            </w:r>
            <w:r w:rsidR="00BA178F" w:rsidRPr="00D263B6">
              <w:rPr>
                <w:sz w:val="26"/>
                <w:szCs w:val="26"/>
              </w:rPr>
              <w:t>””</w:t>
            </w:r>
            <w:r w:rsidR="00837260" w:rsidRPr="00D263B6">
              <w:rPr>
                <w:sz w:val="26"/>
                <w:szCs w:val="26"/>
              </w:rPr>
              <w:t xml:space="preserve"> </w:t>
            </w:r>
            <w:r w:rsidR="00B17D16" w:rsidRPr="00D263B6">
              <w:rPr>
                <w:sz w:val="26"/>
                <w:szCs w:val="26"/>
              </w:rPr>
              <w:t xml:space="preserve">Minēto grozījumu nepieciešamība pamatojama ar apstākli, ka Civillikumā nav ietverts tiesiskais regulējums attiecībā uz pārejas noteikumiem. </w:t>
            </w:r>
            <w:r w:rsidR="00BE6EBB" w:rsidRPr="00D263B6">
              <w:rPr>
                <w:bCs/>
                <w:sz w:val="26"/>
                <w:szCs w:val="26"/>
              </w:rPr>
              <w:t>Vienlaikus Direk</w:t>
            </w:r>
            <w:r w:rsidR="007F38F2" w:rsidRPr="00D263B6">
              <w:rPr>
                <w:bCs/>
                <w:sz w:val="26"/>
                <w:szCs w:val="26"/>
              </w:rPr>
              <w:t>tīvas 2011/7/ES 12.</w:t>
            </w:r>
            <w:r w:rsidR="00BE5F26" w:rsidRPr="00D263B6">
              <w:rPr>
                <w:bCs/>
                <w:sz w:val="26"/>
                <w:szCs w:val="26"/>
              </w:rPr>
              <w:t> </w:t>
            </w:r>
            <w:r w:rsidR="00DB714A" w:rsidRPr="00D263B6">
              <w:rPr>
                <w:bCs/>
                <w:sz w:val="26"/>
                <w:szCs w:val="26"/>
              </w:rPr>
              <w:t>p</w:t>
            </w:r>
            <w:r w:rsidR="007F38F2" w:rsidRPr="00D263B6">
              <w:rPr>
                <w:bCs/>
                <w:sz w:val="26"/>
                <w:szCs w:val="26"/>
              </w:rPr>
              <w:t>anta</w:t>
            </w:r>
            <w:r w:rsidR="00BE5F26" w:rsidRPr="00D263B6">
              <w:rPr>
                <w:bCs/>
                <w:sz w:val="26"/>
                <w:szCs w:val="26"/>
              </w:rPr>
              <w:t xml:space="preserve"> </w:t>
            </w:r>
            <w:r w:rsidR="007F38F2" w:rsidRPr="00D263B6">
              <w:rPr>
                <w:bCs/>
                <w:sz w:val="26"/>
                <w:szCs w:val="26"/>
              </w:rPr>
              <w:t>4.</w:t>
            </w:r>
            <w:r w:rsidR="00BE5F26" w:rsidRPr="00D263B6">
              <w:rPr>
                <w:bCs/>
                <w:sz w:val="26"/>
                <w:szCs w:val="26"/>
              </w:rPr>
              <w:t> </w:t>
            </w:r>
            <w:r w:rsidR="007F38F2" w:rsidRPr="00D263B6">
              <w:rPr>
                <w:bCs/>
                <w:sz w:val="26"/>
                <w:szCs w:val="26"/>
              </w:rPr>
              <w:t xml:space="preserve">punktā noteikts, ka, transponējot šo direktīvu, dalībvalstis lemj par to, vai to attiecināt uz līgumiem, kas noslēgti pirms 2013. gada 16. </w:t>
            </w:r>
            <w:r w:rsidR="00502BE7" w:rsidRPr="00D263B6">
              <w:rPr>
                <w:bCs/>
                <w:sz w:val="26"/>
                <w:szCs w:val="26"/>
              </w:rPr>
              <w:t>m</w:t>
            </w:r>
            <w:r w:rsidR="007F38F2" w:rsidRPr="00D263B6">
              <w:rPr>
                <w:bCs/>
                <w:sz w:val="26"/>
                <w:szCs w:val="26"/>
              </w:rPr>
              <w:t>arta</w:t>
            </w:r>
            <w:r w:rsidR="00502BE7" w:rsidRPr="00D263B6">
              <w:rPr>
                <w:bCs/>
                <w:sz w:val="26"/>
                <w:szCs w:val="26"/>
              </w:rPr>
              <w:t xml:space="preserve">, līdz ar to nepieciešami pārejas noteikumi, kas regulē likumprojekta </w:t>
            </w:r>
            <w:r w:rsidR="00502BE7" w:rsidRPr="00D263B6">
              <w:rPr>
                <w:sz w:val="26"/>
                <w:szCs w:val="26"/>
              </w:rPr>
              <w:t xml:space="preserve">„Grozījumi Civillikumā” spēkā stāšanās laiku un norāde par minēto grozījumu </w:t>
            </w:r>
            <w:proofErr w:type="spellStart"/>
            <w:r w:rsidR="00502BE7" w:rsidRPr="00D263B6">
              <w:rPr>
                <w:sz w:val="26"/>
                <w:szCs w:val="26"/>
              </w:rPr>
              <w:t>attiecināmību</w:t>
            </w:r>
            <w:proofErr w:type="spellEnd"/>
            <w:r w:rsidR="00502BE7" w:rsidRPr="00D263B6">
              <w:rPr>
                <w:sz w:val="26"/>
                <w:szCs w:val="26"/>
              </w:rPr>
              <w:t xml:space="preserve"> uz saistībām, kas noslēgtas līdz 2013. gada 16. martam. </w:t>
            </w:r>
          </w:p>
        </w:tc>
      </w:tr>
      <w:tr w:rsidR="00DB1073" w:rsidRPr="00D263B6" w:rsidTr="00EF627E">
        <w:trPr>
          <w:trHeight w:val="574"/>
        </w:trPr>
        <w:tc>
          <w:tcPr>
            <w:tcW w:w="431" w:type="dxa"/>
          </w:tcPr>
          <w:p w:rsidR="00DB1073" w:rsidRPr="00D263B6" w:rsidRDefault="00DB1073" w:rsidP="001015AE">
            <w:pPr>
              <w:pStyle w:val="naiskr"/>
              <w:spacing w:before="0" w:after="0"/>
              <w:rPr>
                <w:b/>
                <w:sz w:val="26"/>
                <w:szCs w:val="26"/>
              </w:rPr>
            </w:pPr>
            <w:r w:rsidRPr="00D263B6">
              <w:rPr>
                <w:b/>
                <w:sz w:val="26"/>
                <w:szCs w:val="26"/>
              </w:rPr>
              <w:lastRenderedPageBreak/>
              <w:t>3.</w:t>
            </w:r>
          </w:p>
        </w:tc>
        <w:tc>
          <w:tcPr>
            <w:tcW w:w="2712" w:type="dxa"/>
          </w:tcPr>
          <w:p w:rsidR="00DB1073" w:rsidRPr="00D263B6" w:rsidRDefault="00DB1073" w:rsidP="001015AE">
            <w:pPr>
              <w:pStyle w:val="naiskr"/>
              <w:spacing w:before="0" w:after="0"/>
              <w:ind w:right="182"/>
              <w:jc w:val="both"/>
              <w:rPr>
                <w:b/>
                <w:sz w:val="26"/>
                <w:szCs w:val="26"/>
              </w:rPr>
            </w:pPr>
            <w:r w:rsidRPr="00D263B6">
              <w:rPr>
                <w:b/>
                <w:sz w:val="26"/>
                <w:szCs w:val="26"/>
              </w:rPr>
              <w:t>Saistītie politikas ietekmes novērtējumi un pētījumi</w:t>
            </w:r>
          </w:p>
        </w:tc>
        <w:tc>
          <w:tcPr>
            <w:tcW w:w="5924" w:type="dxa"/>
          </w:tcPr>
          <w:p w:rsidR="00DB1073" w:rsidRPr="00D263B6" w:rsidRDefault="002232D3" w:rsidP="00527458">
            <w:pPr>
              <w:jc w:val="both"/>
              <w:rPr>
                <w:sz w:val="26"/>
                <w:szCs w:val="26"/>
              </w:rPr>
            </w:pPr>
            <w:r w:rsidRPr="00D263B6">
              <w:rPr>
                <w:sz w:val="26"/>
                <w:szCs w:val="26"/>
              </w:rPr>
              <w:t>Nav attie</w:t>
            </w:r>
            <w:r w:rsidR="00E8545D" w:rsidRPr="00D263B6">
              <w:rPr>
                <w:sz w:val="26"/>
                <w:szCs w:val="26"/>
              </w:rPr>
              <w:t>c</w:t>
            </w:r>
            <w:r w:rsidRPr="00D263B6">
              <w:rPr>
                <w:sz w:val="26"/>
                <w:szCs w:val="26"/>
              </w:rPr>
              <w:t>i</w:t>
            </w:r>
            <w:r w:rsidR="00E8545D" w:rsidRPr="00D263B6">
              <w:rPr>
                <w:sz w:val="26"/>
                <w:szCs w:val="26"/>
              </w:rPr>
              <w:t>nāms</w:t>
            </w:r>
          </w:p>
        </w:tc>
      </w:tr>
      <w:tr w:rsidR="00DB1073" w:rsidRPr="00D263B6" w:rsidTr="00EF627E">
        <w:trPr>
          <w:trHeight w:val="384"/>
        </w:trPr>
        <w:tc>
          <w:tcPr>
            <w:tcW w:w="431" w:type="dxa"/>
          </w:tcPr>
          <w:p w:rsidR="00DB1073" w:rsidRPr="00D263B6" w:rsidRDefault="00DB1073" w:rsidP="001015AE">
            <w:pPr>
              <w:pStyle w:val="naiskr"/>
              <w:spacing w:before="0" w:after="0"/>
              <w:rPr>
                <w:b/>
                <w:sz w:val="26"/>
                <w:szCs w:val="26"/>
              </w:rPr>
            </w:pPr>
            <w:r w:rsidRPr="00D263B6">
              <w:rPr>
                <w:b/>
                <w:sz w:val="26"/>
                <w:szCs w:val="26"/>
              </w:rPr>
              <w:t>4.</w:t>
            </w:r>
          </w:p>
        </w:tc>
        <w:tc>
          <w:tcPr>
            <w:tcW w:w="2712" w:type="dxa"/>
          </w:tcPr>
          <w:p w:rsidR="00DB1073" w:rsidRPr="00D263B6" w:rsidRDefault="00DB1073" w:rsidP="001015AE">
            <w:pPr>
              <w:pStyle w:val="naiskr"/>
              <w:spacing w:before="0" w:after="0"/>
              <w:rPr>
                <w:b/>
                <w:sz w:val="26"/>
                <w:szCs w:val="26"/>
              </w:rPr>
            </w:pPr>
            <w:r w:rsidRPr="00D263B6">
              <w:rPr>
                <w:b/>
                <w:sz w:val="26"/>
                <w:szCs w:val="26"/>
              </w:rPr>
              <w:t>Tiesiskā regulējuma mērķis un būtība</w:t>
            </w:r>
          </w:p>
        </w:tc>
        <w:tc>
          <w:tcPr>
            <w:tcW w:w="5924" w:type="dxa"/>
          </w:tcPr>
          <w:p w:rsidR="004163AA" w:rsidRPr="00D263B6" w:rsidRDefault="00DB1073" w:rsidP="0028126D">
            <w:pPr>
              <w:jc w:val="both"/>
              <w:rPr>
                <w:sz w:val="26"/>
                <w:szCs w:val="26"/>
              </w:rPr>
            </w:pPr>
            <w:r w:rsidRPr="00D263B6">
              <w:rPr>
                <w:sz w:val="26"/>
                <w:szCs w:val="26"/>
              </w:rPr>
              <w:t>Likumprojekts paredz pāreja</w:t>
            </w:r>
            <w:r w:rsidR="008A4E7F" w:rsidRPr="00D263B6">
              <w:rPr>
                <w:sz w:val="26"/>
                <w:szCs w:val="26"/>
              </w:rPr>
              <w:t xml:space="preserve">s noteikumu, </w:t>
            </w:r>
            <w:r w:rsidRPr="00D263B6">
              <w:rPr>
                <w:sz w:val="26"/>
                <w:szCs w:val="26"/>
              </w:rPr>
              <w:t>ka</w:t>
            </w:r>
            <w:r w:rsidR="008A4E7F" w:rsidRPr="00D263B6">
              <w:rPr>
                <w:sz w:val="26"/>
                <w:szCs w:val="26"/>
              </w:rPr>
              <w:t>s noteic, ka</w:t>
            </w:r>
            <w:r w:rsidRPr="00D263B6">
              <w:rPr>
                <w:sz w:val="26"/>
                <w:szCs w:val="26"/>
              </w:rPr>
              <w:t xml:space="preserve"> </w:t>
            </w:r>
            <w:r w:rsidR="00C73FD7" w:rsidRPr="00D263B6">
              <w:rPr>
                <w:sz w:val="26"/>
                <w:szCs w:val="26"/>
              </w:rPr>
              <w:t xml:space="preserve"> Civillikuma Trešās nodaļas „Saistības un prasījumi no neatļautas darbības.”</w:t>
            </w:r>
            <w:r w:rsidR="008A4E7F" w:rsidRPr="00D263B6">
              <w:rPr>
                <w:sz w:val="26"/>
                <w:szCs w:val="26"/>
              </w:rPr>
              <w:t xml:space="preserve">  IV. apakšnodaļa „Nokavējums līgumiem par preču piegādi, pirkumu vai pakalpojuma sniegšanu”</w:t>
            </w:r>
            <w:r w:rsidR="000C3D47" w:rsidRPr="00D263B6">
              <w:rPr>
                <w:sz w:val="26"/>
                <w:szCs w:val="26"/>
              </w:rPr>
              <w:t xml:space="preserve"> jeb Direktīvas 2011/7/ES prasību attiecībā uz maksājumu kavējumiem darījumos privāto tiesību subjektu starpā</w:t>
            </w:r>
            <w:r w:rsidR="003F6C05" w:rsidRPr="00D263B6">
              <w:rPr>
                <w:sz w:val="26"/>
                <w:szCs w:val="26"/>
              </w:rPr>
              <w:t>,</w:t>
            </w:r>
            <w:r w:rsidR="000C3D47" w:rsidRPr="00D263B6">
              <w:rPr>
                <w:sz w:val="26"/>
                <w:szCs w:val="26"/>
              </w:rPr>
              <w:t xml:space="preserve"> kā arī valsts un pašvaldību iestāžu un privāto subjektu starpā,</w:t>
            </w:r>
            <w:r w:rsidR="008A4E7F" w:rsidRPr="00D263B6">
              <w:rPr>
                <w:sz w:val="26"/>
                <w:szCs w:val="26"/>
              </w:rPr>
              <w:t xml:space="preserve"> stājas spēkā 2013. gada 16. martā. </w:t>
            </w:r>
          </w:p>
          <w:p w:rsidR="004163AA" w:rsidRPr="00D263B6" w:rsidRDefault="004163AA" w:rsidP="0028126D">
            <w:pPr>
              <w:jc w:val="both"/>
              <w:rPr>
                <w:sz w:val="26"/>
                <w:szCs w:val="26"/>
              </w:rPr>
            </w:pPr>
            <w:r w:rsidRPr="00D263B6">
              <w:rPr>
                <w:sz w:val="26"/>
                <w:szCs w:val="26"/>
              </w:rPr>
              <w:t xml:space="preserve">Ņemot vērā to, ka dalībvalstis ir tiesīgas izmantot rīcības brīvību attiecībā uz Direktīvas 2011/7/ES prasību ieviešanu ar atpakaļejošu spēku, </w:t>
            </w:r>
            <w:r w:rsidR="00165E54" w:rsidRPr="00D263B6">
              <w:rPr>
                <w:sz w:val="26"/>
                <w:szCs w:val="26"/>
              </w:rPr>
              <w:t>Latvija neattiecinās Direktīvas prasības uz līgumiem, kas noslēgti pirms 2013.</w:t>
            </w:r>
            <w:r w:rsidR="004D422C" w:rsidRPr="00D263B6">
              <w:rPr>
                <w:sz w:val="26"/>
                <w:szCs w:val="26"/>
              </w:rPr>
              <w:t> </w:t>
            </w:r>
            <w:r w:rsidR="00165E54" w:rsidRPr="00D263B6">
              <w:rPr>
                <w:sz w:val="26"/>
                <w:szCs w:val="26"/>
              </w:rPr>
              <w:t>gada 16.</w:t>
            </w:r>
            <w:r w:rsidR="004D422C" w:rsidRPr="00D263B6">
              <w:rPr>
                <w:sz w:val="26"/>
                <w:szCs w:val="26"/>
              </w:rPr>
              <w:t> </w:t>
            </w:r>
            <w:r w:rsidR="00165E54" w:rsidRPr="00D263B6">
              <w:rPr>
                <w:sz w:val="26"/>
                <w:szCs w:val="26"/>
              </w:rPr>
              <w:t>marta</w:t>
            </w:r>
            <w:r w:rsidR="00530E24" w:rsidRPr="00D263B6">
              <w:rPr>
                <w:sz w:val="26"/>
                <w:szCs w:val="26"/>
              </w:rPr>
              <w:t>m</w:t>
            </w:r>
            <w:r w:rsidR="00165E54" w:rsidRPr="00D263B6">
              <w:rPr>
                <w:sz w:val="26"/>
                <w:szCs w:val="26"/>
              </w:rPr>
              <w:t>.</w:t>
            </w:r>
            <w:r w:rsidR="004D422C" w:rsidRPr="00D263B6">
              <w:rPr>
                <w:sz w:val="26"/>
                <w:szCs w:val="26"/>
              </w:rPr>
              <w:t xml:space="preserve"> Šādu pozīciju Latvija ir paudusi Eiropas Komisijā, norādot, ka kavētie maksājumi, tai skaitā iestāžu</w:t>
            </w:r>
            <w:r w:rsidR="001E42F7" w:rsidRPr="00D263B6">
              <w:rPr>
                <w:sz w:val="26"/>
                <w:szCs w:val="26"/>
              </w:rPr>
              <w:t>,</w:t>
            </w:r>
            <w:r w:rsidR="004D422C" w:rsidRPr="00D263B6">
              <w:rPr>
                <w:sz w:val="26"/>
                <w:szCs w:val="26"/>
              </w:rPr>
              <w:t xml:space="preserve"> kā līgumslēdzējpušu disciplīna līgumsaistību izpildē </w:t>
            </w:r>
            <w:r w:rsidR="001E42F7" w:rsidRPr="00D263B6">
              <w:rPr>
                <w:sz w:val="26"/>
                <w:szCs w:val="26"/>
              </w:rPr>
              <w:t>nav apzināti</w:t>
            </w:r>
            <w:r w:rsidR="004D422C" w:rsidRPr="00D263B6">
              <w:rPr>
                <w:sz w:val="26"/>
                <w:szCs w:val="26"/>
              </w:rPr>
              <w:t xml:space="preserve"> kā aktuāli </w:t>
            </w:r>
            <w:proofErr w:type="spellStart"/>
            <w:r w:rsidR="004D422C" w:rsidRPr="00D263B6">
              <w:rPr>
                <w:sz w:val="26"/>
                <w:szCs w:val="26"/>
              </w:rPr>
              <w:t>problēmjautājumi</w:t>
            </w:r>
            <w:proofErr w:type="spellEnd"/>
            <w:r w:rsidR="004D422C" w:rsidRPr="00D263B6">
              <w:rPr>
                <w:sz w:val="26"/>
                <w:szCs w:val="26"/>
              </w:rPr>
              <w:t xml:space="preserve">, </w:t>
            </w:r>
            <w:r w:rsidR="00151C20" w:rsidRPr="00D263B6">
              <w:rPr>
                <w:sz w:val="26"/>
                <w:szCs w:val="26"/>
              </w:rPr>
              <w:t>kurus būtu nepieciešams r</w:t>
            </w:r>
            <w:r w:rsidR="00E51459" w:rsidRPr="00D263B6">
              <w:rPr>
                <w:sz w:val="26"/>
                <w:szCs w:val="26"/>
              </w:rPr>
              <w:t>isināt, piešķirot tiesību normām</w:t>
            </w:r>
            <w:r w:rsidR="00151C20" w:rsidRPr="00D263B6">
              <w:rPr>
                <w:sz w:val="26"/>
                <w:szCs w:val="26"/>
              </w:rPr>
              <w:t xml:space="preserve"> atpakaļejošu spēku. </w:t>
            </w:r>
          </w:p>
          <w:p w:rsidR="00436713" w:rsidRPr="00D263B6" w:rsidRDefault="00DD1A43" w:rsidP="00436713">
            <w:pPr>
              <w:jc w:val="both"/>
              <w:rPr>
                <w:sz w:val="26"/>
                <w:szCs w:val="26"/>
              </w:rPr>
            </w:pPr>
            <w:r w:rsidRPr="00D263B6">
              <w:rPr>
                <w:sz w:val="26"/>
                <w:szCs w:val="26"/>
              </w:rPr>
              <w:t xml:space="preserve">Ņemot vērā </w:t>
            </w:r>
            <w:r w:rsidR="00000449" w:rsidRPr="00D263B6">
              <w:rPr>
                <w:sz w:val="26"/>
                <w:szCs w:val="26"/>
              </w:rPr>
              <w:t xml:space="preserve">minēto, likumprojektā paredzēts, ka </w:t>
            </w:r>
            <w:r w:rsidR="00436713" w:rsidRPr="00D263B6">
              <w:rPr>
                <w:sz w:val="26"/>
                <w:szCs w:val="26"/>
              </w:rPr>
              <w:t xml:space="preserve">Civillikuma Trešās nodaļas „Saistības un prasījumi no neatļautas darbības.” IV. apakšnodaļas „Nokavējums līgumiem par preču piegādi, pirkumu vai pakalpojuma sniegšanu” noteikumi nav piemērojami līgumiem, kas noslēgti līdz </w:t>
            </w:r>
            <w:r w:rsidR="00D1281E" w:rsidRPr="00D263B6">
              <w:rPr>
                <w:sz w:val="26"/>
                <w:szCs w:val="26"/>
              </w:rPr>
              <w:t>2013. gada 16. martam.</w:t>
            </w:r>
          </w:p>
          <w:p w:rsidR="00DD1A43" w:rsidRPr="00D263B6" w:rsidRDefault="00DD1A43" w:rsidP="0028126D">
            <w:pPr>
              <w:jc w:val="both"/>
              <w:rPr>
                <w:bCs/>
                <w:sz w:val="26"/>
                <w:szCs w:val="26"/>
              </w:rPr>
            </w:pPr>
          </w:p>
        </w:tc>
      </w:tr>
      <w:tr w:rsidR="00DB1073" w:rsidRPr="00D263B6" w:rsidTr="00EF627E">
        <w:trPr>
          <w:trHeight w:val="476"/>
        </w:trPr>
        <w:tc>
          <w:tcPr>
            <w:tcW w:w="431" w:type="dxa"/>
          </w:tcPr>
          <w:p w:rsidR="00DB1073" w:rsidRPr="00D263B6" w:rsidRDefault="00DB1073" w:rsidP="001015AE">
            <w:pPr>
              <w:pStyle w:val="naiskr"/>
              <w:spacing w:before="0" w:after="0"/>
              <w:rPr>
                <w:b/>
                <w:sz w:val="26"/>
                <w:szCs w:val="26"/>
              </w:rPr>
            </w:pPr>
            <w:r w:rsidRPr="00D263B6">
              <w:rPr>
                <w:b/>
                <w:sz w:val="26"/>
                <w:szCs w:val="26"/>
              </w:rPr>
              <w:t>5.</w:t>
            </w:r>
          </w:p>
        </w:tc>
        <w:tc>
          <w:tcPr>
            <w:tcW w:w="2712" w:type="dxa"/>
          </w:tcPr>
          <w:p w:rsidR="00DB1073" w:rsidRPr="00D263B6" w:rsidRDefault="00DB1073" w:rsidP="001015AE">
            <w:pPr>
              <w:pStyle w:val="naiskr"/>
              <w:spacing w:before="0" w:after="0"/>
              <w:jc w:val="both"/>
              <w:rPr>
                <w:b/>
                <w:sz w:val="26"/>
                <w:szCs w:val="26"/>
              </w:rPr>
            </w:pPr>
            <w:r w:rsidRPr="00D263B6">
              <w:rPr>
                <w:b/>
                <w:sz w:val="26"/>
                <w:szCs w:val="26"/>
              </w:rPr>
              <w:t>Projekta izstrādē iesaistītās institūcijas</w:t>
            </w:r>
          </w:p>
        </w:tc>
        <w:tc>
          <w:tcPr>
            <w:tcW w:w="5924" w:type="dxa"/>
          </w:tcPr>
          <w:p w:rsidR="00DB1073" w:rsidRPr="00D263B6" w:rsidRDefault="002B5179" w:rsidP="0070118B">
            <w:pPr>
              <w:pStyle w:val="naisf"/>
              <w:spacing w:before="0" w:after="0"/>
              <w:ind w:firstLine="0"/>
              <w:rPr>
                <w:sz w:val="26"/>
                <w:szCs w:val="26"/>
              </w:rPr>
            </w:pPr>
            <w:r w:rsidRPr="00D263B6">
              <w:rPr>
                <w:iCs/>
                <w:sz w:val="26"/>
                <w:szCs w:val="26"/>
              </w:rPr>
              <w:t>Likumprojekta izstrādē nacionālā līmenī Tieslietu ministrija ir sadarbojusies ar Finanšu ministrijas, Ekonomikas ministrijas, Veselības ministrijas ekspertiem, Latvijas tirdzniecības un rūpniecības kameras pārstāvjiem, Latvijas Universitātes akadēmiskajiem mācībspēkiem un pārstāvjiem no zvērinātu advokātu birojiem. Izstrādājot likumprojektu, tika rīkotas vairākas ekspertu darba grupas, kurās augstāk minēto institūciju eksperti saskaņoja likumprojektu un atbalstīja tā tālāku virzību.</w:t>
            </w:r>
          </w:p>
        </w:tc>
      </w:tr>
      <w:tr w:rsidR="00DB1073" w:rsidRPr="00D263B6" w:rsidTr="00EF627E">
        <w:trPr>
          <w:trHeight w:val="630"/>
        </w:trPr>
        <w:tc>
          <w:tcPr>
            <w:tcW w:w="431" w:type="dxa"/>
          </w:tcPr>
          <w:p w:rsidR="00DB1073" w:rsidRPr="00D263B6" w:rsidRDefault="00DB1073" w:rsidP="001015AE">
            <w:pPr>
              <w:pStyle w:val="naiskr"/>
              <w:spacing w:before="0" w:after="0"/>
              <w:jc w:val="both"/>
              <w:rPr>
                <w:b/>
                <w:sz w:val="26"/>
                <w:szCs w:val="26"/>
              </w:rPr>
            </w:pPr>
            <w:r w:rsidRPr="00D263B6">
              <w:rPr>
                <w:b/>
                <w:sz w:val="26"/>
                <w:szCs w:val="26"/>
              </w:rPr>
              <w:t>6.</w:t>
            </w:r>
          </w:p>
        </w:tc>
        <w:tc>
          <w:tcPr>
            <w:tcW w:w="2712" w:type="dxa"/>
          </w:tcPr>
          <w:p w:rsidR="00DB1073" w:rsidRPr="00D263B6" w:rsidRDefault="00DB1073" w:rsidP="001015AE">
            <w:pPr>
              <w:pStyle w:val="naiskr"/>
              <w:spacing w:before="0" w:after="0"/>
              <w:jc w:val="both"/>
              <w:rPr>
                <w:b/>
                <w:i/>
                <w:sz w:val="26"/>
                <w:szCs w:val="26"/>
                <w:highlight w:val="yellow"/>
              </w:rPr>
            </w:pPr>
            <w:r w:rsidRPr="00D263B6">
              <w:rPr>
                <w:b/>
                <w:sz w:val="26"/>
                <w:szCs w:val="26"/>
              </w:rPr>
              <w:t>Iemesli, kādēļ netika nodrošināta sabiedrības līdzdalība</w:t>
            </w:r>
          </w:p>
        </w:tc>
        <w:tc>
          <w:tcPr>
            <w:tcW w:w="5924" w:type="dxa"/>
          </w:tcPr>
          <w:p w:rsidR="00DB1073" w:rsidRPr="00D263B6" w:rsidRDefault="00CB1C23" w:rsidP="00CB1C23">
            <w:pPr>
              <w:jc w:val="both"/>
              <w:rPr>
                <w:sz w:val="26"/>
                <w:szCs w:val="26"/>
              </w:rPr>
            </w:pPr>
            <w:r>
              <w:rPr>
                <w:sz w:val="26"/>
                <w:szCs w:val="26"/>
              </w:rPr>
              <w:t xml:space="preserve">Direktīva 2011/7/ES publicēta Eiropas Savienības Oficiālajā Vēstnesī </w:t>
            </w:r>
            <w:r>
              <w:rPr>
                <w:iCs/>
                <w:sz w:val="26"/>
                <w:szCs w:val="26"/>
              </w:rPr>
              <w:t>L 048</w:t>
            </w:r>
            <w:r w:rsidRPr="00CB1C23">
              <w:rPr>
                <w:iCs/>
                <w:sz w:val="26"/>
                <w:szCs w:val="26"/>
              </w:rPr>
              <w:t xml:space="preserve">, 23/02/2011 </w:t>
            </w:r>
            <w:proofErr w:type="spellStart"/>
            <w:r w:rsidRPr="00CB1C23">
              <w:rPr>
                <w:iCs/>
                <w:sz w:val="26"/>
                <w:szCs w:val="26"/>
              </w:rPr>
              <w:t>Lpp</w:t>
            </w:r>
            <w:proofErr w:type="spellEnd"/>
            <w:r w:rsidRPr="00CB1C23">
              <w:rPr>
                <w:iCs/>
                <w:sz w:val="26"/>
                <w:szCs w:val="26"/>
              </w:rPr>
              <w:t xml:space="preserve">. 0001 </w:t>
            </w:r>
            <w:r>
              <w:rPr>
                <w:iCs/>
                <w:sz w:val="26"/>
                <w:szCs w:val="26"/>
              </w:rPr>
              <w:t>–</w:t>
            </w:r>
            <w:r w:rsidRPr="00CB1C23">
              <w:rPr>
                <w:iCs/>
                <w:sz w:val="26"/>
                <w:szCs w:val="26"/>
              </w:rPr>
              <w:t xml:space="preserve"> 0010</w:t>
            </w:r>
            <w:r>
              <w:rPr>
                <w:iCs/>
                <w:sz w:val="26"/>
                <w:szCs w:val="26"/>
              </w:rPr>
              <w:t xml:space="preserve">, līdz ar to sabiedrība tika informēta par plānotajām izmaiņām jautājumos par kavētajiem maksājumiem. </w:t>
            </w:r>
          </w:p>
        </w:tc>
      </w:tr>
      <w:tr w:rsidR="00DB1073" w:rsidRPr="00D263B6" w:rsidTr="00EF627E">
        <w:tc>
          <w:tcPr>
            <w:tcW w:w="431" w:type="dxa"/>
          </w:tcPr>
          <w:p w:rsidR="00DB1073" w:rsidRPr="00D263B6" w:rsidRDefault="00DB1073" w:rsidP="001015AE">
            <w:pPr>
              <w:pStyle w:val="naiskr"/>
              <w:spacing w:before="0" w:after="0"/>
              <w:rPr>
                <w:b/>
                <w:sz w:val="26"/>
                <w:szCs w:val="26"/>
              </w:rPr>
            </w:pPr>
            <w:r w:rsidRPr="00D263B6">
              <w:rPr>
                <w:b/>
                <w:sz w:val="26"/>
                <w:szCs w:val="26"/>
              </w:rPr>
              <w:t>7.</w:t>
            </w:r>
          </w:p>
        </w:tc>
        <w:tc>
          <w:tcPr>
            <w:tcW w:w="2712" w:type="dxa"/>
          </w:tcPr>
          <w:p w:rsidR="00DB1073" w:rsidRPr="00D263B6" w:rsidRDefault="00DB1073" w:rsidP="001015AE">
            <w:pPr>
              <w:pStyle w:val="naiskr"/>
              <w:spacing w:before="0" w:after="0"/>
              <w:rPr>
                <w:b/>
                <w:sz w:val="26"/>
                <w:szCs w:val="26"/>
              </w:rPr>
            </w:pPr>
            <w:r w:rsidRPr="00D263B6">
              <w:rPr>
                <w:b/>
                <w:sz w:val="26"/>
                <w:szCs w:val="26"/>
              </w:rPr>
              <w:t>Cita informācija</w:t>
            </w:r>
          </w:p>
        </w:tc>
        <w:tc>
          <w:tcPr>
            <w:tcW w:w="5924" w:type="dxa"/>
          </w:tcPr>
          <w:p w:rsidR="00DB1073" w:rsidRPr="00D263B6" w:rsidRDefault="00DB1073" w:rsidP="00C365CB">
            <w:pPr>
              <w:pStyle w:val="naiskr"/>
              <w:spacing w:before="0" w:after="0"/>
              <w:rPr>
                <w:sz w:val="26"/>
                <w:szCs w:val="26"/>
              </w:rPr>
            </w:pPr>
            <w:r w:rsidRPr="00D263B6">
              <w:rPr>
                <w:sz w:val="26"/>
                <w:szCs w:val="26"/>
              </w:rPr>
              <w:t>Nav.</w:t>
            </w:r>
          </w:p>
        </w:tc>
      </w:tr>
    </w:tbl>
    <w:p w:rsidR="00DB1073" w:rsidRPr="00D263B6" w:rsidRDefault="00DB1073" w:rsidP="00DB1073">
      <w:pPr>
        <w:pStyle w:val="naisf"/>
        <w:spacing w:before="0" w:after="0"/>
        <w:rPr>
          <w:sz w:val="26"/>
          <w:szCs w:val="26"/>
        </w:rPr>
      </w:pPr>
    </w:p>
    <w:tbl>
      <w:tblPr>
        <w:tblpPr w:leftFromText="180" w:rightFromText="180" w:vertAnchor="text" w:horzAnchor="margin" w:tblpXSpec="center" w:tblpY="149"/>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2558"/>
        <w:gridCol w:w="6081"/>
        <w:gridCol w:w="101"/>
      </w:tblGrid>
      <w:tr w:rsidR="00DB1073" w:rsidRPr="00D263B6" w:rsidTr="00EF627E">
        <w:trPr>
          <w:gridAfter w:val="1"/>
          <w:wAfter w:w="101" w:type="dxa"/>
        </w:trPr>
        <w:tc>
          <w:tcPr>
            <w:tcW w:w="9064" w:type="dxa"/>
            <w:gridSpan w:val="3"/>
            <w:vAlign w:val="center"/>
          </w:tcPr>
          <w:p w:rsidR="00DB1073" w:rsidRPr="00D263B6" w:rsidRDefault="00DB1073" w:rsidP="001015AE">
            <w:pPr>
              <w:pStyle w:val="naisnod"/>
              <w:spacing w:before="0" w:after="0"/>
              <w:rPr>
                <w:sz w:val="26"/>
                <w:szCs w:val="26"/>
              </w:rPr>
            </w:pPr>
            <w:r w:rsidRPr="00D263B6">
              <w:rPr>
                <w:sz w:val="26"/>
                <w:szCs w:val="26"/>
              </w:rPr>
              <w:t>II. Tiesību akta projekta ietekme uz sabiedrību</w:t>
            </w:r>
          </w:p>
        </w:tc>
      </w:tr>
      <w:tr w:rsidR="00DB1073" w:rsidRPr="00D263B6" w:rsidTr="00EF627E">
        <w:trPr>
          <w:trHeight w:val="467"/>
        </w:trPr>
        <w:tc>
          <w:tcPr>
            <w:tcW w:w="425" w:type="dxa"/>
          </w:tcPr>
          <w:p w:rsidR="00DB1073" w:rsidRPr="00D263B6" w:rsidRDefault="00DB1073" w:rsidP="001015AE">
            <w:pPr>
              <w:pStyle w:val="naiskr"/>
              <w:spacing w:before="0" w:after="0"/>
              <w:rPr>
                <w:b/>
                <w:sz w:val="26"/>
                <w:szCs w:val="26"/>
              </w:rPr>
            </w:pPr>
            <w:r w:rsidRPr="00D263B6">
              <w:rPr>
                <w:b/>
                <w:sz w:val="26"/>
                <w:szCs w:val="26"/>
              </w:rPr>
              <w:lastRenderedPageBreak/>
              <w:t>1.</w:t>
            </w:r>
          </w:p>
        </w:tc>
        <w:tc>
          <w:tcPr>
            <w:tcW w:w="2558" w:type="dxa"/>
          </w:tcPr>
          <w:p w:rsidR="00DB1073" w:rsidRPr="00D263B6" w:rsidRDefault="00DB1073" w:rsidP="001015AE">
            <w:pPr>
              <w:pStyle w:val="naiskr"/>
              <w:spacing w:before="0" w:after="0"/>
              <w:rPr>
                <w:b/>
                <w:sz w:val="26"/>
                <w:szCs w:val="26"/>
              </w:rPr>
            </w:pPr>
            <w:r w:rsidRPr="00D263B6">
              <w:rPr>
                <w:b/>
                <w:sz w:val="26"/>
                <w:szCs w:val="26"/>
              </w:rPr>
              <w:t xml:space="preserve">Sabiedrības </w:t>
            </w:r>
            <w:proofErr w:type="spellStart"/>
            <w:r w:rsidRPr="00D263B6">
              <w:rPr>
                <w:b/>
                <w:sz w:val="26"/>
                <w:szCs w:val="26"/>
              </w:rPr>
              <w:t>mērķgrupa</w:t>
            </w:r>
            <w:proofErr w:type="spellEnd"/>
          </w:p>
        </w:tc>
        <w:tc>
          <w:tcPr>
            <w:tcW w:w="6182" w:type="dxa"/>
            <w:gridSpan w:val="2"/>
          </w:tcPr>
          <w:p w:rsidR="00DB1073" w:rsidRPr="00D263B6" w:rsidRDefault="00141386" w:rsidP="0070118B">
            <w:pPr>
              <w:pStyle w:val="naiskr"/>
              <w:spacing w:before="0" w:after="0"/>
              <w:jc w:val="both"/>
              <w:rPr>
                <w:sz w:val="26"/>
                <w:szCs w:val="26"/>
              </w:rPr>
            </w:pPr>
            <w:r w:rsidRPr="00D263B6">
              <w:rPr>
                <w:iCs/>
                <w:sz w:val="26"/>
                <w:szCs w:val="26"/>
              </w:rPr>
              <w:t>Privāto tiesību juridiskās personas, valsts un pašvaldību iestādes, to kapitālsabiedrības un fiziskas personas, kuras īstenojot saimniecisko darbību, veic komercdarījumus.</w:t>
            </w:r>
          </w:p>
        </w:tc>
      </w:tr>
      <w:tr w:rsidR="00DB1073" w:rsidRPr="00D263B6" w:rsidTr="00EF627E">
        <w:trPr>
          <w:trHeight w:val="523"/>
        </w:trPr>
        <w:tc>
          <w:tcPr>
            <w:tcW w:w="425" w:type="dxa"/>
          </w:tcPr>
          <w:p w:rsidR="00DB1073" w:rsidRPr="00D263B6" w:rsidRDefault="00DB1073" w:rsidP="001015AE">
            <w:pPr>
              <w:pStyle w:val="naiskr"/>
              <w:spacing w:before="0" w:after="0"/>
              <w:jc w:val="both"/>
              <w:rPr>
                <w:b/>
                <w:sz w:val="26"/>
                <w:szCs w:val="26"/>
              </w:rPr>
            </w:pPr>
            <w:r w:rsidRPr="00D263B6">
              <w:rPr>
                <w:b/>
                <w:sz w:val="26"/>
                <w:szCs w:val="26"/>
              </w:rPr>
              <w:t>2.</w:t>
            </w:r>
          </w:p>
        </w:tc>
        <w:tc>
          <w:tcPr>
            <w:tcW w:w="2558" w:type="dxa"/>
          </w:tcPr>
          <w:p w:rsidR="00DB1073" w:rsidRPr="00D263B6" w:rsidRDefault="00DB1073" w:rsidP="001015AE">
            <w:pPr>
              <w:pStyle w:val="naiskr"/>
              <w:spacing w:before="0" w:after="0"/>
              <w:jc w:val="both"/>
              <w:rPr>
                <w:b/>
                <w:sz w:val="26"/>
                <w:szCs w:val="26"/>
              </w:rPr>
            </w:pPr>
            <w:r w:rsidRPr="00D263B6">
              <w:rPr>
                <w:b/>
                <w:sz w:val="26"/>
                <w:szCs w:val="26"/>
              </w:rPr>
              <w:t xml:space="preserve">Citas sabiedrības grupas (bez </w:t>
            </w:r>
            <w:proofErr w:type="spellStart"/>
            <w:r w:rsidRPr="00D263B6">
              <w:rPr>
                <w:b/>
                <w:sz w:val="26"/>
                <w:szCs w:val="26"/>
              </w:rPr>
              <w:t>mērķgrupas</w:t>
            </w:r>
            <w:proofErr w:type="spellEnd"/>
            <w:r w:rsidRPr="00D263B6">
              <w:rPr>
                <w:b/>
                <w:sz w:val="26"/>
                <w:szCs w:val="26"/>
              </w:rPr>
              <w:t>), kuras tiesiskais regulējums arī ietekmē vai varētu ietekmēt</w:t>
            </w:r>
          </w:p>
        </w:tc>
        <w:tc>
          <w:tcPr>
            <w:tcW w:w="6182" w:type="dxa"/>
            <w:gridSpan w:val="2"/>
          </w:tcPr>
          <w:p w:rsidR="00DB1073" w:rsidRPr="00D263B6" w:rsidRDefault="00141386" w:rsidP="001015AE">
            <w:pPr>
              <w:jc w:val="both"/>
              <w:rPr>
                <w:color w:val="000000"/>
                <w:sz w:val="26"/>
                <w:szCs w:val="26"/>
              </w:rPr>
            </w:pPr>
            <w:r w:rsidRPr="00D263B6">
              <w:rPr>
                <w:sz w:val="26"/>
                <w:szCs w:val="26"/>
              </w:rPr>
              <w:t>Nav attiecināms</w:t>
            </w:r>
          </w:p>
        </w:tc>
      </w:tr>
      <w:tr w:rsidR="00DB1073" w:rsidRPr="00D263B6" w:rsidTr="00EF627E">
        <w:trPr>
          <w:trHeight w:val="517"/>
        </w:trPr>
        <w:tc>
          <w:tcPr>
            <w:tcW w:w="425" w:type="dxa"/>
          </w:tcPr>
          <w:p w:rsidR="00DB1073" w:rsidRPr="00D263B6" w:rsidRDefault="00DB1073" w:rsidP="001015AE">
            <w:pPr>
              <w:pStyle w:val="naiskr"/>
              <w:spacing w:before="0" w:after="0"/>
              <w:rPr>
                <w:b/>
                <w:sz w:val="26"/>
                <w:szCs w:val="26"/>
              </w:rPr>
            </w:pPr>
            <w:r w:rsidRPr="00D263B6">
              <w:rPr>
                <w:b/>
                <w:sz w:val="26"/>
                <w:szCs w:val="26"/>
              </w:rPr>
              <w:t>3.</w:t>
            </w:r>
          </w:p>
        </w:tc>
        <w:tc>
          <w:tcPr>
            <w:tcW w:w="2558" w:type="dxa"/>
          </w:tcPr>
          <w:p w:rsidR="00DB1073" w:rsidRPr="00D263B6" w:rsidRDefault="00DB1073" w:rsidP="001015AE">
            <w:pPr>
              <w:pStyle w:val="naiskr"/>
              <w:spacing w:before="0" w:after="0"/>
              <w:rPr>
                <w:b/>
                <w:sz w:val="26"/>
                <w:szCs w:val="26"/>
              </w:rPr>
            </w:pPr>
            <w:r w:rsidRPr="00D263B6">
              <w:rPr>
                <w:b/>
                <w:sz w:val="26"/>
                <w:szCs w:val="26"/>
              </w:rPr>
              <w:t>Tiesiskā regulējuma finansiālā ietekme</w:t>
            </w:r>
          </w:p>
        </w:tc>
        <w:tc>
          <w:tcPr>
            <w:tcW w:w="6182" w:type="dxa"/>
            <w:gridSpan w:val="2"/>
          </w:tcPr>
          <w:p w:rsidR="00DB1073" w:rsidRPr="00D263B6" w:rsidRDefault="001C1154" w:rsidP="0070118B">
            <w:pPr>
              <w:pStyle w:val="Komentrateksts"/>
              <w:jc w:val="both"/>
              <w:rPr>
                <w:sz w:val="26"/>
                <w:szCs w:val="26"/>
              </w:rPr>
            </w:pPr>
            <w:r w:rsidRPr="00D263B6">
              <w:rPr>
                <w:sz w:val="26"/>
                <w:szCs w:val="26"/>
              </w:rPr>
              <w:t>Direktīvas 2011/7/ES prasības netiks attiecinātas uz līgumiem, kas noslēgti līdz 2013. gada 16. martam.</w:t>
            </w:r>
          </w:p>
        </w:tc>
      </w:tr>
      <w:tr w:rsidR="00DB1073" w:rsidRPr="00D263B6" w:rsidTr="00EF627E">
        <w:trPr>
          <w:trHeight w:val="517"/>
        </w:trPr>
        <w:tc>
          <w:tcPr>
            <w:tcW w:w="425" w:type="dxa"/>
          </w:tcPr>
          <w:p w:rsidR="00DB1073" w:rsidRPr="00D263B6" w:rsidRDefault="00DB1073" w:rsidP="001015AE">
            <w:pPr>
              <w:pStyle w:val="naiskr"/>
              <w:spacing w:before="0" w:after="0"/>
              <w:rPr>
                <w:b/>
                <w:sz w:val="26"/>
                <w:szCs w:val="26"/>
              </w:rPr>
            </w:pPr>
            <w:r w:rsidRPr="00D263B6">
              <w:rPr>
                <w:b/>
                <w:sz w:val="26"/>
                <w:szCs w:val="26"/>
              </w:rPr>
              <w:t>4.</w:t>
            </w:r>
          </w:p>
        </w:tc>
        <w:tc>
          <w:tcPr>
            <w:tcW w:w="2558" w:type="dxa"/>
          </w:tcPr>
          <w:p w:rsidR="00DB1073" w:rsidRPr="00D263B6" w:rsidRDefault="00DB1073" w:rsidP="001015AE">
            <w:pPr>
              <w:pStyle w:val="naiskr"/>
              <w:spacing w:before="0" w:after="0"/>
              <w:rPr>
                <w:b/>
                <w:sz w:val="26"/>
                <w:szCs w:val="26"/>
              </w:rPr>
            </w:pPr>
            <w:r w:rsidRPr="00D263B6">
              <w:rPr>
                <w:b/>
                <w:sz w:val="26"/>
                <w:szCs w:val="26"/>
              </w:rPr>
              <w:t>Tiesiskā regulējuma nefinansiālā ietekme</w:t>
            </w:r>
          </w:p>
        </w:tc>
        <w:tc>
          <w:tcPr>
            <w:tcW w:w="6182" w:type="dxa"/>
            <w:gridSpan w:val="2"/>
          </w:tcPr>
          <w:p w:rsidR="00DB1073" w:rsidRPr="00D263B6" w:rsidRDefault="00141386" w:rsidP="0070118B">
            <w:pPr>
              <w:pStyle w:val="naiskr"/>
              <w:spacing w:before="0" w:after="0"/>
              <w:jc w:val="both"/>
              <w:rPr>
                <w:sz w:val="26"/>
                <w:szCs w:val="26"/>
              </w:rPr>
            </w:pPr>
            <w:r w:rsidRPr="00D263B6">
              <w:rPr>
                <w:sz w:val="26"/>
                <w:szCs w:val="26"/>
              </w:rPr>
              <w:t>Nav attiecināms</w:t>
            </w:r>
          </w:p>
        </w:tc>
      </w:tr>
      <w:tr w:rsidR="00DB1073" w:rsidRPr="00D263B6" w:rsidTr="00EF627E">
        <w:trPr>
          <w:trHeight w:val="531"/>
        </w:trPr>
        <w:tc>
          <w:tcPr>
            <w:tcW w:w="425" w:type="dxa"/>
          </w:tcPr>
          <w:p w:rsidR="00DB1073" w:rsidRPr="00D263B6" w:rsidRDefault="00DB1073" w:rsidP="001015AE">
            <w:pPr>
              <w:pStyle w:val="naiskr"/>
              <w:spacing w:before="0" w:after="0"/>
              <w:jc w:val="both"/>
              <w:rPr>
                <w:b/>
                <w:sz w:val="26"/>
                <w:szCs w:val="26"/>
              </w:rPr>
            </w:pPr>
            <w:r w:rsidRPr="00D263B6">
              <w:rPr>
                <w:b/>
                <w:sz w:val="26"/>
                <w:szCs w:val="26"/>
              </w:rPr>
              <w:t>5.</w:t>
            </w:r>
          </w:p>
        </w:tc>
        <w:tc>
          <w:tcPr>
            <w:tcW w:w="2558" w:type="dxa"/>
          </w:tcPr>
          <w:p w:rsidR="00DB1073" w:rsidRPr="00D263B6" w:rsidRDefault="00DB1073" w:rsidP="001015AE">
            <w:pPr>
              <w:pStyle w:val="naiskr"/>
              <w:spacing w:before="0" w:after="0"/>
              <w:jc w:val="both"/>
              <w:rPr>
                <w:b/>
                <w:sz w:val="26"/>
                <w:szCs w:val="26"/>
              </w:rPr>
            </w:pPr>
            <w:r w:rsidRPr="00D263B6">
              <w:rPr>
                <w:b/>
                <w:sz w:val="26"/>
                <w:szCs w:val="26"/>
              </w:rPr>
              <w:t>Administratīvās procedūras raksturojums</w:t>
            </w:r>
          </w:p>
        </w:tc>
        <w:tc>
          <w:tcPr>
            <w:tcW w:w="6182" w:type="dxa"/>
            <w:gridSpan w:val="2"/>
          </w:tcPr>
          <w:p w:rsidR="00DB1073" w:rsidRPr="00D263B6" w:rsidRDefault="00141386" w:rsidP="0070118B">
            <w:pPr>
              <w:pStyle w:val="naiskr"/>
              <w:spacing w:before="0" w:after="0"/>
              <w:rPr>
                <w:sz w:val="26"/>
                <w:szCs w:val="26"/>
              </w:rPr>
            </w:pPr>
            <w:r w:rsidRPr="00D263B6">
              <w:rPr>
                <w:sz w:val="26"/>
                <w:szCs w:val="26"/>
              </w:rPr>
              <w:t>Nav attiecināms</w:t>
            </w:r>
          </w:p>
        </w:tc>
      </w:tr>
      <w:tr w:rsidR="00DB1073" w:rsidRPr="00D263B6" w:rsidTr="00EF627E">
        <w:trPr>
          <w:trHeight w:val="357"/>
        </w:trPr>
        <w:tc>
          <w:tcPr>
            <w:tcW w:w="425" w:type="dxa"/>
          </w:tcPr>
          <w:p w:rsidR="00DB1073" w:rsidRPr="00D263B6" w:rsidRDefault="00DB1073" w:rsidP="001015AE">
            <w:pPr>
              <w:pStyle w:val="naiskr"/>
              <w:spacing w:before="0" w:after="0"/>
              <w:jc w:val="both"/>
              <w:rPr>
                <w:b/>
                <w:sz w:val="26"/>
                <w:szCs w:val="26"/>
              </w:rPr>
            </w:pPr>
            <w:r w:rsidRPr="00D263B6">
              <w:rPr>
                <w:b/>
                <w:sz w:val="26"/>
                <w:szCs w:val="26"/>
              </w:rPr>
              <w:t>6.</w:t>
            </w:r>
          </w:p>
        </w:tc>
        <w:tc>
          <w:tcPr>
            <w:tcW w:w="2558" w:type="dxa"/>
          </w:tcPr>
          <w:p w:rsidR="00DB1073" w:rsidRPr="00D263B6" w:rsidRDefault="00DB1073" w:rsidP="001015AE">
            <w:pPr>
              <w:pStyle w:val="naiskr"/>
              <w:spacing w:before="0" w:after="0"/>
              <w:jc w:val="both"/>
              <w:rPr>
                <w:b/>
                <w:sz w:val="26"/>
                <w:szCs w:val="26"/>
              </w:rPr>
            </w:pPr>
            <w:r w:rsidRPr="00D263B6">
              <w:rPr>
                <w:b/>
                <w:sz w:val="26"/>
                <w:szCs w:val="26"/>
              </w:rPr>
              <w:t>Administratīvo izmaksu monetārs novērtējums</w:t>
            </w:r>
          </w:p>
        </w:tc>
        <w:tc>
          <w:tcPr>
            <w:tcW w:w="6182" w:type="dxa"/>
            <w:gridSpan w:val="2"/>
          </w:tcPr>
          <w:p w:rsidR="00DB1073" w:rsidRPr="00D263B6" w:rsidRDefault="00DB1073" w:rsidP="0070118B">
            <w:pPr>
              <w:pStyle w:val="naiskr"/>
              <w:spacing w:before="0" w:after="0"/>
              <w:rPr>
                <w:sz w:val="26"/>
                <w:szCs w:val="26"/>
              </w:rPr>
            </w:pPr>
            <w:r w:rsidRPr="00D263B6">
              <w:rPr>
                <w:sz w:val="26"/>
                <w:szCs w:val="26"/>
              </w:rPr>
              <w:t>Projekts šo jomu neskar.</w:t>
            </w:r>
          </w:p>
        </w:tc>
      </w:tr>
      <w:tr w:rsidR="00DB1073" w:rsidRPr="00D263B6" w:rsidTr="00EF627E">
        <w:tc>
          <w:tcPr>
            <w:tcW w:w="425" w:type="dxa"/>
          </w:tcPr>
          <w:p w:rsidR="00DB1073" w:rsidRPr="00D263B6" w:rsidRDefault="00DB1073" w:rsidP="001015AE">
            <w:pPr>
              <w:pStyle w:val="naiskr"/>
              <w:spacing w:before="0" w:after="0"/>
              <w:jc w:val="both"/>
              <w:rPr>
                <w:b/>
                <w:sz w:val="26"/>
                <w:szCs w:val="26"/>
              </w:rPr>
            </w:pPr>
            <w:r w:rsidRPr="00D263B6">
              <w:rPr>
                <w:b/>
                <w:sz w:val="26"/>
                <w:szCs w:val="26"/>
              </w:rPr>
              <w:t>7.</w:t>
            </w:r>
          </w:p>
        </w:tc>
        <w:tc>
          <w:tcPr>
            <w:tcW w:w="2558" w:type="dxa"/>
          </w:tcPr>
          <w:p w:rsidR="00DB1073" w:rsidRPr="00D263B6" w:rsidRDefault="00DB1073" w:rsidP="001015AE">
            <w:pPr>
              <w:pStyle w:val="naiskr"/>
              <w:spacing w:before="0" w:after="0"/>
              <w:jc w:val="both"/>
              <w:rPr>
                <w:b/>
                <w:sz w:val="26"/>
                <w:szCs w:val="26"/>
              </w:rPr>
            </w:pPr>
            <w:r w:rsidRPr="00D263B6">
              <w:rPr>
                <w:b/>
                <w:sz w:val="26"/>
                <w:szCs w:val="26"/>
              </w:rPr>
              <w:t>Cita informācija</w:t>
            </w:r>
          </w:p>
        </w:tc>
        <w:tc>
          <w:tcPr>
            <w:tcW w:w="6182" w:type="dxa"/>
            <w:gridSpan w:val="2"/>
          </w:tcPr>
          <w:p w:rsidR="00DB1073" w:rsidRPr="00D263B6" w:rsidRDefault="00DB1073" w:rsidP="00141386">
            <w:pPr>
              <w:pStyle w:val="naiskr"/>
              <w:spacing w:before="0" w:after="0"/>
              <w:rPr>
                <w:sz w:val="26"/>
                <w:szCs w:val="26"/>
              </w:rPr>
            </w:pPr>
            <w:r w:rsidRPr="00D263B6">
              <w:rPr>
                <w:sz w:val="26"/>
                <w:szCs w:val="26"/>
              </w:rPr>
              <w:t>Nav</w:t>
            </w:r>
          </w:p>
        </w:tc>
      </w:tr>
    </w:tbl>
    <w:p w:rsidR="00DB1073" w:rsidRPr="00D263B6" w:rsidRDefault="00DB1073" w:rsidP="00DB1073">
      <w:pPr>
        <w:pStyle w:val="naisf"/>
        <w:spacing w:before="0" w:after="0"/>
        <w:rPr>
          <w:sz w:val="26"/>
          <w:szCs w:val="26"/>
        </w:rPr>
      </w:pPr>
    </w:p>
    <w:tbl>
      <w:tblPr>
        <w:tblW w:w="5010" w:type="pct"/>
        <w:jc w:val="center"/>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2652"/>
        <w:gridCol w:w="6161"/>
        <w:gridCol w:w="69"/>
      </w:tblGrid>
      <w:tr w:rsidR="00DB1073" w:rsidRPr="00D263B6" w:rsidTr="00EF627E">
        <w:trPr>
          <w:gridAfter w:val="1"/>
          <w:wAfter w:w="37" w:type="pct"/>
          <w:jc w:val="center"/>
        </w:trPr>
        <w:tc>
          <w:tcPr>
            <w:tcW w:w="4963" w:type="pct"/>
            <w:gridSpan w:val="3"/>
          </w:tcPr>
          <w:p w:rsidR="00DB1073" w:rsidRPr="00D263B6" w:rsidRDefault="00DB1073" w:rsidP="001015AE">
            <w:pPr>
              <w:pStyle w:val="naisnod"/>
              <w:spacing w:before="0" w:after="0"/>
              <w:rPr>
                <w:sz w:val="26"/>
                <w:szCs w:val="26"/>
              </w:rPr>
            </w:pPr>
            <w:r w:rsidRPr="00D263B6">
              <w:rPr>
                <w:sz w:val="26"/>
                <w:szCs w:val="26"/>
              </w:rPr>
              <w:t>IV. Tiesību akta projekta ietekme uz spēkā esošo tiesību normu sistēmu</w:t>
            </w:r>
          </w:p>
          <w:p w:rsidR="00DB1073" w:rsidRPr="00D263B6" w:rsidRDefault="00DB1073" w:rsidP="001015AE">
            <w:pPr>
              <w:pStyle w:val="naisnod"/>
              <w:spacing w:before="0" w:after="0"/>
              <w:rPr>
                <w:sz w:val="26"/>
                <w:szCs w:val="26"/>
              </w:rPr>
            </w:pPr>
          </w:p>
        </w:tc>
      </w:tr>
      <w:tr w:rsidR="00DB1073" w:rsidRPr="00D263B6" w:rsidTr="00EF627E">
        <w:trPr>
          <w:jc w:val="center"/>
        </w:trPr>
        <w:tc>
          <w:tcPr>
            <w:tcW w:w="228" w:type="pct"/>
          </w:tcPr>
          <w:p w:rsidR="00DB1073" w:rsidRPr="00D263B6" w:rsidRDefault="00DB1073" w:rsidP="001015AE">
            <w:pPr>
              <w:pStyle w:val="naiskr"/>
              <w:tabs>
                <w:tab w:val="left" w:pos="2628"/>
              </w:tabs>
              <w:spacing w:before="0" w:after="0"/>
              <w:jc w:val="both"/>
              <w:rPr>
                <w:b/>
                <w:iCs/>
                <w:sz w:val="26"/>
                <w:szCs w:val="26"/>
              </w:rPr>
            </w:pPr>
            <w:r w:rsidRPr="00D263B6">
              <w:rPr>
                <w:b/>
                <w:iCs/>
                <w:sz w:val="26"/>
                <w:szCs w:val="26"/>
              </w:rPr>
              <w:t>1.</w:t>
            </w:r>
          </w:p>
        </w:tc>
        <w:tc>
          <w:tcPr>
            <w:tcW w:w="1425" w:type="pct"/>
          </w:tcPr>
          <w:p w:rsidR="00DB1073" w:rsidRPr="00D263B6" w:rsidRDefault="00DB1073" w:rsidP="001015AE">
            <w:pPr>
              <w:pStyle w:val="naiskr"/>
              <w:tabs>
                <w:tab w:val="left" w:pos="2628"/>
              </w:tabs>
              <w:spacing w:before="0" w:after="0"/>
              <w:jc w:val="both"/>
              <w:rPr>
                <w:b/>
                <w:iCs/>
                <w:sz w:val="26"/>
                <w:szCs w:val="26"/>
              </w:rPr>
            </w:pPr>
            <w:r w:rsidRPr="00D263B6">
              <w:rPr>
                <w:b/>
                <w:sz w:val="26"/>
                <w:szCs w:val="26"/>
              </w:rPr>
              <w:t>Nepieciešamie saistītie tiesību aktu projekti</w:t>
            </w:r>
          </w:p>
        </w:tc>
        <w:tc>
          <w:tcPr>
            <w:tcW w:w="3347" w:type="pct"/>
            <w:gridSpan w:val="2"/>
          </w:tcPr>
          <w:p w:rsidR="00BD1156" w:rsidRPr="00D263B6" w:rsidRDefault="00DB1073" w:rsidP="007937C2">
            <w:pPr>
              <w:ind w:left="-108"/>
              <w:jc w:val="both"/>
              <w:rPr>
                <w:sz w:val="26"/>
                <w:szCs w:val="26"/>
              </w:rPr>
            </w:pPr>
            <w:r w:rsidRPr="00D263B6">
              <w:rPr>
                <w:sz w:val="26"/>
                <w:szCs w:val="26"/>
              </w:rPr>
              <w:t>Likumprojekts ir izstrādāts un virzāms izskatīšanai vienotā likumprojektu paketē ar grozījumiem Civillikumā</w:t>
            </w:r>
            <w:r w:rsidR="00BD1156" w:rsidRPr="00D263B6">
              <w:rPr>
                <w:sz w:val="26"/>
                <w:szCs w:val="26"/>
              </w:rPr>
              <w:t>.</w:t>
            </w:r>
            <w:r w:rsidR="00CA7CC0" w:rsidRPr="00D263B6">
              <w:rPr>
                <w:sz w:val="26"/>
                <w:szCs w:val="26"/>
              </w:rPr>
              <w:t xml:space="preserve"> (Plānots likumprojektu Valsts sekretāru sanāksmē izsludināt vienlaikus ar grozījumiem Civillikumā).</w:t>
            </w:r>
          </w:p>
          <w:p w:rsidR="00DB1073" w:rsidRPr="00D263B6" w:rsidRDefault="00DB1073" w:rsidP="001015AE">
            <w:pPr>
              <w:ind w:left="-108" w:firstLine="284"/>
              <w:jc w:val="both"/>
              <w:rPr>
                <w:iCs/>
                <w:sz w:val="26"/>
                <w:szCs w:val="26"/>
              </w:rPr>
            </w:pPr>
          </w:p>
        </w:tc>
      </w:tr>
      <w:tr w:rsidR="00DB1073" w:rsidRPr="00D263B6" w:rsidTr="00EF627E">
        <w:trPr>
          <w:jc w:val="center"/>
        </w:trPr>
        <w:tc>
          <w:tcPr>
            <w:tcW w:w="228" w:type="pct"/>
          </w:tcPr>
          <w:p w:rsidR="00DB1073" w:rsidRPr="00D263B6" w:rsidRDefault="00DB1073" w:rsidP="001015AE">
            <w:pPr>
              <w:pStyle w:val="naiskr"/>
              <w:tabs>
                <w:tab w:val="left" w:pos="2628"/>
              </w:tabs>
              <w:spacing w:before="0" w:after="0"/>
              <w:jc w:val="both"/>
              <w:rPr>
                <w:b/>
                <w:iCs/>
                <w:sz w:val="26"/>
                <w:szCs w:val="26"/>
              </w:rPr>
            </w:pPr>
            <w:r w:rsidRPr="00D263B6">
              <w:rPr>
                <w:b/>
                <w:iCs/>
                <w:sz w:val="26"/>
                <w:szCs w:val="26"/>
              </w:rPr>
              <w:t>2.</w:t>
            </w:r>
          </w:p>
        </w:tc>
        <w:tc>
          <w:tcPr>
            <w:tcW w:w="1425" w:type="pct"/>
          </w:tcPr>
          <w:p w:rsidR="00DB1073" w:rsidRPr="00D263B6" w:rsidRDefault="00DB1073" w:rsidP="001015AE">
            <w:pPr>
              <w:pStyle w:val="naiskr"/>
              <w:tabs>
                <w:tab w:val="left" w:pos="2628"/>
              </w:tabs>
              <w:spacing w:before="0" w:after="0"/>
              <w:jc w:val="both"/>
              <w:rPr>
                <w:b/>
                <w:iCs/>
                <w:sz w:val="26"/>
                <w:szCs w:val="26"/>
              </w:rPr>
            </w:pPr>
            <w:r w:rsidRPr="00D263B6">
              <w:rPr>
                <w:b/>
                <w:sz w:val="26"/>
                <w:szCs w:val="26"/>
              </w:rPr>
              <w:t>Cita informācija</w:t>
            </w:r>
          </w:p>
        </w:tc>
        <w:tc>
          <w:tcPr>
            <w:tcW w:w="3347" w:type="pct"/>
            <w:gridSpan w:val="2"/>
          </w:tcPr>
          <w:p w:rsidR="00DB1073" w:rsidRPr="00D263B6" w:rsidRDefault="00DB1073" w:rsidP="001015AE">
            <w:pPr>
              <w:pStyle w:val="naiskr"/>
              <w:tabs>
                <w:tab w:val="left" w:pos="459"/>
              </w:tabs>
              <w:spacing w:before="0" w:after="0"/>
              <w:ind w:left="-108" w:firstLine="284"/>
              <w:jc w:val="both"/>
              <w:rPr>
                <w:iCs/>
                <w:sz w:val="26"/>
                <w:szCs w:val="26"/>
              </w:rPr>
            </w:pPr>
            <w:r w:rsidRPr="00D263B6">
              <w:rPr>
                <w:iCs/>
                <w:sz w:val="26"/>
                <w:szCs w:val="26"/>
              </w:rPr>
              <w:t>Nav</w:t>
            </w:r>
          </w:p>
        </w:tc>
      </w:tr>
    </w:tbl>
    <w:p w:rsidR="00DB1073" w:rsidRPr="00D263B6" w:rsidRDefault="00DB1073" w:rsidP="00DB1073">
      <w:pPr>
        <w:rPr>
          <w:sz w:val="26"/>
          <w:szCs w:val="26"/>
        </w:rPr>
      </w:pPr>
    </w:p>
    <w:tbl>
      <w:tblPr>
        <w:tblW w:w="9356"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26"/>
        <w:gridCol w:w="2835"/>
        <w:gridCol w:w="6095"/>
      </w:tblGrid>
      <w:tr w:rsidR="003779F6" w:rsidRPr="00D263B6" w:rsidTr="00EF627E">
        <w:tc>
          <w:tcPr>
            <w:tcW w:w="9356" w:type="dxa"/>
            <w:gridSpan w:val="3"/>
            <w:tcBorders>
              <w:top w:val="outset" w:sz="6" w:space="0" w:color="auto"/>
              <w:left w:val="outset" w:sz="6" w:space="0" w:color="auto"/>
              <w:bottom w:val="outset" w:sz="6" w:space="0" w:color="auto"/>
              <w:right w:val="outset" w:sz="6" w:space="0" w:color="auto"/>
            </w:tcBorders>
            <w:vAlign w:val="center"/>
          </w:tcPr>
          <w:p w:rsidR="003779F6" w:rsidRPr="00D263B6" w:rsidRDefault="003779F6" w:rsidP="00FB29EE">
            <w:pPr>
              <w:jc w:val="center"/>
              <w:rPr>
                <w:b/>
                <w:sz w:val="26"/>
                <w:szCs w:val="26"/>
              </w:rPr>
            </w:pPr>
            <w:r w:rsidRPr="00D263B6">
              <w:rPr>
                <w:b/>
                <w:sz w:val="26"/>
                <w:szCs w:val="26"/>
              </w:rPr>
              <w:t>V. Tiesību akta projekta atbilstība Latvijas Republikas starptautiskajām saistībām</w:t>
            </w:r>
          </w:p>
        </w:tc>
      </w:tr>
      <w:tr w:rsidR="003779F6" w:rsidRPr="00D263B6" w:rsidTr="00EF627E">
        <w:tc>
          <w:tcPr>
            <w:tcW w:w="426" w:type="dxa"/>
            <w:tcBorders>
              <w:top w:val="outset" w:sz="6" w:space="0" w:color="auto"/>
              <w:left w:val="outset" w:sz="6" w:space="0" w:color="auto"/>
              <w:bottom w:val="outset" w:sz="6" w:space="0" w:color="auto"/>
              <w:right w:val="outset" w:sz="6" w:space="0" w:color="auto"/>
            </w:tcBorders>
          </w:tcPr>
          <w:p w:rsidR="003779F6" w:rsidRPr="00D263B6" w:rsidRDefault="003779F6" w:rsidP="00FB29EE">
            <w:pPr>
              <w:ind w:left="57"/>
              <w:rPr>
                <w:sz w:val="26"/>
                <w:szCs w:val="26"/>
              </w:rPr>
            </w:pPr>
            <w:r w:rsidRPr="00D263B6">
              <w:rPr>
                <w:sz w:val="26"/>
                <w:szCs w:val="26"/>
              </w:rPr>
              <w:t>1.</w:t>
            </w:r>
          </w:p>
        </w:tc>
        <w:tc>
          <w:tcPr>
            <w:tcW w:w="2835" w:type="dxa"/>
            <w:tcBorders>
              <w:top w:val="outset" w:sz="6" w:space="0" w:color="auto"/>
              <w:left w:val="outset" w:sz="6" w:space="0" w:color="auto"/>
              <w:bottom w:val="outset" w:sz="6" w:space="0" w:color="auto"/>
              <w:right w:val="outset" w:sz="6" w:space="0" w:color="auto"/>
            </w:tcBorders>
          </w:tcPr>
          <w:p w:rsidR="003779F6" w:rsidRPr="00D263B6" w:rsidRDefault="003779F6" w:rsidP="00FB29EE">
            <w:pPr>
              <w:ind w:left="57"/>
              <w:rPr>
                <w:sz w:val="26"/>
                <w:szCs w:val="26"/>
              </w:rPr>
            </w:pPr>
            <w:r w:rsidRPr="00D263B6">
              <w:rPr>
                <w:sz w:val="26"/>
                <w:szCs w:val="26"/>
              </w:rPr>
              <w:t>Saistības pret Eiropas Savienību</w:t>
            </w:r>
          </w:p>
        </w:tc>
        <w:tc>
          <w:tcPr>
            <w:tcW w:w="6095" w:type="dxa"/>
            <w:tcBorders>
              <w:top w:val="outset" w:sz="6" w:space="0" w:color="auto"/>
              <w:left w:val="outset" w:sz="6" w:space="0" w:color="auto"/>
              <w:bottom w:val="outset" w:sz="6" w:space="0" w:color="auto"/>
              <w:right w:val="outset" w:sz="6" w:space="0" w:color="auto"/>
            </w:tcBorders>
          </w:tcPr>
          <w:p w:rsidR="003779F6" w:rsidRPr="00D263B6" w:rsidRDefault="003779F6" w:rsidP="00FB29EE">
            <w:pPr>
              <w:ind w:left="57"/>
              <w:jc w:val="both"/>
              <w:rPr>
                <w:sz w:val="26"/>
                <w:szCs w:val="26"/>
              </w:rPr>
            </w:pPr>
            <w:r w:rsidRPr="00D263B6">
              <w:rPr>
                <w:sz w:val="26"/>
                <w:szCs w:val="26"/>
              </w:rPr>
              <w:t xml:space="preserve">Eiropas Parlamenta un Padomes 2011. gada 16. februāra Direktīvas 2011/7/ES par maksājumu kavējumu novēršanu komercdarījumos nacionālajā tiesību sistēmā. </w:t>
            </w:r>
          </w:p>
        </w:tc>
      </w:tr>
      <w:tr w:rsidR="003779F6" w:rsidRPr="00D263B6" w:rsidTr="00EF627E">
        <w:tc>
          <w:tcPr>
            <w:tcW w:w="426" w:type="dxa"/>
            <w:tcBorders>
              <w:top w:val="outset" w:sz="6" w:space="0" w:color="auto"/>
              <w:left w:val="outset" w:sz="6" w:space="0" w:color="auto"/>
              <w:bottom w:val="outset" w:sz="6" w:space="0" w:color="auto"/>
              <w:right w:val="outset" w:sz="6" w:space="0" w:color="auto"/>
            </w:tcBorders>
          </w:tcPr>
          <w:p w:rsidR="003779F6" w:rsidRPr="00D263B6" w:rsidRDefault="003779F6" w:rsidP="00FB29EE">
            <w:pPr>
              <w:ind w:left="57"/>
              <w:rPr>
                <w:sz w:val="26"/>
                <w:szCs w:val="26"/>
              </w:rPr>
            </w:pPr>
            <w:r w:rsidRPr="00D263B6">
              <w:rPr>
                <w:sz w:val="26"/>
                <w:szCs w:val="26"/>
              </w:rPr>
              <w:t>2.</w:t>
            </w:r>
          </w:p>
        </w:tc>
        <w:tc>
          <w:tcPr>
            <w:tcW w:w="2835" w:type="dxa"/>
            <w:tcBorders>
              <w:top w:val="outset" w:sz="6" w:space="0" w:color="auto"/>
              <w:left w:val="outset" w:sz="6" w:space="0" w:color="auto"/>
              <w:bottom w:val="outset" w:sz="6" w:space="0" w:color="auto"/>
              <w:right w:val="outset" w:sz="6" w:space="0" w:color="auto"/>
            </w:tcBorders>
          </w:tcPr>
          <w:p w:rsidR="003779F6" w:rsidRPr="00D263B6" w:rsidRDefault="003779F6" w:rsidP="00FB29EE">
            <w:pPr>
              <w:ind w:left="57"/>
              <w:rPr>
                <w:sz w:val="26"/>
                <w:szCs w:val="26"/>
              </w:rPr>
            </w:pPr>
            <w:r w:rsidRPr="00D263B6">
              <w:rPr>
                <w:sz w:val="26"/>
                <w:szCs w:val="26"/>
              </w:rPr>
              <w:t>Citas starptautiskās saistības</w:t>
            </w:r>
          </w:p>
        </w:tc>
        <w:tc>
          <w:tcPr>
            <w:tcW w:w="6095" w:type="dxa"/>
            <w:tcBorders>
              <w:top w:val="outset" w:sz="6" w:space="0" w:color="auto"/>
              <w:left w:val="outset" w:sz="6" w:space="0" w:color="auto"/>
              <w:bottom w:val="outset" w:sz="6" w:space="0" w:color="auto"/>
              <w:right w:val="outset" w:sz="6" w:space="0" w:color="auto"/>
            </w:tcBorders>
          </w:tcPr>
          <w:p w:rsidR="003779F6" w:rsidRPr="00D263B6" w:rsidRDefault="003779F6" w:rsidP="00FB29EE">
            <w:pPr>
              <w:ind w:left="57"/>
              <w:rPr>
                <w:sz w:val="26"/>
                <w:szCs w:val="26"/>
              </w:rPr>
            </w:pPr>
            <w:r w:rsidRPr="00D263B6">
              <w:rPr>
                <w:sz w:val="26"/>
                <w:szCs w:val="26"/>
              </w:rPr>
              <w:t>Nav attiecināms</w:t>
            </w:r>
          </w:p>
        </w:tc>
      </w:tr>
      <w:tr w:rsidR="003779F6" w:rsidRPr="00D263B6" w:rsidTr="00EF627E">
        <w:tc>
          <w:tcPr>
            <w:tcW w:w="426" w:type="dxa"/>
            <w:tcBorders>
              <w:top w:val="outset" w:sz="6" w:space="0" w:color="auto"/>
              <w:left w:val="outset" w:sz="6" w:space="0" w:color="auto"/>
              <w:bottom w:val="outset" w:sz="6" w:space="0" w:color="auto"/>
              <w:right w:val="outset" w:sz="6" w:space="0" w:color="auto"/>
            </w:tcBorders>
          </w:tcPr>
          <w:p w:rsidR="003779F6" w:rsidRPr="00D263B6" w:rsidRDefault="003779F6" w:rsidP="00FB29EE">
            <w:pPr>
              <w:ind w:left="57"/>
              <w:rPr>
                <w:sz w:val="26"/>
                <w:szCs w:val="26"/>
              </w:rPr>
            </w:pPr>
            <w:r w:rsidRPr="00D263B6">
              <w:rPr>
                <w:sz w:val="26"/>
                <w:szCs w:val="26"/>
              </w:rPr>
              <w:t>3.</w:t>
            </w:r>
          </w:p>
        </w:tc>
        <w:tc>
          <w:tcPr>
            <w:tcW w:w="2835" w:type="dxa"/>
            <w:tcBorders>
              <w:top w:val="outset" w:sz="6" w:space="0" w:color="auto"/>
              <w:left w:val="outset" w:sz="6" w:space="0" w:color="auto"/>
              <w:bottom w:val="outset" w:sz="6" w:space="0" w:color="auto"/>
              <w:right w:val="outset" w:sz="6" w:space="0" w:color="auto"/>
            </w:tcBorders>
          </w:tcPr>
          <w:p w:rsidR="003779F6" w:rsidRPr="00D263B6" w:rsidRDefault="003779F6" w:rsidP="00FB29EE">
            <w:pPr>
              <w:ind w:left="57"/>
              <w:rPr>
                <w:sz w:val="26"/>
                <w:szCs w:val="26"/>
              </w:rPr>
            </w:pPr>
            <w:r w:rsidRPr="00D263B6">
              <w:rPr>
                <w:sz w:val="26"/>
                <w:szCs w:val="26"/>
              </w:rPr>
              <w:t>Cita informācija</w:t>
            </w:r>
          </w:p>
        </w:tc>
        <w:tc>
          <w:tcPr>
            <w:tcW w:w="6095" w:type="dxa"/>
            <w:tcBorders>
              <w:top w:val="outset" w:sz="6" w:space="0" w:color="auto"/>
              <w:left w:val="outset" w:sz="6" w:space="0" w:color="auto"/>
              <w:bottom w:val="outset" w:sz="6" w:space="0" w:color="auto"/>
              <w:right w:val="outset" w:sz="6" w:space="0" w:color="auto"/>
            </w:tcBorders>
          </w:tcPr>
          <w:p w:rsidR="003779F6" w:rsidRPr="00D263B6" w:rsidRDefault="003779F6" w:rsidP="00FB29EE">
            <w:pPr>
              <w:ind w:left="57"/>
              <w:rPr>
                <w:sz w:val="26"/>
                <w:szCs w:val="26"/>
              </w:rPr>
            </w:pPr>
            <w:r w:rsidRPr="00D263B6">
              <w:rPr>
                <w:sz w:val="26"/>
                <w:szCs w:val="26"/>
              </w:rPr>
              <w:t>Nav</w:t>
            </w:r>
          </w:p>
        </w:tc>
      </w:tr>
    </w:tbl>
    <w:p w:rsidR="003779F6" w:rsidRPr="00D263B6" w:rsidRDefault="003779F6" w:rsidP="003779F6">
      <w:pPr>
        <w:rPr>
          <w:sz w:val="26"/>
          <w:szCs w:val="26"/>
        </w:rPr>
      </w:pPr>
    </w:p>
    <w:tbl>
      <w:tblPr>
        <w:tblW w:w="9640"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966"/>
        <w:gridCol w:w="1852"/>
        <w:gridCol w:w="2719"/>
        <w:gridCol w:w="3103"/>
      </w:tblGrid>
      <w:tr w:rsidR="003779F6" w:rsidRPr="00D263B6" w:rsidTr="00EF627E">
        <w:trPr>
          <w:cantSplit/>
          <w:trHeight w:val="523"/>
        </w:trPr>
        <w:tc>
          <w:tcPr>
            <w:tcW w:w="9640" w:type="dxa"/>
            <w:gridSpan w:val="4"/>
            <w:tcBorders>
              <w:top w:val="outset" w:sz="6" w:space="0" w:color="auto"/>
              <w:left w:val="outset" w:sz="6" w:space="0" w:color="auto"/>
              <w:bottom w:val="outset" w:sz="6" w:space="0" w:color="auto"/>
              <w:right w:val="outset" w:sz="6" w:space="0" w:color="auto"/>
            </w:tcBorders>
            <w:vAlign w:val="center"/>
          </w:tcPr>
          <w:p w:rsidR="003779F6" w:rsidRPr="00D263B6" w:rsidRDefault="003779F6" w:rsidP="00FB29EE">
            <w:pPr>
              <w:ind w:left="57"/>
              <w:jc w:val="center"/>
              <w:rPr>
                <w:b/>
                <w:sz w:val="26"/>
                <w:szCs w:val="26"/>
              </w:rPr>
            </w:pPr>
            <w:r w:rsidRPr="00D263B6">
              <w:rPr>
                <w:b/>
                <w:sz w:val="26"/>
                <w:szCs w:val="26"/>
              </w:rPr>
              <w:t>1.tabula</w:t>
            </w:r>
          </w:p>
          <w:p w:rsidR="003779F6" w:rsidRPr="00D263B6" w:rsidRDefault="003779F6" w:rsidP="00FB29EE">
            <w:pPr>
              <w:ind w:left="57"/>
              <w:jc w:val="center"/>
              <w:rPr>
                <w:sz w:val="26"/>
                <w:szCs w:val="26"/>
              </w:rPr>
            </w:pPr>
            <w:r w:rsidRPr="00D263B6">
              <w:rPr>
                <w:b/>
                <w:sz w:val="26"/>
                <w:szCs w:val="26"/>
              </w:rPr>
              <w:t>Tiesību akta projekta atbilstība ES tiesību aktiem</w:t>
            </w:r>
          </w:p>
        </w:tc>
      </w:tr>
      <w:tr w:rsidR="003779F6" w:rsidRPr="00D263B6" w:rsidTr="00EF627E">
        <w:trPr>
          <w:cantSplit/>
        </w:trPr>
        <w:tc>
          <w:tcPr>
            <w:tcW w:w="1966" w:type="dxa"/>
            <w:tcBorders>
              <w:top w:val="outset" w:sz="6" w:space="0" w:color="auto"/>
              <w:left w:val="outset" w:sz="6" w:space="0" w:color="auto"/>
              <w:bottom w:val="outset" w:sz="6" w:space="0" w:color="auto"/>
              <w:right w:val="outset" w:sz="6" w:space="0" w:color="auto"/>
            </w:tcBorders>
          </w:tcPr>
          <w:p w:rsidR="003779F6" w:rsidRPr="00D263B6" w:rsidRDefault="003779F6" w:rsidP="00FB29EE">
            <w:pPr>
              <w:ind w:left="57"/>
              <w:rPr>
                <w:sz w:val="26"/>
                <w:szCs w:val="26"/>
              </w:rPr>
            </w:pPr>
            <w:r w:rsidRPr="00D263B6">
              <w:rPr>
                <w:sz w:val="26"/>
                <w:szCs w:val="26"/>
              </w:rPr>
              <w:t>Attiecīgā ES tiesību akta datums, numurs un nosaukums</w:t>
            </w:r>
          </w:p>
        </w:tc>
        <w:tc>
          <w:tcPr>
            <w:tcW w:w="7674" w:type="dxa"/>
            <w:gridSpan w:val="3"/>
            <w:tcBorders>
              <w:top w:val="outset" w:sz="6" w:space="0" w:color="auto"/>
              <w:left w:val="outset" w:sz="6" w:space="0" w:color="auto"/>
              <w:bottom w:val="outset" w:sz="6" w:space="0" w:color="auto"/>
              <w:right w:val="outset" w:sz="6" w:space="0" w:color="auto"/>
            </w:tcBorders>
          </w:tcPr>
          <w:p w:rsidR="003779F6" w:rsidRPr="00D263B6" w:rsidRDefault="003779F6" w:rsidP="00FB29EE">
            <w:pPr>
              <w:ind w:left="57"/>
              <w:rPr>
                <w:sz w:val="26"/>
                <w:szCs w:val="26"/>
              </w:rPr>
            </w:pPr>
            <w:r w:rsidRPr="00D263B6">
              <w:rPr>
                <w:sz w:val="26"/>
                <w:szCs w:val="26"/>
              </w:rPr>
              <w:t xml:space="preserve">Eiropas Parlamenta un Padomes 2011. gada 16. februāra Direktīvas 2011/7/ES par maksājumu kavējumu novēršanu komercdarījumos nacionālajā tiesību sistēmā. </w:t>
            </w:r>
          </w:p>
        </w:tc>
      </w:tr>
      <w:tr w:rsidR="003779F6" w:rsidRPr="00D263B6" w:rsidTr="00EF627E">
        <w:trPr>
          <w:cantSplit/>
        </w:trPr>
        <w:tc>
          <w:tcPr>
            <w:tcW w:w="1966" w:type="dxa"/>
            <w:tcBorders>
              <w:top w:val="outset" w:sz="6" w:space="0" w:color="auto"/>
              <w:left w:val="outset" w:sz="6" w:space="0" w:color="auto"/>
              <w:bottom w:val="outset" w:sz="6" w:space="0" w:color="auto"/>
              <w:right w:val="outset" w:sz="6" w:space="0" w:color="auto"/>
            </w:tcBorders>
            <w:vAlign w:val="center"/>
          </w:tcPr>
          <w:p w:rsidR="003779F6" w:rsidRPr="00D263B6" w:rsidRDefault="003779F6" w:rsidP="00FB29EE">
            <w:pPr>
              <w:ind w:left="57"/>
              <w:jc w:val="center"/>
              <w:rPr>
                <w:sz w:val="26"/>
                <w:szCs w:val="26"/>
              </w:rPr>
            </w:pPr>
            <w:r w:rsidRPr="00D263B6">
              <w:rPr>
                <w:sz w:val="26"/>
                <w:szCs w:val="26"/>
              </w:rPr>
              <w:lastRenderedPageBreak/>
              <w:t>A</w:t>
            </w:r>
          </w:p>
        </w:tc>
        <w:tc>
          <w:tcPr>
            <w:tcW w:w="1852" w:type="dxa"/>
            <w:tcBorders>
              <w:top w:val="outset" w:sz="6" w:space="0" w:color="auto"/>
              <w:left w:val="outset" w:sz="6" w:space="0" w:color="auto"/>
              <w:bottom w:val="outset" w:sz="6" w:space="0" w:color="auto"/>
              <w:right w:val="outset" w:sz="6" w:space="0" w:color="auto"/>
            </w:tcBorders>
            <w:vAlign w:val="center"/>
          </w:tcPr>
          <w:p w:rsidR="003779F6" w:rsidRPr="00D263B6" w:rsidRDefault="003779F6" w:rsidP="00FB29EE">
            <w:pPr>
              <w:ind w:left="57"/>
              <w:jc w:val="center"/>
              <w:rPr>
                <w:sz w:val="26"/>
                <w:szCs w:val="26"/>
              </w:rPr>
            </w:pPr>
            <w:r w:rsidRPr="00D263B6">
              <w:rPr>
                <w:sz w:val="26"/>
                <w:szCs w:val="26"/>
              </w:rPr>
              <w:t>B</w:t>
            </w:r>
          </w:p>
        </w:tc>
        <w:tc>
          <w:tcPr>
            <w:tcW w:w="2719" w:type="dxa"/>
            <w:tcBorders>
              <w:top w:val="outset" w:sz="6" w:space="0" w:color="auto"/>
              <w:left w:val="outset" w:sz="6" w:space="0" w:color="auto"/>
              <w:bottom w:val="outset" w:sz="6" w:space="0" w:color="auto"/>
              <w:right w:val="outset" w:sz="6" w:space="0" w:color="auto"/>
            </w:tcBorders>
            <w:vAlign w:val="center"/>
          </w:tcPr>
          <w:p w:rsidR="003779F6" w:rsidRPr="00D263B6" w:rsidRDefault="003779F6" w:rsidP="00FB29EE">
            <w:pPr>
              <w:ind w:left="57"/>
              <w:jc w:val="center"/>
              <w:rPr>
                <w:sz w:val="26"/>
                <w:szCs w:val="26"/>
              </w:rPr>
            </w:pPr>
            <w:r w:rsidRPr="00D263B6">
              <w:rPr>
                <w:sz w:val="26"/>
                <w:szCs w:val="26"/>
              </w:rPr>
              <w:t>C</w:t>
            </w:r>
          </w:p>
        </w:tc>
        <w:tc>
          <w:tcPr>
            <w:tcW w:w="3103" w:type="dxa"/>
            <w:tcBorders>
              <w:top w:val="outset" w:sz="6" w:space="0" w:color="auto"/>
              <w:left w:val="outset" w:sz="6" w:space="0" w:color="auto"/>
              <w:bottom w:val="outset" w:sz="6" w:space="0" w:color="auto"/>
              <w:right w:val="outset" w:sz="6" w:space="0" w:color="auto"/>
            </w:tcBorders>
            <w:vAlign w:val="center"/>
          </w:tcPr>
          <w:p w:rsidR="003779F6" w:rsidRPr="00D263B6" w:rsidRDefault="003779F6" w:rsidP="00FB29EE">
            <w:pPr>
              <w:ind w:left="57"/>
              <w:jc w:val="center"/>
              <w:rPr>
                <w:sz w:val="26"/>
                <w:szCs w:val="26"/>
              </w:rPr>
            </w:pPr>
            <w:r w:rsidRPr="00D263B6">
              <w:rPr>
                <w:sz w:val="26"/>
                <w:szCs w:val="26"/>
              </w:rPr>
              <w:t>D</w:t>
            </w:r>
          </w:p>
        </w:tc>
      </w:tr>
      <w:tr w:rsidR="003779F6" w:rsidRPr="00D263B6" w:rsidTr="00EF627E">
        <w:trPr>
          <w:cantSplit/>
          <w:trHeight w:val="639"/>
        </w:trPr>
        <w:tc>
          <w:tcPr>
            <w:tcW w:w="1966" w:type="dxa"/>
            <w:tcBorders>
              <w:top w:val="outset" w:sz="6" w:space="0" w:color="auto"/>
              <w:left w:val="outset" w:sz="6" w:space="0" w:color="auto"/>
              <w:bottom w:val="outset" w:sz="6" w:space="0" w:color="auto"/>
              <w:right w:val="outset" w:sz="6" w:space="0" w:color="auto"/>
            </w:tcBorders>
          </w:tcPr>
          <w:p w:rsidR="003779F6" w:rsidRPr="00D263B6" w:rsidRDefault="003779F6" w:rsidP="00FB29EE">
            <w:pPr>
              <w:spacing w:after="120"/>
              <w:ind w:left="57"/>
              <w:rPr>
                <w:spacing w:val="-3"/>
                <w:sz w:val="26"/>
                <w:szCs w:val="26"/>
              </w:rPr>
            </w:pPr>
            <w:r w:rsidRPr="00D263B6">
              <w:rPr>
                <w:spacing w:val="-3"/>
                <w:sz w:val="26"/>
                <w:szCs w:val="26"/>
              </w:rPr>
              <w:t xml:space="preserve">Direktīvas 2011/7/ES </w:t>
            </w:r>
            <w:r w:rsidR="009A08E0" w:rsidRPr="00D263B6">
              <w:rPr>
                <w:spacing w:val="-3"/>
                <w:sz w:val="26"/>
                <w:szCs w:val="26"/>
              </w:rPr>
              <w:t>1</w:t>
            </w:r>
            <w:r w:rsidRPr="00D263B6">
              <w:rPr>
                <w:spacing w:val="-3"/>
                <w:sz w:val="26"/>
                <w:szCs w:val="26"/>
              </w:rPr>
              <w:t xml:space="preserve">2.panta </w:t>
            </w:r>
            <w:r w:rsidR="009A08E0" w:rsidRPr="00D263B6">
              <w:rPr>
                <w:spacing w:val="-3"/>
                <w:sz w:val="26"/>
                <w:szCs w:val="26"/>
              </w:rPr>
              <w:t>1</w:t>
            </w:r>
            <w:r w:rsidRPr="00D263B6">
              <w:rPr>
                <w:spacing w:val="-3"/>
                <w:sz w:val="26"/>
                <w:szCs w:val="26"/>
              </w:rPr>
              <w:t>.punkts</w:t>
            </w:r>
          </w:p>
        </w:tc>
        <w:tc>
          <w:tcPr>
            <w:tcW w:w="1852" w:type="dxa"/>
            <w:tcBorders>
              <w:top w:val="outset" w:sz="6" w:space="0" w:color="auto"/>
              <w:left w:val="outset" w:sz="6" w:space="0" w:color="auto"/>
              <w:bottom w:val="outset" w:sz="6" w:space="0" w:color="auto"/>
              <w:right w:val="outset" w:sz="6" w:space="0" w:color="auto"/>
            </w:tcBorders>
          </w:tcPr>
          <w:p w:rsidR="003779F6" w:rsidRPr="00D263B6" w:rsidRDefault="009A08E0" w:rsidP="00FB29EE">
            <w:pPr>
              <w:spacing w:after="120"/>
              <w:ind w:left="57"/>
              <w:rPr>
                <w:sz w:val="26"/>
                <w:szCs w:val="26"/>
              </w:rPr>
            </w:pPr>
            <w:r w:rsidRPr="00D263B6">
              <w:rPr>
                <w:sz w:val="26"/>
                <w:szCs w:val="26"/>
              </w:rPr>
              <w:t>18.pants</w:t>
            </w:r>
          </w:p>
        </w:tc>
        <w:tc>
          <w:tcPr>
            <w:tcW w:w="2719" w:type="dxa"/>
            <w:tcBorders>
              <w:top w:val="outset" w:sz="6" w:space="0" w:color="auto"/>
              <w:left w:val="outset" w:sz="6" w:space="0" w:color="auto"/>
              <w:bottom w:val="outset" w:sz="6" w:space="0" w:color="auto"/>
              <w:right w:val="outset" w:sz="6" w:space="0" w:color="auto"/>
            </w:tcBorders>
          </w:tcPr>
          <w:p w:rsidR="003779F6" w:rsidRPr="00D263B6" w:rsidRDefault="003779F6" w:rsidP="00FB29EE">
            <w:pPr>
              <w:spacing w:after="120"/>
              <w:ind w:left="57"/>
              <w:rPr>
                <w:spacing w:val="-3"/>
                <w:sz w:val="26"/>
                <w:szCs w:val="26"/>
              </w:rPr>
            </w:pPr>
            <w:r w:rsidRPr="00D263B6">
              <w:rPr>
                <w:spacing w:val="-3"/>
                <w:sz w:val="26"/>
                <w:szCs w:val="26"/>
              </w:rPr>
              <w:t>Pārņemts pilnībā</w:t>
            </w:r>
          </w:p>
        </w:tc>
        <w:tc>
          <w:tcPr>
            <w:tcW w:w="3103" w:type="dxa"/>
            <w:tcBorders>
              <w:top w:val="outset" w:sz="6" w:space="0" w:color="auto"/>
              <w:left w:val="outset" w:sz="6" w:space="0" w:color="auto"/>
              <w:bottom w:val="outset" w:sz="6" w:space="0" w:color="auto"/>
              <w:right w:val="outset" w:sz="6" w:space="0" w:color="auto"/>
            </w:tcBorders>
          </w:tcPr>
          <w:p w:rsidR="003779F6" w:rsidRPr="00D263B6" w:rsidRDefault="003779F6" w:rsidP="00FB29EE">
            <w:pPr>
              <w:ind w:left="57"/>
              <w:rPr>
                <w:spacing w:val="-3"/>
                <w:sz w:val="26"/>
                <w:szCs w:val="26"/>
              </w:rPr>
            </w:pPr>
            <w:r w:rsidRPr="00D263B6">
              <w:rPr>
                <w:spacing w:val="-3"/>
                <w:sz w:val="26"/>
                <w:szCs w:val="26"/>
              </w:rPr>
              <w:t>Stingrākas prasības nav paredzētas</w:t>
            </w:r>
          </w:p>
        </w:tc>
      </w:tr>
      <w:tr w:rsidR="003779F6" w:rsidRPr="00D263B6" w:rsidTr="00EF627E">
        <w:trPr>
          <w:cantSplit/>
          <w:trHeight w:val="882"/>
        </w:trPr>
        <w:tc>
          <w:tcPr>
            <w:tcW w:w="1966" w:type="dxa"/>
            <w:tcBorders>
              <w:top w:val="outset" w:sz="6" w:space="0" w:color="auto"/>
              <w:left w:val="outset" w:sz="6" w:space="0" w:color="auto"/>
              <w:bottom w:val="outset" w:sz="6" w:space="0" w:color="auto"/>
              <w:right w:val="outset" w:sz="6" w:space="0" w:color="auto"/>
            </w:tcBorders>
          </w:tcPr>
          <w:p w:rsidR="003779F6" w:rsidRPr="00D263B6" w:rsidRDefault="009A08E0" w:rsidP="009A08E0">
            <w:pPr>
              <w:spacing w:after="120"/>
              <w:ind w:left="57"/>
              <w:rPr>
                <w:spacing w:val="-3"/>
                <w:sz w:val="26"/>
                <w:szCs w:val="26"/>
              </w:rPr>
            </w:pPr>
            <w:r w:rsidRPr="00D263B6">
              <w:rPr>
                <w:spacing w:val="-3"/>
                <w:sz w:val="26"/>
                <w:szCs w:val="26"/>
              </w:rPr>
              <w:t>Direktīvas 2011/7/ES 12.panta 4.punkts</w:t>
            </w:r>
            <w:r w:rsidR="003779F6" w:rsidRPr="00D263B6">
              <w:rPr>
                <w:spacing w:val="-3"/>
                <w:sz w:val="26"/>
                <w:szCs w:val="26"/>
              </w:rPr>
              <w:t xml:space="preserve"> </w:t>
            </w:r>
          </w:p>
        </w:tc>
        <w:tc>
          <w:tcPr>
            <w:tcW w:w="1852" w:type="dxa"/>
            <w:tcBorders>
              <w:top w:val="outset" w:sz="6" w:space="0" w:color="auto"/>
              <w:left w:val="outset" w:sz="6" w:space="0" w:color="auto"/>
              <w:bottom w:val="outset" w:sz="6" w:space="0" w:color="auto"/>
              <w:right w:val="outset" w:sz="6" w:space="0" w:color="auto"/>
            </w:tcBorders>
          </w:tcPr>
          <w:p w:rsidR="003779F6" w:rsidRPr="00D263B6" w:rsidRDefault="009A08E0" w:rsidP="00FB29EE">
            <w:pPr>
              <w:spacing w:after="120"/>
              <w:ind w:left="57"/>
              <w:rPr>
                <w:spacing w:val="-3"/>
                <w:sz w:val="26"/>
                <w:szCs w:val="26"/>
              </w:rPr>
            </w:pPr>
            <w:r w:rsidRPr="00D263B6">
              <w:rPr>
                <w:sz w:val="26"/>
                <w:szCs w:val="26"/>
              </w:rPr>
              <w:t>18.pants</w:t>
            </w:r>
          </w:p>
        </w:tc>
        <w:tc>
          <w:tcPr>
            <w:tcW w:w="2719" w:type="dxa"/>
            <w:tcBorders>
              <w:top w:val="outset" w:sz="6" w:space="0" w:color="auto"/>
              <w:left w:val="outset" w:sz="6" w:space="0" w:color="auto"/>
              <w:bottom w:val="outset" w:sz="6" w:space="0" w:color="auto"/>
              <w:right w:val="outset" w:sz="6" w:space="0" w:color="auto"/>
            </w:tcBorders>
          </w:tcPr>
          <w:p w:rsidR="003779F6" w:rsidRPr="00D263B6" w:rsidRDefault="009A08E0" w:rsidP="00FB29EE">
            <w:pPr>
              <w:spacing w:after="120"/>
              <w:ind w:left="57"/>
              <w:rPr>
                <w:spacing w:val="-3"/>
                <w:sz w:val="26"/>
                <w:szCs w:val="26"/>
              </w:rPr>
            </w:pPr>
            <w:r w:rsidRPr="00D263B6">
              <w:rPr>
                <w:spacing w:val="-3"/>
                <w:sz w:val="26"/>
                <w:szCs w:val="26"/>
              </w:rPr>
              <w:t>Dalībvalsts izmantojusi savu rīcības brīvību</w:t>
            </w:r>
          </w:p>
        </w:tc>
        <w:tc>
          <w:tcPr>
            <w:tcW w:w="3103" w:type="dxa"/>
            <w:tcBorders>
              <w:top w:val="outset" w:sz="6" w:space="0" w:color="auto"/>
              <w:left w:val="outset" w:sz="6" w:space="0" w:color="auto"/>
              <w:bottom w:val="outset" w:sz="6" w:space="0" w:color="auto"/>
              <w:right w:val="outset" w:sz="6" w:space="0" w:color="auto"/>
            </w:tcBorders>
          </w:tcPr>
          <w:p w:rsidR="003779F6" w:rsidRPr="00D263B6" w:rsidRDefault="003779F6" w:rsidP="00FB29EE">
            <w:pPr>
              <w:ind w:left="57"/>
              <w:rPr>
                <w:spacing w:val="-3"/>
                <w:sz w:val="26"/>
                <w:szCs w:val="26"/>
              </w:rPr>
            </w:pPr>
            <w:r w:rsidRPr="00D263B6">
              <w:rPr>
                <w:spacing w:val="-3"/>
                <w:sz w:val="26"/>
                <w:szCs w:val="26"/>
              </w:rPr>
              <w:t>Stingrākas prasības nav paredzētas</w:t>
            </w:r>
          </w:p>
        </w:tc>
      </w:tr>
      <w:tr w:rsidR="003779F6" w:rsidRPr="00D263B6" w:rsidTr="00EF627E">
        <w:trPr>
          <w:cantSplit/>
          <w:trHeight w:val="913"/>
        </w:trPr>
        <w:tc>
          <w:tcPr>
            <w:tcW w:w="1966" w:type="dxa"/>
            <w:tcBorders>
              <w:top w:val="outset" w:sz="6" w:space="0" w:color="auto"/>
              <w:left w:val="outset" w:sz="6" w:space="0" w:color="auto"/>
              <w:bottom w:val="outset" w:sz="6" w:space="0" w:color="auto"/>
              <w:right w:val="outset" w:sz="6" w:space="0" w:color="auto"/>
            </w:tcBorders>
          </w:tcPr>
          <w:p w:rsidR="003779F6" w:rsidRPr="00D263B6" w:rsidRDefault="003779F6" w:rsidP="00FB29EE">
            <w:pPr>
              <w:ind w:left="57"/>
              <w:rPr>
                <w:spacing w:val="-3"/>
                <w:sz w:val="26"/>
                <w:szCs w:val="26"/>
              </w:rPr>
            </w:pPr>
            <w:r w:rsidRPr="00D263B6">
              <w:rPr>
                <w:spacing w:val="-4"/>
                <w:sz w:val="26"/>
                <w:szCs w:val="26"/>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674" w:type="dxa"/>
            <w:gridSpan w:val="3"/>
            <w:tcBorders>
              <w:top w:val="outset" w:sz="6" w:space="0" w:color="auto"/>
              <w:left w:val="outset" w:sz="6" w:space="0" w:color="auto"/>
              <w:bottom w:val="outset" w:sz="6" w:space="0" w:color="auto"/>
              <w:right w:val="outset" w:sz="6" w:space="0" w:color="auto"/>
            </w:tcBorders>
          </w:tcPr>
          <w:p w:rsidR="003779F6" w:rsidRPr="00D263B6" w:rsidRDefault="003779F6" w:rsidP="00222A26">
            <w:pPr>
              <w:spacing w:before="75" w:after="75"/>
              <w:ind w:left="133" w:right="225"/>
              <w:jc w:val="both"/>
              <w:rPr>
                <w:sz w:val="26"/>
                <w:szCs w:val="26"/>
              </w:rPr>
            </w:pPr>
            <w:r w:rsidRPr="00D263B6">
              <w:rPr>
                <w:sz w:val="26"/>
                <w:szCs w:val="26"/>
              </w:rPr>
              <w:t>Atbilstoši Direktīvas 2011/7/ES 12. panta 1. punktam dalībvalstīs stājas spēkā normatīvie un administratīvie akti, kas vajadzīgi, lai līdz 2013. gada 16. martam izpildītu Direktīvas 2011/7/ES 1. līdz 8. panta un 10. panta prasības. Dalībvalstis nekavējoties dara Komisijai zināmu šo noteikumu tekstu.</w:t>
            </w:r>
          </w:p>
          <w:p w:rsidR="003779F6" w:rsidRPr="00D263B6" w:rsidRDefault="003779F6" w:rsidP="00FB29EE">
            <w:pPr>
              <w:ind w:left="57"/>
              <w:rPr>
                <w:sz w:val="26"/>
                <w:szCs w:val="26"/>
              </w:rPr>
            </w:pPr>
          </w:p>
        </w:tc>
      </w:tr>
      <w:tr w:rsidR="003779F6" w:rsidRPr="00D263B6" w:rsidTr="00EF627E">
        <w:trPr>
          <w:cantSplit/>
          <w:trHeight w:val="404"/>
        </w:trPr>
        <w:tc>
          <w:tcPr>
            <w:tcW w:w="1966" w:type="dxa"/>
            <w:tcBorders>
              <w:top w:val="outset" w:sz="6" w:space="0" w:color="auto"/>
              <w:left w:val="outset" w:sz="6" w:space="0" w:color="auto"/>
              <w:bottom w:val="outset" w:sz="6" w:space="0" w:color="auto"/>
              <w:right w:val="outset" w:sz="6" w:space="0" w:color="auto"/>
            </w:tcBorders>
          </w:tcPr>
          <w:p w:rsidR="003779F6" w:rsidRPr="00D263B6" w:rsidRDefault="003779F6" w:rsidP="00FB29EE">
            <w:pPr>
              <w:ind w:left="57"/>
              <w:rPr>
                <w:sz w:val="26"/>
                <w:szCs w:val="26"/>
              </w:rPr>
            </w:pPr>
            <w:r w:rsidRPr="00D263B6">
              <w:rPr>
                <w:sz w:val="26"/>
                <w:szCs w:val="26"/>
              </w:rPr>
              <w:t>Cita informācija</w:t>
            </w:r>
          </w:p>
        </w:tc>
        <w:tc>
          <w:tcPr>
            <w:tcW w:w="7674" w:type="dxa"/>
            <w:gridSpan w:val="3"/>
            <w:tcBorders>
              <w:top w:val="outset" w:sz="6" w:space="0" w:color="auto"/>
              <w:left w:val="outset" w:sz="6" w:space="0" w:color="auto"/>
              <w:bottom w:val="outset" w:sz="6" w:space="0" w:color="auto"/>
              <w:right w:val="outset" w:sz="6" w:space="0" w:color="auto"/>
            </w:tcBorders>
          </w:tcPr>
          <w:p w:rsidR="003779F6" w:rsidRPr="00D263B6" w:rsidRDefault="003779F6" w:rsidP="00FB29EE">
            <w:pPr>
              <w:ind w:left="57"/>
              <w:rPr>
                <w:sz w:val="26"/>
                <w:szCs w:val="26"/>
              </w:rPr>
            </w:pPr>
            <w:r w:rsidRPr="00D263B6">
              <w:rPr>
                <w:sz w:val="26"/>
                <w:szCs w:val="26"/>
              </w:rPr>
              <w:t>Nav</w:t>
            </w:r>
            <w:r w:rsidR="00E76189" w:rsidRPr="00D263B6">
              <w:rPr>
                <w:sz w:val="26"/>
                <w:szCs w:val="26"/>
              </w:rPr>
              <w:t>.</w:t>
            </w:r>
          </w:p>
        </w:tc>
      </w:tr>
    </w:tbl>
    <w:p w:rsidR="00E76189" w:rsidRPr="00D263B6" w:rsidRDefault="00D24ECD" w:rsidP="00E76189">
      <w:pPr>
        <w:pStyle w:val="naisf"/>
        <w:tabs>
          <w:tab w:val="left" w:pos="5760"/>
        </w:tabs>
        <w:spacing w:before="0" w:after="0"/>
        <w:ind w:firstLine="0"/>
        <w:rPr>
          <w:i/>
          <w:sz w:val="26"/>
          <w:szCs w:val="26"/>
        </w:rPr>
      </w:pPr>
      <w:r w:rsidRPr="00D263B6">
        <w:rPr>
          <w:i/>
          <w:sz w:val="26"/>
          <w:szCs w:val="26"/>
        </w:rPr>
        <w:t xml:space="preserve">Anotācijas </w:t>
      </w:r>
      <w:r w:rsidR="007616AE" w:rsidRPr="00D263B6">
        <w:rPr>
          <w:i/>
          <w:sz w:val="26"/>
          <w:szCs w:val="26"/>
        </w:rPr>
        <w:t xml:space="preserve">III </w:t>
      </w:r>
      <w:r w:rsidR="00E76189" w:rsidRPr="00D263B6">
        <w:rPr>
          <w:i/>
          <w:sz w:val="26"/>
          <w:szCs w:val="26"/>
        </w:rPr>
        <w:t xml:space="preserve">un VI sadaļa – </w:t>
      </w:r>
      <w:r w:rsidR="006D431B">
        <w:rPr>
          <w:i/>
          <w:sz w:val="26"/>
          <w:szCs w:val="26"/>
        </w:rPr>
        <w:t>projekts šo jomu neskar.</w:t>
      </w:r>
    </w:p>
    <w:p w:rsidR="00DB1073" w:rsidRPr="00D263B6" w:rsidRDefault="00DB1073" w:rsidP="00DB1073">
      <w:pPr>
        <w:pStyle w:val="naisf"/>
        <w:tabs>
          <w:tab w:val="left" w:pos="5760"/>
        </w:tabs>
        <w:spacing w:before="0" w:after="0"/>
        <w:ind w:firstLine="720"/>
        <w:rPr>
          <w:sz w:val="26"/>
          <w:szCs w:val="26"/>
        </w:rPr>
      </w:pPr>
    </w:p>
    <w:p w:rsidR="00EF627E" w:rsidRDefault="00EF627E" w:rsidP="00DB1073">
      <w:pPr>
        <w:jc w:val="both"/>
        <w:rPr>
          <w:bCs/>
          <w:sz w:val="26"/>
          <w:szCs w:val="26"/>
        </w:rPr>
      </w:pPr>
    </w:p>
    <w:p w:rsidR="00DB1073" w:rsidRPr="00D263B6" w:rsidRDefault="00EF627E" w:rsidP="00EF627E">
      <w:pPr>
        <w:ind w:firstLine="720"/>
        <w:jc w:val="both"/>
        <w:rPr>
          <w:bCs/>
          <w:sz w:val="26"/>
          <w:szCs w:val="26"/>
        </w:rPr>
      </w:pPr>
      <w:r>
        <w:rPr>
          <w:bCs/>
          <w:sz w:val="26"/>
          <w:szCs w:val="26"/>
        </w:rPr>
        <w:t>Tieslietu ministrs</w:t>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1B7588" w:rsidRPr="00D263B6">
        <w:rPr>
          <w:bCs/>
          <w:sz w:val="26"/>
          <w:szCs w:val="26"/>
        </w:rPr>
        <w:t xml:space="preserve">J. </w:t>
      </w:r>
      <w:proofErr w:type="spellStart"/>
      <w:r w:rsidR="001B7588" w:rsidRPr="00D263B6">
        <w:rPr>
          <w:bCs/>
          <w:sz w:val="26"/>
          <w:szCs w:val="26"/>
        </w:rPr>
        <w:t>Bordāns</w:t>
      </w:r>
      <w:proofErr w:type="spellEnd"/>
    </w:p>
    <w:p w:rsidR="00C72EFB" w:rsidRPr="00D263B6" w:rsidRDefault="00C72EFB" w:rsidP="00EF627E">
      <w:pPr>
        <w:ind w:firstLine="720"/>
        <w:jc w:val="both"/>
        <w:rPr>
          <w:bCs/>
          <w:sz w:val="26"/>
          <w:szCs w:val="26"/>
        </w:rPr>
      </w:pPr>
    </w:p>
    <w:p w:rsidR="00DB1073" w:rsidRPr="004268E7" w:rsidRDefault="00DB1073" w:rsidP="00DB1073">
      <w:pPr>
        <w:jc w:val="both"/>
        <w:rPr>
          <w:bCs/>
          <w:sz w:val="20"/>
          <w:szCs w:val="20"/>
        </w:rPr>
      </w:pPr>
    </w:p>
    <w:p w:rsidR="002E538B" w:rsidRPr="00AD4EAD" w:rsidRDefault="002E4322" w:rsidP="001B7588">
      <w:pPr>
        <w:jc w:val="both"/>
        <w:rPr>
          <w:sz w:val="20"/>
          <w:szCs w:val="20"/>
        </w:rPr>
      </w:pPr>
      <w:r>
        <w:rPr>
          <w:sz w:val="20"/>
          <w:szCs w:val="20"/>
        </w:rPr>
        <w:t>07.01</w:t>
      </w:r>
      <w:r>
        <w:rPr>
          <w:sz w:val="20"/>
          <w:szCs w:val="20"/>
          <w:lang w:val="en-US"/>
        </w:rPr>
        <w:t>.13.</w:t>
      </w:r>
      <w:r w:rsidR="00F66E67" w:rsidRPr="00EF627E">
        <w:rPr>
          <w:sz w:val="20"/>
          <w:szCs w:val="20"/>
          <w:lang w:val="en-US"/>
        </w:rPr>
        <w:t xml:space="preserve"> </w:t>
      </w:r>
      <w:r w:rsidR="00503D60">
        <w:rPr>
          <w:sz w:val="20"/>
          <w:szCs w:val="20"/>
        </w:rPr>
        <w:t>10</w:t>
      </w:r>
      <w:r w:rsidR="00503D60" w:rsidRPr="00EF627E">
        <w:rPr>
          <w:sz w:val="20"/>
          <w:szCs w:val="20"/>
          <w:lang w:val="en-US"/>
        </w:rPr>
        <w:t>:</w:t>
      </w:r>
      <w:r w:rsidR="00503D60">
        <w:rPr>
          <w:sz w:val="20"/>
          <w:szCs w:val="20"/>
        </w:rPr>
        <w:t>0</w:t>
      </w:r>
      <w:r w:rsidR="00AD4EAD">
        <w:rPr>
          <w:sz w:val="20"/>
          <w:szCs w:val="20"/>
        </w:rPr>
        <w:t>0</w:t>
      </w:r>
    </w:p>
    <w:p w:rsidR="00F66E67" w:rsidRDefault="008F0094" w:rsidP="00DB1073">
      <w:pPr>
        <w:tabs>
          <w:tab w:val="left" w:pos="7560"/>
        </w:tabs>
        <w:ind w:right="-483"/>
        <w:rPr>
          <w:sz w:val="20"/>
          <w:szCs w:val="20"/>
        </w:rPr>
      </w:pPr>
      <w:r>
        <w:rPr>
          <w:sz w:val="20"/>
          <w:szCs w:val="20"/>
        </w:rPr>
        <w:t>886</w:t>
      </w:r>
    </w:p>
    <w:p w:rsidR="00F66E67" w:rsidRDefault="008F0094" w:rsidP="00DB1073">
      <w:pPr>
        <w:tabs>
          <w:tab w:val="left" w:pos="7560"/>
        </w:tabs>
        <w:ind w:right="-483"/>
        <w:rPr>
          <w:sz w:val="20"/>
          <w:szCs w:val="20"/>
        </w:rPr>
      </w:pPr>
      <w:proofErr w:type="spellStart"/>
      <w:r>
        <w:rPr>
          <w:sz w:val="20"/>
          <w:szCs w:val="20"/>
        </w:rPr>
        <w:t>I.</w:t>
      </w:r>
      <w:r w:rsidR="00F66E67">
        <w:rPr>
          <w:sz w:val="20"/>
          <w:szCs w:val="20"/>
        </w:rPr>
        <w:t>Kahanoviča</w:t>
      </w:r>
      <w:proofErr w:type="spellEnd"/>
      <w:r w:rsidR="00F66E67">
        <w:rPr>
          <w:sz w:val="20"/>
          <w:szCs w:val="20"/>
        </w:rPr>
        <w:t xml:space="preserve"> ,67036934</w:t>
      </w:r>
    </w:p>
    <w:p w:rsidR="00DB1073" w:rsidRDefault="009E7053" w:rsidP="00DB1073">
      <w:pPr>
        <w:tabs>
          <w:tab w:val="left" w:pos="7560"/>
        </w:tabs>
        <w:ind w:right="-483"/>
        <w:rPr>
          <w:sz w:val="20"/>
          <w:szCs w:val="20"/>
        </w:rPr>
      </w:pPr>
      <w:hyperlink r:id="rId8" w:history="1">
        <w:r w:rsidR="00F66E67" w:rsidRPr="00062888">
          <w:rPr>
            <w:rStyle w:val="Hipersaite"/>
            <w:sz w:val="20"/>
            <w:szCs w:val="20"/>
          </w:rPr>
          <w:t>Inese.Kahanovica@tm.gov.lv</w:t>
        </w:r>
      </w:hyperlink>
    </w:p>
    <w:p w:rsidR="006A7C53" w:rsidRDefault="006A7C53"/>
    <w:sectPr w:rsidR="006A7C53" w:rsidSect="00EF627E">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A48" w:rsidRDefault="00C36A48" w:rsidP="00DB1073">
      <w:r>
        <w:separator/>
      </w:r>
    </w:p>
  </w:endnote>
  <w:endnote w:type="continuationSeparator" w:id="0">
    <w:p w:rsidR="00C36A48" w:rsidRDefault="00C36A48" w:rsidP="00DB1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094" w:rsidRDefault="008F009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951" w:rsidRPr="005A083E" w:rsidRDefault="002E4322" w:rsidP="001015AE">
    <w:pPr>
      <w:jc w:val="both"/>
      <w:rPr>
        <w:sz w:val="20"/>
        <w:szCs w:val="20"/>
      </w:rPr>
    </w:pPr>
    <w:r>
      <w:rPr>
        <w:sz w:val="20"/>
        <w:szCs w:val="20"/>
      </w:rPr>
      <w:t>TM</w:t>
    </w:r>
    <w:r w:rsidR="008F0094">
      <w:rPr>
        <w:sz w:val="20"/>
        <w:szCs w:val="20"/>
      </w:rPr>
      <w:t>A</w:t>
    </w:r>
    <w:r>
      <w:rPr>
        <w:sz w:val="20"/>
        <w:szCs w:val="20"/>
      </w:rPr>
      <w:t>not_070113</w:t>
    </w:r>
    <w:r w:rsidR="00210ACE">
      <w:rPr>
        <w:sz w:val="20"/>
        <w:szCs w:val="20"/>
      </w:rPr>
      <w:t>_CL_sp</w:t>
    </w:r>
    <w:r w:rsidR="00EF627E">
      <w:rPr>
        <w:sz w:val="20"/>
        <w:szCs w:val="20"/>
      </w:rPr>
      <w:t>eka</w:t>
    </w:r>
    <w:r w:rsidR="00210ACE">
      <w:rPr>
        <w:sz w:val="20"/>
        <w:szCs w:val="20"/>
      </w:rPr>
      <w:t xml:space="preserve">; </w:t>
    </w:r>
    <w:r w:rsidR="00210ACE" w:rsidRPr="005A083E">
      <w:rPr>
        <w:sz w:val="20"/>
        <w:szCs w:val="20"/>
      </w:rPr>
      <w:t>Likumprojekta</w:t>
    </w:r>
    <w:r w:rsidR="00210ACE">
      <w:rPr>
        <w:sz w:val="20"/>
        <w:szCs w:val="20"/>
      </w:rPr>
      <w:t xml:space="preserve"> </w:t>
    </w:r>
    <w:r w:rsidR="00210ACE" w:rsidRPr="00476000">
      <w:rPr>
        <w:sz w:val="20"/>
        <w:szCs w:val="20"/>
      </w:rPr>
      <w:t xml:space="preserve">„Grozījums likumā „Par atjaunotā Latvijas Republikas 1937. gada Civillikuma saistību tiesību daļas spēkā stāšanās laiku un </w:t>
    </w:r>
    <w:r w:rsidR="008D7B45">
      <w:rPr>
        <w:sz w:val="20"/>
        <w:szCs w:val="20"/>
      </w:rPr>
      <w:t xml:space="preserve">piemērošanas </w:t>
    </w:r>
    <w:r w:rsidR="00210ACE" w:rsidRPr="00476000">
      <w:rPr>
        <w:sz w:val="20"/>
        <w:szCs w:val="20"/>
      </w:rPr>
      <w:t>kārtību</w:t>
    </w:r>
    <w:r w:rsidR="00210ACE">
      <w:rPr>
        <w:sz w:val="20"/>
        <w:szCs w:val="20"/>
      </w:rPr>
      <w:t xml:space="preserve">”” </w:t>
    </w:r>
    <w:r w:rsidR="00210ACE" w:rsidRPr="005A083E">
      <w:rPr>
        <w:sz w:val="20"/>
        <w:szCs w:val="20"/>
      </w:rPr>
      <w:t xml:space="preserve">sākotnējās ietekmes novērtējuma </w:t>
    </w:r>
    <w:smartTag w:uri="schemas-tilde-lv/tildestengine" w:element="veidnes">
      <w:smartTagPr>
        <w:attr w:name="id" w:val="-1"/>
        <w:attr w:name="baseform" w:val="ziņojums"/>
        <w:attr w:name="text" w:val="ziņojums"/>
      </w:smartTagPr>
      <w:r w:rsidR="00210ACE" w:rsidRPr="005A083E">
        <w:rPr>
          <w:sz w:val="20"/>
          <w:szCs w:val="20"/>
        </w:rPr>
        <w:t>ziņojums</w:t>
      </w:r>
    </w:smartTag>
    <w:r w:rsidR="00210ACE" w:rsidRPr="005A083E">
      <w:rPr>
        <w:sz w:val="20"/>
        <w:szCs w:val="20"/>
      </w:rPr>
      <w:t xml:space="preserve"> (anotācija)</w:t>
    </w:r>
    <w:r w:rsidR="00210ACE">
      <w:rPr>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951" w:rsidRPr="005A083E" w:rsidRDefault="002E4322" w:rsidP="001015AE">
    <w:pPr>
      <w:jc w:val="both"/>
      <w:rPr>
        <w:sz w:val="20"/>
        <w:szCs w:val="20"/>
      </w:rPr>
    </w:pPr>
    <w:bookmarkStart w:id="3" w:name="OLE_LINK1"/>
    <w:bookmarkStart w:id="4" w:name="OLE_LINK2"/>
    <w:r>
      <w:rPr>
        <w:sz w:val="20"/>
        <w:szCs w:val="20"/>
      </w:rPr>
      <w:t>TM</w:t>
    </w:r>
    <w:r w:rsidR="008F0094">
      <w:rPr>
        <w:sz w:val="20"/>
        <w:szCs w:val="20"/>
      </w:rPr>
      <w:t>A</w:t>
    </w:r>
    <w:r>
      <w:rPr>
        <w:sz w:val="20"/>
        <w:szCs w:val="20"/>
      </w:rPr>
      <w:t>not_070113</w:t>
    </w:r>
    <w:r w:rsidR="00F76D82">
      <w:rPr>
        <w:sz w:val="20"/>
        <w:szCs w:val="20"/>
      </w:rPr>
      <w:t>_</w:t>
    </w:r>
    <w:r w:rsidR="00BD1B6F">
      <w:rPr>
        <w:sz w:val="20"/>
        <w:szCs w:val="20"/>
      </w:rPr>
      <w:t>CL_sp</w:t>
    </w:r>
    <w:r w:rsidR="00EF627E">
      <w:rPr>
        <w:sz w:val="20"/>
        <w:szCs w:val="20"/>
      </w:rPr>
      <w:t>eka</w:t>
    </w:r>
    <w:r w:rsidR="00476000">
      <w:rPr>
        <w:sz w:val="20"/>
        <w:szCs w:val="20"/>
      </w:rPr>
      <w:t xml:space="preserve">; </w:t>
    </w:r>
    <w:r w:rsidR="00E12951" w:rsidRPr="005A083E">
      <w:rPr>
        <w:sz w:val="20"/>
        <w:szCs w:val="20"/>
      </w:rPr>
      <w:t>Likumprojekta</w:t>
    </w:r>
    <w:r w:rsidR="00476000">
      <w:rPr>
        <w:sz w:val="20"/>
        <w:szCs w:val="20"/>
      </w:rPr>
      <w:t xml:space="preserve"> </w:t>
    </w:r>
    <w:r w:rsidR="00476000" w:rsidRPr="00476000">
      <w:rPr>
        <w:sz w:val="20"/>
        <w:szCs w:val="20"/>
      </w:rPr>
      <w:t xml:space="preserve">„Grozījums likumā „Par atjaunotā Latvijas Republikas 1937. gada Civillikuma saistību tiesību daļas spēkā stāšanās laiku un </w:t>
    </w:r>
    <w:r w:rsidR="00FB20CD">
      <w:rPr>
        <w:sz w:val="20"/>
        <w:szCs w:val="20"/>
      </w:rPr>
      <w:t xml:space="preserve">piemērošanas </w:t>
    </w:r>
    <w:r w:rsidR="00476000" w:rsidRPr="00476000">
      <w:rPr>
        <w:sz w:val="20"/>
        <w:szCs w:val="20"/>
      </w:rPr>
      <w:t>kārtību</w:t>
    </w:r>
    <w:r w:rsidR="00476000">
      <w:rPr>
        <w:sz w:val="20"/>
        <w:szCs w:val="20"/>
      </w:rPr>
      <w:t xml:space="preserve">”” </w:t>
    </w:r>
    <w:r w:rsidR="00E12951" w:rsidRPr="005A083E">
      <w:rPr>
        <w:sz w:val="20"/>
        <w:szCs w:val="20"/>
      </w:rPr>
      <w:t xml:space="preserve">sākotnējās ietekmes novērtējuma </w:t>
    </w:r>
    <w:smartTag w:uri="schemas-tilde-lv/tildestengine" w:element="veidnes">
      <w:smartTagPr>
        <w:attr w:name="id" w:val="-1"/>
        <w:attr w:name="baseform" w:val="ziņojums"/>
        <w:attr w:name="text" w:val="ziņojums"/>
      </w:smartTagPr>
      <w:r w:rsidR="00E12951" w:rsidRPr="005A083E">
        <w:rPr>
          <w:sz w:val="20"/>
          <w:szCs w:val="20"/>
        </w:rPr>
        <w:t>ziņojums</w:t>
      </w:r>
    </w:smartTag>
    <w:r w:rsidR="00E12951" w:rsidRPr="005A083E">
      <w:rPr>
        <w:sz w:val="20"/>
        <w:szCs w:val="20"/>
      </w:rPr>
      <w:t xml:space="preserve"> (anotācija)</w:t>
    </w:r>
    <w:bookmarkEnd w:id="3"/>
    <w:bookmarkEnd w:id="4"/>
    <w:r w:rsidR="00476000">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A48" w:rsidRDefault="00C36A48" w:rsidP="00DB1073">
      <w:r>
        <w:separator/>
      </w:r>
    </w:p>
  </w:footnote>
  <w:footnote w:type="continuationSeparator" w:id="0">
    <w:p w:rsidR="00C36A48" w:rsidRDefault="00C36A48" w:rsidP="00DB1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951" w:rsidRDefault="009C5278" w:rsidP="001015AE">
    <w:pPr>
      <w:pStyle w:val="Galvene"/>
      <w:framePr w:wrap="around" w:vAnchor="text" w:hAnchor="margin" w:xAlign="center" w:y="1"/>
      <w:rPr>
        <w:rStyle w:val="Lappusesnumurs"/>
      </w:rPr>
    </w:pPr>
    <w:r>
      <w:rPr>
        <w:rStyle w:val="Lappusesnumurs"/>
      </w:rPr>
      <w:fldChar w:fldCharType="begin"/>
    </w:r>
    <w:r w:rsidR="00E12951">
      <w:rPr>
        <w:rStyle w:val="Lappusesnumurs"/>
      </w:rPr>
      <w:instrText xml:space="preserve">PAGE  </w:instrText>
    </w:r>
    <w:r>
      <w:rPr>
        <w:rStyle w:val="Lappusesnumurs"/>
      </w:rPr>
      <w:fldChar w:fldCharType="end"/>
    </w:r>
  </w:p>
  <w:p w:rsidR="00E12951" w:rsidRDefault="00E1295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951" w:rsidRDefault="009C5278" w:rsidP="001015AE">
    <w:pPr>
      <w:pStyle w:val="Galvene"/>
      <w:framePr w:wrap="around" w:vAnchor="text" w:hAnchor="margin" w:xAlign="center" w:y="1"/>
      <w:rPr>
        <w:rStyle w:val="Lappusesnumurs"/>
      </w:rPr>
    </w:pPr>
    <w:r>
      <w:rPr>
        <w:rStyle w:val="Lappusesnumurs"/>
      </w:rPr>
      <w:fldChar w:fldCharType="begin"/>
    </w:r>
    <w:r w:rsidR="00E12951">
      <w:rPr>
        <w:rStyle w:val="Lappusesnumurs"/>
      </w:rPr>
      <w:instrText xml:space="preserve">PAGE  </w:instrText>
    </w:r>
    <w:r>
      <w:rPr>
        <w:rStyle w:val="Lappusesnumurs"/>
      </w:rPr>
      <w:fldChar w:fldCharType="separate"/>
    </w:r>
    <w:r w:rsidR="009E7053">
      <w:rPr>
        <w:rStyle w:val="Lappusesnumurs"/>
        <w:noProof/>
      </w:rPr>
      <w:t>4</w:t>
    </w:r>
    <w:r>
      <w:rPr>
        <w:rStyle w:val="Lappusesnumurs"/>
      </w:rPr>
      <w:fldChar w:fldCharType="end"/>
    </w:r>
  </w:p>
  <w:p w:rsidR="00E12951" w:rsidRDefault="00E1295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094" w:rsidRDefault="008F0094">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073"/>
    <w:rsid w:val="00000449"/>
    <w:rsid w:val="00035551"/>
    <w:rsid w:val="000377A7"/>
    <w:rsid w:val="00060523"/>
    <w:rsid w:val="000C3D47"/>
    <w:rsid w:val="000E0D92"/>
    <w:rsid w:val="000E5986"/>
    <w:rsid w:val="001015AE"/>
    <w:rsid w:val="00122907"/>
    <w:rsid w:val="00141386"/>
    <w:rsid w:val="00151C20"/>
    <w:rsid w:val="0015603B"/>
    <w:rsid w:val="00165E54"/>
    <w:rsid w:val="00183E04"/>
    <w:rsid w:val="001B72F2"/>
    <w:rsid w:val="001B7588"/>
    <w:rsid w:val="001C1154"/>
    <w:rsid w:val="001D2344"/>
    <w:rsid w:val="001E42F7"/>
    <w:rsid w:val="00205DB6"/>
    <w:rsid w:val="00210ACE"/>
    <w:rsid w:val="00222A26"/>
    <w:rsid w:val="002232D3"/>
    <w:rsid w:val="00251A54"/>
    <w:rsid w:val="0028126D"/>
    <w:rsid w:val="002B5179"/>
    <w:rsid w:val="002E4322"/>
    <w:rsid w:val="002E538B"/>
    <w:rsid w:val="0031703C"/>
    <w:rsid w:val="00350A5A"/>
    <w:rsid w:val="00370336"/>
    <w:rsid w:val="003779F6"/>
    <w:rsid w:val="003845E7"/>
    <w:rsid w:val="003C42FE"/>
    <w:rsid w:val="003F6C05"/>
    <w:rsid w:val="004163AA"/>
    <w:rsid w:val="00427EB2"/>
    <w:rsid w:val="00436713"/>
    <w:rsid w:val="0047556F"/>
    <w:rsid w:val="00476000"/>
    <w:rsid w:val="004B5B15"/>
    <w:rsid w:val="004D422C"/>
    <w:rsid w:val="00502BE7"/>
    <w:rsid w:val="00503D60"/>
    <w:rsid w:val="00524FFB"/>
    <w:rsid w:val="00527458"/>
    <w:rsid w:val="00530E24"/>
    <w:rsid w:val="00531AB6"/>
    <w:rsid w:val="005948E6"/>
    <w:rsid w:val="006218DB"/>
    <w:rsid w:val="006273C1"/>
    <w:rsid w:val="006A7C53"/>
    <w:rsid w:val="006D431B"/>
    <w:rsid w:val="006F32B7"/>
    <w:rsid w:val="006F471A"/>
    <w:rsid w:val="006F711C"/>
    <w:rsid w:val="0070118B"/>
    <w:rsid w:val="00712304"/>
    <w:rsid w:val="007616AE"/>
    <w:rsid w:val="007622B7"/>
    <w:rsid w:val="00765365"/>
    <w:rsid w:val="00784346"/>
    <w:rsid w:val="007937C2"/>
    <w:rsid w:val="007D3E1D"/>
    <w:rsid w:val="007D6A0C"/>
    <w:rsid w:val="007F38F2"/>
    <w:rsid w:val="007F431A"/>
    <w:rsid w:val="00837260"/>
    <w:rsid w:val="00855CA3"/>
    <w:rsid w:val="00865B41"/>
    <w:rsid w:val="00897D35"/>
    <w:rsid w:val="008A47E4"/>
    <w:rsid w:val="008A4E7F"/>
    <w:rsid w:val="008D77FE"/>
    <w:rsid w:val="008D7B45"/>
    <w:rsid w:val="008E0F04"/>
    <w:rsid w:val="008F0094"/>
    <w:rsid w:val="009325CA"/>
    <w:rsid w:val="009A08E0"/>
    <w:rsid w:val="009A4E45"/>
    <w:rsid w:val="009C5278"/>
    <w:rsid w:val="009E7053"/>
    <w:rsid w:val="00A201BE"/>
    <w:rsid w:val="00A24A25"/>
    <w:rsid w:val="00A576BB"/>
    <w:rsid w:val="00A61B8A"/>
    <w:rsid w:val="00AB61D8"/>
    <w:rsid w:val="00AD4EAD"/>
    <w:rsid w:val="00AF0809"/>
    <w:rsid w:val="00B17D16"/>
    <w:rsid w:val="00B20AD4"/>
    <w:rsid w:val="00B37B79"/>
    <w:rsid w:val="00B81D42"/>
    <w:rsid w:val="00BA178F"/>
    <w:rsid w:val="00BB15E9"/>
    <w:rsid w:val="00BC35B9"/>
    <w:rsid w:val="00BD1156"/>
    <w:rsid w:val="00BD1B6F"/>
    <w:rsid w:val="00BE5F26"/>
    <w:rsid w:val="00BE6EBB"/>
    <w:rsid w:val="00C0004F"/>
    <w:rsid w:val="00C216D1"/>
    <w:rsid w:val="00C353D7"/>
    <w:rsid w:val="00C365CB"/>
    <w:rsid w:val="00C36A48"/>
    <w:rsid w:val="00C72EFB"/>
    <w:rsid w:val="00C73FD7"/>
    <w:rsid w:val="00CA3004"/>
    <w:rsid w:val="00CA7CC0"/>
    <w:rsid w:val="00CB1C23"/>
    <w:rsid w:val="00CF6640"/>
    <w:rsid w:val="00D1281E"/>
    <w:rsid w:val="00D24ECD"/>
    <w:rsid w:val="00D263B6"/>
    <w:rsid w:val="00D60AEF"/>
    <w:rsid w:val="00D8551F"/>
    <w:rsid w:val="00DA6593"/>
    <w:rsid w:val="00DB1073"/>
    <w:rsid w:val="00DB213F"/>
    <w:rsid w:val="00DB705A"/>
    <w:rsid w:val="00DB714A"/>
    <w:rsid w:val="00DD1A43"/>
    <w:rsid w:val="00DD40E0"/>
    <w:rsid w:val="00E12951"/>
    <w:rsid w:val="00E51459"/>
    <w:rsid w:val="00E76189"/>
    <w:rsid w:val="00E8545D"/>
    <w:rsid w:val="00E9203E"/>
    <w:rsid w:val="00ED3DC7"/>
    <w:rsid w:val="00EF627E"/>
    <w:rsid w:val="00F12E85"/>
    <w:rsid w:val="00F1449E"/>
    <w:rsid w:val="00F15D69"/>
    <w:rsid w:val="00F24036"/>
    <w:rsid w:val="00F41F79"/>
    <w:rsid w:val="00F53932"/>
    <w:rsid w:val="00F60E67"/>
    <w:rsid w:val="00F66E67"/>
    <w:rsid w:val="00F75541"/>
    <w:rsid w:val="00F76D82"/>
    <w:rsid w:val="00FB20CD"/>
    <w:rsid w:val="00FD6AEA"/>
    <w:rsid w:val="00FE726F"/>
    <w:rsid w:val="00FF7D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B1073"/>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DB1073"/>
    <w:pPr>
      <w:tabs>
        <w:tab w:val="center" w:pos="4153"/>
        <w:tab w:val="right" w:pos="8306"/>
      </w:tabs>
    </w:pPr>
  </w:style>
  <w:style w:type="character" w:customStyle="1" w:styleId="GalveneRakstz">
    <w:name w:val="Galvene Rakstz."/>
    <w:basedOn w:val="Noklusjumarindkopasfonts"/>
    <w:link w:val="Galvene"/>
    <w:uiPriority w:val="99"/>
    <w:rsid w:val="00DB1073"/>
    <w:rPr>
      <w:rFonts w:ascii="Times New Roman" w:eastAsia="Times New Roman" w:hAnsi="Times New Roman" w:cs="Times New Roman"/>
      <w:sz w:val="24"/>
      <w:szCs w:val="24"/>
      <w:lang w:eastAsia="lv-LV"/>
    </w:rPr>
  </w:style>
  <w:style w:type="character" w:styleId="Lappusesnumurs">
    <w:name w:val="page number"/>
    <w:basedOn w:val="Noklusjumarindkopasfonts"/>
    <w:rsid w:val="00DB1073"/>
  </w:style>
  <w:style w:type="paragraph" w:customStyle="1" w:styleId="naisf">
    <w:name w:val="naisf"/>
    <w:basedOn w:val="Parasts"/>
    <w:rsid w:val="00DB1073"/>
    <w:pPr>
      <w:spacing w:before="75" w:after="75"/>
      <w:ind w:firstLine="375"/>
      <w:jc w:val="both"/>
    </w:pPr>
  </w:style>
  <w:style w:type="paragraph" w:customStyle="1" w:styleId="naisnod">
    <w:name w:val="naisnod"/>
    <w:basedOn w:val="Parasts"/>
    <w:rsid w:val="00DB1073"/>
    <w:pPr>
      <w:spacing w:before="150" w:after="150"/>
      <w:jc w:val="center"/>
    </w:pPr>
    <w:rPr>
      <w:b/>
      <w:bCs/>
    </w:rPr>
  </w:style>
  <w:style w:type="paragraph" w:customStyle="1" w:styleId="naiskr">
    <w:name w:val="naiskr"/>
    <w:basedOn w:val="Parasts"/>
    <w:rsid w:val="00DB1073"/>
    <w:pPr>
      <w:spacing w:before="75" w:after="75"/>
    </w:pPr>
  </w:style>
  <w:style w:type="paragraph" w:styleId="Vresteksts">
    <w:name w:val="footnote text"/>
    <w:basedOn w:val="Parasts"/>
    <w:link w:val="VrestekstsRakstz"/>
    <w:rsid w:val="00DB1073"/>
    <w:rPr>
      <w:sz w:val="20"/>
      <w:szCs w:val="20"/>
    </w:rPr>
  </w:style>
  <w:style w:type="character" w:customStyle="1" w:styleId="VrestekstsRakstz">
    <w:name w:val="Vēres teksts Rakstz."/>
    <w:basedOn w:val="Noklusjumarindkopasfonts"/>
    <w:link w:val="Vresteksts"/>
    <w:rsid w:val="00DB1073"/>
    <w:rPr>
      <w:rFonts w:ascii="Times New Roman" w:eastAsia="Times New Roman" w:hAnsi="Times New Roman" w:cs="Times New Roman"/>
      <w:sz w:val="20"/>
      <w:szCs w:val="20"/>
      <w:lang w:eastAsia="lv-LV"/>
    </w:rPr>
  </w:style>
  <w:style w:type="character" w:styleId="Hipersaite">
    <w:name w:val="Hyperlink"/>
    <w:basedOn w:val="Noklusjumarindkopasfonts"/>
    <w:rsid w:val="00DB1073"/>
    <w:rPr>
      <w:color w:val="0000FF"/>
      <w:u w:val="single"/>
    </w:rPr>
  </w:style>
  <w:style w:type="paragraph" w:styleId="Komentrateksts">
    <w:name w:val="annotation text"/>
    <w:basedOn w:val="Parasts"/>
    <w:link w:val="KomentratekstsRakstz"/>
    <w:uiPriority w:val="99"/>
    <w:semiHidden/>
    <w:unhideWhenUsed/>
    <w:rsid w:val="00DB1073"/>
    <w:rPr>
      <w:sz w:val="20"/>
      <w:szCs w:val="20"/>
    </w:rPr>
  </w:style>
  <w:style w:type="character" w:customStyle="1" w:styleId="KomentratekstsRakstz">
    <w:name w:val="Komentāra teksts Rakstz."/>
    <w:basedOn w:val="Noklusjumarindkopasfonts"/>
    <w:link w:val="Komentrateksts"/>
    <w:uiPriority w:val="99"/>
    <w:semiHidden/>
    <w:rsid w:val="00DB1073"/>
    <w:rPr>
      <w:rFonts w:ascii="Times New Roman" w:eastAsia="Times New Roman" w:hAnsi="Times New Roman" w:cs="Times New Roman"/>
      <w:sz w:val="20"/>
      <w:szCs w:val="20"/>
      <w:lang w:eastAsia="lv-LV"/>
    </w:rPr>
  </w:style>
  <w:style w:type="paragraph" w:styleId="Kjene">
    <w:name w:val="footer"/>
    <w:basedOn w:val="Parasts"/>
    <w:link w:val="KjeneRakstz"/>
    <w:uiPriority w:val="99"/>
    <w:unhideWhenUsed/>
    <w:rsid w:val="00DB1073"/>
    <w:pPr>
      <w:tabs>
        <w:tab w:val="center" w:pos="4153"/>
        <w:tab w:val="right" w:pos="8306"/>
      </w:tabs>
    </w:pPr>
  </w:style>
  <w:style w:type="character" w:customStyle="1" w:styleId="KjeneRakstz">
    <w:name w:val="Kājene Rakstz."/>
    <w:basedOn w:val="Noklusjumarindkopasfonts"/>
    <w:link w:val="Kjene"/>
    <w:uiPriority w:val="99"/>
    <w:rsid w:val="00DB1073"/>
    <w:rPr>
      <w:rFonts w:ascii="Times New Roman" w:eastAsia="Times New Roman" w:hAnsi="Times New Roman" w:cs="Times New Roman"/>
      <w:sz w:val="24"/>
      <w:szCs w:val="24"/>
      <w:lang w:eastAsia="lv-LV"/>
    </w:rPr>
  </w:style>
  <w:style w:type="paragraph" w:customStyle="1" w:styleId="tv2071">
    <w:name w:val="tv2071"/>
    <w:basedOn w:val="Parasts"/>
    <w:rsid w:val="00E9203E"/>
    <w:pPr>
      <w:spacing w:after="567" w:line="360" w:lineRule="auto"/>
      <w:jc w:val="center"/>
    </w:pPr>
    <w:rPr>
      <w:rFonts w:ascii="Verdana" w:hAnsi="Verdana"/>
      <w:b/>
      <w:bCs/>
      <w:sz w:val="27"/>
      <w:szCs w:val="27"/>
    </w:rPr>
  </w:style>
  <w:style w:type="character" w:styleId="Izclums">
    <w:name w:val="Emphasis"/>
    <w:basedOn w:val="Noklusjumarindkopasfonts"/>
    <w:uiPriority w:val="20"/>
    <w:qFormat/>
    <w:rsid w:val="00CB1C23"/>
    <w:rPr>
      <w:i/>
      <w:iCs/>
    </w:rPr>
  </w:style>
  <w:style w:type="paragraph" w:styleId="Balonteksts">
    <w:name w:val="Balloon Text"/>
    <w:basedOn w:val="Parasts"/>
    <w:link w:val="BalontekstsRakstz"/>
    <w:uiPriority w:val="99"/>
    <w:semiHidden/>
    <w:unhideWhenUsed/>
    <w:rsid w:val="008F009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F0094"/>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B1073"/>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DB1073"/>
    <w:pPr>
      <w:tabs>
        <w:tab w:val="center" w:pos="4153"/>
        <w:tab w:val="right" w:pos="8306"/>
      </w:tabs>
    </w:pPr>
  </w:style>
  <w:style w:type="character" w:customStyle="1" w:styleId="GalveneRakstz">
    <w:name w:val="Galvene Rakstz."/>
    <w:basedOn w:val="Noklusjumarindkopasfonts"/>
    <w:link w:val="Galvene"/>
    <w:uiPriority w:val="99"/>
    <w:rsid w:val="00DB1073"/>
    <w:rPr>
      <w:rFonts w:ascii="Times New Roman" w:eastAsia="Times New Roman" w:hAnsi="Times New Roman" w:cs="Times New Roman"/>
      <w:sz w:val="24"/>
      <w:szCs w:val="24"/>
      <w:lang w:eastAsia="lv-LV"/>
    </w:rPr>
  </w:style>
  <w:style w:type="character" w:styleId="Lappusesnumurs">
    <w:name w:val="page number"/>
    <w:basedOn w:val="Noklusjumarindkopasfonts"/>
    <w:rsid w:val="00DB1073"/>
  </w:style>
  <w:style w:type="paragraph" w:customStyle="1" w:styleId="naisf">
    <w:name w:val="naisf"/>
    <w:basedOn w:val="Parasts"/>
    <w:rsid w:val="00DB1073"/>
    <w:pPr>
      <w:spacing w:before="75" w:after="75"/>
      <w:ind w:firstLine="375"/>
      <w:jc w:val="both"/>
    </w:pPr>
  </w:style>
  <w:style w:type="paragraph" w:customStyle="1" w:styleId="naisnod">
    <w:name w:val="naisnod"/>
    <w:basedOn w:val="Parasts"/>
    <w:rsid w:val="00DB1073"/>
    <w:pPr>
      <w:spacing w:before="150" w:after="150"/>
      <w:jc w:val="center"/>
    </w:pPr>
    <w:rPr>
      <w:b/>
      <w:bCs/>
    </w:rPr>
  </w:style>
  <w:style w:type="paragraph" w:customStyle="1" w:styleId="naiskr">
    <w:name w:val="naiskr"/>
    <w:basedOn w:val="Parasts"/>
    <w:rsid w:val="00DB1073"/>
    <w:pPr>
      <w:spacing w:before="75" w:after="75"/>
    </w:pPr>
  </w:style>
  <w:style w:type="paragraph" w:styleId="Vresteksts">
    <w:name w:val="footnote text"/>
    <w:basedOn w:val="Parasts"/>
    <w:link w:val="VrestekstsRakstz"/>
    <w:rsid w:val="00DB1073"/>
    <w:rPr>
      <w:sz w:val="20"/>
      <w:szCs w:val="20"/>
    </w:rPr>
  </w:style>
  <w:style w:type="character" w:customStyle="1" w:styleId="VrestekstsRakstz">
    <w:name w:val="Vēres teksts Rakstz."/>
    <w:basedOn w:val="Noklusjumarindkopasfonts"/>
    <w:link w:val="Vresteksts"/>
    <w:rsid w:val="00DB1073"/>
    <w:rPr>
      <w:rFonts w:ascii="Times New Roman" w:eastAsia="Times New Roman" w:hAnsi="Times New Roman" w:cs="Times New Roman"/>
      <w:sz w:val="20"/>
      <w:szCs w:val="20"/>
      <w:lang w:eastAsia="lv-LV"/>
    </w:rPr>
  </w:style>
  <w:style w:type="character" w:styleId="Hipersaite">
    <w:name w:val="Hyperlink"/>
    <w:basedOn w:val="Noklusjumarindkopasfonts"/>
    <w:rsid w:val="00DB1073"/>
    <w:rPr>
      <w:color w:val="0000FF"/>
      <w:u w:val="single"/>
    </w:rPr>
  </w:style>
  <w:style w:type="paragraph" w:styleId="Komentrateksts">
    <w:name w:val="annotation text"/>
    <w:basedOn w:val="Parasts"/>
    <w:link w:val="KomentratekstsRakstz"/>
    <w:uiPriority w:val="99"/>
    <w:semiHidden/>
    <w:unhideWhenUsed/>
    <w:rsid w:val="00DB1073"/>
    <w:rPr>
      <w:sz w:val="20"/>
      <w:szCs w:val="20"/>
    </w:rPr>
  </w:style>
  <w:style w:type="character" w:customStyle="1" w:styleId="KomentratekstsRakstz">
    <w:name w:val="Komentāra teksts Rakstz."/>
    <w:basedOn w:val="Noklusjumarindkopasfonts"/>
    <w:link w:val="Komentrateksts"/>
    <w:uiPriority w:val="99"/>
    <w:semiHidden/>
    <w:rsid w:val="00DB1073"/>
    <w:rPr>
      <w:rFonts w:ascii="Times New Roman" w:eastAsia="Times New Roman" w:hAnsi="Times New Roman" w:cs="Times New Roman"/>
      <w:sz w:val="20"/>
      <w:szCs w:val="20"/>
      <w:lang w:eastAsia="lv-LV"/>
    </w:rPr>
  </w:style>
  <w:style w:type="paragraph" w:styleId="Kjene">
    <w:name w:val="footer"/>
    <w:basedOn w:val="Parasts"/>
    <w:link w:val="KjeneRakstz"/>
    <w:uiPriority w:val="99"/>
    <w:unhideWhenUsed/>
    <w:rsid w:val="00DB1073"/>
    <w:pPr>
      <w:tabs>
        <w:tab w:val="center" w:pos="4153"/>
        <w:tab w:val="right" w:pos="8306"/>
      </w:tabs>
    </w:pPr>
  </w:style>
  <w:style w:type="character" w:customStyle="1" w:styleId="KjeneRakstz">
    <w:name w:val="Kājene Rakstz."/>
    <w:basedOn w:val="Noklusjumarindkopasfonts"/>
    <w:link w:val="Kjene"/>
    <w:uiPriority w:val="99"/>
    <w:rsid w:val="00DB1073"/>
    <w:rPr>
      <w:rFonts w:ascii="Times New Roman" w:eastAsia="Times New Roman" w:hAnsi="Times New Roman" w:cs="Times New Roman"/>
      <w:sz w:val="24"/>
      <w:szCs w:val="24"/>
      <w:lang w:eastAsia="lv-LV"/>
    </w:rPr>
  </w:style>
  <w:style w:type="paragraph" w:customStyle="1" w:styleId="tv2071">
    <w:name w:val="tv2071"/>
    <w:basedOn w:val="Parasts"/>
    <w:rsid w:val="00E9203E"/>
    <w:pPr>
      <w:spacing w:after="567" w:line="360" w:lineRule="auto"/>
      <w:jc w:val="center"/>
    </w:pPr>
    <w:rPr>
      <w:rFonts w:ascii="Verdana" w:hAnsi="Verdana"/>
      <w:b/>
      <w:bCs/>
      <w:sz w:val="27"/>
      <w:szCs w:val="27"/>
    </w:rPr>
  </w:style>
  <w:style w:type="character" w:styleId="Izclums">
    <w:name w:val="Emphasis"/>
    <w:basedOn w:val="Noklusjumarindkopasfonts"/>
    <w:uiPriority w:val="20"/>
    <w:qFormat/>
    <w:rsid w:val="00CB1C23"/>
    <w:rPr>
      <w:i/>
      <w:iCs/>
    </w:rPr>
  </w:style>
  <w:style w:type="paragraph" w:styleId="Balonteksts">
    <w:name w:val="Balloon Text"/>
    <w:basedOn w:val="Parasts"/>
    <w:link w:val="BalontekstsRakstz"/>
    <w:uiPriority w:val="99"/>
    <w:semiHidden/>
    <w:unhideWhenUsed/>
    <w:rsid w:val="008F009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F0094"/>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ahanovica@tm.gov.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94FB0-74C8-4606-8033-5AB52CBB7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4654</Words>
  <Characters>2654</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Likumprojekta „Grozījumi likumā „Par atjaunotā Latvijas Republikas 1937.gada Civillikuma ievada, mantojuma tiesību un lietu tiesību daļas spēkā stāšanos un kārtību”” sākotnējās ietekmes novērtējuma ziņojums (anotācija) (VSS-347)</vt:lpstr>
    </vt:vector>
  </TitlesOfParts>
  <Company>Tieslietu Sektors</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„Grozījums likumā „Par atjaunotā Latvijas Republikas 1937. gada Civillikuma saistību tiesību daļas spēkā stāšanās laiku un kārtību””</dc:title>
  <dc:subject>Anotācija</dc:subject>
  <dc:creator>Inese Kahanoviča</dc:creator>
  <dc:description>Inese.Kahanovica@tm.gov.lv
67036934</dc:description>
  <cp:lastModifiedBy>Inese Kahanovica</cp:lastModifiedBy>
  <cp:revision>3</cp:revision>
  <dcterms:created xsi:type="dcterms:W3CDTF">2013-01-11T07:25:00Z</dcterms:created>
  <dcterms:modified xsi:type="dcterms:W3CDTF">2013-01-11T07:26:00Z</dcterms:modified>
</cp:coreProperties>
</file>