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44" w:rsidRPr="003B4BA5" w:rsidRDefault="00934144" w:rsidP="00934144">
      <w:pPr>
        <w:pStyle w:val="tv2071"/>
        <w:spacing w:after="0" w:line="240" w:lineRule="auto"/>
        <w:rPr>
          <w:rFonts w:ascii="Times New Roman" w:hAnsi="Times New Roman"/>
          <w:sz w:val="24"/>
          <w:szCs w:val="24"/>
        </w:rPr>
      </w:pPr>
      <w:r w:rsidRPr="003B4BA5">
        <w:rPr>
          <w:rFonts w:ascii="Times New Roman" w:hAnsi="Times New Roman"/>
          <w:sz w:val="24"/>
          <w:szCs w:val="24"/>
        </w:rPr>
        <w:t xml:space="preserve">Likumprojekta „Grozījums likumā „Par tautas nobalsošanu, likumu ierosināšanu un Eiropas pilsoņu iniciatīvu”” sākotnējās ietekmes novērtējuma </w:t>
      </w:r>
      <w:smartTag w:uri="schemas-tilde-lv/tildestengine" w:element="veidnes">
        <w:smartTagPr>
          <w:attr w:name="id" w:val="-1"/>
          <w:attr w:name="baseform" w:val="ziņojums"/>
          <w:attr w:name="text" w:val="ziņojums"/>
        </w:smartTagPr>
        <w:r w:rsidRPr="003B4BA5">
          <w:rPr>
            <w:rFonts w:ascii="Times New Roman" w:hAnsi="Times New Roman"/>
            <w:sz w:val="24"/>
            <w:szCs w:val="24"/>
          </w:rPr>
          <w:t>ziņojums</w:t>
        </w:r>
      </w:smartTag>
      <w:r w:rsidRPr="003B4BA5">
        <w:rPr>
          <w:rFonts w:ascii="Times New Roman" w:hAnsi="Times New Roman"/>
          <w:sz w:val="24"/>
          <w:szCs w:val="24"/>
        </w:rPr>
        <w:t xml:space="preserve"> (anotācija)</w:t>
      </w:r>
    </w:p>
    <w:p w:rsidR="00934144" w:rsidRPr="003B4BA5" w:rsidRDefault="00934144" w:rsidP="00934144">
      <w:pPr>
        <w:spacing w:after="0" w:line="240" w:lineRule="auto"/>
        <w:jc w:val="center"/>
        <w:rPr>
          <w:rFonts w:ascii="Times New Roman" w:hAnsi="Times New Roman"/>
          <w:b/>
          <w:sz w:val="24"/>
          <w:szCs w:val="24"/>
        </w:rPr>
      </w:pP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4315"/>
        <w:gridCol w:w="4643"/>
      </w:tblGrid>
      <w:tr w:rsidR="00934144" w:rsidRPr="003B4BA5" w:rsidTr="00B54772">
        <w:tc>
          <w:tcPr>
            <w:tcW w:w="9361" w:type="dxa"/>
            <w:gridSpan w:val="3"/>
            <w:vAlign w:val="center"/>
          </w:tcPr>
          <w:p w:rsidR="00934144" w:rsidRPr="003B4BA5" w:rsidRDefault="00934144" w:rsidP="00B54772">
            <w:pPr>
              <w:pStyle w:val="naisnod"/>
              <w:spacing w:before="0" w:after="0"/>
            </w:pPr>
            <w:r w:rsidRPr="003B4BA5">
              <w:t>I. Tiesību akta projekta izstrādes nepieciešamība</w:t>
            </w:r>
          </w:p>
        </w:tc>
      </w:tr>
      <w:tr w:rsidR="00934144" w:rsidRPr="003B4BA5" w:rsidTr="00B54772">
        <w:trPr>
          <w:trHeight w:val="630"/>
        </w:trPr>
        <w:tc>
          <w:tcPr>
            <w:tcW w:w="403" w:type="dxa"/>
          </w:tcPr>
          <w:p w:rsidR="00934144" w:rsidRPr="003B4BA5" w:rsidRDefault="00934144" w:rsidP="00B54772">
            <w:pPr>
              <w:pStyle w:val="naiskr"/>
              <w:spacing w:before="0" w:after="0"/>
            </w:pPr>
            <w:r w:rsidRPr="003B4BA5">
              <w:t>1.</w:t>
            </w:r>
          </w:p>
        </w:tc>
        <w:tc>
          <w:tcPr>
            <w:tcW w:w="4315" w:type="dxa"/>
          </w:tcPr>
          <w:p w:rsidR="00934144" w:rsidRPr="003B4BA5" w:rsidRDefault="00934144" w:rsidP="00B54772">
            <w:pPr>
              <w:pStyle w:val="naiskr"/>
              <w:spacing w:before="0" w:after="0"/>
              <w:ind w:hanging="10"/>
            </w:pPr>
            <w:r w:rsidRPr="003B4BA5">
              <w:t>Pamatojums</w:t>
            </w:r>
          </w:p>
        </w:tc>
        <w:tc>
          <w:tcPr>
            <w:tcW w:w="4643" w:type="dxa"/>
          </w:tcPr>
          <w:p w:rsidR="00934144" w:rsidRPr="003B4BA5" w:rsidRDefault="00934144" w:rsidP="003B4BA5">
            <w:pPr>
              <w:pStyle w:val="naiskr"/>
              <w:spacing w:before="0" w:after="0"/>
              <w:ind w:firstLine="385"/>
              <w:jc w:val="both"/>
              <w:rPr>
                <w:color w:val="000000"/>
              </w:rPr>
            </w:pPr>
            <w:proofErr w:type="spellStart"/>
            <w:r w:rsidRPr="003B4BA5">
              <w:rPr>
                <w:i/>
                <w:color w:val="000000"/>
              </w:rPr>
              <w:t>Euro</w:t>
            </w:r>
            <w:proofErr w:type="spellEnd"/>
            <w:r w:rsidRPr="003B4BA5">
              <w:rPr>
                <w:i/>
                <w:color w:val="000000"/>
              </w:rPr>
              <w:t xml:space="preserve"> </w:t>
            </w:r>
            <w:r w:rsidRPr="003B4BA5">
              <w:rPr>
                <w:color w:val="000000"/>
              </w:rPr>
              <w:t xml:space="preserve">ieviešanas kārtības likuma 30.panta pirmā daļa, Ministru kabineta 2012.gada 27.jūnija rīkojuma Nr.282 „Par „Koncepciju par normatīvo aktu sakārtošanu saistībā ar eiro ieviešanu Latvijā”” 1.1.1.apakšpunkts, </w:t>
            </w:r>
            <w:r w:rsidRPr="003B4BA5">
              <w:t xml:space="preserve">Latvijas Nacionālā </w:t>
            </w:r>
            <w:proofErr w:type="spellStart"/>
            <w:r w:rsidRPr="003B4BA5">
              <w:rPr>
                <w:i/>
                <w:iCs/>
              </w:rPr>
              <w:t>euro</w:t>
            </w:r>
            <w:proofErr w:type="spellEnd"/>
            <w:r w:rsidRPr="003B4BA5">
              <w:t xml:space="preserve"> ieviešanas plāna (apstiprināts ar Ministru kabineta 2013.gada 4.aprīļa rīkojumu Nr.136)</w:t>
            </w:r>
            <w:r w:rsidRPr="003B4BA5">
              <w:rPr>
                <w:color w:val="666666"/>
              </w:rPr>
              <w:t xml:space="preserve"> </w:t>
            </w:r>
            <w:r w:rsidRPr="003B4BA5">
              <w:t>1. pielikuma J2.1.</w:t>
            </w:r>
            <w:r w:rsidR="003B4BA5">
              <w:t>2</w:t>
            </w:r>
            <w:r w:rsidRPr="003B4BA5">
              <w:t>. pasākums</w:t>
            </w:r>
            <w:r w:rsidRPr="003B4BA5">
              <w:rPr>
                <w:color w:val="000000"/>
              </w:rPr>
              <w:t xml:space="preserve">. </w:t>
            </w:r>
          </w:p>
        </w:tc>
      </w:tr>
      <w:tr w:rsidR="00934144" w:rsidRPr="003B4BA5" w:rsidTr="00B54772">
        <w:trPr>
          <w:trHeight w:val="472"/>
        </w:trPr>
        <w:tc>
          <w:tcPr>
            <w:tcW w:w="403" w:type="dxa"/>
          </w:tcPr>
          <w:p w:rsidR="00934144" w:rsidRPr="003B4BA5" w:rsidRDefault="00934144" w:rsidP="00B54772">
            <w:pPr>
              <w:pStyle w:val="naiskr"/>
              <w:spacing w:before="0" w:after="0"/>
            </w:pPr>
            <w:r w:rsidRPr="003B4BA5">
              <w:t>2.</w:t>
            </w:r>
          </w:p>
        </w:tc>
        <w:tc>
          <w:tcPr>
            <w:tcW w:w="4315" w:type="dxa"/>
          </w:tcPr>
          <w:p w:rsidR="00934144" w:rsidRPr="003B4BA5" w:rsidRDefault="00934144" w:rsidP="00B54772">
            <w:pPr>
              <w:pStyle w:val="naiskr"/>
              <w:tabs>
                <w:tab w:val="left" w:pos="170"/>
              </w:tabs>
              <w:spacing w:before="0" w:after="0"/>
            </w:pPr>
            <w:r w:rsidRPr="003B4BA5">
              <w:t>Pašreizējā situācija un problēmas</w:t>
            </w:r>
          </w:p>
        </w:tc>
        <w:tc>
          <w:tcPr>
            <w:tcW w:w="4643" w:type="dxa"/>
          </w:tcPr>
          <w:p w:rsidR="00934144" w:rsidRPr="003B4BA5" w:rsidRDefault="00934144" w:rsidP="003B4BA5">
            <w:pPr>
              <w:pStyle w:val="naiskr"/>
              <w:spacing w:before="0" w:after="0"/>
              <w:ind w:firstLine="385"/>
              <w:jc w:val="both"/>
            </w:pPr>
            <w:r w:rsidRPr="003B4BA5">
              <w:t xml:space="preserve">Ņemot vērā, ka ar 2014.gada 1.janvāri Latvijā plānots ieviest </w:t>
            </w:r>
            <w:proofErr w:type="spellStart"/>
            <w:r w:rsidRPr="003B4BA5">
              <w:rPr>
                <w:i/>
              </w:rPr>
              <w:t>euro</w:t>
            </w:r>
            <w:proofErr w:type="spellEnd"/>
            <w:r w:rsidRPr="003B4BA5">
              <w:t xml:space="preserve">, ir nepieciešams veikt grozījumu </w:t>
            </w:r>
            <w:r w:rsidR="003B4BA5" w:rsidRPr="003B4BA5">
              <w:t xml:space="preserve">likumā „Par tautas nobalsošanu, likumu ierosināšanu un Eiropas pilsoņu iniciatīvu” </w:t>
            </w:r>
            <w:r w:rsidRPr="003B4BA5">
              <w:t xml:space="preserve">(turpmāk – likumprojekts), aizstājot tajā latus ar </w:t>
            </w:r>
            <w:proofErr w:type="spellStart"/>
            <w:r w:rsidRPr="003B4BA5">
              <w:rPr>
                <w:i/>
              </w:rPr>
              <w:t>euro</w:t>
            </w:r>
            <w:proofErr w:type="spellEnd"/>
            <w:r w:rsidRPr="003B4BA5">
              <w:t xml:space="preserve">. </w:t>
            </w:r>
          </w:p>
        </w:tc>
      </w:tr>
      <w:tr w:rsidR="00934144" w:rsidRPr="003B4BA5" w:rsidTr="00B54772">
        <w:trPr>
          <w:trHeight w:val="637"/>
        </w:trPr>
        <w:tc>
          <w:tcPr>
            <w:tcW w:w="403" w:type="dxa"/>
          </w:tcPr>
          <w:p w:rsidR="00934144" w:rsidRPr="003B4BA5" w:rsidRDefault="00934144" w:rsidP="00B54772">
            <w:pPr>
              <w:pStyle w:val="naiskr"/>
              <w:spacing w:before="0" w:after="0"/>
            </w:pPr>
            <w:r w:rsidRPr="003B4BA5">
              <w:t>3.</w:t>
            </w:r>
          </w:p>
        </w:tc>
        <w:tc>
          <w:tcPr>
            <w:tcW w:w="4315" w:type="dxa"/>
          </w:tcPr>
          <w:p w:rsidR="00934144" w:rsidRPr="00A118F1" w:rsidRDefault="00934144" w:rsidP="00B54772">
            <w:pPr>
              <w:pStyle w:val="naiskr"/>
              <w:spacing w:before="0" w:after="0"/>
            </w:pPr>
            <w:r w:rsidRPr="00A118F1">
              <w:t>Saistītie politikas ietekmes novērtējumi un pētījumi</w:t>
            </w:r>
          </w:p>
        </w:tc>
        <w:tc>
          <w:tcPr>
            <w:tcW w:w="4643" w:type="dxa"/>
          </w:tcPr>
          <w:p w:rsidR="00A118F1" w:rsidRPr="00A118F1" w:rsidRDefault="00A118F1" w:rsidP="00A118F1">
            <w:pPr>
              <w:pStyle w:val="Bezatstarpm"/>
              <w:rPr>
                <w:szCs w:val="24"/>
                <w:lang w:val="lv-LV"/>
              </w:rPr>
            </w:pPr>
            <w:r w:rsidRPr="00A118F1">
              <w:rPr>
                <w:szCs w:val="24"/>
                <w:lang w:val="lv-LV"/>
              </w:rPr>
              <w:t>Projekts šo jomu neskar.</w:t>
            </w:r>
          </w:p>
          <w:p w:rsidR="00934144" w:rsidRPr="00A118F1" w:rsidRDefault="00934144" w:rsidP="00B54772">
            <w:pPr>
              <w:pStyle w:val="Vresteksts"/>
              <w:ind w:firstLine="385"/>
              <w:rPr>
                <w:rFonts w:ascii="Times New Roman" w:hAnsi="Times New Roman"/>
                <w:sz w:val="24"/>
                <w:szCs w:val="24"/>
              </w:rPr>
            </w:pPr>
          </w:p>
        </w:tc>
      </w:tr>
      <w:tr w:rsidR="00934144" w:rsidRPr="003B4BA5" w:rsidTr="00B54772">
        <w:trPr>
          <w:trHeight w:val="384"/>
        </w:trPr>
        <w:tc>
          <w:tcPr>
            <w:tcW w:w="403" w:type="dxa"/>
          </w:tcPr>
          <w:p w:rsidR="00934144" w:rsidRPr="003B4BA5" w:rsidRDefault="00934144" w:rsidP="00B54772">
            <w:pPr>
              <w:pStyle w:val="naiskr"/>
              <w:spacing w:before="0" w:after="0"/>
            </w:pPr>
            <w:r w:rsidRPr="003B4BA5">
              <w:t>4.</w:t>
            </w:r>
          </w:p>
        </w:tc>
        <w:tc>
          <w:tcPr>
            <w:tcW w:w="4315" w:type="dxa"/>
          </w:tcPr>
          <w:p w:rsidR="00934144" w:rsidRPr="003B4BA5" w:rsidRDefault="00934144" w:rsidP="00B54772">
            <w:pPr>
              <w:pStyle w:val="naiskr"/>
              <w:spacing w:before="0" w:after="0"/>
            </w:pPr>
            <w:r w:rsidRPr="003B4BA5">
              <w:t>Tiesiskā regulējuma mērķis un būtība</w:t>
            </w:r>
          </w:p>
        </w:tc>
        <w:tc>
          <w:tcPr>
            <w:tcW w:w="4643" w:type="dxa"/>
          </w:tcPr>
          <w:p w:rsidR="00934144" w:rsidRPr="003B4BA5" w:rsidRDefault="00934144" w:rsidP="00B54772">
            <w:pPr>
              <w:spacing w:after="0" w:line="240" w:lineRule="auto"/>
              <w:ind w:firstLine="720"/>
              <w:jc w:val="both"/>
              <w:rPr>
                <w:rFonts w:ascii="Times New Roman" w:hAnsi="Times New Roman"/>
                <w:sz w:val="24"/>
                <w:szCs w:val="24"/>
              </w:rPr>
            </w:pPr>
            <w:r w:rsidRPr="003B4BA5">
              <w:rPr>
                <w:rFonts w:ascii="Times New Roman" w:hAnsi="Times New Roman"/>
                <w:sz w:val="24"/>
                <w:szCs w:val="24"/>
              </w:rPr>
              <w:t>Likumprojekta mērķis ir pielāgot likumu</w:t>
            </w:r>
            <w:r w:rsidRPr="003B4BA5">
              <w:rPr>
                <w:rFonts w:ascii="Times New Roman" w:hAnsi="Times New Roman"/>
                <w:i/>
                <w:sz w:val="24"/>
                <w:szCs w:val="24"/>
              </w:rPr>
              <w:t xml:space="preserve"> </w:t>
            </w:r>
            <w:r w:rsidRPr="003B4BA5">
              <w:rPr>
                <w:rFonts w:ascii="Times New Roman" w:hAnsi="Times New Roman"/>
                <w:sz w:val="24"/>
                <w:szCs w:val="24"/>
              </w:rPr>
              <w:t xml:space="preserve">„Par tautas nobalsošanu, likumu ierosināšanu un Eiropas pilsoņu iniciatīvu” </w:t>
            </w:r>
            <w:proofErr w:type="spellStart"/>
            <w:r w:rsidRPr="003B4BA5">
              <w:rPr>
                <w:rFonts w:ascii="Times New Roman" w:hAnsi="Times New Roman"/>
                <w:i/>
                <w:sz w:val="24"/>
                <w:szCs w:val="24"/>
              </w:rPr>
              <w:t>euro</w:t>
            </w:r>
            <w:proofErr w:type="spellEnd"/>
            <w:r w:rsidRPr="003B4BA5">
              <w:rPr>
                <w:rFonts w:ascii="Times New Roman" w:hAnsi="Times New Roman"/>
                <w:sz w:val="24"/>
                <w:szCs w:val="24"/>
              </w:rPr>
              <w:t xml:space="preserve"> ieviešanai, aizstājot tajā latus ar </w:t>
            </w:r>
            <w:proofErr w:type="spellStart"/>
            <w:r w:rsidRPr="003B4BA5">
              <w:rPr>
                <w:rFonts w:ascii="Times New Roman" w:hAnsi="Times New Roman"/>
                <w:i/>
                <w:sz w:val="24"/>
                <w:szCs w:val="24"/>
              </w:rPr>
              <w:t>euro</w:t>
            </w:r>
            <w:proofErr w:type="spellEnd"/>
            <w:r w:rsidRPr="003B4BA5">
              <w:rPr>
                <w:rFonts w:ascii="Times New Roman" w:hAnsi="Times New Roman"/>
                <w:sz w:val="24"/>
                <w:szCs w:val="24"/>
              </w:rPr>
              <w:t xml:space="preserve">. </w:t>
            </w:r>
          </w:p>
          <w:p w:rsidR="00FB4B42" w:rsidRPr="003B4BA5" w:rsidRDefault="00FB4B42" w:rsidP="00B54772">
            <w:pPr>
              <w:spacing w:after="0" w:line="240" w:lineRule="auto"/>
              <w:ind w:firstLine="720"/>
              <w:jc w:val="both"/>
              <w:rPr>
                <w:rFonts w:ascii="Times New Roman" w:hAnsi="Times New Roman"/>
                <w:sz w:val="24"/>
                <w:szCs w:val="24"/>
              </w:rPr>
            </w:pPr>
            <w:r w:rsidRPr="003B4BA5">
              <w:rPr>
                <w:rFonts w:ascii="Times New Roman" w:hAnsi="Times New Roman"/>
                <w:color w:val="000000"/>
                <w:sz w:val="24"/>
                <w:szCs w:val="24"/>
              </w:rPr>
              <w:t>Grozītā</w:t>
            </w:r>
            <w:r w:rsidR="004216B6">
              <w:rPr>
                <w:rFonts w:ascii="Times New Roman" w:hAnsi="Times New Roman"/>
                <w:color w:val="000000"/>
                <w:sz w:val="24"/>
                <w:szCs w:val="24"/>
              </w:rPr>
              <w:t>s</w:t>
            </w:r>
            <w:r w:rsidRPr="003B4BA5">
              <w:rPr>
                <w:rFonts w:ascii="Times New Roman" w:hAnsi="Times New Roman"/>
                <w:color w:val="000000"/>
                <w:sz w:val="24"/>
                <w:szCs w:val="24"/>
              </w:rPr>
              <w:t xml:space="preserve"> tiesību norma</w:t>
            </w:r>
            <w:r w:rsidR="004216B6">
              <w:rPr>
                <w:rFonts w:ascii="Times New Roman" w:hAnsi="Times New Roman"/>
                <w:color w:val="000000"/>
                <w:sz w:val="24"/>
                <w:szCs w:val="24"/>
              </w:rPr>
              <w:t>s</w:t>
            </w:r>
            <w:r w:rsidRPr="003B4BA5">
              <w:rPr>
                <w:rFonts w:ascii="Times New Roman" w:hAnsi="Times New Roman"/>
                <w:color w:val="000000"/>
                <w:sz w:val="24"/>
                <w:szCs w:val="24"/>
              </w:rPr>
              <w:t xml:space="preserve"> </w:t>
            </w:r>
            <w:proofErr w:type="spellStart"/>
            <w:r w:rsidRPr="003B4BA5">
              <w:rPr>
                <w:rFonts w:ascii="Times New Roman" w:hAnsi="Times New Roman"/>
                <w:i/>
                <w:color w:val="000000"/>
                <w:sz w:val="24"/>
                <w:szCs w:val="24"/>
              </w:rPr>
              <w:t>euro</w:t>
            </w:r>
            <w:proofErr w:type="spellEnd"/>
            <w:r w:rsidRPr="003B4BA5">
              <w:rPr>
                <w:rFonts w:ascii="Times New Roman" w:hAnsi="Times New Roman"/>
                <w:i/>
                <w:color w:val="000000"/>
                <w:sz w:val="24"/>
                <w:szCs w:val="24"/>
              </w:rPr>
              <w:t xml:space="preserve"> </w:t>
            </w:r>
            <w:r w:rsidRPr="003B4BA5">
              <w:rPr>
                <w:rFonts w:ascii="Times New Roman" w:hAnsi="Times New Roman"/>
                <w:color w:val="000000"/>
                <w:sz w:val="24"/>
                <w:szCs w:val="24"/>
              </w:rPr>
              <w:t>valūtā nav personām nelabvēlīgāka</w:t>
            </w:r>
            <w:r w:rsidR="004216B6">
              <w:rPr>
                <w:rFonts w:ascii="Times New Roman" w:hAnsi="Times New Roman"/>
                <w:color w:val="000000"/>
                <w:sz w:val="24"/>
                <w:szCs w:val="24"/>
              </w:rPr>
              <w:t>s</w:t>
            </w:r>
            <w:r w:rsidRPr="003B4BA5">
              <w:rPr>
                <w:rFonts w:ascii="Times New Roman" w:hAnsi="Times New Roman"/>
                <w:color w:val="000000"/>
                <w:sz w:val="24"/>
                <w:szCs w:val="24"/>
              </w:rPr>
              <w:t xml:space="preserve"> par sākotnēj</w:t>
            </w:r>
            <w:r w:rsidR="004216B6">
              <w:rPr>
                <w:rFonts w:ascii="Times New Roman" w:hAnsi="Times New Roman"/>
                <w:color w:val="000000"/>
                <w:sz w:val="24"/>
                <w:szCs w:val="24"/>
              </w:rPr>
              <w:t>ām</w:t>
            </w:r>
            <w:r w:rsidRPr="003B4BA5">
              <w:rPr>
                <w:rFonts w:ascii="Times New Roman" w:hAnsi="Times New Roman"/>
                <w:color w:val="000000"/>
                <w:sz w:val="24"/>
                <w:szCs w:val="24"/>
              </w:rPr>
              <w:t xml:space="preserve"> tiesību norm</w:t>
            </w:r>
            <w:r w:rsidR="004216B6">
              <w:rPr>
                <w:rFonts w:ascii="Times New Roman" w:hAnsi="Times New Roman"/>
                <w:color w:val="000000"/>
                <w:sz w:val="24"/>
                <w:szCs w:val="24"/>
              </w:rPr>
              <w:t>ām</w:t>
            </w:r>
            <w:r w:rsidRPr="003B4BA5">
              <w:rPr>
                <w:rFonts w:ascii="Times New Roman" w:hAnsi="Times New Roman"/>
                <w:color w:val="000000"/>
                <w:sz w:val="24"/>
                <w:szCs w:val="24"/>
              </w:rPr>
              <w:t xml:space="preserve"> latos un nerada negatīvu ietekmi uz valsts budžetu.</w:t>
            </w:r>
          </w:p>
          <w:p w:rsidR="00934144" w:rsidRPr="003B4BA5" w:rsidRDefault="00934144" w:rsidP="00DF7404">
            <w:pPr>
              <w:pStyle w:val="tv2131"/>
              <w:spacing w:before="0" w:line="240" w:lineRule="auto"/>
              <w:ind w:firstLine="674"/>
              <w:rPr>
                <w:rFonts w:ascii="Times New Roman" w:hAnsi="Times New Roman"/>
                <w:sz w:val="24"/>
                <w:szCs w:val="24"/>
              </w:rPr>
            </w:pPr>
            <w:r w:rsidRPr="003B4BA5">
              <w:rPr>
                <w:rFonts w:ascii="Times New Roman" w:hAnsi="Times New Roman"/>
                <w:sz w:val="24"/>
                <w:szCs w:val="24"/>
              </w:rPr>
              <w:t xml:space="preserve">   Likuma</w:t>
            </w:r>
            <w:r w:rsidRPr="003B4BA5">
              <w:rPr>
                <w:rFonts w:ascii="Times New Roman" w:hAnsi="Times New Roman"/>
                <w:i/>
                <w:sz w:val="24"/>
                <w:szCs w:val="24"/>
              </w:rPr>
              <w:t xml:space="preserve"> </w:t>
            </w:r>
            <w:r w:rsidRPr="003B4BA5">
              <w:rPr>
                <w:rFonts w:ascii="Times New Roman" w:hAnsi="Times New Roman"/>
                <w:sz w:val="24"/>
                <w:szCs w:val="24"/>
              </w:rPr>
              <w:t xml:space="preserve">„Par tautas nobalsošanu, likumu ierosināšanu un Eiropas pilsoņu iniciatīvu” (turpmāk – Tautas nobalsošanas likums) </w:t>
            </w:r>
            <w:r w:rsidRPr="00FB4B42">
              <w:rPr>
                <w:rFonts w:ascii="Times New Roman" w:hAnsi="Times New Roman"/>
                <w:bCs/>
                <w:sz w:val="24"/>
                <w:szCs w:val="24"/>
              </w:rPr>
              <w:t>34.</w:t>
            </w:r>
            <w:r w:rsidR="003B4BA5" w:rsidRPr="00FB4B42">
              <w:rPr>
                <w:rFonts w:ascii="Times New Roman" w:hAnsi="Times New Roman"/>
                <w:bCs/>
                <w:sz w:val="24"/>
                <w:szCs w:val="24"/>
              </w:rPr>
              <w:t xml:space="preserve">panta pirmā un otrā daļa paredz, ka </w:t>
            </w:r>
            <w:r w:rsidRPr="003B4BA5">
              <w:rPr>
                <w:rFonts w:ascii="Times New Roman" w:hAnsi="Times New Roman"/>
                <w:sz w:val="24"/>
                <w:szCs w:val="24"/>
              </w:rPr>
              <w:t>persona</w:t>
            </w:r>
            <w:r w:rsidR="00FB4B42">
              <w:rPr>
                <w:rFonts w:ascii="Times New Roman" w:hAnsi="Times New Roman"/>
                <w:sz w:val="24"/>
                <w:szCs w:val="24"/>
              </w:rPr>
              <w:t xml:space="preserve"> </w:t>
            </w:r>
            <w:r w:rsidRPr="003B4BA5">
              <w:rPr>
                <w:rFonts w:ascii="Times New Roman" w:hAnsi="Times New Roman"/>
                <w:sz w:val="24"/>
                <w:szCs w:val="24"/>
              </w:rPr>
              <w:t xml:space="preserve">vai </w:t>
            </w:r>
            <w:r w:rsidR="00FB4B42">
              <w:rPr>
                <w:rFonts w:ascii="Times New Roman" w:hAnsi="Times New Roman"/>
                <w:sz w:val="24"/>
                <w:szCs w:val="24"/>
              </w:rPr>
              <w:t xml:space="preserve">to </w:t>
            </w:r>
            <w:r w:rsidRPr="003B4BA5">
              <w:rPr>
                <w:rFonts w:ascii="Times New Roman" w:hAnsi="Times New Roman"/>
                <w:sz w:val="24"/>
                <w:szCs w:val="24"/>
              </w:rPr>
              <w:t>apvienība aģitācija</w:t>
            </w:r>
            <w:r w:rsidR="004216B6">
              <w:rPr>
                <w:rFonts w:ascii="Times New Roman" w:hAnsi="Times New Roman"/>
                <w:sz w:val="24"/>
                <w:szCs w:val="24"/>
              </w:rPr>
              <w:t>s</w:t>
            </w:r>
            <w:r w:rsidR="00FB4B42">
              <w:rPr>
                <w:rFonts w:ascii="Times New Roman" w:hAnsi="Times New Roman"/>
                <w:sz w:val="24"/>
                <w:szCs w:val="24"/>
              </w:rPr>
              <w:t xml:space="preserve"> (</w:t>
            </w:r>
            <w:r w:rsidRPr="003B4BA5">
              <w:rPr>
                <w:rFonts w:ascii="Times New Roman" w:hAnsi="Times New Roman"/>
                <w:sz w:val="24"/>
                <w:szCs w:val="24"/>
              </w:rPr>
              <w:t>pirms</w:t>
            </w:r>
            <w:r w:rsidR="00FB4B42">
              <w:rPr>
                <w:rFonts w:ascii="Times New Roman" w:hAnsi="Times New Roman"/>
                <w:sz w:val="24"/>
                <w:szCs w:val="24"/>
              </w:rPr>
              <w:t xml:space="preserve"> tautas nobalsošanas, aģitācija</w:t>
            </w:r>
            <w:r w:rsidR="004216B6">
              <w:rPr>
                <w:rFonts w:ascii="Times New Roman" w:hAnsi="Times New Roman"/>
                <w:sz w:val="24"/>
                <w:szCs w:val="24"/>
              </w:rPr>
              <w:t>s</w:t>
            </w:r>
            <w:r w:rsidRPr="003B4BA5">
              <w:rPr>
                <w:rFonts w:ascii="Times New Roman" w:hAnsi="Times New Roman"/>
                <w:sz w:val="24"/>
                <w:szCs w:val="24"/>
              </w:rPr>
              <w:t xml:space="preserve"> par l</w:t>
            </w:r>
            <w:r w:rsidR="00FB4B42">
              <w:rPr>
                <w:rFonts w:ascii="Times New Roman" w:hAnsi="Times New Roman"/>
                <w:sz w:val="24"/>
                <w:szCs w:val="24"/>
              </w:rPr>
              <w:t>ikuma ierosināšanu un aģitācija</w:t>
            </w:r>
            <w:r w:rsidR="004216B6">
              <w:rPr>
                <w:rFonts w:ascii="Times New Roman" w:hAnsi="Times New Roman"/>
                <w:sz w:val="24"/>
                <w:szCs w:val="24"/>
              </w:rPr>
              <w:t>s</w:t>
            </w:r>
            <w:r w:rsidRPr="003B4BA5">
              <w:rPr>
                <w:rFonts w:ascii="Times New Roman" w:hAnsi="Times New Roman"/>
                <w:sz w:val="24"/>
                <w:szCs w:val="24"/>
              </w:rPr>
              <w:t xml:space="preserve"> par Saeimas atsaukšanas ierosināšanu</w:t>
            </w:r>
            <w:r w:rsidR="00FB4B42">
              <w:rPr>
                <w:rFonts w:ascii="Times New Roman" w:hAnsi="Times New Roman"/>
                <w:sz w:val="24"/>
                <w:szCs w:val="24"/>
              </w:rPr>
              <w:t>)</w:t>
            </w:r>
            <w:r w:rsidRPr="003B4BA5">
              <w:rPr>
                <w:rFonts w:ascii="Times New Roman" w:hAnsi="Times New Roman"/>
                <w:sz w:val="24"/>
                <w:szCs w:val="24"/>
              </w:rPr>
              <w:t xml:space="preserve"> izdevumiem drīkst izlietot summu, kas nepārsniedz Centrālās statistikas pārvaldes publiskoto aizpagājušā gada mēneša vidējo bruto darba samaksu, kas noapaļota pilnos latos, piemērojot koeficientu 0,00007, un aprēķināta uz katru vēlētāju iepriekšējās Saeimas vēlēšanās. </w:t>
            </w:r>
            <w:proofErr w:type="gramStart"/>
            <w:r w:rsidR="00FB4B42">
              <w:rPr>
                <w:rFonts w:ascii="Times New Roman" w:hAnsi="Times New Roman"/>
                <w:sz w:val="24"/>
                <w:szCs w:val="24"/>
              </w:rPr>
              <w:t>Savukārt i</w:t>
            </w:r>
            <w:r w:rsidRPr="003B4BA5">
              <w:rPr>
                <w:rFonts w:ascii="Times New Roman" w:hAnsi="Times New Roman"/>
                <w:sz w:val="24"/>
                <w:szCs w:val="24"/>
              </w:rPr>
              <w:t>niciatīvas grupa</w:t>
            </w:r>
            <w:proofErr w:type="gramEnd"/>
            <w:r w:rsidRPr="003B4BA5">
              <w:rPr>
                <w:rFonts w:ascii="Times New Roman" w:hAnsi="Times New Roman"/>
                <w:sz w:val="24"/>
                <w:szCs w:val="24"/>
              </w:rPr>
              <w:t xml:space="preserve"> aģitācijas </w:t>
            </w:r>
            <w:r w:rsidR="004216B6">
              <w:rPr>
                <w:rFonts w:ascii="Times New Roman" w:hAnsi="Times New Roman"/>
                <w:sz w:val="24"/>
                <w:szCs w:val="24"/>
              </w:rPr>
              <w:t>(</w:t>
            </w:r>
            <w:r w:rsidRPr="003B4BA5">
              <w:rPr>
                <w:rFonts w:ascii="Times New Roman" w:hAnsi="Times New Roman"/>
                <w:sz w:val="24"/>
                <w:szCs w:val="24"/>
              </w:rPr>
              <w:t>pirms tautas nobalsošanas, aģitācijas par likuma ierosināšanu un aģitācijas par Saeimas atsaukšanas ierosināšanu</w:t>
            </w:r>
            <w:r w:rsidR="004216B6">
              <w:rPr>
                <w:rFonts w:ascii="Times New Roman" w:hAnsi="Times New Roman"/>
                <w:sz w:val="24"/>
                <w:szCs w:val="24"/>
              </w:rPr>
              <w:t>)</w:t>
            </w:r>
            <w:r w:rsidRPr="003B4BA5">
              <w:rPr>
                <w:rFonts w:ascii="Times New Roman" w:hAnsi="Times New Roman"/>
                <w:sz w:val="24"/>
                <w:szCs w:val="24"/>
              </w:rPr>
              <w:t xml:space="preserve"> izdevumiem drīkst izlietot summu, kas nepārsniedz Centrālās </w:t>
            </w:r>
            <w:r w:rsidRPr="003B4BA5">
              <w:rPr>
                <w:rFonts w:ascii="Times New Roman" w:hAnsi="Times New Roman"/>
                <w:sz w:val="24"/>
                <w:szCs w:val="24"/>
              </w:rPr>
              <w:lastRenderedPageBreak/>
              <w:t xml:space="preserve">statistikas pārvaldes publiskoto aizpagājušā gada mēneša vidējo bruto darba samaksu, kas noapaļota pilnos latos, piemērojot koeficientu 0,00007, un aprēķināta uz katru vēlētāju iepriekšējās Saeimas vēlēšanās. </w:t>
            </w:r>
          </w:p>
          <w:p w:rsidR="00934144" w:rsidRDefault="00934144" w:rsidP="00CB25DD">
            <w:pPr>
              <w:pStyle w:val="tv2131"/>
              <w:spacing w:before="0" w:line="240" w:lineRule="auto"/>
              <w:rPr>
                <w:rFonts w:ascii="Times New Roman" w:hAnsi="Times New Roman"/>
                <w:color w:val="000000"/>
                <w:sz w:val="24"/>
                <w:szCs w:val="24"/>
              </w:rPr>
            </w:pPr>
            <w:r w:rsidRPr="003B4BA5">
              <w:rPr>
                <w:rFonts w:ascii="Times New Roman" w:hAnsi="Times New Roman"/>
                <w:color w:val="000000"/>
                <w:sz w:val="24"/>
                <w:szCs w:val="24"/>
              </w:rPr>
              <w:t>Tautas nobalsošanas likums nenosauc konkrētu naudas summu latos, bet tikai koeficienta piemērošanu</w:t>
            </w:r>
            <w:r w:rsidR="00FB4B42">
              <w:rPr>
                <w:rFonts w:ascii="Times New Roman" w:hAnsi="Times New Roman"/>
                <w:color w:val="000000"/>
                <w:sz w:val="24"/>
                <w:szCs w:val="24"/>
              </w:rPr>
              <w:t>.</w:t>
            </w:r>
            <w:r w:rsidR="00FB4B42">
              <w:rPr>
                <w:rFonts w:ascii="Times New Roman" w:hAnsi="Times New Roman"/>
                <w:i/>
                <w:color w:val="000000"/>
                <w:sz w:val="24"/>
                <w:szCs w:val="24"/>
              </w:rPr>
              <w:t xml:space="preserve"> </w:t>
            </w:r>
            <w:r w:rsidR="00FB4B42" w:rsidRPr="00FB4B42">
              <w:rPr>
                <w:rFonts w:ascii="Times New Roman" w:hAnsi="Times New Roman"/>
                <w:color w:val="000000"/>
                <w:sz w:val="24"/>
                <w:szCs w:val="24"/>
              </w:rPr>
              <w:t>T</w:t>
            </w:r>
            <w:r w:rsidRPr="00FB4B42">
              <w:rPr>
                <w:rFonts w:ascii="Times New Roman" w:hAnsi="Times New Roman"/>
                <w:color w:val="000000"/>
                <w:sz w:val="24"/>
                <w:szCs w:val="24"/>
              </w:rPr>
              <w:t>ā kā koeficients</w:t>
            </w:r>
            <w:r w:rsidR="00FB4B42" w:rsidRPr="00FB4B42">
              <w:rPr>
                <w:rFonts w:ascii="Times New Roman" w:hAnsi="Times New Roman"/>
                <w:color w:val="000000"/>
                <w:sz w:val="24"/>
                <w:szCs w:val="24"/>
              </w:rPr>
              <w:t xml:space="preserve"> latos </w:t>
            </w:r>
            <w:r w:rsidRPr="00FB4B42">
              <w:rPr>
                <w:rFonts w:ascii="Times New Roman" w:hAnsi="Times New Roman"/>
                <w:color w:val="000000"/>
                <w:sz w:val="24"/>
                <w:szCs w:val="24"/>
              </w:rPr>
              <w:t>p</w:t>
            </w:r>
            <w:r w:rsidR="00CF52C0">
              <w:rPr>
                <w:rFonts w:ascii="Times New Roman" w:hAnsi="Times New Roman"/>
                <w:color w:val="000000"/>
                <w:sz w:val="24"/>
                <w:szCs w:val="24"/>
              </w:rPr>
              <w:t>iemērojams reizināšanas darbībai</w:t>
            </w:r>
            <w:r w:rsidRPr="00FB4B42">
              <w:rPr>
                <w:rFonts w:ascii="Times New Roman" w:hAnsi="Times New Roman"/>
                <w:color w:val="000000"/>
                <w:sz w:val="24"/>
                <w:szCs w:val="24"/>
              </w:rPr>
              <w:t xml:space="preserve">, tad </w:t>
            </w:r>
            <w:r w:rsidR="00CB25DD">
              <w:rPr>
                <w:rFonts w:ascii="Times New Roman" w:hAnsi="Times New Roman"/>
                <w:color w:val="000000"/>
                <w:sz w:val="24"/>
                <w:szCs w:val="24"/>
              </w:rPr>
              <w:t xml:space="preserve">šī </w:t>
            </w:r>
            <w:r w:rsidRPr="00FB4B42">
              <w:rPr>
                <w:rFonts w:ascii="Times New Roman" w:hAnsi="Times New Roman"/>
                <w:color w:val="000000"/>
                <w:sz w:val="24"/>
                <w:szCs w:val="24"/>
              </w:rPr>
              <w:t>summa</w:t>
            </w:r>
            <w:r w:rsidR="00FB4B42" w:rsidRPr="00FB4B42">
              <w:rPr>
                <w:rFonts w:ascii="Times New Roman" w:hAnsi="Times New Roman"/>
                <w:color w:val="000000"/>
                <w:sz w:val="24"/>
                <w:szCs w:val="24"/>
              </w:rPr>
              <w:t xml:space="preserve">, izteikta </w:t>
            </w:r>
            <w:proofErr w:type="spellStart"/>
            <w:r w:rsidRPr="00CB25DD">
              <w:rPr>
                <w:rFonts w:ascii="Times New Roman" w:hAnsi="Times New Roman"/>
                <w:i/>
                <w:color w:val="000000"/>
                <w:sz w:val="24"/>
                <w:szCs w:val="24"/>
              </w:rPr>
              <w:t>euro</w:t>
            </w:r>
            <w:proofErr w:type="spellEnd"/>
            <w:r w:rsidR="00FB4B42" w:rsidRPr="00FB4B42">
              <w:rPr>
                <w:rFonts w:ascii="Times New Roman" w:hAnsi="Times New Roman"/>
                <w:color w:val="000000"/>
                <w:sz w:val="24"/>
                <w:szCs w:val="24"/>
              </w:rPr>
              <w:t xml:space="preserve"> pēc </w:t>
            </w:r>
            <w:r w:rsidR="00CB25DD">
              <w:rPr>
                <w:rFonts w:ascii="Times New Roman" w:hAnsi="Times New Roman"/>
                <w:color w:val="000000"/>
                <w:sz w:val="24"/>
                <w:szCs w:val="24"/>
              </w:rPr>
              <w:t xml:space="preserve">oficiālā </w:t>
            </w:r>
            <w:proofErr w:type="spellStart"/>
            <w:r w:rsidR="00CB25DD" w:rsidRPr="00CB25DD">
              <w:rPr>
                <w:rFonts w:ascii="Times New Roman" w:hAnsi="Times New Roman"/>
                <w:i/>
                <w:color w:val="000000"/>
                <w:sz w:val="24"/>
                <w:szCs w:val="24"/>
              </w:rPr>
              <w:t>eu</w:t>
            </w:r>
            <w:r w:rsidR="00FB4B42" w:rsidRPr="00CB25DD">
              <w:rPr>
                <w:rFonts w:ascii="Times New Roman" w:hAnsi="Times New Roman"/>
                <w:i/>
                <w:color w:val="000000"/>
                <w:sz w:val="24"/>
                <w:szCs w:val="24"/>
              </w:rPr>
              <w:t>r</w:t>
            </w:r>
            <w:r w:rsidR="00CB25DD" w:rsidRPr="00CB25DD">
              <w:rPr>
                <w:rFonts w:ascii="Times New Roman" w:hAnsi="Times New Roman"/>
                <w:i/>
                <w:color w:val="000000"/>
                <w:sz w:val="24"/>
                <w:szCs w:val="24"/>
              </w:rPr>
              <w:t>o</w:t>
            </w:r>
            <w:proofErr w:type="spellEnd"/>
            <w:r w:rsidR="00FB4B42" w:rsidRPr="00FB4B42">
              <w:rPr>
                <w:rFonts w:ascii="Times New Roman" w:hAnsi="Times New Roman"/>
                <w:color w:val="000000"/>
                <w:sz w:val="24"/>
                <w:szCs w:val="24"/>
              </w:rPr>
              <w:t xml:space="preserve"> kursa,</w:t>
            </w:r>
            <w:r w:rsidRPr="00FB4B42">
              <w:rPr>
                <w:rFonts w:ascii="Times New Roman" w:hAnsi="Times New Roman"/>
                <w:color w:val="000000"/>
                <w:sz w:val="24"/>
                <w:szCs w:val="24"/>
              </w:rPr>
              <w:t xml:space="preserve"> </w:t>
            </w:r>
            <w:r w:rsidR="00FB4B42" w:rsidRPr="00FB4B42">
              <w:rPr>
                <w:rFonts w:ascii="Times New Roman" w:hAnsi="Times New Roman"/>
                <w:color w:val="000000"/>
                <w:sz w:val="24"/>
                <w:szCs w:val="24"/>
              </w:rPr>
              <w:t xml:space="preserve"> pēc būtības </w:t>
            </w:r>
            <w:r w:rsidRPr="00FB4B42">
              <w:rPr>
                <w:rFonts w:ascii="Times New Roman" w:hAnsi="Times New Roman"/>
                <w:color w:val="000000"/>
                <w:sz w:val="24"/>
                <w:szCs w:val="24"/>
              </w:rPr>
              <w:t>nemainās, bet mainās tikai tā</w:t>
            </w:r>
            <w:r w:rsidR="004216B6">
              <w:rPr>
                <w:rFonts w:ascii="Times New Roman" w:hAnsi="Times New Roman"/>
                <w:color w:val="000000"/>
                <w:sz w:val="24"/>
                <w:szCs w:val="24"/>
              </w:rPr>
              <w:t>s</w:t>
            </w:r>
            <w:r w:rsidRPr="00FB4B42">
              <w:rPr>
                <w:rFonts w:ascii="Times New Roman" w:hAnsi="Times New Roman"/>
                <w:color w:val="000000"/>
                <w:sz w:val="24"/>
                <w:szCs w:val="24"/>
              </w:rPr>
              <w:t xml:space="preserve"> skaitliskās vērtības izteiksme atbilstoši oficiāli noteiktajam </w:t>
            </w:r>
            <w:proofErr w:type="spellStart"/>
            <w:r w:rsidRPr="00CB25DD">
              <w:rPr>
                <w:rFonts w:ascii="Times New Roman" w:hAnsi="Times New Roman"/>
                <w:i/>
                <w:color w:val="000000"/>
                <w:sz w:val="24"/>
                <w:szCs w:val="24"/>
              </w:rPr>
              <w:t>euro</w:t>
            </w:r>
            <w:proofErr w:type="spellEnd"/>
            <w:r w:rsidRPr="00FB4B42">
              <w:rPr>
                <w:rFonts w:ascii="Times New Roman" w:hAnsi="Times New Roman"/>
                <w:color w:val="000000"/>
                <w:sz w:val="24"/>
                <w:szCs w:val="24"/>
              </w:rPr>
              <w:t xml:space="preserve"> kursam.</w:t>
            </w:r>
          </w:p>
          <w:p w:rsidR="00FC1237" w:rsidRPr="00FC1237" w:rsidRDefault="00FC1237" w:rsidP="00C1630E">
            <w:pPr>
              <w:pStyle w:val="tv2131"/>
              <w:spacing w:before="0" w:line="240" w:lineRule="auto"/>
              <w:rPr>
                <w:rFonts w:ascii="Times New Roman" w:hAnsi="Times New Roman"/>
                <w:sz w:val="24"/>
                <w:szCs w:val="24"/>
              </w:rPr>
            </w:pPr>
            <w:r w:rsidRPr="00FC1237">
              <w:rPr>
                <w:rFonts w:ascii="Times New Roman" w:hAnsi="Times New Roman"/>
                <w:color w:val="000000"/>
                <w:sz w:val="24"/>
                <w:szCs w:val="24"/>
              </w:rPr>
              <w:t xml:space="preserve">Saskaņā ar Centrālās statistikas pārvaldes sniegto informāciju </w:t>
            </w:r>
            <w:r w:rsidRPr="00FC1237">
              <w:rPr>
                <w:rFonts w:ascii="Times New Roman" w:hAnsi="Times New Roman"/>
                <w:sz w:val="24"/>
                <w:szCs w:val="24"/>
              </w:rPr>
              <w:t>iepriekš</w:t>
            </w:r>
            <w:r>
              <w:rPr>
                <w:rFonts w:ascii="Times New Roman" w:hAnsi="Times New Roman"/>
                <w:sz w:val="24"/>
                <w:szCs w:val="24"/>
              </w:rPr>
              <w:t xml:space="preserve"> aprēķinātā un</w:t>
            </w:r>
            <w:r w:rsidRPr="00FC1237">
              <w:rPr>
                <w:rFonts w:ascii="Times New Roman" w:hAnsi="Times New Roman"/>
                <w:sz w:val="24"/>
                <w:szCs w:val="24"/>
              </w:rPr>
              <w:t xml:space="preserve"> publicētā </w:t>
            </w:r>
            <w:r>
              <w:rPr>
                <w:rFonts w:ascii="Times New Roman" w:hAnsi="Times New Roman"/>
                <w:sz w:val="24"/>
                <w:szCs w:val="24"/>
              </w:rPr>
              <w:t xml:space="preserve">oficiālā </w:t>
            </w:r>
            <w:r w:rsidRPr="00FC1237">
              <w:rPr>
                <w:rFonts w:ascii="Times New Roman" w:hAnsi="Times New Roman"/>
                <w:sz w:val="24"/>
                <w:szCs w:val="24"/>
              </w:rPr>
              <w:t xml:space="preserve">statistikas informācija, kas pieejama latos, tiks pārrēķināta </w:t>
            </w:r>
            <w:r>
              <w:rPr>
                <w:rFonts w:ascii="Times New Roman" w:hAnsi="Times New Roman"/>
                <w:sz w:val="24"/>
                <w:szCs w:val="24"/>
              </w:rPr>
              <w:t>un publicēta</w:t>
            </w:r>
            <w:proofErr w:type="gramStart"/>
            <w:r>
              <w:rPr>
                <w:rFonts w:ascii="Times New Roman" w:hAnsi="Times New Roman"/>
                <w:sz w:val="24"/>
                <w:szCs w:val="24"/>
              </w:rPr>
              <w:t xml:space="preserve"> </w:t>
            </w:r>
            <w:r w:rsidRPr="00FC1237">
              <w:rPr>
                <w:rFonts w:ascii="Times New Roman" w:hAnsi="Times New Roman"/>
                <w:sz w:val="24"/>
                <w:szCs w:val="24"/>
              </w:rPr>
              <w:t xml:space="preserve"> </w:t>
            </w:r>
            <w:r w:rsidRPr="00FC1237">
              <w:rPr>
                <w:rFonts w:ascii="Times New Roman" w:hAnsi="Times New Roman"/>
                <w:i/>
                <w:color w:val="000000"/>
                <w:sz w:val="24"/>
                <w:szCs w:val="24"/>
              </w:rPr>
              <w:t xml:space="preserve"> </w:t>
            </w:r>
            <w:proofErr w:type="spellStart"/>
            <w:proofErr w:type="gramEnd"/>
            <w:r w:rsidRPr="00FC1237">
              <w:rPr>
                <w:rFonts w:ascii="Times New Roman" w:hAnsi="Times New Roman"/>
                <w:i/>
                <w:color w:val="000000"/>
                <w:sz w:val="24"/>
                <w:szCs w:val="24"/>
              </w:rPr>
              <w:t>euro</w:t>
            </w:r>
            <w:proofErr w:type="spellEnd"/>
            <w:r>
              <w:rPr>
                <w:rFonts w:ascii="Times New Roman" w:hAnsi="Times New Roman"/>
                <w:i/>
                <w:color w:val="000000"/>
                <w:sz w:val="24"/>
                <w:szCs w:val="24"/>
              </w:rPr>
              <w:t xml:space="preserve"> </w:t>
            </w:r>
            <w:r w:rsidRPr="00FC1237">
              <w:rPr>
                <w:rFonts w:ascii="Times New Roman" w:hAnsi="Times New Roman"/>
                <w:color w:val="000000"/>
                <w:sz w:val="24"/>
                <w:szCs w:val="24"/>
              </w:rPr>
              <w:t>(pat</w:t>
            </w:r>
            <w:r>
              <w:rPr>
                <w:rFonts w:ascii="Times New Roman" w:hAnsi="Times New Roman"/>
                <w:i/>
                <w:color w:val="000000"/>
                <w:sz w:val="24"/>
                <w:szCs w:val="24"/>
              </w:rPr>
              <w:t xml:space="preserve"> </w:t>
            </w:r>
            <w:r w:rsidRPr="00FC1237">
              <w:rPr>
                <w:rFonts w:ascii="Times New Roman" w:hAnsi="Times New Roman"/>
                <w:sz w:val="24"/>
                <w:szCs w:val="24"/>
              </w:rPr>
              <w:t>jau paralēlās atspoguļošanas perioda sākumā</w:t>
            </w:r>
            <w:r>
              <w:rPr>
                <w:rFonts w:ascii="Times New Roman" w:hAnsi="Times New Roman"/>
                <w:sz w:val="24"/>
                <w:szCs w:val="24"/>
              </w:rPr>
              <w:t>)</w:t>
            </w:r>
            <w:r w:rsidRPr="00FC1237">
              <w:rPr>
                <w:rFonts w:ascii="Times New Roman" w:hAnsi="Times New Roman"/>
                <w:sz w:val="24"/>
                <w:szCs w:val="24"/>
              </w:rPr>
              <w:t xml:space="preserve">, līdz ar to normatīvajā aktā, kurā ir atsauce uz publicēto statistikas informāciju latos, var norādīt </w:t>
            </w:r>
            <w:proofErr w:type="spellStart"/>
            <w:r w:rsidRPr="00FC1237">
              <w:rPr>
                <w:rFonts w:ascii="Times New Roman" w:hAnsi="Times New Roman"/>
                <w:i/>
                <w:sz w:val="24"/>
                <w:szCs w:val="24"/>
              </w:rPr>
              <w:t>euro</w:t>
            </w:r>
            <w:proofErr w:type="spellEnd"/>
            <w:r w:rsidRPr="00FC1237">
              <w:rPr>
                <w:rFonts w:ascii="Times New Roman" w:hAnsi="Times New Roman"/>
                <w:sz w:val="24"/>
                <w:szCs w:val="24"/>
              </w:rPr>
              <w:t xml:space="preserve"> valūtu bez jebkādiem papildus grozījum</w:t>
            </w:r>
            <w:r>
              <w:rPr>
                <w:rFonts w:ascii="Times New Roman" w:hAnsi="Times New Roman"/>
                <w:sz w:val="24"/>
                <w:szCs w:val="24"/>
              </w:rPr>
              <w:t>iem, jo amatpersona</w:t>
            </w:r>
            <w:r w:rsidR="00CF52C0">
              <w:rPr>
                <w:rFonts w:ascii="Times New Roman" w:hAnsi="Times New Roman"/>
                <w:sz w:val="24"/>
                <w:szCs w:val="24"/>
              </w:rPr>
              <w:t>i</w:t>
            </w:r>
            <w:r>
              <w:rPr>
                <w:rFonts w:ascii="Times New Roman" w:hAnsi="Times New Roman"/>
                <w:sz w:val="24"/>
                <w:szCs w:val="24"/>
              </w:rPr>
              <w:t>, kas aprēķinās šos aģitācijas izdevumu limitus jau būs pieejama publi</w:t>
            </w:r>
            <w:r w:rsidR="00C1630E">
              <w:rPr>
                <w:rFonts w:ascii="Times New Roman" w:hAnsi="Times New Roman"/>
                <w:sz w:val="24"/>
                <w:szCs w:val="24"/>
              </w:rPr>
              <w:t>skota</w:t>
            </w:r>
            <w:r>
              <w:rPr>
                <w:rFonts w:ascii="Times New Roman" w:hAnsi="Times New Roman"/>
                <w:sz w:val="24"/>
                <w:szCs w:val="24"/>
              </w:rPr>
              <w:t xml:space="preserve"> </w:t>
            </w:r>
            <w:r w:rsidR="00CF52C0">
              <w:rPr>
                <w:rFonts w:ascii="Times New Roman" w:hAnsi="Times New Roman"/>
                <w:sz w:val="24"/>
                <w:szCs w:val="24"/>
              </w:rPr>
              <w:t xml:space="preserve">nepieciešamā </w:t>
            </w:r>
            <w:r>
              <w:rPr>
                <w:rFonts w:ascii="Times New Roman" w:hAnsi="Times New Roman"/>
                <w:sz w:val="24"/>
                <w:szCs w:val="24"/>
              </w:rPr>
              <w:t xml:space="preserve">statistikas informācija tieši </w:t>
            </w:r>
            <w:proofErr w:type="spellStart"/>
            <w:r w:rsidRPr="00FC1237">
              <w:rPr>
                <w:rFonts w:ascii="Times New Roman" w:hAnsi="Times New Roman"/>
                <w:i/>
                <w:sz w:val="24"/>
                <w:szCs w:val="24"/>
              </w:rPr>
              <w:t>euro</w:t>
            </w:r>
            <w:proofErr w:type="spellEnd"/>
            <w:r>
              <w:rPr>
                <w:rFonts w:ascii="Times New Roman" w:hAnsi="Times New Roman"/>
                <w:sz w:val="24"/>
                <w:szCs w:val="24"/>
              </w:rPr>
              <w:t xml:space="preserve"> valūtā.</w:t>
            </w:r>
          </w:p>
        </w:tc>
      </w:tr>
      <w:tr w:rsidR="00934144" w:rsidRPr="003B4BA5" w:rsidTr="00B54772">
        <w:trPr>
          <w:trHeight w:val="476"/>
        </w:trPr>
        <w:tc>
          <w:tcPr>
            <w:tcW w:w="403" w:type="dxa"/>
          </w:tcPr>
          <w:p w:rsidR="00934144" w:rsidRPr="003B4BA5" w:rsidRDefault="00934144" w:rsidP="00B54772">
            <w:pPr>
              <w:pStyle w:val="naiskr"/>
              <w:spacing w:before="0" w:after="0"/>
            </w:pPr>
            <w:r w:rsidRPr="003B4BA5">
              <w:lastRenderedPageBreak/>
              <w:t>5.</w:t>
            </w:r>
          </w:p>
        </w:tc>
        <w:tc>
          <w:tcPr>
            <w:tcW w:w="4315" w:type="dxa"/>
          </w:tcPr>
          <w:p w:rsidR="00934144" w:rsidRPr="003B4BA5" w:rsidRDefault="00934144" w:rsidP="00B54772">
            <w:pPr>
              <w:pStyle w:val="naiskr"/>
              <w:spacing w:before="0" w:after="0"/>
            </w:pPr>
            <w:r w:rsidRPr="003B4BA5">
              <w:t>Projekta izstrādē iesaistītās institūcijas</w:t>
            </w:r>
          </w:p>
        </w:tc>
        <w:tc>
          <w:tcPr>
            <w:tcW w:w="4643" w:type="dxa"/>
          </w:tcPr>
          <w:p w:rsidR="00A51531" w:rsidRPr="00A118F1" w:rsidRDefault="00A51531" w:rsidP="00A51531">
            <w:pPr>
              <w:pStyle w:val="Bezatstarpm"/>
              <w:rPr>
                <w:szCs w:val="24"/>
                <w:lang w:val="lv-LV"/>
              </w:rPr>
            </w:pPr>
            <w:r w:rsidRPr="00A118F1">
              <w:rPr>
                <w:szCs w:val="24"/>
                <w:lang w:val="lv-LV"/>
              </w:rPr>
              <w:t>Projekts šo jomu neskar.</w:t>
            </w:r>
          </w:p>
          <w:p w:rsidR="00934144" w:rsidRPr="003B4BA5" w:rsidRDefault="00934144" w:rsidP="00B54772">
            <w:pPr>
              <w:pStyle w:val="naiskr"/>
              <w:spacing w:before="0" w:after="0"/>
              <w:ind w:firstLine="385"/>
            </w:pPr>
          </w:p>
        </w:tc>
      </w:tr>
      <w:tr w:rsidR="00934144" w:rsidRPr="003B4BA5" w:rsidTr="00B54772">
        <w:trPr>
          <w:trHeight w:val="421"/>
        </w:trPr>
        <w:tc>
          <w:tcPr>
            <w:tcW w:w="403" w:type="dxa"/>
          </w:tcPr>
          <w:p w:rsidR="00934144" w:rsidRPr="003B4BA5" w:rsidRDefault="00934144" w:rsidP="00B54772">
            <w:pPr>
              <w:pStyle w:val="naiskr"/>
              <w:spacing w:before="0" w:after="0"/>
            </w:pPr>
            <w:r w:rsidRPr="003B4BA5">
              <w:t>6.</w:t>
            </w:r>
          </w:p>
        </w:tc>
        <w:tc>
          <w:tcPr>
            <w:tcW w:w="4315" w:type="dxa"/>
          </w:tcPr>
          <w:p w:rsidR="00934144" w:rsidRPr="003B4BA5" w:rsidRDefault="00934144" w:rsidP="00B54772">
            <w:pPr>
              <w:pStyle w:val="naiskr"/>
              <w:spacing w:before="0" w:after="0"/>
              <w:rPr>
                <w:i/>
                <w:highlight w:val="yellow"/>
              </w:rPr>
            </w:pPr>
            <w:r w:rsidRPr="003B4BA5">
              <w:t>Iemesli, kādēļ netika nodrošināta sabiedrības līdzdalība</w:t>
            </w:r>
          </w:p>
        </w:tc>
        <w:tc>
          <w:tcPr>
            <w:tcW w:w="4643" w:type="dxa"/>
          </w:tcPr>
          <w:p w:rsidR="00934144" w:rsidRPr="003B4BA5" w:rsidRDefault="00934144" w:rsidP="00B54772">
            <w:pPr>
              <w:pStyle w:val="Vresteksts"/>
              <w:spacing w:after="0" w:line="240" w:lineRule="auto"/>
              <w:ind w:firstLine="385"/>
              <w:jc w:val="both"/>
              <w:rPr>
                <w:rFonts w:ascii="Times New Roman" w:hAnsi="Times New Roman"/>
                <w:sz w:val="24"/>
                <w:szCs w:val="24"/>
              </w:rPr>
            </w:pPr>
            <w:r w:rsidRPr="003B4BA5">
              <w:rPr>
                <w:rFonts w:ascii="Times New Roman" w:hAnsi="Times New Roman"/>
                <w:sz w:val="24"/>
                <w:szCs w:val="24"/>
              </w:rPr>
              <w:t xml:space="preserve">Sabiedrības līdzdalība likumprojekta izstrādē netika nodrošināta, jo likumprojekts nemaina pastāvošo tiesisko regulējumu pēc būtības. </w:t>
            </w:r>
          </w:p>
        </w:tc>
      </w:tr>
      <w:tr w:rsidR="00934144" w:rsidRPr="003B4BA5" w:rsidTr="00B54772">
        <w:tc>
          <w:tcPr>
            <w:tcW w:w="403" w:type="dxa"/>
          </w:tcPr>
          <w:p w:rsidR="00934144" w:rsidRPr="003B4BA5" w:rsidRDefault="00934144" w:rsidP="00B54772">
            <w:pPr>
              <w:pStyle w:val="naiskr"/>
              <w:spacing w:before="0" w:after="0"/>
            </w:pPr>
            <w:r w:rsidRPr="003B4BA5">
              <w:t>7.</w:t>
            </w:r>
          </w:p>
        </w:tc>
        <w:tc>
          <w:tcPr>
            <w:tcW w:w="4315" w:type="dxa"/>
          </w:tcPr>
          <w:p w:rsidR="00934144" w:rsidRPr="003B4BA5" w:rsidRDefault="00934144" w:rsidP="00B54772">
            <w:pPr>
              <w:pStyle w:val="naiskr"/>
              <w:spacing w:before="0" w:after="0"/>
            </w:pPr>
            <w:r w:rsidRPr="003B4BA5">
              <w:t>Cita informācija</w:t>
            </w:r>
          </w:p>
        </w:tc>
        <w:tc>
          <w:tcPr>
            <w:tcW w:w="4643" w:type="dxa"/>
          </w:tcPr>
          <w:p w:rsidR="00934144" w:rsidRPr="003B4BA5" w:rsidRDefault="00934144" w:rsidP="00B54772">
            <w:pPr>
              <w:pStyle w:val="naiskr"/>
              <w:spacing w:before="0" w:after="0"/>
              <w:ind w:firstLine="385"/>
              <w:jc w:val="both"/>
            </w:pPr>
            <w:r w:rsidRPr="003B4BA5">
              <w:t xml:space="preserve">Likumprojekts ir virzāms izskatīšanai Saeimā vienotā ar </w:t>
            </w:r>
            <w:proofErr w:type="spellStart"/>
            <w:r w:rsidRPr="003B4BA5">
              <w:rPr>
                <w:i/>
              </w:rPr>
              <w:t>euro</w:t>
            </w:r>
            <w:proofErr w:type="spellEnd"/>
            <w:r w:rsidRPr="003B4BA5">
              <w:t xml:space="preserve"> ieviešanu saistīto likumprojektu paketē.</w:t>
            </w:r>
          </w:p>
          <w:p w:rsidR="00934144" w:rsidRPr="003B4BA5" w:rsidRDefault="00934144" w:rsidP="00B54772">
            <w:pPr>
              <w:pStyle w:val="naiskr"/>
              <w:spacing w:before="0" w:after="0"/>
              <w:ind w:firstLine="385"/>
              <w:jc w:val="both"/>
            </w:pPr>
            <w:r w:rsidRPr="003B4BA5">
              <w:t xml:space="preserve">Likumprojektam ir jābūt apstiprinātam un publicētam oficiālajā izdevumā „Latvijas Vēstnesis” līdz </w:t>
            </w:r>
            <w:proofErr w:type="spellStart"/>
            <w:r w:rsidRPr="003B4BA5">
              <w:rPr>
                <w:i/>
              </w:rPr>
              <w:t>euro</w:t>
            </w:r>
            <w:proofErr w:type="spellEnd"/>
            <w:r w:rsidRPr="003B4BA5">
              <w:t xml:space="preserve"> ieviešanas dienai.</w:t>
            </w:r>
          </w:p>
        </w:tc>
      </w:tr>
    </w:tbl>
    <w:p w:rsidR="00934144" w:rsidRDefault="00934144" w:rsidP="00934144">
      <w:pPr>
        <w:pStyle w:val="naisf"/>
        <w:spacing w:before="0" w:after="0"/>
        <w:ind w:firstLine="0"/>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3"/>
      </w:tblGrid>
      <w:tr w:rsidR="00BC5143" w:rsidRPr="0088390A" w:rsidTr="00A63F60">
        <w:tc>
          <w:tcPr>
            <w:tcW w:w="9503" w:type="dxa"/>
            <w:vAlign w:val="center"/>
          </w:tcPr>
          <w:p w:rsidR="00BC5143" w:rsidRPr="0088390A" w:rsidRDefault="00BC5143" w:rsidP="00BC5143">
            <w:pPr>
              <w:pStyle w:val="naisnod"/>
              <w:spacing w:before="0" w:after="0"/>
            </w:pPr>
            <w:r w:rsidRPr="0088390A">
              <w:t>II. Tiesību akta projekta ietekme uz sabiedrību</w:t>
            </w:r>
          </w:p>
        </w:tc>
      </w:tr>
      <w:tr w:rsidR="00BC5143" w:rsidRPr="0088390A" w:rsidTr="00A63F60">
        <w:trPr>
          <w:trHeight w:val="412"/>
        </w:trPr>
        <w:tc>
          <w:tcPr>
            <w:tcW w:w="9503" w:type="dxa"/>
          </w:tcPr>
          <w:p w:rsidR="00BC5143" w:rsidRPr="0088390A" w:rsidRDefault="00BC5143" w:rsidP="00A63F60">
            <w:pPr>
              <w:pStyle w:val="naiskr"/>
              <w:spacing w:before="0" w:after="0"/>
              <w:ind w:right="114" w:firstLine="572"/>
              <w:jc w:val="both"/>
            </w:pPr>
            <w:r>
              <w:t xml:space="preserve">Projekts nerada ietekmi uz sabiedrību, jo nemaina spēkā esošo tiesisko regulējumu pēc būtības. </w:t>
            </w:r>
          </w:p>
        </w:tc>
      </w:tr>
    </w:tbl>
    <w:p w:rsidR="00BC5143" w:rsidRPr="003B4BA5" w:rsidRDefault="00BC5143" w:rsidP="00934144">
      <w:pPr>
        <w:pStyle w:val="naisf"/>
        <w:spacing w:before="0" w:after="0"/>
        <w:ind w:firstLine="0"/>
      </w:pPr>
    </w:p>
    <w:tbl>
      <w:tblPr>
        <w:tblW w:w="93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934144" w:rsidRPr="003B4BA5" w:rsidTr="00B54772">
        <w:trPr>
          <w:trHeight w:val="652"/>
          <w:jc w:val="center"/>
        </w:trPr>
        <w:tc>
          <w:tcPr>
            <w:tcW w:w="9362" w:type="dxa"/>
          </w:tcPr>
          <w:p w:rsidR="00D445D5" w:rsidRPr="003B4BA5" w:rsidRDefault="00934144" w:rsidP="00D445D5">
            <w:pPr>
              <w:pStyle w:val="naisnod"/>
              <w:spacing w:before="0" w:after="0"/>
              <w:rPr>
                <w:i/>
                <w:color w:val="000000"/>
              </w:rPr>
            </w:pPr>
            <w:r w:rsidRPr="003B4BA5">
              <w:rPr>
                <w:color w:val="000000"/>
              </w:rPr>
              <w:br w:type="page"/>
            </w:r>
            <w:r w:rsidR="00D445D5" w:rsidRPr="003B4BA5">
              <w:rPr>
                <w:color w:val="000000"/>
              </w:rPr>
              <w:t>III. Tiesību akta projekta ietekme uz valsts budžetu un pašvaldību budžetiem</w:t>
            </w:r>
          </w:p>
        </w:tc>
      </w:tr>
      <w:tr w:rsidR="00D445D5" w:rsidRPr="003B4BA5" w:rsidTr="00B54772">
        <w:trPr>
          <w:trHeight w:val="652"/>
          <w:jc w:val="center"/>
        </w:trPr>
        <w:tc>
          <w:tcPr>
            <w:tcW w:w="9362" w:type="dxa"/>
          </w:tcPr>
          <w:p w:rsidR="00D445D5" w:rsidRPr="003B4BA5" w:rsidRDefault="00294D7B" w:rsidP="00D445D5">
            <w:pPr>
              <w:pStyle w:val="naisf"/>
              <w:spacing w:before="0" w:after="0"/>
              <w:ind w:firstLine="322"/>
              <w:rPr>
                <w:color w:val="000000"/>
              </w:rPr>
            </w:pPr>
            <w:r>
              <w:t>Projekts šo jomu neskar.</w:t>
            </w:r>
          </w:p>
        </w:tc>
      </w:tr>
    </w:tbl>
    <w:p w:rsidR="00934144" w:rsidRPr="003B4BA5" w:rsidRDefault="00934144" w:rsidP="00934144">
      <w:pPr>
        <w:pStyle w:val="naiskr"/>
        <w:tabs>
          <w:tab w:val="left" w:pos="2628"/>
        </w:tabs>
        <w:spacing w:before="0" w:after="0"/>
        <w:rPr>
          <w:i/>
          <w:color w:val="000000"/>
        </w:rPr>
      </w:pPr>
    </w:p>
    <w:tbl>
      <w:tblPr>
        <w:tblW w:w="9434"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4"/>
      </w:tblGrid>
      <w:tr w:rsidR="00934144" w:rsidRPr="003B4BA5" w:rsidTr="00B54772">
        <w:trPr>
          <w:jc w:val="center"/>
        </w:trPr>
        <w:tc>
          <w:tcPr>
            <w:tcW w:w="9434" w:type="dxa"/>
          </w:tcPr>
          <w:p w:rsidR="00934144" w:rsidRPr="003B4BA5" w:rsidRDefault="00934144" w:rsidP="00B54772">
            <w:pPr>
              <w:pStyle w:val="naisnod"/>
              <w:spacing w:before="0" w:after="0"/>
            </w:pPr>
            <w:r w:rsidRPr="003B4BA5">
              <w:t>IV. Tiesību akta projekta ietekme uz spēkā esošo tiesību normu sistēmu</w:t>
            </w:r>
          </w:p>
        </w:tc>
      </w:tr>
      <w:tr w:rsidR="00934144" w:rsidRPr="003B4BA5" w:rsidTr="00B54772">
        <w:trPr>
          <w:trHeight w:val="562"/>
          <w:jc w:val="center"/>
        </w:trPr>
        <w:tc>
          <w:tcPr>
            <w:tcW w:w="9434" w:type="dxa"/>
          </w:tcPr>
          <w:p w:rsidR="00934144" w:rsidRPr="003B4BA5" w:rsidRDefault="00294D7B" w:rsidP="00B54772">
            <w:pPr>
              <w:pStyle w:val="naiskr"/>
              <w:tabs>
                <w:tab w:val="left" w:pos="2628"/>
              </w:tabs>
              <w:spacing w:before="0" w:after="0"/>
              <w:ind w:firstLine="365"/>
              <w:jc w:val="both"/>
              <w:rPr>
                <w:iCs/>
              </w:rPr>
            </w:pPr>
            <w:r>
              <w:t>Projekts šo jomu neskar.</w:t>
            </w:r>
          </w:p>
        </w:tc>
      </w:tr>
    </w:tbl>
    <w:p w:rsidR="00934144" w:rsidRPr="003B4BA5" w:rsidRDefault="00934144" w:rsidP="00934144">
      <w:pPr>
        <w:rPr>
          <w:rFonts w:ascii="Times New Roman" w:hAnsi="Times New Roman"/>
          <w:sz w:val="24"/>
          <w:szCs w:val="24"/>
        </w:rPr>
      </w:pPr>
    </w:p>
    <w:tbl>
      <w:tblPr>
        <w:tblW w:w="9434"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4"/>
      </w:tblGrid>
      <w:tr w:rsidR="00934144" w:rsidRPr="003B4BA5" w:rsidTr="00B54772">
        <w:trPr>
          <w:jc w:val="center"/>
        </w:trPr>
        <w:tc>
          <w:tcPr>
            <w:tcW w:w="9434" w:type="dxa"/>
          </w:tcPr>
          <w:p w:rsidR="00934144" w:rsidRPr="003B4BA5" w:rsidRDefault="00934144" w:rsidP="00B54772">
            <w:pPr>
              <w:pStyle w:val="naisnod"/>
              <w:spacing w:before="0" w:after="0"/>
            </w:pPr>
            <w:r w:rsidRPr="003B4BA5">
              <w:t>V. Tiesību akta projekta atbilstība Latvijas Republikas starptautiskajām saistībām</w:t>
            </w:r>
          </w:p>
        </w:tc>
      </w:tr>
      <w:tr w:rsidR="00934144" w:rsidRPr="003B4BA5" w:rsidTr="00B54772">
        <w:trPr>
          <w:trHeight w:val="562"/>
          <w:jc w:val="center"/>
        </w:trPr>
        <w:tc>
          <w:tcPr>
            <w:tcW w:w="9434" w:type="dxa"/>
          </w:tcPr>
          <w:p w:rsidR="00934144" w:rsidRPr="003B4BA5" w:rsidRDefault="00294D7B" w:rsidP="00B54772">
            <w:pPr>
              <w:pStyle w:val="naiskr"/>
              <w:tabs>
                <w:tab w:val="left" w:pos="2628"/>
              </w:tabs>
              <w:spacing w:before="0" w:after="0"/>
              <w:ind w:firstLine="365"/>
              <w:jc w:val="both"/>
              <w:rPr>
                <w:iCs/>
              </w:rPr>
            </w:pPr>
            <w:r>
              <w:t>Projekts šo jomu neskar.</w:t>
            </w:r>
          </w:p>
        </w:tc>
      </w:tr>
    </w:tbl>
    <w:p w:rsidR="00934144" w:rsidRPr="003B4BA5" w:rsidRDefault="00934144" w:rsidP="00934144">
      <w:pPr>
        <w:rPr>
          <w:rFonts w:ascii="Times New Roman" w:hAnsi="Times New Roman"/>
          <w:sz w:val="24"/>
          <w:szCs w:val="24"/>
        </w:rPr>
      </w:pPr>
    </w:p>
    <w:tbl>
      <w:tblPr>
        <w:tblW w:w="9434"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34"/>
      </w:tblGrid>
      <w:tr w:rsidR="00934144" w:rsidRPr="003B4BA5" w:rsidTr="00B54772">
        <w:trPr>
          <w:jc w:val="center"/>
        </w:trPr>
        <w:tc>
          <w:tcPr>
            <w:tcW w:w="9434" w:type="dxa"/>
          </w:tcPr>
          <w:p w:rsidR="00934144" w:rsidRPr="003B4BA5" w:rsidRDefault="00934144" w:rsidP="00B54772">
            <w:pPr>
              <w:pStyle w:val="naisnod"/>
              <w:spacing w:before="0" w:after="0"/>
              <w:ind w:left="57" w:right="57"/>
            </w:pPr>
            <w:r w:rsidRPr="003B4BA5">
              <w:t>VI. Sabiedrības līdzdalība un šīs līdzdalības rezultāti</w:t>
            </w:r>
          </w:p>
        </w:tc>
      </w:tr>
      <w:tr w:rsidR="00934144" w:rsidRPr="003B4BA5" w:rsidTr="00B54772">
        <w:trPr>
          <w:trHeight w:val="543"/>
          <w:jc w:val="center"/>
        </w:trPr>
        <w:tc>
          <w:tcPr>
            <w:tcW w:w="9434" w:type="dxa"/>
          </w:tcPr>
          <w:p w:rsidR="00934144" w:rsidRPr="003B4BA5" w:rsidRDefault="00294D7B" w:rsidP="00B54772">
            <w:pPr>
              <w:pStyle w:val="naiskr"/>
              <w:spacing w:before="0" w:after="0"/>
              <w:ind w:left="57" w:right="57" w:firstLine="427"/>
              <w:jc w:val="both"/>
            </w:pPr>
            <w:r>
              <w:t>Projekts šo jomu neskar.</w:t>
            </w:r>
          </w:p>
        </w:tc>
      </w:tr>
    </w:tbl>
    <w:p w:rsidR="00934144" w:rsidRPr="003B4BA5" w:rsidRDefault="00934144" w:rsidP="00934144">
      <w:pPr>
        <w:rPr>
          <w:rFonts w:ascii="Times New Roman" w:hAnsi="Times New Roman"/>
          <w:sz w:val="24"/>
          <w:szCs w:val="24"/>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356"/>
      </w:tblGrid>
      <w:tr w:rsidR="00934144" w:rsidRPr="003B4BA5" w:rsidTr="00B54772">
        <w:tc>
          <w:tcPr>
            <w:tcW w:w="9356" w:type="dxa"/>
            <w:tcBorders>
              <w:top w:val="single" w:sz="4" w:space="0" w:color="auto"/>
            </w:tcBorders>
          </w:tcPr>
          <w:p w:rsidR="00934144" w:rsidRPr="003B4BA5" w:rsidRDefault="00934144" w:rsidP="00B54772">
            <w:pPr>
              <w:pStyle w:val="naisnod"/>
              <w:spacing w:before="0" w:after="0"/>
              <w:ind w:left="57" w:right="57"/>
            </w:pPr>
            <w:r w:rsidRPr="003B4BA5">
              <w:t>VII. Tiesību akta projekta izpildes nodrošināšana un tās ietekme uz institūcijām</w:t>
            </w:r>
          </w:p>
        </w:tc>
      </w:tr>
      <w:tr w:rsidR="00934144" w:rsidRPr="003B4BA5" w:rsidTr="00B54772">
        <w:trPr>
          <w:trHeight w:val="463"/>
        </w:trPr>
        <w:tc>
          <w:tcPr>
            <w:tcW w:w="9356" w:type="dxa"/>
          </w:tcPr>
          <w:p w:rsidR="00934144" w:rsidRPr="003B4BA5" w:rsidRDefault="00294D7B" w:rsidP="00B54772">
            <w:pPr>
              <w:pStyle w:val="naiskr"/>
              <w:ind w:left="57" w:right="57" w:firstLine="369"/>
              <w:rPr>
                <w:b/>
              </w:rPr>
            </w:pPr>
            <w:r>
              <w:t>Projekts šo jomu neskar.</w:t>
            </w:r>
          </w:p>
        </w:tc>
      </w:tr>
    </w:tbl>
    <w:p w:rsidR="00934144" w:rsidRPr="003B4BA5" w:rsidRDefault="00934144" w:rsidP="00934144">
      <w:pPr>
        <w:spacing w:after="0" w:line="240" w:lineRule="auto"/>
        <w:jc w:val="both"/>
        <w:rPr>
          <w:rFonts w:ascii="Times New Roman" w:eastAsia="Times New Roman" w:hAnsi="Times New Roman"/>
          <w:bCs/>
          <w:sz w:val="24"/>
          <w:szCs w:val="24"/>
          <w:lang w:eastAsia="lv-LV"/>
        </w:rPr>
      </w:pPr>
    </w:p>
    <w:p w:rsidR="00934144" w:rsidRPr="003B4BA5" w:rsidRDefault="00934144" w:rsidP="00934144">
      <w:pPr>
        <w:spacing w:after="0" w:line="240" w:lineRule="auto"/>
        <w:jc w:val="both"/>
        <w:rPr>
          <w:rFonts w:ascii="Times New Roman" w:eastAsia="Times New Roman" w:hAnsi="Times New Roman"/>
          <w:bCs/>
          <w:sz w:val="24"/>
          <w:szCs w:val="24"/>
          <w:lang w:eastAsia="lv-LV"/>
        </w:rPr>
      </w:pPr>
    </w:p>
    <w:p w:rsidR="00934144" w:rsidRPr="003B4BA5" w:rsidRDefault="00934144" w:rsidP="00934144">
      <w:pPr>
        <w:spacing w:after="0" w:line="240" w:lineRule="auto"/>
        <w:jc w:val="both"/>
        <w:rPr>
          <w:rFonts w:ascii="Times New Roman" w:eastAsia="Times New Roman" w:hAnsi="Times New Roman"/>
          <w:bCs/>
          <w:sz w:val="24"/>
          <w:szCs w:val="24"/>
          <w:lang w:eastAsia="lv-LV"/>
        </w:rPr>
      </w:pPr>
    </w:p>
    <w:p w:rsidR="00934144" w:rsidRPr="003B4BA5" w:rsidRDefault="00934144" w:rsidP="00934144">
      <w:pPr>
        <w:pStyle w:val="naisf"/>
        <w:spacing w:before="0" w:after="0"/>
        <w:ind w:firstLine="0"/>
      </w:pPr>
      <w:r w:rsidRPr="003B4BA5">
        <w:t>Tieslietu ministrs</w:t>
      </w:r>
      <w:r w:rsidRPr="003B4BA5">
        <w:tab/>
      </w:r>
      <w:r w:rsidRPr="003B4BA5">
        <w:tab/>
      </w:r>
      <w:r w:rsidRPr="003B4BA5">
        <w:tab/>
      </w:r>
      <w:r w:rsidRPr="003B4BA5">
        <w:tab/>
      </w:r>
      <w:r w:rsidRPr="003B4BA5">
        <w:tab/>
      </w:r>
      <w:r w:rsidRPr="003B4BA5">
        <w:tab/>
      </w:r>
      <w:proofErr w:type="spellStart"/>
      <w:r w:rsidRPr="003B4BA5">
        <w:t>J.Bordāns</w:t>
      </w:r>
      <w:proofErr w:type="spellEnd"/>
    </w:p>
    <w:p w:rsidR="00934144" w:rsidRPr="003B4BA5" w:rsidRDefault="00934144" w:rsidP="00934144">
      <w:pPr>
        <w:pStyle w:val="Bezatstarpm"/>
        <w:rPr>
          <w:szCs w:val="24"/>
          <w:lang w:val="lv-LV"/>
        </w:rPr>
      </w:pPr>
    </w:p>
    <w:p w:rsidR="00934144" w:rsidRPr="003B4BA5" w:rsidRDefault="00934144" w:rsidP="00934144">
      <w:pPr>
        <w:pStyle w:val="Bezatstarpm"/>
        <w:rPr>
          <w:szCs w:val="24"/>
          <w:lang w:val="lv-LV"/>
        </w:rPr>
      </w:pPr>
    </w:p>
    <w:p w:rsidR="00934144" w:rsidRPr="003B4BA5" w:rsidRDefault="00934144" w:rsidP="00934144">
      <w:pPr>
        <w:tabs>
          <w:tab w:val="left" w:pos="7655"/>
        </w:tabs>
        <w:spacing w:after="0" w:line="240" w:lineRule="auto"/>
        <w:jc w:val="both"/>
        <w:rPr>
          <w:rFonts w:ascii="Times New Roman" w:hAnsi="Times New Roman"/>
          <w:sz w:val="24"/>
          <w:szCs w:val="24"/>
        </w:rPr>
      </w:pPr>
    </w:p>
    <w:p w:rsidR="00934144" w:rsidRPr="003B4BA5" w:rsidRDefault="00934144" w:rsidP="00934144">
      <w:pPr>
        <w:tabs>
          <w:tab w:val="left" w:pos="7655"/>
        </w:tabs>
        <w:spacing w:after="0" w:line="240" w:lineRule="auto"/>
        <w:jc w:val="both"/>
        <w:rPr>
          <w:rFonts w:ascii="Times New Roman" w:hAnsi="Times New Roman"/>
          <w:sz w:val="24"/>
          <w:szCs w:val="24"/>
        </w:rPr>
      </w:pPr>
    </w:p>
    <w:p w:rsidR="00934144" w:rsidRPr="003B4BA5" w:rsidRDefault="00934144" w:rsidP="00934144">
      <w:pPr>
        <w:tabs>
          <w:tab w:val="left" w:pos="7655"/>
        </w:tabs>
        <w:spacing w:after="0" w:line="240" w:lineRule="auto"/>
        <w:jc w:val="both"/>
        <w:rPr>
          <w:rFonts w:ascii="Times New Roman" w:hAnsi="Times New Roman"/>
          <w:sz w:val="24"/>
          <w:szCs w:val="24"/>
        </w:rPr>
      </w:pPr>
    </w:p>
    <w:p w:rsidR="00934144" w:rsidRPr="003B4BA5" w:rsidRDefault="00934144" w:rsidP="00934144">
      <w:pPr>
        <w:tabs>
          <w:tab w:val="left" w:pos="7655"/>
        </w:tabs>
        <w:spacing w:after="0" w:line="240" w:lineRule="auto"/>
        <w:ind w:left="709"/>
        <w:jc w:val="both"/>
        <w:rPr>
          <w:rFonts w:ascii="Times New Roman" w:hAnsi="Times New Roman"/>
          <w:sz w:val="24"/>
          <w:szCs w:val="24"/>
        </w:rPr>
      </w:pPr>
    </w:p>
    <w:p w:rsidR="00934144" w:rsidRPr="00CB25DD" w:rsidRDefault="007B2FD2" w:rsidP="00934144">
      <w:pPr>
        <w:tabs>
          <w:tab w:val="left" w:pos="7655"/>
        </w:tabs>
        <w:spacing w:after="0" w:line="240" w:lineRule="auto"/>
        <w:jc w:val="both"/>
        <w:rPr>
          <w:rFonts w:ascii="Times New Roman" w:hAnsi="Times New Roman"/>
          <w:sz w:val="20"/>
          <w:szCs w:val="20"/>
        </w:rPr>
      </w:pPr>
      <w:r>
        <w:rPr>
          <w:rFonts w:ascii="Times New Roman" w:hAnsi="Times New Roman"/>
          <w:sz w:val="20"/>
          <w:szCs w:val="20"/>
        </w:rPr>
        <w:t>11</w:t>
      </w:r>
      <w:r w:rsidR="00934144" w:rsidRPr="00CB25DD">
        <w:rPr>
          <w:rFonts w:ascii="Times New Roman" w:hAnsi="Times New Roman"/>
          <w:sz w:val="20"/>
          <w:szCs w:val="20"/>
        </w:rPr>
        <w:t>.</w:t>
      </w:r>
      <w:r w:rsidR="007236EB">
        <w:rPr>
          <w:rFonts w:ascii="Times New Roman" w:hAnsi="Times New Roman"/>
          <w:sz w:val="20"/>
          <w:szCs w:val="20"/>
        </w:rPr>
        <w:t>0</w:t>
      </w:r>
      <w:r w:rsidR="00F24F24">
        <w:rPr>
          <w:rFonts w:ascii="Times New Roman" w:hAnsi="Times New Roman"/>
          <w:sz w:val="20"/>
          <w:szCs w:val="20"/>
        </w:rPr>
        <w:t>7</w:t>
      </w:r>
      <w:r w:rsidR="00934144" w:rsidRPr="00CB25DD">
        <w:rPr>
          <w:rFonts w:ascii="Times New Roman" w:hAnsi="Times New Roman"/>
          <w:sz w:val="20"/>
          <w:szCs w:val="20"/>
        </w:rPr>
        <w:t xml:space="preserve">.2013. 16.00 </w:t>
      </w:r>
    </w:p>
    <w:p w:rsidR="00934144" w:rsidRPr="00CB25DD" w:rsidRDefault="00A51531" w:rsidP="00934144">
      <w:pPr>
        <w:tabs>
          <w:tab w:val="left" w:pos="7655"/>
        </w:tabs>
        <w:spacing w:after="0" w:line="240" w:lineRule="auto"/>
        <w:jc w:val="both"/>
        <w:rPr>
          <w:rFonts w:ascii="Times New Roman" w:hAnsi="Times New Roman"/>
          <w:sz w:val="20"/>
          <w:szCs w:val="20"/>
        </w:rPr>
      </w:pPr>
      <w:r>
        <w:rPr>
          <w:rFonts w:ascii="Times New Roman" w:hAnsi="Times New Roman"/>
          <w:sz w:val="20"/>
          <w:szCs w:val="20"/>
        </w:rPr>
        <w:t>5</w:t>
      </w:r>
      <w:r w:rsidR="00F24F24">
        <w:rPr>
          <w:rFonts w:ascii="Times New Roman" w:hAnsi="Times New Roman"/>
          <w:sz w:val="20"/>
          <w:szCs w:val="20"/>
        </w:rPr>
        <w:t>4</w:t>
      </w:r>
      <w:r w:rsidR="00C1630E">
        <w:rPr>
          <w:rFonts w:ascii="Times New Roman" w:hAnsi="Times New Roman"/>
          <w:sz w:val="20"/>
          <w:szCs w:val="20"/>
        </w:rPr>
        <w:t>8</w:t>
      </w:r>
    </w:p>
    <w:p w:rsidR="00934144" w:rsidRPr="00CB25DD" w:rsidRDefault="00934144" w:rsidP="00934144">
      <w:pPr>
        <w:spacing w:after="0"/>
        <w:jc w:val="both"/>
        <w:rPr>
          <w:rFonts w:ascii="Times New Roman" w:hAnsi="Times New Roman"/>
          <w:sz w:val="20"/>
          <w:szCs w:val="20"/>
        </w:rPr>
      </w:pPr>
      <w:bookmarkStart w:id="0" w:name="OLE_LINK18"/>
      <w:bookmarkStart w:id="1" w:name="OLE_LINK19"/>
      <w:r w:rsidRPr="00CB25DD">
        <w:rPr>
          <w:rFonts w:ascii="Times New Roman" w:hAnsi="Times New Roman"/>
          <w:sz w:val="20"/>
          <w:szCs w:val="20"/>
        </w:rPr>
        <w:t>I.Brīnuma</w:t>
      </w:r>
    </w:p>
    <w:p w:rsidR="00934144" w:rsidRPr="00CB25DD" w:rsidRDefault="00934144" w:rsidP="00934144">
      <w:pPr>
        <w:spacing w:after="0"/>
        <w:rPr>
          <w:rFonts w:ascii="Times New Roman" w:eastAsia="BatangChe" w:hAnsi="Times New Roman"/>
          <w:sz w:val="20"/>
          <w:szCs w:val="20"/>
        </w:rPr>
      </w:pPr>
      <w:bookmarkStart w:id="2" w:name="OLE_LINK8"/>
      <w:r w:rsidRPr="00CB25DD">
        <w:rPr>
          <w:rFonts w:ascii="Times New Roman" w:hAnsi="Times New Roman"/>
          <w:sz w:val="20"/>
          <w:szCs w:val="20"/>
        </w:rPr>
        <w:t xml:space="preserve">67036977, </w:t>
      </w:r>
      <w:hyperlink r:id="rId7" w:history="1">
        <w:r w:rsidRPr="00CB25DD">
          <w:rPr>
            <w:rStyle w:val="Hipersaite"/>
            <w:rFonts w:ascii="Times New Roman" w:hAnsi="Times New Roman"/>
            <w:sz w:val="20"/>
            <w:szCs w:val="20"/>
          </w:rPr>
          <w:t>iveta.brinuma@tm.gov.lv</w:t>
        </w:r>
      </w:hyperlink>
      <w:bookmarkEnd w:id="0"/>
      <w:bookmarkEnd w:id="1"/>
      <w:bookmarkEnd w:id="2"/>
    </w:p>
    <w:p w:rsidR="00006A64" w:rsidRPr="003B4BA5" w:rsidRDefault="00006A64">
      <w:pPr>
        <w:rPr>
          <w:rFonts w:ascii="Times New Roman" w:hAnsi="Times New Roman"/>
          <w:sz w:val="24"/>
          <w:szCs w:val="24"/>
        </w:rPr>
      </w:pPr>
    </w:p>
    <w:sectPr w:rsidR="00006A64" w:rsidRPr="003B4BA5" w:rsidSect="00C3055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44" w:rsidRDefault="00934144" w:rsidP="00934144">
      <w:pPr>
        <w:spacing w:after="0" w:line="240" w:lineRule="auto"/>
      </w:pPr>
      <w:r>
        <w:separator/>
      </w:r>
    </w:p>
  </w:endnote>
  <w:endnote w:type="continuationSeparator" w:id="0">
    <w:p w:rsidR="00934144" w:rsidRDefault="00934144" w:rsidP="0093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D2" w:rsidRDefault="007B2FD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C7" w:rsidRPr="00F91FC7" w:rsidRDefault="00277A8A" w:rsidP="00F91FC7">
    <w:pPr>
      <w:pStyle w:val="tv2071"/>
      <w:spacing w:after="0" w:line="240" w:lineRule="auto"/>
      <w:jc w:val="left"/>
      <w:rPr>
        <w:rFonts w:ascii="Times New Roman" w:hAnsi="Times New Roman"/>
        <w:b w:val="0"/>
        <w:sz w:val="20"/>
        <w:szCs w:val="20"/>
      </w:rPr>
    </w:pPr>
    <w:r>
      <w:rPr>
        <w:rFonts w:ascii="Times New Roman" w:hAnsi="Times New Roman"/>
        <w:b w:val="0"/>
        <w:sz w:val="20"/>
        <w:szCs w:val="20"/>
      </w:rPr>
      <w:t>TMAnot_</w:t>
    </w:r>
    <w:r w:rsidR="007B2FD2">
      <w:rPr>
        <w:rFonts w:ascii="Times New Roman" w:hAnsi="Times New Roman"/>
        <w:b w:val="0"/>
        <w:sz w:val="20"/>
        <w:szCs w:val="20"/>
      </w:rPr>
      <w:t>11</w:t>
    </w:r>
    <w:r w:rsidR="00F24F24">
      <w:rPr>
        <w:rFonts w:ascii="Times New Roman" w:hAnsi="Times New Roman"/>
        <w:b w:val="0"/>
        <w:sz w:val="20"/>
        <w:szCs w:val="20"/>
      </w:rPr>
      <w:t>07</w:t>
    </w:r>
    <w:r w:rsidRPr="00277A8A">
      <w:rPr>
        <w:rFonts w:ascii="Times New Roman" w:hAnsi="Times New Roman"/>
        <w:b w:val="0"/>
        <w:sz w:val="20"/>
        <w:szCs w:val="20"/>
      </w:rPr>
      <w:t>13_TautBalEUR</w:t>
    </w:r>
    <w:r w:rsidR="00F91FC7" w:rsidRPr="00F91FC7">
      <w:rPr>
        <w:rFonts w:ascii="Times New Roman" w:hAnsi="Times New Roman"/>
        <w:b w:val="0"/>
        <w:sz w:val="20"/>
        <w:szCs w:val="20"/>
      </w:rPr>
      <w:t xml:space="preserve">; Likumprojekta „Grozījums likumā „Par tautas nobalsošanu, likumu ierosināšanu un Eiropas pilsoņu iniciatīvu”” sākotnējās ietekmes novērtējuma </w:t>
    </w:r>
    <w:smartTag w:uri="schemas-tilde-lv/tildestengine" w:element="veidnes">
      <w:smartTagPr>
        <w:attr w:name="id" w:val="-1"/>
        <w:attr w:name="baseform" w:val="ziņojums"/>
        <w:attr w:name="text" w:val="ziņojums"/>
      </w:smartTagPr>
      <w:r w:rsidR="00F91FC7" w:rsidRPr="00F91FC7">
        <w:rPr>
          <w:rFonts w:ascii="Times New Roman" w:hAnsi="Times New Roman"/>
          <w:b w:val="0"/>
          <w:sz w:val="20"/>
          <w:szCs w:val="20"/>
        </w:rPr>
        <w:t>ziņojums</w:t>
      </w:r>
    </w:smartTag>
    <w:r w:rsidR="00F91FC7" w:rsidRPr="00F91FC7">
      <w:rPr>
        <w:rFonts w:ascii="Times New Roman" w:hAnsi="Times New Roman"/>
        <w:b w:val="0"/>
        <w:sz w:val="20"/>
        <w:szCs w:val="20"/>
      </w:rPr>
      <w:t xml:space="preserve"> (anotācija)</w:t>
    </w:r>
  </w:p>
  <w:p w:rsidR="0097787D" w:rsidRPr="006C5F86" w:rsidRDefault="007A5886" w:rsidP="006C5F86">
    <w:pPr>
      <w:pStyle w:val="Kjene"/>
      <w:tabs>
        <w:tab w:val="clear" w:pos="8306"/>
        <w:tab w:val="right" w:pos="9072"/>
      </w:tabs>
      <w:spacing w:after="0" w:line="240" w:lineRule="auto"/>
      <w:ind w:right="-766"/>
      <w:rPr>
        <w:rFonts w:ascii="Times New Roman" w:hAnsi="Times New Roman"/>
        <w:sz w:val="20"/>
        <w:szCs w:val="20"/>
      </w:rPr>
    </w:pPr>
  </w:p>
  <w:p w:rsidR="0097787D" w:rsidRDefault="007A588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144" w:rsidRPr="00934144" w:rsidRDefault="007A5886" w:rsidP="00934144">
    <w:pPr>
      <w:pStyle w:val="tv2071"/>
      <w:spacing w:after="0" w:line="240" w:lineRule="auto"/>
      <w:jc w:val="both"/>
      <w:rPr>
        <w:rFonts w:ascii="Times New Roman" w:hAnsi="Times New Roman"/>
        <w:b w:val="0"/>
        <w:sz w:val="20"/>
        <w:szCs w:val="20"/>
      </w:rPr>
    </w:pPr>
    <w:r>
      <w:rPr>
        <w:rFonts w:ascii="Times New Roman" w:hAnsi="Times New Roman"/>
        <w:b w:val="0"/>
        <w:sz w:val="20"/>
        <w:szCs w:val="20"/>
      </w:rPr>
      <w:t>TMAnot_11</w:t>
    </w:r>
    <w:bookmarkStart w:id="3" w:name="_GoBack"/>
    <w:bookmarkEnd w:id="3"/>
    <w:r w:rsidR="00F24F24">
      <w:rPr>
        <w:rFonts w:ascii="Times New Roman" w:hAnsi="Times New Roman"/>
        <w:b w:val="0"/>
        <w:sz w:val="20"/>
        <w:szCs w:val="20"/>
      </w:rPr>
      <w:t>07</w:t>
    </w:r>
    <w:r w:rsidR="00F24F24" w:rsidRPr="00277A8A">
      <w:rPr>
        <w:rFonts w:ascii="Times New Roman" w:hAnsi="Times New Roman"/>
        <w:b w:val="0"/>
        <w:sz w:val="20"/>
        <w:szCs w:val="20"/>
      </w:rPr>
      <w:t>13_TautBalEUR</w:t>
    </w:r>
    <w:r w:rsidR="00F91FC7" w:rsidRPr="00934144">
      <w:rPr>
        <w:rFonts w:ascii="Times New Roman" w:hAnsi="Times New Roman"/>
        <w:b w:val="0"/>
        <w:sz w:val="20"/>
        <w:szCs w:val="20"/>
      </w:rPr>
      <w:t xml:space="preserve">; </w:t>
    </w:r>
    <w:r w:rsidR="00934144" w:rsidRPr="00934144">
      <w:rPr>
        <w:rFonts w:ascii="Times New Roman" w:hAnsi="Times New Roman"/>
        <w:b w:val="0"/>
        <w:sz w:val="20"/>
        <w:szCs w:val="20"/>
      </w:rPr>
      <w:t xml:space="preserve">Likumprojekta „Grozījums likumā „Par tautas nobalsošanu, likumu ierosināšanu un Eiropas pilsoņu iniciatīvu”” sākotnējās ietekmes novērtējuma </w:t>
    </w:r>
    <w:smartTag w:uri="schemas-tilde-lv/tildestengine" w:element="veidnes">
      <w:smartTagPr>
        <w:attr w:name="id" w:val="-1"/>
        <w:attr w:name="baseform" w:val="ziņojums"/>
        <w:attr w:name="text" w:val="ziņojums"/>
      </w:smartTagPr>
      <w:r w:rsidR="00934144" w:rsidRPr="00934144">
        <w:rPr>
          <w:rFonts w:ascii="Times New Roman" w:hAnsi="Times New Roman"/>
          <w:b w:val="0"/>
          <w:sz w:val="20"/>
          <w:szCs w:val="20"/>
        </w:rPr>
        <w:t>ziņojums</w:t>
      </w:r>
    </w:smartTag>
    <w:r w:rsidR="00934144" w:rsidRPr="00934144">
      <w:rPr>
        <w:rFonts w:ascii="Times New Roman" w:hAnsi="Times New Roman"/>
        <w:b w:val="0"/>
        <w:sz w:val="20"/>
        <w:szCs w:val="20"/>
      </w:rPr>
      <w:t xml:space="preserve"> (anotācija)</w:t>
    </w:r>
  </w:p>
  <w:p w:rsidR="00FC4A53" w:rsidRPr="006C5F86" w:rsidRDefault="007A5886" w:rsidP="00FC4A53">
    <w:pPr>
      <w:pStyle w:val="Kjene"/>
      <w:tabs>
        <w:tab w:val="clear" w:pos="8306"/>
        <w:tab w:val="right" w:pos="9072"/>
      </w:tabs>
      <w:spacing w:after="0" w:line="240" w:lineRule="auto"/>
      <w:ind w:right="-766"/>
      <w:rPr>
        <w:rFonts w:ascii="Times New Roman" w:hAnsi="Times New Roman"/>
        <w:sz w:val="20"/>
        <w:szCs w:val="20"/>
      </w:rPr>
    </w:pPr>
  </w:p>
  <w:p w:rsidR="0097787D" w:rsidRDefault="007A588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44" w:rsidRDefault="00934144" w:rsidP="00934144">
      <w:pPr>
        <w:spacing w:after="0" w:line="240" w:lineRule="auto"/>
      </w:pPr>
      <w:r>
        <w:separator/>
      </w:r>
    </w:p>
  </w:footnote>
  <w:footnote w:type="continuationSeparator" w:id="0">
    <w:p w:rsidR="00934144" w:rsidRDefault="00934144" w:rsidP="00934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D2" w:rsidRDefault="007B2FD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7D" w:rsidRDefault="00F91FC7">
    <w:pPr>
      <w:pStyle w:val="Galvene"/>
      <w:jc w:val="center"/>
    </w:pPr>
    <w:r>
      <w:fldChar w:fldCharType="begin"/>
    </w:r>
    <w:r>
      <w:instrText>PAGE   \* MERGEFORMAT</w:instrText>
    </w:r>
    <w:r>
      <w:fldChar w:fldCharType="separate"/>
    </w:r>
    <w:r w:rsidR="007A5886">
      <w:rPr>
        <w:noProof/>
      </w:rPr>
      <w:t>2</w:t>
    </w:r>
    <w:r>
      <w:fldChar w:fldCharType="end"/>
    </w:r>
  </w:p>
  <w:p w:rsidR="0097787D" w:rsidRDefault="007A588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D2" w:rsidRDefault="007B2FD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44"/>
    <w:rsid w:val="00006A64"/>
    <w:rsid w:val="00277A8A"/>
    <w:rsid w:val="00294D7B"/>
    <w:rsid w:val="003B4BA5"/>
    <w:rsid w:val="003F7186"/>
    <w:rsid w:val="004216B6"/>
    <w:rsid w:val="005132FD"/>
    <w:rsid w:val="006542E9"/>
    <w:rsid w:val="007236EB"/>
    <w:rsid w:val="007A5886"/>
    <w:rsid w:val="007B2FD2"/>
    <w:rsid w:val="00934144"/>
    <w:rsid w:val="009D3AAD"/>
    <w:rsid w:val="009D6908"/>
    <w:rsid w:val="00A118F1"/>
    <w:rsid w:val="00A246CF"/>
    <w:rsid w:val="00A51531"/>
    <w:rsid w:val="00B05141"/>
    <w:rsid w:val="00B1262A"/>
    <w:rsid w:val="00BC5143"/>
    <w:rsid w:val="00BD2A9A"/>
    <w:rsid w:val="00C1630E"/>
    <w:rsid w:val="00C5589C"/>
    <w:rsid w:val="00CB25DD"/>
    <w:rsid w:val="00CF52C0"/>
    <w:rsid w:val="00D445D5"/>
    <w:rsid w:val="00DF7404"/>
    <w:rsid w:val="00F24F24"/>
    <w:rsid w:val="00F40D3A"/>
    <w:rsid w:val="00F91FC7"/>
    <w:rsid w:val="00FB4B42"/>
    <w:rsid w:val="00FC12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34144"/>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934144"/>
    <w:rPr>
      <w:sz w:val="20"/>
      <w:szCs w:val="20"/>
    </w:rPr>
  </w:style>
  <w:style w:type="character" w:customStyle="1" w:styleId="VrestekstsRakstz">
    <w:name w:val="Vēres teksts Rakstz."/>
    <w:basedOn w:val="Noklusjumarindkopasfonts"/>
    <w:link w:val="Vresteksts"/>
    <w:rsid w:val="00934144"/>
    <w:rPr>
      <w:rFonts w:ascii="Calibri" w:eastAsia="Calibri" w:hAnsi="Calibri" w:cs="Times New Roman"/>
      <w:sz w:val="20"/>
      <w:szCs w:val="20"/>
    </w:rPr>
  </w:style>
  <w:style w:type="paragraph" w:customStyle="1" w:styleId="naisf">
    <w:name w:val="naisf"/>
    <w:basedOn w:val="Parasts"/>
    <w:rsid w:val="0093414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934144"/>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934144"/>
    <w:pPr>
      <w:spacing w:before="75" w:after="75" w:line="240" w:lineRule="auto"/>
    </w:pPr>
    <w:rPr>
      <w:rFonts w:ascii="Times New Roman" w:eastAsia="Times New Roman" w:hAnsi="Times New Roman"/>
      <w:sz w:val="24"/>
      <w:szCs w:val="24"/>
      <w:lang w:eastAsia="lv-LV"/>
    </w:rPr>
  </w:style>
  <w:style w:type="character" w:styleId="Hipersaite">
    <w:name w:val="Hyperlink"/>
    <w:unhideWhenUsed/>
    <w:rsid w:val="00934144"/>
    <w:rPr>
      <w:color w:val="0000FF"/>
      <w:u w:val="single"/>
    </w:rPr>
  </w:style>
  <w:style w:type="paragraph" w:customStyle="1" w:styleId="naislab">
    <w:name w:val="naislab"/>
    <w:basedOn w:val="Parasts"/>
    <w:rsid w:val="00934144"/>
    <w:pPr>
      <w:spacing w:before="75" w:after="75" w:line="240" w:lineRule="auto"/>
      <w:jc w:val="right"/>
    </w:pPr>
    <w:rPr>
      <w:rFonts w:ascii="Times New Roman" w:eastAsia="Times New Roman" w:hAnsi="Times New Roman"/>
      <w:sz w:val="24"/>
      <w:szCs w:val="24"/>
      <w:lang w:eastAsia="lv-LV"/>
    </w:rPr>
  </w:style>
  <w:style w:type="paragraph" w:customStyle="1" w:styleId="tv2131">
    <w:name w:val="tv2131"/>
    <w:basedOn w:val="Parasts"/>
    <w:rsid w:val="00934144"/>
    <w:pPr>
      <w:spacing w:before="240" w:after="0" w:line="360" w:lineRule="auto"/>
      <w:ind w:firstLine="300"/>
      <w:jc w:val="both"/>
    </w:pPr>
    <w:rPr>
      <w:rFonts w:ascii="Verdana" w:eastAsia="Times New Roman" w:hAnsi="Verdana"/>
      <w:sz w:val="18"/>
      <w:szCs w:val="18"/>
      <w:lang w:eastAsia="lv-LV"/>
    </w:rPr>
  </w:style>
  <w:style w:type="paragraph" w:styleId="Galvene">
    <w:name w:val="header"/>
    <w:basedOn w:val="Parasts"/>
    <w:link w:val="GalveneRakstz"/>
    <w:uiPriority w:val="99"/>
    <w:unhideWhenUsed/>
    <w:rsid w:val="00934144"/>
    <w:pPr>
      <w:tabs>
        <w:tab w:val="center" w:pos="4153"/>
        <w:tab w:val="right" w:pos="8306"/>
      </w:tabs>
    </w:pPr>
  </w:style>
  <w:style w:type="character" w:customStyle="1" w:styleId="GalveneRakstz">
    <w:name w:val="Galvene Rakstz."/>
    <w:basedOn w:val="Noklusjumarindkopasfonts"/>
    <w:link w:val="Galvene"/>
    <w:uiPriority w:val="99"/>
    <w:rsid w:val="00934144"/>
    <w:rPr>
      <w:rFonts w:ascii="Calibri" w:eastAsia="Calibri" w:hAnsi="Calibri" w:cs="Times New Roman"/>
    </w:rPr>
  </w:style>
  <w:style w:type="paragraph" w:styleId="Kjene">
    <w:name w:val="footer"/>
    <w:basedOn w:val="Parasts"/>
    <w:link w:val="KjeneRakstz"/>
    <w:uiPriority w:val="99"/>
    <w:unhideWhenUsed/>
    <w:rsid w:val="00934144"/>
    <w:pPr>
      <w:tabs>
        <w:tab w:val="center" w:pos="4153"/>
        <w:tab w:val="right" w:pos="8306"/>
      </w:tabs>
    </w:pPr>
  </w:style>
  <w:style w:type="character" w:customStyle="1" w:styleId="KjeneRakstz">
    <w:name w:val="Kājene Rakstz."/>
    <w:basedOn w:val="Noklusjumarindkopasfonts"/>
    <w:link w:val="Kjene"/>
    <w:uiPriority w:val="99"/>
    <w:rsid w:val="00934144"/>
    <w:rPr>
      <w:rFonts w:ascii="Calibri" w:eastAsia="Calibri" w:hAnsi="Calibri" w:cs="Times New Roman"/>
    </w:rPr>
  </w:style>
  <w:style w:type="paragraph" w:styleId="Bezatstarpm">
    <w:name w:val="No Spacing"/>
    <w:uiPriority w:val="1"/>
    <w:qFormat/>
    <w:rsid w:val="00934144"/>
    <w:pPr>
      <w:spacing w:after="0" w:line="240" w:lineRule="auto"/>
    </w:pPr>
    <w:rPr>
      <w:rFonts w:ascii="Times New Roman" w:eastAsia="Times New Roman" w:hAnsi="Times New Roman" w:cs="Times New Roman"/>
      <w:sz w:val="24"/>
      <w:szCs w:val="20"/>
      <w:lang w:val="en-AU" w:eastAsia="lv-LV"/>
    </w:rPr>
  </w:style>
  <w:style w:type="paragraph" w:customStyle="1" w:styleId="tv2071">
    <w:name w:val="tv2071"/>
    <w:basedOn w:val="Parasts"/>
    <w:rsid w:val="00934144"/>
    <w:pPr>
      <w:spacing w:after="567" w:line="360" w:lineRule="auto"/>
      <w:jc w:val="center"/>
    </w:pPr>
    <w:rPr>
      <w:rFonts w:ascii="Verdana" w:eastAsia="Times New Roman" w:hAnsi="Verdana"/>
      <w:b/>
      <w:bCs/>
      <w:sz w:val="27"/>
      <w:szCs w:val="27"/>
      <w:lang w:eastAsia="lv-LV"/>
    </w:rPr>
  </w:style>
  <w:style w:type="character" w:styleId="Vresatsauce">
    <w:name w:val="footnote reference"/>
    <w:uiPriority w:val="99"/>
    <w:semiHidden/>
    <w:unhideWhenUsed/>
    <w:rsid w:val="00BC5143"/>
    <w:rPr>
      <w:vertAlign w:val="superscript"/>
    </w:rPr>
  </w:style>
  <w:style w:type="paragraph" w:styleId="Balonteksts">
    <w:name w:val="Balloon Text"/>
    <w:basedOn w:val="Parasts"/>
    <w:link w:val="BalontekstsRakstz"/>
    <w:uiPriority w:val="99"/>
    <w:semiHidden/>
    <w:unhideWhenUsed/>
    <w:rsid w:val="00BD2A9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D2A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34144"/>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934144"/>
    <w:rPr>
      <w:sz w:val="20"/>
      <w:szCs w:val="20"/>
    </w:rPr>
  </w:style>
  <w:style w:type="character" w:customStyle="1" w:styleId="VrestekstsRakstz">
    <w:name w:val="Vēres teksts Rakstz."/>
    <w:basedOn w:val="Noklusjumarindkopasfonts"/>
    <w:link w:val="Vresteksts"/>
    <w:rsid w:val="00934144"/>
    <w:rPr>
      <w:rFonts w:ascii="Calibri" w:eastAsia="Calibri" w:hAnsi="Calibri" w:cs="Times New Roman"/>
      <w:sz w:val="20"/>
      <w:szCs w:val="20"/>
    </w:rPr>
  </w:style>
  <w:style w:type="paragraph" w:customStyle="1" w:styleId="naisf">
    <w:name w:val="naisf"/>
    <w:basedOn w:val="Parasts"/>
    <w:rsid w:val="0093414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934144"/>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Parasts"/>
    <w:rsid w:val="00934144"/>
    <w:pPr>
      <w:spacing w:before="75" w:after="75" w:line="240" w:lineRule="auto"/>
    </w:pPr>
    <w:rPr>
      <w:rFonts w:ascii="Times New Roman" w:eastAsia="Times New Roman" w:hAnsi="Times New Roman"/>
      <w:sz w:val="24"/>
      <w:szCs w:val="24"/>
      <w:lang w:eastAsia="lv-LV"/>
    </w:rPr>
  </w:style>
  <w:style w:type="character" w:styleId="Hipersaite">
    <w:name w:val="Hyperlink"/>
    <w:unhideWhenUsed/>
    <w:rsid w:val="00934144"/>
    <w:rPr>
      <w:color w:val="0000FF"/>
      <w:u w:val="single"/>
    </w:rPr>
  </w:style>
  <w:style w:type="paragraph" w:customStyle="1" w:styleId="naislab">
    <w:name w:val="naislab"/>
    <w:basedOn w:val="Parasts"/>
    <w:rsid w:val="00934144"/>
    <w:pPr>
      <w:spacing w:before="75" w:after="75" w:line="240" w:lineRule="auto"/>
      <w:jc w:val="right"/>
    </w:pPr>
    <w:rPr>
      <w:rFonts w:ascii="Times New Roman" w:eastAsia="Times New Roman" w:hAnsi="Times New Roman"/>
      <w:sz w:val="24"/>
      <w:szCs w:val="24"/>
      <w:lang w:eastAsia="lv-LV"/>
    </w:rPr>
  </w:style>
  <w:style w:type="paragraph" w:customStyle="1" w:styleId="tv2131">
    <w:name w:val="tv2131"/>
    <w:basedOn w:val="Parasts"/>
    <w:rsid w:val="00934144"/>
    <w:pPr>
      <w:spacing w:before="240" w:after="0" w:line="360" w:lineRule="auto"/>
      <w:ind w:firstLine="300"/>
      <w:jc w:val="both"/>
    </w:pPr>
    <w:rPr>
      <w:rFonts w:ascii="Verdana" w:eastAsia="Times New Roman" w:hAnsi="Verdana"/>
      <w:sz w:val="18"/>
      <w:szCs w:val="18"/>
      <w:lang w:eastAsia="lv-LV"/>
    </w:rPr>
  </w:style>
  <w:style w:type="paragraph" w:styleId="Galvene">
    <w:name w:val="header"/>
    <w:basedOn w:val="Parasts"/>
    <w:link w:val="GalveneRakstz"/>
    <w:uiPriority w:val="99"/>
    <w:unhideWhenUsed/>
    <w:rsid w:val="00934144"/>
    <w:pPr>
      <w:tabs>
        <w:tab w:val="center" w:pos="4153"/>
        <w:tab w:val="right" w:pos="8306"/>
      </w:tabs>
    </w:pPr>
  </w:style>
  <w:style w:type="character" w:customStyle="1" w:styleId="GalveneRakstz">
    <w:name w:val="Galvene Rakstz."/>
    <w:basedOn w:val="Noklusjumarindkopasfonts"/>
    <w:link w:val="Galvene"/>
    <w:uiPriority w:val="99"/>
    <w:rsid w:val="00934144"/>
    <w:rPr>
      <w:rFonts w:ascii="Calibri" w:eastAsia="Calibri" w:hAnsi="Calibri" w:cs="Times New Roman"/>
    </w:rPr>
  </w:style>
  <w:style w:type="paragraph" w:styleId="Kjene">
    <w:name w:val="footer"/>
    <w:basedOn w:val="Parasts"/>
    <w:link w:val="KjeneRakstz"/>
    <w:uiPriority w:val="99"/>
    <w:unhideWhenUsed/>
    <w:rsid w:val="00934144"/>
    <w:pPr>
      <w:tabs>
        <w:tab w:val="center" w:pos="4153"/>
        <w:tab w:val="right" w:pos="8306"/>
      </w:tabs>
    </w:pPr>
  </w:style>
  <w:style w:type="character" w:customStyle="1" w:styleId="KjeneRakstz">
    <w:name w:val="Kājene Rakstz."/>
    <w:basedOn w:val="Noklusjumarindkopasfonts"/>
    <w:link w:val="Kjene"/>
    <w:uiPriority w:val="99"/>
    <w:rsid w:val="00934144"/>
    <w:rPr>
      <w:rFonts w:ascii="Calibri" w:eastAsia="Calibri" w:hAnsi="Calibri" w:cs="Times New Roman"/>
    </w:rPr>
  </w:style>
  <w:style w:type="paragraph" w:styleId="Bezatstarpm">
    <w:name w:val="No Spacing"/>
    <w:uiPriority w:val="1"/>
    <w:qFormat/>
    <w:rsid w:val="00934144"/>
    <w:pPr>
      <w:spacing w:after="0" w:line="240" w:lineRule="auto"/>
    </w:pPr>
    <w:rPr>
      <w:rFonts w:ascii="Times New Roman" w:eastAsia="Times New Roman" w:hAnsi="Times New Roman" w:cs="Times New Roman"/>
      <w:sz w:val="24"/>
      <w:szCs w:val="20"/>
      <w:lang w:val="en-AU" w:eastAsia="lv-LV"/>
    </w:rPr>
  </w:style>
  <w:style w:type="paragraph" w:customStyle="1" w:styleId="tv2071">
    <w:name w:val="tv2071"/>
    <w:basedOn w:val="Parasts"/>
    <w:rsid w:val="00934144"/>
    <w:pPr>
      <w:spacing w:after="567" w:line="360" w:lineRule="auto"/>
      <w:jc w:val="center"/>
    </w:pPr>
    <w:rPr>
      <w:rFonts w:ascii="Verdana" w:eastAsia="Times New Roman" w:hAnsi="Verdana"/>
      <w:b/>
      <w:bCs/>
      <w:sz w:val="27"/>
      <w:szCs w:val="27"/>
      <w:lang w:eastAsia="lv-LV"/>
    </w:rPr>
  </w:style>
  <w:style w:type="character" w:styleId="Vresatsauce">
    <w:name w:val="footnote reference"/>
    <w:uiPriority w:val="99"/>
    <w:semiHidden/>
    <w:unhideWhenUsed/>
    <w:rsid w:val="00BC5143"/>
    <w:rPr>
      <w:vertAlign w:val="superscript"/>
    </w:rPr>
  </w:style>
  <w:style w:type="paragraph" w:styleId="Balonteksts">
    <w:name w:val="Balloon Text"/>
    <w:basedOn w:val="Parasts"/>
    <w:link w:val="BalontekstsRakstz"/>
    <w:uiPriority w:val="99"/>
    <w:semiHidden/>
    <w:unhideWhenUsed/>
    <w:rsid w:val="00BD2A9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D2A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veta.brinuma@tm.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2864</Words>
  <Characters>1634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Likumprojekta „Grozījums likumā „Par tautas nobalsošanu, likumu ierosināšanu un Eiropas pilsoņu iniciatīvu”” sākotnējās ietekmes novērtējuma ziņojums (anotācija)</vt:lpstr>
    </vt:vector>
  </TitlesOfParts>
  <Company>Tieslietu Sektors</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tautas nobalsošanu, likumu ierosināšanu un Eiropas pilsoņu iniciatīvu”” sākotnējās ietekmes novērtējuma ziņojums (anotācija)</dc:title>
  <dc:subject>anotācija</dc:subject>
  <dc:creator>Iveta Brinuma</dc:creator>
  <dc:description>67036977, iveta.brinuma@tm.gov.lv</dc:description>
  <cp:lastModifiedBy>Iveta Brinuma</cp:lastModifiedBy>
  <cp:revision>26</cp:revision>
  <cp:lastPrinted>2013-05-20T14:09:00Z</cp:lastPrinted>
  <dcterms:created xsi:type="dcterms:W3CDTF">2013-04-30T08:41:00Z</dcterms:created>
  <dcterms:modified xsi:type="dcterms:W3CDTF">2013-07-10T12:22:00Z</dcterms:modified>
</cp:coreProperties>
</file>