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774" w:rsidRPr="00D84774" w:rsidRDefault="00D84774" w:rsidP="002426F1">
      <w:pPr>
        <w:jc w:val="center"/>
        <w:rPr>
          <w:b/>
          <w:sz w:val="28"/>
          <w:szCs w:val="28"/>
        </w:rPr>
      </w:pPr>
      <w:r w:rsidRPr="00D84774">
        <w:rPr>
          <w:b/>
          <w:sz w:val="28"/>
          <w:szCs w:val="28"/>
        </w:rPr>
        <w:t xml:space="preserve">Likumprojekta </w:t>
      </w:r>
    </w:p>
    <w:p w:rsidR="004B209C" w:rsidRPr="00F251FA" w:rsidRDefault="004B209C" w:rsidP="004B209C">
      <w:pPr>
        <w:jc w:val="center"/>
        <w:rPr>
          <w:b/>
          <w:sz w:val="28"/>
          <w:szCs w:val="28"/>
        </w:rPr>
      </w:pPr>
      <w:r>
        <w:rPr>
          <w:b/>
          <w:sz w:val="28"/>
          <w:szCs w:val="28"/>
        </w:rPr>
        <w:t>„</w:t>
      </w:r>
      <w:r w:rsidRPr="00F251FA">
        <w:rPr>
          <w:b/>
          <w:sz w:val="28"/>
          <w:szCs w:val="28"/>
        </w:rPr>
        <w:t>Grozījum</w:t>
      </w:r>
      <w:r>
        <w:rPr>
          <w:b/>
          <w:sz w:val="28"/>
          <w:szCs w:val="28"/>
        </w:rPr>
        <w:t>s</w:t>
      </w:r>
      <w:r w:rsidRPr="00F251FA">
        <w:rPr>
          <w:b/>
          <w:sz w:val="28"/>
          <w:szCs w:val="28"/>
        </w:rPr>
        <w:t xml:space="preserve"> likumā „Par zemes reformas pabeigšanu </w:t>
      </w:r>
      <w:r>
        <w:rPr>
          <w:b/>
          <w:sz w:val="28"/>
          <w:szCs w:val="28"/>
        </w:rPr>
        <w:t>pilsētās</w:t>
      </w:r>
      <w:r w:rsidRPr="00F251FA">
        <w:rPr>
          <w:b/>
          <w:sz w:val="28"/>
          <w:szCs w:val="28"/>
        </w:rPr>
        <w:t>”</w:t>
      </w:r>
      <w:r>
        <w:rPr>
          <w:b/>
          <w:sz w:val="28"/>
          <w:szCs w:val="28"/>
        </w:rPr>
        <w:t>”</w:t>
      </w:r>
    </w:p>
    <w:p w:rsidR="002426F1" w:rsidRDefault="002426F1" w:rsidP="002426F1">
      <w:pPr>
        <w:jc w:val="center"/>
        <w:rPr>
          <w:rFonts w:eastAsia="Calibri"/>
          <w:b/>
          <w:sz w:val="28"/>
          <w:szCs w:val="28"/>
          <w:lang w:eastAsia="en-US"/>
        </w:rPr>
      </w:pPr>
      <w:r w:rsidRPr="00D84774">
        <w:rPr>
          <w:b/>
          <w:bCs/>
          <w:sz w:val="28"/>
          <w:szCs w:val="28"/>
        </w:rPr>
        <w:t>sākotnējās ietekmes novērtējuma ziņojums (anotācija</w:t>
      </w:r>
      <w:r w:rsidRPr="00D84774">
        <w:rPr>
          <w:rFonts w:eastAsia="Calibri"/>
          <w:b/>
          <w:sz w:val="28"/>
          <w:szCs w:val="28"/>
          <w:lang w:eastAsia="en-US"/>
        </w:rPr>
        <w:t>)</w:t>
      </w:r>
    </w:p>
    <w:p w:rsidR="00F841D5" w:rsidRPr="001B3F27" w:rsidRDefault="00F841D5" w:rsidP="002426F1">
      <w:pPr>
        <w:jc w:val="center"/>
        <w:rPr>
          <w:rFonts w:eastAsia="Calibri"/>
          <w:b/>
          <w:lang w:eastAsia="en-US"/>
        </w:rPr>
      </w:pP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2574"/>
        <w:gridCol w:w="6601"/>
      </w:tblGrid>
      <w:tr w:rsidR="00852042" w:rsidRPr="001B3F27">
        <w:tc>
          <w:tcPr>
            <w:tcW w:w="9725" w:type="dxa"/>
            <w:gridSpan w:val="3"/>
            <w:vAlign w:val="center"/>
          </w:tcPr>
          <w:p w:rsidR="00852042" w:rsidRPr="001B3F27" w:rsidRDefault="00852042" w:rsidP="001D5C17">
            <w:pPr>
              <w:pStyle w:val="naisnod"/>
              <w:spacing w:before="0" w:after="0"/>
            </w:pPr>
            <w:r w:rsidRPr="001B3F27">
              <w:t>I</w:t>
            </w:r>
            <w:r w:rsidR="000941C5" w:rsidRPr="001B3F27">
              <w:t>.</w:t>
            </w:r>
            <w:r w:rsidRPr="001B3F27">
              <w:t xml:space="preserve"> Tiesību akta </w:t>
            </w:r>
            <w:r w:rsidR="002E3FF4" w:rsidRPr="001B3F27">
              <w:t xml:space="preserve">projekta </w:t>
            </w:r>
            <w:r w:rsidRPr="001B3F27">
              <w:t>izstrādes nepieciešamība</w:t>
            </w:r>
          </w:p>
        </w:tc>
      </w:tr>
      <w:tr w:rsidR="00262E2B" w:rsidRPr="001B3F27" w:rsidTr="00BC4188">
        <w:trPr>
          <w:trHeight w:val="630"/>
        </w:trPr>
        <w:tc>
          <w:tcPr>
            <w:tcW w:w="550" w:type="dxa"/>
          </w:tcPr>
          <w:p w:rsidR="00262E2B" w:rsidRPr="001B3F27" w:rsidRDefault="00262E2B" w:rsidP="001D5C17">
            <w:pPr>
              <w:pStyle w:val="naiskr"/>
              <w:spacing w:before="0" w:after="0"/>
            </w:pPr>
            <w:r w:rsidRPr="001B3F27">
              <w:t>1.</w:t>
            </w:r>
          </w:p>
        </w:tc>
        <w:tc>
          <w:tcPr>
            <w:tcW w:w="2574" w:type="dxa"/>
          </w:tcPr>
          <w:p w:rsidR="00262E2B" w:rsidRPr="001B3F27" w:rsidRDefault="002D7F54" w:rsidP="001D5C17">
            <w:pPr>
              <w:pStyle w:val="naiskr"/>
              <w:spacing w:before="0" w:after="0"/>
              <w:ind w:hanging="10"/>
            </w:pPr>
            <w:r w:rsidRPr="001B3F27">
              <w:t>Pamatojums</w:t>
            </w:r>
          </w:p>
        </w:tc>
        <w:tc>
          <w:tcPr>
            <w:tcW w:w="6601" w:type="dxa"/>
          </w:tcPr>
          <w:p w:rsidR="00EE28CB" w:rsidRPr="001B3F27" w:rsidRDefault="00EE28CB" w:rsidP="00382A02">
            <w:pPr>
              <w:pStyle w:val="naiskr"/>
              <w:spacing w:before="0" w:after="0"/>
              <w:ind w:hanging="5"/>
              <w:jc w:val="both"/>
            </w:pPr>
            <w:r w:rsidRPr="001B3F27">
              <w:t>Likumprojekts ir izstrādāts, pamatojoties uz</w:t>
            </w:r>
            <w:r w:rsidR="004B209C" w:rsidRPr="001B3F27">
              <w:t xml:space="preserve"> Saeimas Tautsaimniecības, agrārās, vides un reģionālās politikas komisijas 2012.gada 23.jūlija vēstuli Nr.9/8-2-n/122-11/12</w:t>
            </w:r>
            <w:r w:rsidR="00382A02" w:rsidRPr="001B3F27">
              <w:t xml:space="preserve">. Minētajā vēstulē ir </w:t>
            </w:r>
            <w:r w:rsidR="004B209C" w:rsidRPr="001B3F27">
              <w:t xml:space="preserve">lūgts izvērtēt Centrālās zemes komisijas 2012.gada 11.jūlija vēstuli </w:t>
            </w:r>
            <w:r w:rsidR="00382A02" w:rsidRPr="001B3F27">
              <w:t>Nr.34</w:t>
            </w:r>
            <w:r w:rsidR="004B209C" w:rsidRPr="001B3F27">
              <w:t>D/d-12-1 par Rīgas pilsētas zemes komisijas 2012.gada 29.maija vēstuli Nr.B-1-44</w:t>
            </w:r>
            <w:r w:rsidR="00382A02" w:rsidRPr="001B3F27">
              <w:t xml:space="preserve">. Rīgas pilsētas zemes komisijas vēstulē bija izteikts lūgums veikt </w:t>
            </w:r>
            <w:r w:rsidR="004B209C" w:rsidRPr="001B3F27">
              <w:t>grozījumus ar zemes reformu pilsētās</w:t>
            </w:r>
            <w:r w:rsidR="00382A02" w:rsidRPr="001B3F27">
              <w:t xml:space="preserve"> saistītajos normatīvajos aktos, tai skaitā pagarināt termiņu, kādā attiecīgā pašvaldība sagatavo un iesniedz Valsts zemes dienestam paziņojumu par zemes reformas pabeigšanu (turpmāk – paziņojums) un pārskatu par zemes reformu reglamentējošos normatīvajos aktos noteikto darbu izpildi (turpmāk – pārskats).</w:t>
            </w:r>
          </w:p>
        </w:tc>
      </w:tr>
      <w:tr w:rsidR="00262E2B" w:rsidRPr="001B3F27" w:rsidTr="00BC4188">
        <w:trPr>
          <w:trHeight w:val="472"/>
        </w:trPr>
        <w:tc>
          <w:tcPr>
            <w:tcW w:w="550" w:type="dxa"/>
          </w:tcPr>
          <w:p w:rsidR="00262E2B" w:rsidRPr="001B3F27" w:rsidRDefault="00262E2B" w:rsidP="001D5C17">
            <w:pPr>
              <w:pStyle w:val="naiskr"/>
              <w:spacing w:before="0" w:after="0"/>
            </w:pPr>
            <w:r w:rsidRPr="001B3F27">
              <w:t>2.</w:t>
            </w:r>
          </w:p>
        </w:tc>
        <w:tc>
          <w:tcPr>
            <w:tcW w:w="2574" w:type="dxa"/>
          </w:tcPr>
          <w:p w:rsidR="00262E2B" w:rsidRPr="001B3F27" w:rsidRDefault="00262E2B" w:rsidP="001D5C17">
            <w:pPr>
              <w:pStyle w:val="naiskr"/>
              <w:tabs>
                <w:tab w:val="left" w:pos="170"/>
              </w:tabs>
              <w:spacing w:before="0" w:after="0"/>
            </w:pPr>
            <w:r w:rsidRPr="001B3F27">
              <w:t>Pašreizējā situācija</w:t>
            </w:r>
            <w:r w:rsidR="001F5CD6" w:rsidRPr="001B3F27">
              <w:t xml:space="preserve"> un problēmas</w:t>
            </w:r>
          </w:p>
        </w:tc>
        <w:tc>
          <w:tcPr>
            <w:tcW w:w="6601" w:type="dxa"/>
          </w:tcPr>
          <w:p w:rsidR="00382A02" w:rsidRPr="001B3F27" w:rsidRDefault="00382A02" w:rsidP="00BE7B05">
            <w:pPr>
              <w:pStyle w:val="naiskr"/>
              <w:spacing w:before="0" w:after="0"/>
              <w:jc w:val="both"/>
              <w:rPr>
                <w:iCs/>
              </w:rPr>
            </w:pPr>
            <w:r w:rsidRPr="001B3F27">
              <w:rPr>
                <w:iCs/>
              </w:rPr>
              <w:t>Atbilstoši likuma „Par zemes reformas pabeigšanu pilsētās” 6.pantam attiecīgajai pašvaldībai ir jāsagatavo un līdz 2012.gada 30.novembrim jāiesniedz Valsts zemes dienestam:</w:t>
            </w:r>
          </w:p>
          <w:p w:rsidR="00382A02" w:rsidRPr="001B3F27" w:rsidRDefault="00382A02" w:rsidP="00BE7B05">
            <w:pPr>
              <w:pStyle w:val="naiskr"/>
              <w:spacing w:before="0" w:after="0"/>
              <w:jc w:val="both"/>
              <w:rPr>
                <w:iCs/>
              </w:rPr>
            </w:pPr>
            <w:r w:rsidRPr="001B3F27">
              <w:rPr>
                <w:iCs/>
              </w:rPr>
              <w:t>1. Paziņojums. Lai gan paziņojuma mērķis zemes reformu regulējošajos normatīvajos aktos nav minēts, tomēr saskaņā ar zemes reformas pabeigšanas uzdevumiem un mērķi, secināms, ka tā mērķis ir nodot Valsts zemes dienestam informāciju zemes reformas pabeigšanas rīkojuma projekta sagatavošanai attiecīgajā pilsētā, kā arī par zemes reformas laikā konstatētajām problēmām.</w:t>
            </w:r>
          </w:p>
          <w:p w:rsidR="00382A02" w:rsidRPr="001B3F27" w:rsidRDefault="00382A02" w:rsidP="00BE7B05">
            <w:pPr>
              <w:pStyle w:val="naiskr"/>
              <w:spacing w:before="0" w:after="0"/>
              <w:jc w:val="both"/>
              <w:rPr>
                <w:iCs/>
              </w:rPr>
            </w:pPr>
            <w:r w:rsidRPr="001B3F27">
              <w:rPr>
                <w:iCs/>
              </w:rPr>
              <w:t xml:space="preserve">2. Pārskats, kas saturētu: </w:t>
            </w:r>
          </w:p>
          <w:p w:rsidR="00382A02" w:rsidRPr="001B3F27" w:rsidRDefault="00382A02" w:rsidP="00BE7B05">
            <w:pPr>
              <w:pStyle w:val="naiskr"/>
              <w:spacing w:before="0" w:after="0"/>
              <w:jc w:val="both"/>
              <w:rPr>
                <w:iCs/>
              </w:rPr>
            </w:pPr>
            <w:r w:rsidRPr="001B3F27">
              <w:rPr>
                <w:iCs/>
              </w:rPr>
              <w:t>1) zemes platības, uz kurām īpašuma tiesības saskaņā ar likumu „Par valsts un pašvaldību zemes īpašuma tiesībām un to nostiprināšanu zemesgrāmatās” nostiprināmas zemesgrāmatā uz valsts vārda;</w:t>
            </w:r>
          </w:p>
          <w:p w:rsidR="00382A02" w:rsidRPr="001B3F27" w:rsidRDefault="00382A02" w:rsidP="00BE7B05">
            <w:pPr>
              <w:pStyle w:val="naiskr"/>
              <w:spacing w:before="0" w:after="0"/>
              <w:jc w:val="both"/>
              <w:rPr>
                <w:iCs/>
              </w:rPr>
            </w:pPr>
            <w:r w:rsidRPr="001B3F27">
              <w:rPr>
                <w:iCs/>
              </w:rPr>
              <w:t>2) zemes platības, uz kurām īpašuma tiesības saskaņā ar likumu „Par valsts un pašvaldību zemes īpašuma tiesībām un to nostiprināšanu zemesgrāmatās” nostiprināmas zemesgrāmatā uz pašvaldības vārda;</w:t>
            </w:r>
          </w:p>
          <w:p w:rsidR="00382A02" w:rsidRPr="001B3F27" w:rsidRDefault="00382A02" w:rsidP="00BE7B05">
            <w:pPr>
              <w:pStyle w:val="naiskr"/>
              <w:spacing w:before="0" w:after="0"/>
              <w:jc w:val="both"/>
              <w:rPr>
                <w:iCs/>
              </w:rPr>
            </w:pPr>
            <w:r w:rsidRPr="001B3F27">
              <w:rPr>
                <w:iCs/>
              </w:rPr>
              <w:t>3) zemes platības un personas, kuras noslēgušas zemes izpirkuma (pirkuma) līgumu ar valsts akciju sabiedrību „Latvijas Hipotēku un zemes banka;</w:t>
            </w:r>
          </w:p>
          <w:p w:rsidR="00382A02" w:rsidRPr="001B3F27" w:rsidRDefault="00382A02" w:rsidP="00BE7B05">
            <w:pPr>
              <w:pStyle w:val="naiskr"/>
              <w:spacing w:before="0" w:after="0"/>
              <w:jc w:val="both"/>
              <w:rPr>
                <w:iCs/>
              </w:rPr>
            </w:pPr>
            <w:r w:rsidRPr="001B3F27">
              <w:rPr>
                <w:iCs/>
              </w:rPr>
              <w:t>4) zemes platības un personas, kurām atjaunotas zemes īpašuma tiesības;</w:t>
            </w:r>
          </w:p>
          <w:p w:rsidR="00382A02" w:rsidRPr="001B3F27" w:rsidRDefault="00382A02" w:rsidP="00BE7B05">
            <w:pPr>
              <w:pStyle w:val="naiskr"/>
              <w:spacing w:before="0" w:after="0"/>
              <w:jc w:val="both"/>
              <w:rPr>
                <w:iCs/>
              </w:rPr>
            </w:pPr>
            <w:r w:rsidRPr="001B3F27">
              <w:rPr>
                <w:iCs/>
              </w:rPr>
              <w:t>5) informāciju par līdzvērtīgas zemes kompensācijas fondā ieskaitīto un neizmantoto zemi.</w:t>
            </w:r>
          </w:p>
          <w:p w:rsidR="00382A02" w:rsidRPr="001B3F27" w:rsidRDefault="00382A02" w:rsidP="00BE7B05">
            <w:pPr>
              <w:pStyle w:val="naiskr"/>
              <w:spacing w:before="0" w:after="0"/>
              <w:jc w:val="both"/>
              <w:rPr>
                <w:iCs/>
              </w:rPr>
            </w:pPr>
            <w:r w:rsidRPr="001B3F27">
              <w:rPr>
                <w:iCs/>
              </w:rPr>
              <w:t>Ņemot vērā minēto pārskata saturu, tā mērķis ir sakārtot Nekustamā īpašuma valsts kadastra informācijas sistēmas datus par zemesgrāmatā nereģistrēto zemes gabalu statusiem un zemes gabalu piederību (piekritību).</w:t>
            </w:r>
          </w:p>
          <w:p w:rsidR="00382A02" w:rsidRPr="001B3F27" w:rsidRDefault="00382A02" w:rsidP="00BE7B05">
            <w:pPr>
              <w:pStyle w:val="naiskr"/>
              <w:spacing w:before="0" w:after="0"/>
              <w:jc w:val="both"/>
              <w:rPr>
                <w:iCs/>
              </w:rPr>
            </w:pPr>
            <w:r w:rsidRPr="001B3F27">
              <w:rPr>
                <w:iCs/>
              </w:rPr>
              <w:t xml:space="preserve">Savukārt, likuma „Par zemes reformas pabeigšanu pilsētās” 7.pantā paredzēts, ka tieslietu ministrs noteiktā kārtībā iesniedz Ministru kabinetam izskatīšanai Valsts zemes dienesta sagatavotos rīkojuma projektus par zemes reformas pabeigšanu attiecīgo pašvaldību teritorijā vai novada pašvaldības teritoriālajā vienībā (pilsētā). Arī </w:t>
            </w:r>
            <w:r w:rsidRPr="001B3F27">
              <w:rPr>
                <w:iCs/>
              </w:rPr>
              <w:lastRenderedPageBreak/>
              <w:t>likuma „Par zemes reformu Latvijas Republikas pilsētās” 34.pantā paredzēts, ka lēmumu par zemes reformas pabeigšanu attiecīgās pašvaldības teritorijā vai novada pašvaldības teritoriālajā vienībā (pilsētā) pieņem Ministru kabinets, izdodot rīkojumu uz attiecīgās pašvaldības iesnieguma pamata.</w:t>
            </w:r>
          </w:p>
          <w:p w:rsidR="00382A02" w:rsidRPr="001B3F27" w:rsidRDefault="00382A02" w:rsidP="00BE7B05">
            <w:pPr>
              <w:pStyle w:val="naiskr"/>
              <w:spacing w:before="0" w:after="0"/>
              <w:jc w:val="both"/>
              <w:rPr>
                <w:iCs/>
              </w:rPr>
            </w:pPr>
            <w:r w:rsidRPr="001B3F27">
              <w:rPr>
                <w:iCs/>
              </w:rPr>
              <w:t xml:space="preserve">Secināms, ka, ja paziņojumā un pārskatā </w:t>
            </w:r>
            <w:r w:rsidR="002E6801" w:rsidRPr="001B3F27">
              <w:rPr>
                <w:iCs/>
              </w:rPr>
              <w:t xml:space="preserve">attiecīgā pašvaldība nebūs </w:t>
            </w:r>
            <w:r w:rsidRPr="001B3F27">
              <w:rPr>
                <w:iCs/>
              </w:rPr>
              <w:t>izteik</w:t>
            </w:r>
            <w:r w:rsidR="002E6801" w:rsidRPr="001B3F27">
              <w:rPr>
                <w:iCs/>
              </w:rPr>
              <w:t>usi</w:t>
            </w:r>
            <w:r w:rsidRPr="001B3F27">
              <w:rPr>
                <w:iCs/>
              </w:rPr>
              <w:t xml:space="preserve"> gatavīb</w:t>
            </w:r>
            <w:r w:rsidR="002E6801" w:rsidRPr="001B3F27">
              <w:rPr>
                <w:iCs/>
              </w:rPr>
              <w:t>u</w:t>
            </w:r>
            <w:r w:rsidRPr="001B3F27">
              <w:rPr>
                <w:iCs/>
              </w:rPr>
              <w:t xml:space="preserve"> </w:t>
            </w:r>
            <w:r w:rsidR="002E6801" w:rsidRPr="001B3F27">
              <w:rPr>
                <w:iCs/>
              </w:rPr>
              <w:t xml:space="preserve">pabeigt </w:t>
            </w:r>
            <w:r w:rsidRPr="001B3F27">
              <w:rPr>
                <w:iCs/>
              </w:rPr>
              <w:t>zemes reform</w:t>
            </w:r>
            <w:r w:rsidR="002E6801" w:rsidRPr="001B3F27">
              <w:rPr>
                <w:iCs/>
              </w:rPr>
              <w:t>u</w:t>
            </w:r>
            <w:r w:rsidRPr="001B3F27">
              <w:rPr>
                <w:iCs/>
              </w:rPr>
              <w:t>, tad rīkojuma projekts par zemes reformas pabeigšanu attiecīgajā administratīvajā teritorijā netiks izstrādāts, bet, iespējams, tiks pieņemts cita veida Ministru kabineta lēmums par pabeigšanas kārtību.</w:t>
            </w:r>
          </w:p>
          <w:p w:rsidR="001D5C17" w:rsidRPr="001B3F27" w:rsidRDefault="00BE7B05" w:rsidP="00BE7B05">
            <w:pPr>
              <w:pStyle w:val="naiskr"/>
              <w:spacing w:before="0" w:after="0"/>
              <w:jc w:val="both"/>
              <w:rPr>
                <w:i/>
                <w:highlight w:val="yellow"/>
                <w:u w:val="single"/>
              </w:rPr>
            </w:pPr>
            <w:r w:rsidRPr="001B3F27">
              <w:rPr>
                <w:iCs/>
              </w:rPr>
              <w:t>Ņemot vērā to, ka Rīgas pilsētas zemes komisijas vēstulē bija norādīts, ka Rīgas pašvaldība nevar ievērot likumā „Par zemes reformas pabeigšanu pilsētās” noteikto termiņu un sagatavot paziņojumu un pārskatu līdz 2012.gada 30.novembrim, termiņu ir nepieciešams pagarināt.</w:t>
            </w:r>
          </w:p>
        </w:tc>
      </w:tr>
      <w:tr w:rsidR="00262E2B" w:rsidRPr="001B3F27" w:rsidTr="00002204">
        <w:trPr>
          <w:trHeight w:val="1071"/>
        </w:trPr>
        <w:tc>
          <w:tcPr>
            <w:tcW w:w="550" w:type="dxa"/>
          </w:tcPr>
          <w:p w:rsidR="00262E2B" w:rsidRPr="001B3F27" w:rsidRDefault="00262E2B" w:rsidP="001D5C17">
            <w:pPr>
              <w:pStyle w:val="naiskr"/>
              <w:spacing w:before="0" w:after="0"/>
            </w:pPr>
            <w:r w:rsidRPr="001B3F27">
              <w:lastRenderedPageBreak/>
              <w:t>3.</w:t>
            </w:r>
          </w:p>
        </w:tc>
        <w:tc>
          <w:tcPr>
            <w:tcW w:w="2574" w:type="dxa"/>
          </w:tcPr>
          <w:p w:rsidR="00262E2B" w:rsidRPr="001B3F27" w:rsidRDefault="00420870" w:rsidP="00C70B74">
            <w:pPr>
              <w:pStyle w:val="naiskr"/>
              <w:spacing w:before="0" w:after="0"/>
            </w:pPr>
            <w:r w:rsidRPr="001B3F27">
              <w:t>S</w:t>
            </w:r>
            <w:r w:rsidR="000B69CF" w:rsidRPr="001B3F27">
              <w:t xml:space="preserve">aistītie </w:t>
            </w:r>
            <w:r w:rsidR="001A6AE4" w:rsidRPr="001B3F27">
              <w:t>politikas ietekmes novērtējumi</w:t>
            </w:r>
            <w:r w:rsidR="00CB0247" w:rsidRPr="001B3F27">
              <w:t xml:space="preserve"> un</w:t>
            </w:r>
            <w:r w:rsidR="001A6AE4" w:rsidRPr="001B3F27">
              <w:t xml:space="preserve"> </w:t>
            </w:r>
            <w:r w:rsidR="000B69CF" w:rsidRPr="001B3F27">
              <w:t>pētījumi</w:t>
            </w:r>
          </w:p>
        </w:tc>
        <w:tc>
          <w:tcPr>
            <w:tcW w:w="6601" w:type="dxa"/>
          </w:tcPr>
          <w:p w:rsidR="001D5C17" w:rsidRPr="001B3F27" w:rsidRDefault="00002204" w:rsidP="00C70B74">
            <w:pPr>
              <w:pStyle w:val="Vresteksts"/>
              <w:jc w:val="both"/>
              <w:rPr>
                <w:sz w:val="24"/>
                <w:szCs w:val="24"/>
                <w:highlight w:val="yellow"/>
              </w:rPr>
            </w:pPr>
            <w:r w:rsidRPr="001B3F27">
              <w:rPr>
                <w:iCs/>
                <w:sz w:val="24"/>
                <w:szCs w:val="24"/>
              </w:rPr>
              <w:t>Nav.</w:t>
            </w:r>
          </w:p>
        </w:tc>
      </w:tr>
      <w:tr w:rsidR="00262E2B" w:rsidRPr="001B3F27" w:rsidTr="00002204">
        <w:trPr>
          <w:trHeight w:val="384"/>
        </w:trPr>
        <w:tc>
          <w:tcPr>
            <w:tcW w:w="550" w:type="dxa"/>
          </w:tcPr>
          <w:p w:rsidR="00262E2B" w:rsidRPr="001B3F27" w:rsidRDefault="00262E2B" w:rsidP="001D5C17">
            <w:pPr>
              <w:pStyle w:val="naiskr"/>
              <w:spacing w:before="0" w:after="0"/>
            </w:pPr>
            <w:r w:rsidRPr="001B3F27">
              <w:t>4.</w:t>
            </w:r>
          </w:p>
        </w:tc>
        <w:tc>
          <w:tcPr>
            <w:tcW w:w="2574" w:type="dxa"/>
          </w:tcPr>
          <w:p w:rsidR="00262E2B" w:rsidRPr="001B3F27" w:rsidRDefault="000C790C" w:rsidP="00C70B74">
            <w:pPr>
              <w:pStyle w:val="naiskr"/>
              <w:spacing w:before="0" w:after="0"/>
            </w:pPr>
            <w:r w:rsidRPr="001B3F27">
              <w:t>Tiesiskā r</w:t>
            </w:r>
            <w:r w:rsidR="00400032" w:rsidRPr="001B3F27">
              <w:t xml:space="preserve">egulējuma </w:t>
            </w:r>
            <w:r w:rsidR="00262E2B" w:rsidRPr="001B3F27">
              <w:t>mērķis un būtība</w:t>
            </w:r>
          </w:p>
        </w:tc>
        <w:tc>
          <w:tcPr>
            <w:tcW w:w="6601" w:type="dxa"/>
          </w:tcPr>
          <w:p w:rsidR="001D5C17" w:rsidRPr="001B3F27" w:rsidRDefault="00002204" w:rsidP="00BE7B05">
            <w:pPr>
              <w:pStyle w:val="naiskr"/>
              <w:spacing w:before="0" w:after="0"/>
              <w:jc w:val="both"/>
            </w:pPr>
            <w:r w:rsidRPr="001B3F27">
              <w:rPr>
                <w:iCs/>
              </w:rPr>
              <w:t>Likumprojekts atbilstoši sākotnējās ietekmes novērtējuma ziņojuma (anotācijas) I.sadaļas 2.punktam paredz</w:t>
            </w:r>
            <w:r w:rsidR="00BE7B05" w:rsidRPr="001B3F27">
              <w:t xml:space="preserve"> </w:t>
            </w:r>
            <w:r w:rsidR="00BE7B05" w:rsidRPr="001B3F27">
              <w:rPr>
                <w:iCs/>
              </w:rPr>
              <w:t>pagarināt termiņu, kādā attiecīgā pašvaldība sagatavo un iesniedz Valsts zemes dienestam paziņojumu un pārskatu</w:t>
            </w:r>
            <w:r w:rsidR="004C3BB8" w:rsidRPr="001B3F27">
              <w:rPr>
                <w:iCs/>
              </w:rPr>
              <w:t>,</w:t>
            </w:r>
            <w:r w:rsidR="00BE7B05" w:rsidRPr="001B3F27">
              <w:rPr>
                <w:iCs/>
              </w:rPr>
              <w:t xml:space="preserve"> līdz 2014.gada 30.novembrim.</w:t>
            </w:r>
          </w:p>
        </w:tc>
      </w:tr>
      <w:tr w:rsidR="00262E2B" w:rsidRPr="001B3F27" w:rsidTr="00002204">
        <w:trPr>
          <w:trHeight w:val="476"/>
        </w:trPr>
        <w:tc>
          <w:tcPr>
            <w:tcW w:w="550" w:type="dxa"/>
          </w:tcPr>
          <w:p w:rsidR="00262E2B" w:rsidRPr="001B3F27" w:rsidRDefault="00262E2B" w:rsidP="001D5C17">
            <w:pPr>
              <w:pStyle w:val="naiskr"/>
              <w:spacing w:before="0" w:after="0"/>
            </w:pPr>
            <w:r w:rsidRPr="001B3F27">
              <w:t>5.</w:t>
            </w:r>
          </w:p>
        </w:tc>
        <w:tc>
          <w:tcPr>
            <w:tcW w:w="2574" w:type="dxa"/>
          </w:tcPr>
          <w:p w:rsidR="00262E2B" w:rsidRPr="001B3F27" w:rsidRDefault="001A4066" w:rsidP="00C70B74">
            <w:pPr>
              <w:pStyle w:val="naiskr"/>
              <w:spacing w:before="0" w:after="0"/>
            </w:pPr>
            <w:r w:rsidRPr="001B3F27">
              <w:t>Projekta i</w:t>
            </w:r>
            <w:r w:rsidR="00262E2B" w:rsidRPr="001B3F27">
              <w:t>zstrād</w:t>
            </w:r>
            <w:r w:rsidR="00420870" w:rsidRPr="001B3F27">
              <w:t xml:space="preserve">ē </w:t>
            </w:r>
            <w:r w:rsidR="00262E2B" w:rsidRPr="001B3F27">
              <w:t>iesaistītās institūcijas</w:t>
            </w:r>
          </w:p>
        </w:tc>
        <w:tc>
          <w:tcPr>
            <w:tcW w:w="6601" w:type="dxa"/>
          </w:tcPr>
          <w:p w:rsidR="00262E2B" w:rsidRPr="001B3F27" w:rsidRDefault="009675C9" w:rsidP="00BE7B05">
            <w:pPr>
              <w:pStyle w:val="naiskr"/>
              <w:spacing w:before="0" w:after="0"/>
              <w:jc w:val="both"/>
            </w:pPr>
            <w:r w:rsidRPr="001B3F27">
              <w:t>Tieslietu ministrija (Valsts zemes dienests)</w:t>
            </w:r>
            <w:r w:rsidR="00C16204" w:rsidRPr="001B3F27">
              <w:t xml:space="preserve">. Likumprojekts ir izstrādāts, </w:t>
            </w:r>
            <w:r w:rsidR="00BE7B05" w:rsidRPr="001B3F27">
              <w:t>pamatojoties uz Centrālās zemes komisijas 2012.gada 11.jūlija vēstuli Nr.34D/d-12-1 par Rīgas pilsētas zemes komisijas 2012.gada 29.maija vēstuli Nr.B-1-44.</w:t>
            </w:r>
          </w:p>
        </w:tc>
      </w:tr>
      <w:tr w:rsidR="00262E2B" w:rsidRPr="001B3F27" w:rsidTr="00BE7B05">
        <w:trPr>
          <w:trHeight w:val="900"/>
        </w:trPr>
        <w:tc>
          <w:tcPr>
            <w:tcW w:w="550" w:type="dxa"/>
          </w:tcPr>
          <w:p w:rsidR="00262E2B" w:rsidRPr="001B3F27" w:rsidRDefault="00262E2B" w:rsidP="001D5C17">
            <w:pPr>
              <w:pStyle w:val="naiskr"/>
              <w:spacing w:before="0" w:after="0"/>
            </w:pPr>
            <w:r w:rsidRPr="001B3F27">
              <w:t>6.</w:t>
            </w:r>
          </w:p>
        </w:tc>
        <w:tc>
          <w:tcPr>
            <w:tcW w:w="2574" w:type="dxa"/>
          </w:tcPr>
          <w:p w:rsidR="00262E2B" w:rsidRPr="001B3F27" w:rsidRDefault="00BB7C94" w:rsidP="001D5C17">
            <w:pPr>
              <w:pStyle w:val="naiskr"/>
              <w:spacing w:before="0" w:after="0"/>
              <w:rPr>
                <w:i/>
                <w:highlight w:val="yellow"/>
              </w:rPr>
            </w:pPr>
            <w:r w:rsidRPr="001B3F27">
              <w:t xml:space="preserve">Iemesli, kādēļ netika nodrošināta </w:t>
            </w:r>
            <w:r w:rsidR="00262E2B" w:rsidRPr="001B3F27">
              <w:t xml:space="preserve">sabiedrības </w:t>
            </w:r>
            <w:r w:rsidRPr="001B3F27">
              <w:t>līdzdalība</w:t>
            </w:r>
          </w:p>
        </w:tc>
        <w:tc>
          <w:tcPr>
            <w:tcW w:w="6601" w:type="dxa"/>
          </w:tcPr>
          <w:p w:rsidR="00BE7B05" w:rsidRPr="001B3F27" w:rsidRDefault="00C16204" w:rsidP="00BE7B05">
            <w:pPr>
              <w:pStyle w:val="Vresteksts"/>
              <w:jc w:val="both"/>
              <w:rPr>
                <w:sz w:val="24"/>
                <w:szCs w:val="24"/>
              </w:rPr>
            </w:pPr>
            <w:r w:rsidRPr="001B3F27">
              <w:rPr>
                <w:sz w:val="24"/>
                <w:szCs w:val="24"/>
              </w:rPr>
              <w:t>Sabiedrības līdzdalība netika nodrošināta, jo</w:t>
            </w:r>
            <w:r w:rsidR="00BE7B05" w:rsidRPr="001B3F27">
              <w:rPr>
                <w:sz w:val="24"/>
                <w:szCs w:val="24"/>
              </w:rPr>
              <w:t>:</w:t>
            </w:r>
          </w:p>
          <w:p w:rsidR="00FA25CC" w:rsidRPr="001B3F27" w:rsidRDefault="00FA25CC" w:rsidP="00BE7B05">
            <w:pPr>
              <w:pStyle w:val="Vresteksts"/>
              <w:jc w:val="both"/>
              <w:rPr>
                <w:sz w:val="24"/>
                <w:szCs w:val="24"/>
              </w:rPr>
            </w:pPr>
            <w:r w:rsidRPr="001B3F27">
              <w:rPr>
                <w:sz w:val="24"/>
                <w:szCs w:val="24"/>
              </w:rPr>
              <w:t>1. termiņa, kādā attiecīgā pašvaldība sagatavo un iesniedz Valsts zemes dienestam paziņojumu un pārskatu, pagarināšana neietekmē bijušo zemes īpašnieku vai viņu mantinieku tiesības atjaunot zemes īpašuma tiesības vai saņemt īpašumā vai lietošanā līdzvērtīgu zemes gabalu, vai saņemt kompensāciju par neatdoto zemi.</w:t>
            </w:r>
          </w:p>
          <w:p w:rsidR="00FA7D34" w:rsidRPr="001B3F27" w:rsidRDefault="00FA25CC" w:rsidP="00BE7B05">
            <w:pPr>
              <w:pStyle w:val="Vresteksts"/>
              <w:jc w:val="both"/>
              <w:rPr>
                <w:sz w:val="24"/>
                <w:szCs w:val="24"/>
              </w:rPr>
            </w:pPr>
            <w:r w:rsidRPr="001B3F27">
              <w:rPr>
                <w:sz w:val="24"/>
                <w:szCs w:val="24"/>
              </w:rPr>
              <w:t>2</w:t>
            </w:r>
            <w:r w:rsidR="00FA7D34" w:rsidRPr="001B3F27">
              <w:rPr>
                <w:sz w:val="24"/>
                <w:szCs w:val="24"/>
              </w:rPr>
              <w:t>. </w:t>
            </w:r>
            <w:r w:rsidR="00C16204" w:rsidRPr="001B3F27">
              <w:rPr>
                <w:sz w:val="24"/>
                <w:szCs w:val="24"/>
              </w:rPr>
              <w:t>normatīv</w:t>
            </w:r>
            <w:r w:rsidR="002772A1">
              <w:rPr>
                <w:sz w:val="24"/>
                <w:szCs w:val="24"/>
              </w:rPr>
              <w:t>ā</w:t>
            </w:r>
            <w:r w:rsidR="00C16204" w:rsidRPr="001B3F27">
              <w:rPr>
                <w:sz w:val="24"/>
                <w:szCs w:val="24"/>
              </w:rPr>
              <w:t xml:space="preserve"> akta projekta virzība ir steidzama</w:t>
            </w:r>
            <w:r w:rsidR="00FA7D34" w:rsidRPr="001B3F27">
              <w:rPr>
                <w:sz w:val="24"/>
                <w:szCs w:val="24"/>
              </w:rPr>
              <w:t>;</w:t>
            </w:r>
          </w:p>
          <w:p w:rsidR="00FA7D34" w:rsidRPr="001B3F27" w:rsidRDefault="00FA25CC" w:rsidP="00BE7B05">
            <w:pPr>
              <w:pStyle w:val="Vresteksts"/>
              <w:jc w:val="both"/>
              <w:rPr>
                <w:sz w:val="24"/>
                <w:szCs w:val="24"/>
              </w:rPr>
            </w:pPr>
            <w:r w:rsidRPr="001B3F27">
              <w:rPr>
                <w:sz w:val="24"/>
                <w:szCs w:val="24"/>
              </w:rPr>
              <w:t>3</w:t>
            </w:r>
            <w:r w:rsidR="00FA7D34" w:rsidRPr="001B3F27">
              <w:rPr>
                <w:sz w:val="24"/>
                <w:szCs w:val="24"/>
              </w:rPr>
              <w:t xml:space="preserve">. normatīvā akta projektā risināmie jautājumi ir </w:t>
            </w:r>
            <w:r w:rsidR="00BE7B05" w:rsidRPr="001B3F27">
              <w:rPr>
                <w:sz w:val="24"/>
                <w:szCs w:val="24"/>
              </w:rPr>
              <w:t>izvērtēti no Centrālās zemes komisijas un Rīgas pilsētas zemes komisijas puses.</w:t>
            </w:r>
          </w:p>
        </w:tc>
      </w:tr>
      <w:tr w:rsidR="00262E2B" w:rsidRPr="001B3F27" w:rsidTr="00002204">
        <w:tc>
          <w:tcPr>
            <w:tcW w:w="550" w:type="dxa"/>
          </w:tcPr>
          <w:p w:rsidR="00262E2B" w:rsidRPr="001B3F27" w:rsidRDefault="00262E2B" w:rsidP="001D5C17">
            <w:pPr>
              <w:pStyle w:val="naiskr"/>
              <w:spacing w:before="0" w:after="0"/>
            </w:pPr>
            <w:r w:rsidRPr="001B3F27">
              <w:t>7.</w:t>
            </w:r>
          </w:p>
        </w:tc>
        <w:tc>
          <w:tcPr>
            <w:tcW w:w="2574" w:type="dxa"/>
          </w:tcPr>
          <w:p w:rsidR="00262E2B" w:rsidRPr="001B3F27" w:rsidRDefault="00262E2B" w:rsidP="001D5C17">
            <w:pPr>
              <w:pStyle w:val="naiskr"/>
              <w:spacing w:before="0" w:after="0"/>
            </w:pPr>
            <w:r w:rsidRPr="001B3F27">
              <w:t>Cita informācija</w:t>
            </w:r>
          </w:p>
        </w:tc>
        <w:tc>
          <w:tcPr>
            <w:tcW w:w="6601" w:type="dxa"/>
          </w:tcPr>
          <w:p w:rsidR="00262E2B" w:rsidRPr="001B3F27" w:rsidRDefault="00FA25CC" w:rsidP="00BE7B05">
            <w:pPr>
              <w:pStyle w:val="naiskr"/>
              <w:spacing w:before="0" w:after="0"/>
              <w:jc w:val="both"/>
            </w:pPr>
            <w:r w:rsidRPr="001B3F27">
              <w:t>Nav.</w:t>
            </w:r>
          </w:p>
        </w:tc>
      </w:tr>
    </w:tbl>
    <w:p w:rsidR="00F841D5" w:rsidRPr="001B3F27" w:rsidRDefault="00F841D5" w:rsidP="001D5C17">
      <w:pPr>
        <w:pStyle w:val="naisf"/>
        <w:spacing w:before="0" w:after="0"/>
      </w:pPr>
    </w:p>
    <w:tbl>
      <w:tblPr>
        <w:tblpPr w:leftFromText="180" w:rightFromText="180" w:vertAnchor="text" w:horzAnchor="margin" w:tblpXSpec="center" w:tblpY="149"/>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758"/>
      </w:tblGrid>
      <w:tr w:rsidR="0062298A" w:rsidRPr="001B3F27" w:rsidTr="00FD2A8A">
        <w:tc>
          <w:tcPr>
            <w:tcW w:w="9758" w:type="dxa"/>
            <w:vAlign w:val="center"/>
          </w:tcPr>
          <w:p w:rsidR="0062298A" w:rsidRPr="001B3F27" w:rsidRDefault="0062298A" w:rsidP="00C16204">
            <w:pPr>
              <w:pStyle w:val="naisnod"/>
              <w:spacing w:before="0" w:after="0"/>
            </w:pPr>
            <w:r w:rsidRPr="001B3F27">
              <w:t>II</w:t>
            </w:r>
            <w:r w:rsidR="000941C5" w:rsidRPr="001B3F27">
              <w:t>.</w:t>
            </w:r>
            <w:r w:rsidRPr="001B3F27">
              <w:t xml:space="preserve"> Tiesību akta projekta ietekme uz sabiedrību</w:t>
            </w:r>
          </w:p>
        </w:tc>
      </w:tr>
      <w:tr w:rsidR="00FA25CC" w:rsidRPr="001B3F27" w:rsidTr="00FD2A8A">
        <w:tc>
          <w:tcPr>
            <w:tcW w:w="9758" w:type="dxa"/>
            <w:vAlign w:val="center"/>
          </w:tcPr>
          <w:p w:rsidR="00FA25CC" w:rsidRPr="001B3F27" w:rsidRDefault="00FA25CC" w:rsidP="00C16204">
            <w:pPr>
              <w:pStyle w:val="naisnod"/>
              <w:spacing w:before="0" w:after="0"/>
              <w:rPr>
                <w:b w:val="0"/>
              </w:rPr>
            </w:pPr>
            <w:r w:rsidRPr="001B3F27">
              <w:rPr>
                <w:b w:val="0"/>
              </w:rPr>
              <w:t>Projekts šo jomu neskar.</w:t>
            </w:r>
          </w:p>
        </w:tc>
      </w:tr>
    </w:tbl>
    <w:p w:rsidR="00F841D5" w:rsidRPr="001B3F27" w:rsidRDefault="00F841D5" w:rsidP="001D5C17">
      <w:pPr>
        <w:pStyle w:val="naisf"/>
        <w:spacing w:before="0" w:after="0"/>
      </w:pPr>
    </w:p>
    <w:tbl>
      <w:tblPr>
        <w:tblW w:w="9735" w:type="dxa"/>
        <w:jc w:val="center"/>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5"/>
      </w:tblGrid>
      <w:tr w:rsidR="00225DE5" w:rsidRPr="001B3F27" w:rsidTr="00225DE5">
        <w:trPr>
          <w:trHeight w:val="230"/>
          <w:jc w:val="center"/>
        </w:trPr>
        <w:tc>
          <w:tcPr>
            <w:tcW w:w="9735" w:type="dxa"/>
          </w:tcPr>
          <w:p w:rsidR="00225DE5" w:rsidRPr="001B3F27" w:rsidRDefault="00225DE5" w:rsidP="00225DE5">
            <w:pPr>
              <w:pStyle w:val="naisnod"/>
              <w:spacing w:before="0" w:after="0"/>
              <w:rPr>
                <w:i/>
              </w:rPr>
            </w:pPr>
            <w:r w:rsidRPr="001B3F27">
              <w:br w:type="page"/>
              <w:t>III. Tiesību akta projekta ietekme uz valsts budžetu un pašvaldību budžetiem</w:t>
            </w:r>
          </w:p>
        </w:tc>
      </w:tr>
      <w:tr w:rsidR="00FA25CC" w:rsidRPr="001B3F27" w:rsidTr="00225DE5">
        <w:trPr>
          <w:trHeight w:val="230"/>
          <w:jc w:val="center"/>
        </w:trPr>
        <w:tc>
          <w:tcPr>
            <w:tcW w:w="9735" w:type="dxa"/>
          </w:tcPr>
          <w:p w:rsidR="00FA25CC" w:rsidRPr="001B3F27" w:rsidRDefault="00FA25CC" w:rsidP="00225DE5">
            <w:pPr>
              <w:pStyle w:val="naisnod"/>
              <w:spacing w:before="0" w:after="0"/>
            </w:pPr>
            <w:r w:rsidRPr="001B3F27">
              <w:rPr>
                <w:b w:val="0"/>
              </w:rPr>
              <w:t>Projekts šo jomu neskar.</w:t>
            </w:r>
          </w:p>
        </w:tc>
      </w:tr>
    </w:tbl>
    <w:p w:rsidR="00F841D5" w:rsidRPr="001B3F27" w:rsidRDefault="00F841D5" w:rsidP="001D5C17">
      <w:pPr>
        <w:pStyle w:val="naisf"/>
        <w:spacing w:before="0" w:after="0"/>
      </w:pPr>
    </w:p>
    <w:tbl>
      <w:tblPr>
        <w:tblW w:w="9726" w:type="dxa"/>
        <w:jc w:val="center"/>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3074"/>
        <w:gridCol w:w="6182"/>
      </w:tblGrid>
      <w:tr w:rsidR="00924023" w:rsidRPr="001B3F27" w:rsidTr="00A04237">
        <w:trPr>
          <w:jc w:val="center"/>
        </w:trPr>
        <w:tc>
          <w:tcPr>
            <w:tcW w:w="9726" w:type="dxa"/>
            <w:gridSpan w:val="3"/>
          </w:tcPr>
          <w:p w:rsidR="00924023" w:rsidRPr="001B3F27" w:rsidRDefault="00924023" w:rsidP="001D5C17">
            <w:pPr>
              <w:pStyle w:val="naisnod"/>
              <w:spacing w:before="0" w:after="0"/>
            </w:pPr>
            <w:r w:rsidRPr="001B3F27">
              <w:t>IV</w:t>
            </w:r>
            <w:r w:rsidR="000941C5" w:rsidRPr="001B3F27">
              <w:t>.</w:t>
            </w:r>
            <w:r w:rsidRPr="001B3F27">
              <w:t xml:space="preserve"> Tiesību akta projekta ietekme uz</w:t>
            </w:r>
            <w:r w:rsidR="005060A1" w:rsidRPr="001B3F27">
              <w:t xml:space="preserve"> </w:t>
            </w:r>
            <w:r w:rsidRPr="001B3F27">
              <w:t>spēkā esošo tiesību normu sistēmu</w:t>
            </w:r>
          </w:p>
        </w:tc>
      </w:tr>
      <w:tr w:rsidR="00FA25CC" w:rsidRPr="001B3F27" w:rsidTr="00FA25CC">
        <w:trPr>
          <w:jc w:val="center"/>
        </w:trPr>
        <w:tc>
          <w:tcPr>
            <w:tcW w:w="470" w:type="dxa"/>
          </w:tcPr>
          <w:p w:rsidR="00FA25CC" w:rsidRPr="001B3F27" w:rsidRDefault="00FA25CC" w:rsidP="00FA25CC">
            <w:pPr>
              <w:pStyle w:val="naiskr"/>
              <w:tabs>
                <w:tab w:val="left" w:pos="2628"/>
              </w:tabs>
              <w:spacing w:before="0" w:after="0"/>
              <w:jc w:val="both"/>
              <w:rPr>
                <w:iCs/>
              </w:rPr>
            </w:pPr>
            <w:r w:rsidRPr="001B3F27">
              <w:rPr>
                <w:iCs/>
              </w:rPr>
              <w:t>1.</w:t>
            </w:r>
          </w:p>
        </w:tc>
        <w:tc>
          <w:tcPr>
            <w:tcW w:w="3074" w:type="dxa"/>
          </w:tcPr>
          <w:p w:rsidR="00FA25CC" w:rsidRPr="001B3F27" w:rsidRDefault="00FA25CC" w:rsidP="00FA25CC">
            <w:pPr>
              <w:pStyle w:val="naiskr"/>
              <w:tabs>
                <w:tab w:val="left" w:pos="2628"/>
              </w:tabs>
              <w:spacing w:before="0" w:after="0"/>
              <w:jc w:val="both"/>
              <w:rPr>
                <w:iCs/>
              </w:rPr>
            </w:pPr>
            <w:r w:rsidRPr="001B3F27">
              <w:t>Nepieciešamie saistītie tiesību aktu projekti</w:t>
            </w:r>
          </w:p>
        </w:tc>
        <w:tc>
          <w:tcPr>
            <w:tcW w:w="6182" w:type="dxa"/>
          </w:tcPr>
          <w:p w:rsidR="00FA25CC" w:rsidRPr="001B3F27" w:rsidRDefault="00FA25CC" w:rsidP="00190F98">
            <w:pPr>
              <w:pStyle w:val="naiskr"/>
              <w:tabs>
                <w:tab w:val="left" w:pos="2628"/>
              </w:tabs>
              <w:spacing w:before="0" w:after="0"/>
              <w:jc w:val="both"/>
              <w:rPr>
                <w:iCs/>
                <w:highlight w:val="yellow"/>
              </w:rPr>
            </w:pPr>
            <w:r w:rsidRPr="001B3F27">
              <w:t>Likumprojektu ir nepieciešams izskatīt vienlaicīgi ar Tieslietu ministrijas virzīto likumprojektu „Grozījumi likumā „Par zemes reformas pabeigšanu lauku apvidos</w:t>
            </w:r>
            <w:r w:rsidR="004C3BB8" w:rsidRPr="001B3F27">
              <w:t>””</w:t>
            </w:r>
            <w:r w:rsidRPr="001B3F27">
              <w:t xml:space="preserve">, jo būtu tiesiski pareizi termiņus par zemes reformas pabeigšanu lauku apvidos </w:t>
            </w:r>
            <w:r w:rsidR="00190F98" w:rsidRPr="001B3F27">
              <w:t>un</w:t>
            </w:r>
            <w:r w:rsidRPr="001B3F27">
              <w:t xml:space="preserve"> termiņus par zemes reformas pabeigšanu pilsētās grozīt vienlaicīgi</w:t>
            </w:r>
            <w:r w:rsidR="00CD2735" w:rsidRPr="001B3F27">
              <w:t>.</w:t>
            </w:r>
          </w:p>
        </w:tc>
      </w:tr>
      <w:tr w:rsidR="00FA25CC" w:rsidRPr="001B3F27" w:rsidTr="00FA25CC">
        <w:trPr>
          <w:jc w:val="center"/>
        </w:trPr>
        <w:tc>
          <w:tcPr>
            <w:tcW w:w="470" w:type="dxa"/>
          </w:tcPr>
          <w:p w:rsidR="00FA25CC" w:rsidRPr="001B3F27" w:rsidRDefault="00FA25CC" w:rsidP="00FA25CC">
            <w:pPr>
              <w:pStyle w:val="naiskr"/>
              <w:tabs>
                <w:tab w:val="left" w:pos="2628"/>
              </w:tabs>
              <w:spacing w:before="0" w:after="0"/>
              <w:jc w:val="both"/>
              <w:rPr>
                <w:iCs/>
              </w:rPr>
            </w:pPr>
            <w:r w:rsidRPr="001B3F27">
              <w:rPr>
                <w:iCs/>
              </w:rPr>
              <w:lastRenderedPageBreak/>
              <w:t>2.</w:t>
            </w:r>
          </w:p>
        </w:tc>
        <w:tc>
          <w:tcPr>
            <w:tcW w:w="3074" w:type="dxa"/>
          </w:tcPr>
          <w:p w:rsidR="00FA25CC" w:rsidRPr="001B3F27" w:rsidRDefault="00FA25CC" w:rsidP="00FA25CC">
            <w:pPr>
              <w:pStyle w:val="naiskr"/>
              <w:tabs>
                <w:tab w:val="left" w:pos="2628"/>
              </w:tabs>
              <w:spacing w:before="0" w:after="0"/>
              <w:jc w:val="both"/>
              <w:rPr>
                <w:iCs/>
              </w:rPr>
            </w:pPr>
            <w:r w:rsidRPr="001B3F27">
              <w:t>Cita informācija</w:t>
            </w:r>
          </w:p>
        </w:tc>
        <w:tc>
          <w:tcPr>
            <w:tcW w:w="6182" w:type="dxa"/>
          </w:tcPr>
          <w:p w:rsidR="00FA25CC" w:rsidRPr="001B3F27" w:rsidRDefault="00FA25CC" w:rsidP="00FA25CC">
            <w:pPr>
              <w:pStyle w:val="naiskr"/>
              <w:tabs>
                <w:tab w:val="left" w:pos="2628"/>
              </w:tabs>
              <w:spacing w:before="0" w:after="0"/>
              <w:jc w:val="both"/>
              <w:rPr>
                <w:iCs/>
                <w:highlight w:val="yellow"/>
              </w:rPr>
            </w:pPr>
            <w:r w:rsidRPr="001B3F27">
              <w:t>Nav.</w:t>
            </w:r>
          </w:p>
        </w:tc>
      </w:tr>
    </w:tbl>
    <w:p w:rsidR="00F841D5" w:rsidRPr="001B3F27" w:rsidRDefault="00F841D5" w:rsidP="001D5C17">
      <w:pPr>
        <w:ind w:firstLine="720"/>
        <w:jc w:val="both"/>
      </w:pPr>
    </w:p>
    <w:tbl>
      <w:tblPr>
        <w:tblW w:w="9710" w:type="dxa"/>
        <w:jc w:val="center"/>
        <w:tblInd w:w="-43"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9710"/>
      </w:tblGrid>
      <w:tr w:rsidR="00C31E36" w:rsidRPr="001B3F27" w:rsidTr="00A04237">
        <w:trPr>
          <w:jc w:val="center"/>
        </w:trPr>
        <w:tc>
          <w:tcPr>
            <w:tcW w:w="9710" w:type="dxa"/>
            <w:tcBorders>
              <w:top w:val="outset" w:sz="6" w:space="0" w:color="auto"/>
              <w:left w:val="outset" w:sz="6" w:space="0" w:color="auto"/>
              <w:bottom w:val="outset" w:sz="6" w:space="0" w:color="auto"/>
              <w:right w:val="outset" w:sz="6" w:space="0" w:color="auto"/>
            </w:tcBorders>
            <w:vAlign w:val="center"/>
          </w:tcPr>
          <w:p w:rsidR="00C31E36" w:rsidRPr="001B3F27" w:rsidRDefault="00C31E36" w:rsidP="001D5C17">
            <w:pPr>
              <w:jc w:val="center"/>
              <w:rPr>
                <w:b/>
              </w:rPr>
            </w:pPr>
            <w:r w:rsidRPr="001B3F27">
              <w:rPr>
                <w:b/>
              </w:rPr>
              <w:t>V. Tiesību akta projekta atbilstība Latvijas Republikas starptautiskajām saistībām</w:t>
            </w:r>
          </w:p>
        </w:tc>
      </w:tr>
      <w:tr w:rsidR="00225DE5" w:rsidRPr="001B3F27" w:rsidTr="00A04237">
        <w:trPr>
          <w:jc w:val="center"/>
        </w:trPr>
        <w:tc>
          <w:tcPr>
            <w:tcW w:w="9710" w:type="dxa"/>
            <w:tcBorders>
              <w:top w:val="outset" w:sz="6" w:space="0" w:color="auto"/>
              <w:left w:val="outset" w:sz="6" w:space="0" w:color="auto"/>
              <w:bottom w:val="outset" w:sz="6" w:space="0" w:color="auto"/>
              <w:right w:val="outset" w:sz="6" w:space="0" w:color="auto"/>
            </w:tcBorders>
            <w:vAlign w:val="center"/>
          </w:tcPr>
          <w:p w:rsidR="00225DE5" w:rsidRPr="001B3F27" w:rsidRDefault="00225DE5" w:rsidP="001D5C17">
            <w:pPr>
              <w:jc w:val="center"/>
            </w:pPr>
            <w:r w:rsidRPr="001B3F27">
              <w:rPr>
                <w:iCs/>
              </w:rPr>
              <w:t>Projekts šo jomu neskar.</w:t>
            </w:r>
          </w:p>
        </w:tc>
      </w:tr>
    </w:tbl>
    <w:p w:rsidR="00F841D5" w:rsidRPr="001B3F27" w:rsidRDefault="00F841D5" w:rsidP="001D5C17">
      <w:pPr>
        <w:pStyle w:val="naisf"/>
        <w:spacing w:before="0" w:after="0"/>
        <w:jc w:val="center"/>
        <w:rPr>
          <w:b/>
        </w:rPr>
      </w:pPr>
    </w:p>
    <w:tbl>
      <w:tblPr>
        <w:tblW w:w="9732" w:type="dxa"/>
        <w:jc w:val="center"/>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732"/>
      </w:tblGrid>
      <w:tr w:rsidR="00277929" w:rsidRPr="001B3F27" w:rsidTr="00A04237">
        <w:trPr>
          <w:jc w:val="center"/>
        </w:trPr>
        <w:tc>
          <w:tcPr>
            <w:tcW w:w="9732" w:type="dxa"/>
          </w:tcPr>
          <w:p w:rsidR="00277929" w:rsidRPr="001B3F27" w:rsidRDefault="00277929" w:rsidP="001D5C17">
            <w:pPr>
              <w:pStyle w:val="naisnod"/>
              <w:spacing w:before="0" w:after="0"/>
              <w:ind w:left="57" w:right="57"/>
            </w:pPr>
            <w:r w:rsidRPr="001B3F27">
              <w:t>VI</w:t>
            </w:r>
            <w:r w:rsidR="000941C5" w:rsidRPr="001B3F27">
              <w:t>.</w:t>
            </w:r>
            <w:r w:rsidRPr="001B3F27">
              <w:t xml:space="preserve"> Sabiedrības līdzdalība un šīs līdzdalības rezultāti</w:t>
            </w:r>
          </w:p>
        </w:tc>
      </w:tr>
      <w:tr w:rsidR="00394298" w:rsidRPr="001B3F27" w:rsidTr="00A04237">
        <w:trPr>
          <w:jc w:val="center"/>
        </w:trPr>
        <w:tc>
          <w:tcPr>
            <w:tcW w:w="9732" w:type="dxa"/>
          </w:tcPr>
          <w:p w:rsidR="00394298" w:rsidRPr="001B3F27" w:rsidRDefault="00394298" w:rsidP="001D5C17">
            <w:pPr>
              <w:pStyle w:val="naisnod"/>
              <w:spacing w:before="0" w:after="0"/>
              <w:ind w:left="57" w:right="57"/>
              <w:rPr>
                <w:b w:val="0"/>
              </w:rPr>
            </w:pPr>
            <w:r w:rsidRPr="001B3F27">
              <w:rPr>
                <w:b w:val="0"/>
                <w:iCs/>
              </w:rPr>
              <w:t>Projekts šo jomu neskar.</w:t>
            </w:r>
          </w:p>
        </w:tc>
      </w:tr>
    </w:tbl>
    <w:p w:rsidR="00F841D5" w:rsidRPr="001B3F27" w:rsidRDefault="00F841D5" w:rsidP="001D5C17">
      <w:pPr>
        <w:pStyle w:val="naisf"/>
        <w:spacing w:before="0" w:after="0"/>
      </w:pPr>
    </w:p>
    <w:tbl>
      <w:tblPr>
        <w:tblW w:w="9810" w:type="dxa"/>
        <w:jc w:val="cente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12"/>
        <w:gridCol w:w="4229"/>
        <w:gridCol w:w="5069"/>
      </w:tblGrid>
      <w:tr w:rsidR="0023436E" w:rsidRPr="001B3F27" w:rsidTr="00A04237">
        <w:trPr>
          <w:jc w:val="center"/>
        </w:trPr>
        <w:tc>
          <w:tcPr>
            <w:tcW w:w="9810" w:type="dxa"/>
            <w:gridSpan w:val="3"/>
            <w:tcBorders>
              <w:top w:val="single" w:sz="4" w:space="0" w:color="auto"/>
            </w:tcBorders>
          </w:tcPr>
          <w:p w:rsidR="0023436E" w:rsidRPr="001B3F27" w:rsidRDefault="0023436E" w:rsidP="001D5C17">
            <w:pPr>
              <w:pStyle w:val="naisnod"/>
              <w:spacing w:before="0" w:after="0"/>
              <w:ind w:left="57" w:right="57"/>
            </w:pPr>
            <w:r w:rsidRPr="001B3F27">
              <w:t>VII</w:t>
            </w:r>
            <w:r w:rsidR="000941C5" w:rsidRPr="001B3F27">
              <w:t>.</w:t>
            </w:r>
            <w:r w:rsidRPr="001B3F27">
              <w:t xml:space="preserve"> Tiesību akta projekta izpildes nodrošināšana un tās ietekme uz institūcijām</w:t>
            </w:r>
          </w:p>
        </w:tc>
      </w:tr>
      <w:tr w:rsidR="0023436E" w:rsidRPr="001B3F27" w:rsidTr="00A04237">
        <w:trPr>
          <w:trHeight w:val="427"/>
          <w:jc w:val="center"/>
        </w:trPr>
        <w:tc>
          <w:tcPr>
            <w:tcW w:w="512" w:type="dxa"/>
          </w:tcPr>
          <w:p w:rsidR="0023436E" w:rsidRPr="001B3F27" w:rsidRDefault="0023436E" w:rsidP="001D5C17">
            <w:pPr>
              <w:pStyle w:val="naisnod"/>
              <w:spacing w:before="0" w:after="0"/>
              <w:ind w:left="57" w:right="57"/>
              <w:jc w:val="left"/>
              <w:rPr>
                <w:b w:val="0"/>
              </w:rPr>
            </w:pPr>
            <w:r w:rsidRPr="001B3F27">
              <w:rPr>
                <w:b w:val="0"/>
              </w:rPr>
              <w:t>1.</w:t>
            </w:r>
          </w:p>
        </w:tc>
        <w:tc>
          <w:tcPr>
            <w:tcW w:w="4229" w:type="dxa"/>
          </w:tcPr>
          <w:p w:rsidR="0023436E" w:rsidRPr="001B3F27" w:rsidRDefault="001A4066" w:rsidP="001D5C17">
            <w:pPr>
              <w:pStyle w:val="naisf"/>
              <w:spacing w:before="0" w:after="0"/>
              <w:ind w:left="57" w:right="57" w:firstLine="0"/>
              <w:jc w:val="left"/>
            </w:pPr>
            <w:r w:rsidRPr="001B3F27">
              <w:t>P</w:t>
            </w:r>
            <w:r w:rsidR="0023436E" w:rsidRPr="001B3F27">
              <w:t xml:space="preserve">rojekta izpildē iesaistītās institūcijas </w:t>
            </w:r>
          </w:p>
        </w:tc>
        <w:tc>
          <w:tcPr>
            <w:tcW w:w="5069" w:type="dxa"/>
          </w:tcPr>
          <w:p w:rsidR="0023436E" w:rsidRPr="001B3F27" w:rsidRDefault="00CD2735" w:rsidP="00CD2735">
            <w:pPr>
              <w:pStyle w:val="naisnod"/>
              <w:spacing w:before="0" w:after="0"/>
              <w:ind w:left="57" w:right="57"/>
              <w:jc w:val="both"/>
              <w:rPr>
                <w:b w:val="0"/>
                <w:i/>
                <w:highlight w:val="yellow"/>
              </w:rPr>
            </w:pPr>
            <w:r w:rsidRPr="001B3F27">
              <w:rPr>
                <w:b w:val="0"/>
                <w:iCs/>
              </w:rPr>
              <w:t>Pilsētas zemes komisijas un</w:t>
            </w:r>
            <w:r w:rsidR="00394298" w:rsidRPr="001B3F27">
              <w:rPr>
                <w:b w:val="0"/>
                <w:iCs/>
              </w:rPr>
              <w:t xml:space="preserve"> vietējās pašvaldības.</w:t>
            </w:r>
          </w:p>
        </w:tc>
      </w:tr>
      <w:tr w:rsidR="0023436E" w:rsidRPr="001B3F27" w:rsidTr="00A04237">
        <w:trPr>
          <w:trHeight w:val="463"/>
          <w:jc w:val="center"/>
        </w:trPr>
        <w:tc>
          <w:tcPr>
            <w:tcW w:w="512" w:type="dxa"/>
          </w:tcPr>
          <w:p w:rsidR="0023436E" w:rsidRPr="001B3F27" w:rsidRDefault="0023436E" w:rsidP="001D5C17">
            <w:pPr>
              <w:pStyle w:val="naisnod"/>
              <w:spacing w:before="0" w:after="0"/>
              <w:ind w:left="57" w:right="57"/>
              <w:jc w:val="left"/>
              <w:rPr>
                <w:b w:val="0"/>
              </w:rPr>
            </w:pPr>
            <w:r w:rsidRPr="001B3F27">
              <w:rPr>
                <w:b w:val="0"/>
              </w:rPr>
              <w:t>2.</w:t>
            </w:r>
          </w:p>
        </w:tc>
        <w:tc>
          <w:tcPr>
            <w:tcW w:w="4229" w:type="dxa"/>
          </w:tcPr>
          <w:p w:rsidR="0023436E" w:rsidRPr="001B3F27" w:rsidRDefault="001A4066" w:rsidP="001D5C17">
            <w:pPr>
              <w:pStyle w:val="naisf"/>
              <w:spacing w:before="0" w:after="0"/>
              <w:ind w:left="57" w:right="57" w:firstLine="0"/>
              <w:jc w:val="left"/>
            </w:pPr>
            <w:r w:rsidRPr="001B3F27">
              <w:t>Projekta i</w:t>
            </w:r>
            <w:r w:rsidR="0023436E" w:rsidRPr="001B3F27">
              <w:t xml:space="preserve">zpildes ietekme uz pārvaldes funkcijām </w:t>
            </w:r>
          </w:p>
        </w:tc>
        <w:tc>
          <w:tcPr>
            <w:tcW w:w="5069" w:type="dxa"/>
          </w:tcPr>
          <w:p w:rsidR="002426F1" w:rsidRPr="001B3F27" w:rsidRDefault="002426F1" w:rsidP="002426F1">
            <w:pPr>
              <w:pStyle w:val="naisnod"/>
              <w:spacing w:before="0" w:after="0"/>
              <w:ind w:left="57" w:right="57"/>
              <w:jc w:val="both"/>
              <w:rPr>
                <w:b w:val="0"/>
              </w:rPr>
            </w:pPr>
            <w:r w:rsidRPr="001B3F27">
              <w:rPr>
                <w:b w:val="0"/>
              </w:rPr>
              <w:t>Projekts šo jomu neskar.</w:t>
            </w:r>
          </w:p>
        </w:tc>
      </w:tr>
      <w:tr w:rsidR="0023436E" w:rsidRPr="001B3F27" w:rsidTr="00A04237">
        <w:trPr>
          <w:trHeight w:val="725"/>
          <w:jc w:val="center"/>
        </w:trPr>
        <w:tc>
          <w:tcPr>
            <w:tcW w:w="512" w:type="dxa"/>
          </w:tcPr>
          <w:p w:rsidR="0023436E" w:rsidRPr="001B3F27" w:rsidRDefault="0023436E" w:rsidP="001D5C17">
            <w:pPr>
              <w:pStyle w:val="naisnod"/>
              <w:spacing w:before="0" w:after="0"/>
              <w:ind w:left="57" w:right="57"/>
              <w:jc w:val="left"/>
              <w:rPr>
                <w:b w:val="0"/>
              </w:rPr>
            </w:pPr>
            <w:r w:rsidRPr="001B3F27">
              <w:rPr>
                <w:b w:val="0"/>
              </w:rPr>
              <w:t>3.</w:t>
            </w:r>
          </w:p>
        </w:tc>
        <w:tc>
          <w:tcPr>
            <w:tcW w:w="4229" w:type="dxa"/>
          </w:tcPr>
          <w:p w:rsidR="0023436E" w:rsidRPr="001B3F27" w:rsidRDefault="001A4066" w:rsidP="001D5C17">
            <w:pPr>
              <w:pStyle w:val="naisf"/>
              <w:spacing w:before="0" w:after="0"/>
              <w:ind w:left="57" w:right="57" w:firstLine="0"/>
              <w:jc w:val="left"/>
            </w:pPr>
            <w:r w:rsidRPr="001B3F27">
              <w:t>Projekta iz</w:t>
            </w:r>
            <w:r w:rsidR="0023436E" w:rsidRPr="001B3F27">
              <w:t>pildes ietekme uz pārvaldes institucionālo struktūru.</w:t>
            </w:r>
          </w:p>
          <w:p w:rsidR="0023436E" w:rsidRPr="001B3F27" w:rsidRDefault="006C4607" w:rsidP="001D5C17">
            <w:pPr>
              <w:pStyle w:val="naisf"/>
              <w:spacing w:before="0" w:after="0"/>
              <w:ind w:left="57" w:right="57" w:firstLine="0"/>
              <w:jc w:val="left"/>
            </w:pPr>
            <w:r w:rsidRPr="001B3F27">
              <w:t>Jaunu institūciju izveide</w:t>
            </w:r>
          </w:p>
        </w:tc>
        <w:tc>
          <w:tcPr>
            <w:tcW w:w="5069" w:type="dxa"/>
          </w:tcPr>
          <w:p w:rsidR="002426F1" w:rsidRPr="001B3F27" w:rsidRDefault="002426F1" w:rsidP="002426F1">
            <w:pPr>
              <w:pStyle w:val="naisnod"/>
              <w:spacing w:before="0" w:after="0"/>
              <w:ind w:left="57" w:right="57"/>
              <w:jc w:val="both"/>
              <w:rPr>
                <w:b w:val="0"/>
              </w:rPr>
            </w:pPr>
            <w:r w:rsidRPr="001B3F27">
              <w:rPr>
                <w:b w:val="0"/>
              </w:rPr>
              <w:t>Projekts šo jomu neskar.</w:t>
            </w:r>
          </w:p>
        </w:tc>
      </w:tr>
      <w:tr w:rsidR="0023436E" w:rsidRPr="001B3F27" w:rsidTr="002426F1">
        <w:trPr>
          <w:trHeight w:val="176"/>
          <w:jc w:val="center"/>
        </w:trPr>
        <w:tc>
          <w:tcPr>
            <w:tcW w:w="512" w:type="dxa"/>
          </w:tcPr>
          <w:p w:rsidR="0023436E" w:rsidRPr="001B3F27" w:rsidRDefault="0023436E" w:rsidP="001D5C17">
            <w:pPr>
              <w:pStyle w:val="naisnod"/>
              <w:spacing w:before="0" w:after="0"/>
              <w:ind w:left="57" w:right="57"/>
              <w:jc w:val="left"/>
              <w:rPr>
                <w:b w:val="0"/>
              </w:rPr>
            </w:pPr>
            <w:r w:rsidRPr="001B3F27">
              <w:rPr>
                <w:b w:val="0"/>
              </w:rPr>
              <w:t>4.</w:t>
            </w:r>
          </w:p>
        </w:tc>
        <w:tc>
          <w:tcPr>
            <w:tcW w:w="4229" w:type="dxa"/>
          </w:tcPr>
          <w:p w:rsidR="0023436E" w:rsidRPr="001B3F27" w:rsidRDefault="001A4066" w:rsidP="001D5C17">
            <w:pPr>
              <w:pStyle w:val="naisf"/>
              <w:spacing w:before="0" w:after="0"/>
              <w:ind w:left="57" w:right="57" w:firstLine="0"/>
              <w:jc w:val="left"/>
            </w:pPr>
            <w:r w:rsidRPr="001B3F27">
              <w:t>Projekta i</w:t>
            </w:r>
            <w:r w:rsidR="0023436E" w:rsidRPr="001B3F27">
              <w:t>zpildes ietekme uz pārvaldes institucionālo struktūru.</w:t>
            </w:r>
          </w:p>
          <w:p w:rsidR="0023436E" w:rsidRPr="001B3F27" w:rsidRDefault="006C4607" w:rsidP="001D5C17">
            <w:pPr>
              <w:pStyle w:val="naisf"/>
              <w:spacing w:before="0" w:after="0"/>
              <w:ind w:left="57" w:right="57" w:firstLine="0"/>
              <w:jc w:val="left"/>
            </w:pPr>
            <w:r w:rsidRPr="001B3F27">
              <w:t>Esošu institūciju likvidācija</w:t>
            </w:r>
          </w:p>
        </w:tc>
        <w:tc>
          <w:tcPr>
            <w:tcW w:w="5069" w:type="dxa"/>
          </w:tcPr>
          <w:p w:rsidR="002426F1" w:rsidRPr="001B3F27" w:rsidRDefault="002426F1" w:rsidP="002426F1">
            <w:pPr>
              <w:pStyle w:val="naisnod"/>
              <w:spacing w:before="0" w:after="0"/>
              <w:ind w:left="57" w:right="57"/>
              <w:jc w:val="both"/>
              <w:rPr>
                <w:b w:val="0"/>
              </w:rPr>
            </w:pPr>
            <w:r w:rsidRPr="001B3F27">
              <w:rPr>
                <w:b w:val="0"/>
              </w:rPr>
              <w:t>Projekts šo jomu neskar.</w:t>
            </w:r>
          </w:p>
        </w:tc>
      </w:tr>
      <w:tr w:rsidR="0023436E" w:rsidRPr="001B3F27" w:rsidTr="00A04237">
        <w:trPr>
          <w:trHeight w:val="703"/>
          <w:jc w:val="center"/>
        </w:trPr>
        <w:tc>
          <w:tcPr>
            <w:tcW w:w="512" w:type="dxa"/>
          </w:tcPr>
          <w:p w:rsidR="0023436E" w:rsidRPr="001B3F27" w:rsidRDefault="0023436E" w:rsidP="001D5C17">
            <w:pPr>
              <w:pStyle w:val="naisnod"/>
              <w:spacing w:before="0" w:after="0"/>
              <w:ind w:left="57" w:right="57"/>
              <w:jc w:val="left"/>
              <w:rPr>
                <w:b w:val="0"/>
              </w:rPr>
            </w:pPr>
            <w:r w:rsidRPr="001B3F27">
              <w:rPr>
                <w:b w:val="0"/>
              </w:rPr>
              <w:t>5.</w:t>
            </w:r>
          </w:p>
        </w:tc>
        <w:tc>
          <w:tcPr>
            <w:tcW w:w="4229" w:type="dxa"/>
          </w:tcPr>
          <w:p w:rsidR="0023436E" w:rsidRPr="001B3F27" w:rsidRDefault="001A4066" w:rsidP="001D5C17">
            <w:pPr>
              <w:pStyle w:val="naisf"/>
              <w:spacing w:before="0" w:after="0"/>
              <w:ind w:left="57" w:right="57" w:firstLine="0"/>
              <w:jc w:val="left"/>
            </w:pPr>
            <w:r w:rsidRPr="001B3F27">
              <w:t>Projekta i</w:t>
            </w:r>
            <w:r w:rsidR="0023436E" w:rsidRPr="001B3F27">
              <w:t>zpildes ietekme uz pārvaldes institucionālo struktūru.</w:t>
            </w:r>
          </w:p>
          <w:p w:rsidR="0023436E" w:rsidRPr="001B3F27" w:rsidRDefault="0023436E" w:rsidP="001D5C17">
            <w:pPr>
              <w:pStyle w:val="naisf"/>
              <w:spacing w:before="0" w:after="0"/>
              <w:ind w:left="57" w:right="57" w:firstLine="0"/>
              <w:jc w:val="left"/>
            </w:pPr>
            <w:r w:rsidRPr="001B3F27">
              <w:t>Esošu institūciju reorganizācija</w:t>
            </w:r>
          </w:p>
        </w:tc>
        <w:tc>
          <w:tcPr>
            <w:tcW w:w="5069" w:type="dxa"/>
          </w:tcPr>
          <w:p w:rsidR="002426F1" w:rsidRPr="001B3F27" w:rsidRDefault="002426F1" w:rsidP="002426F1">
            <w:pPr>
              <w:pStyle w:val="naisnod"/>
              <w:spacing w:before="0" w:after="0"/>
              <w:ind w:left="57" w:right="57"/>
              <w:jc w:val="both"/>
              <w:rPr>
                <w:b w:val="0"/>
              </w:rPr>
            </w:pPr>
            <w:r w:rsidRPr="001B3F27">
              <w:rPr>
                <w:b w:val="0"/>
              </w:rPr>
              <w:t>Projekts šo jomu neskar.</w:t>
            </w:r>
          </w:p>
        </w:tc>
      </w:tr>
      <w:tr w:rsidR="0023436E" w:rsidRPr="001B3F27" w:rsidTr="00394298">
        <w:trPr>
          <w:trHeight w:val="42"/>
          <w:jc w:val="center"/>
        </w:trPr>
        <w:tc>
          <w:tcPr>
            <w:tcW w:w="512" w:type="dxa"/>
          </w:tcPr>
          <w:p w:rsidR="0023436E" w:rsidRPr="001B3F27" w:rsidRDefault="00F63DAC" w:rsidP="001D5C17">
            <w:pPr>
              <w:pStyle w:val="naiskr"/>
              <w:spacing w:before="0" w:after="0"/>
              <w:ind w:left="57" w:right="57"/>
            </w:pPr>
            <w:r w:rsidRPr="001B3F27">
              <w:t>6</w:t>
            </w:r>
            <w:r w:rsidR="0023436E" w:rsidRPr="001B3F27">
              <w:t>.</w:t>
            </w:r>
          </w:p>
        </w:tc>
        <w:tc>
          <w:tcPr>
            <w:tcW w:w="4229" w:type="dxa"/>
          </w:tcPr>
          <w:p w:rsidR="0023436E" w:rsidRPr="001B3F27" w:rsidRDefault="006C4607" w:rsidP="001D5C17">
            <w:pPr>
              <w:pStyle w:val="naiskr"/>
              <w:spacing w:before="0" w:after="0"/>
              <w:ind w:left="57" w:right="57"/>
            </w:pPr>
            <w:r w:rsidRPr="001B3F27">
              <w:t>Cita informācija</w:t>
            </w:r>
          </w:p>
        </w:tc>
        <w:tc>
          <w:tcPr>
            <w:tcW w:w="5069" w:type="dxa"/>
          </w:tcPr>
          <w:p w:rsidR="0023436E" w:rsidRPr="001B3F27" w:rsidRDefault="0023436E" w:rsidP="002426F1">
            <w:pPr>
              <w:pStyle w:val="naiskr"/>
              <w:spacing w:before="0" w:after="0"/>
              <w:ind w:left="57" w:right="57"/>
              <w:jc w:val="both"/>
            </w:pPr>
            <w:r w:rsidRPr="001B3F27">
              <w:t>Nav</w:t>
            </w:r>
            <w:r w:rsidR="001D5C17" w:rsidRPr="001B3F27">
              <w:t>.</w:t>
            </w:r>
          </w:p>
        </w:tc>
      </w:tr>
    </w:tbl>
    <w:p w:rsidR="00394298" w:rsidRPr="001B3F27" w:rsidRDefault="00394298" w:rsidP="00394298">
      <w:pPr>
        <w:ind w:left="-426"/>
      </w:pPr>
    </w:p>
    <w:p w:rsidR="00C70B74" w:rsidRPr="00F251FA" w:rsidRDefault="00C70B74" w:rsidP="00394298">
      <w:pPr>
        <w:ind w:left="-426"/>
        <w:rPr>
          <w:sz w:val="28"/>
          <w:szCs w:val="28"/>
        </w:rPr>
      </w:pPr>
    </w:p>
    <w:p w:rsidR="00394298" w:rsidRPr="00F251FA" w:rsidRDefault="00394298" w:rsidP="00394298">
      <w:pPr>
        <w:pStyle w:val="StyleRight"/>
        <w:spacing w:after="0"/>
        <w:ind w:left="-426" w:firstLine="0"/>
        <w:jc w:val="both"/>
      </w:pPr>
      <w:r w:rsidRPr="00F251FA">
        <w:t>Tieslietu ministrs</w:t>
      </w:r>
      <w:r w:rsidRPr="00F251FA">
        <w:tab/>
      </w:r>
      <w:r w:rsidRPr="00F251FA">
        <w:tab/>
      </w:r>
      <w:r w:rsidRPr="00F251FA">
        <w:tab/>
      </w:r>
      <w:r w:rsidRPr="00F251FA">
        <w:tab/>
      </w:r>
      <w:r w:rsidRPr="00F251FA">
        <w:tab/>
      </w:r>
      <w:r w:rsidRPr="00F251FA">
        <w:tab/>
      </w:r>
      <w:r w:rsidRPr="00F251FA">
        <w:tab/>
        <w:t>J.Bordāns</w:t>
      </w:r>
    </w:p>
    <w:p w:rsidR="00394298" w:rsidRDefault="00394298" w:rsidP="00394298">
      <w:pPr>
        <w:pStyle w:val="StyleRight"/>
        <w:spacing w:after="0"/>
        <w:ind w:left="-426" w:firstLine="0"/>
        <w:jc w:val="both"/>
      </w:pPr>
    </w:p>
    <w:p w:rsidR="00CD2735" w:rsidRDefault="00CD2735" w:rsidP="00394298">
      <w:pPr>
        <w:pStyle w:val="StyleRight"/>
        <w:spacing w:after="0"/>
        <w:ind w:left="-426" w:firstLine="0"/>
        <w:jc w:val="both"/>
      </w:pPr>
    </w:p>
    <w:p w:rsidR="00394298" w:rsidRPr="00E83D82" w:rsidRDefault="008A67DF" w:rsidP="00394298">
      <w:pPr>
        <w:ind w:left="-426"/>
        <w:rPr>
          <w:sz w:val="22"/>
          <w:szCs w:val="22"/>
        </w:rPr>
      </w:pPr>
      <w:r>
        <w:rPr>
          <w:sz w:val="22"/>
          <w:szCs w:val="22"/>
        </w:rPr>
        <w:t>11</w:t>
      </w:r>
      <w:r w:rsidR="00394298" w:rsidRPr="00E83D82">
        <w:rPr>
          <w:sz w:val="22"/>
          <w:szCs w:val="22"/>
          <w:lang w:val="ru-RU"/>
        </w:rPr>
        <w:t>.</w:t>
      </w:r>
      <w:r w:rsidR="00394298" w:rsidRPr="00E83D82">
        <w:rPr>
          <w:sz w:val="22"/>
          <w:szCs w:val="22"/>
        </w:rPr>
        <w:t>0</w:t>
      </w:r>
      <w:r w:rsidR="008C5D91" w:rsidRPr="00E83D82">
        <w:rPr>
          <w:sz w:val="22"/>
          <w:szCs w:val="22"/>
        </w:rPr>
        <w:t>9</w:t>
      </w:r>
      <w:r w:rsidR="00394298" w:rsidRPr="00E83D82">
        <w:rPr>
          <w:sz w:val="22"/>
          <w:szCs w:val="22"/>
          <w:lang w:val="ru-RU"/>
        </w:rPr>
        <w:t>.201</w:t>
      </w:r>
      <w:r w:rsidR="00394298" w:rsidRPr="00E83D82">
        <w:rPr>
          <w:sz w:val="22"/>
          <w:szCs w:val="22"/>
        </w:rPr>
        <w:t>2.</w:t>
      </w:r>
      <w:r w:rsidR="00394298" w:rsidRPr="00E83D82">
        <w:rPr>
          <w:sz w:val="22"/>
          <w:szCs w:val="22"/>
          <w:lang w:val="ru-RU"/>
        </w:rPr>
        <w:t xml:space="preserve"> </w:t>
      </w:r>
      <w:r w:rsidR="00F841D5" w:rsidRPr="00E83D82">
        <w:rPr>
          <w:sz w:val="22"/>
          <w:szCs w:val="22"/>
        </w:rPr>
        <w:t>1</w:t>
      </w:r>
      <w:r w:rsidR="0081197C">
        <w:rPr>
          <w:sz w:val="22"/>
          <w:szCs w:val="22"/>
        </w:rPr>
        <w:t>6</w:t>
      </w:r>
      <w:r w:rsidR="00394298" w:rsidRPr="00E83D82">
        <w:rPr>
          <w:sz w:val="22"/>
          <w:szCs w:val="22"/>
          <w:lang w:val="ru-RU"/>
        </w:rPr>
        <w:t>:</w:t>
      </w:r>
      <w:r w:rsidR="0081197C">
        <w:rPr>
          <w:sz w:val="22"/>
          <w:szCs w:val="22"/>
        </w:rPr>
        <w:t>22</w:t>
      </w:r>
      <w:bookmarkStart w:id="0" w:name="_GoBack"/>
      <w:bookmarkEnd w:id="0"/>
    </w:p>
    <w:p w:rsidR="00394298" w:rsidRPr="00E83D82" w:rsidRDefault="008A67DF" w:rsidP="00394298">
      <w:pPr>
        <w:ind w:left="-426"/>
        <w:rPr>
          <w:sz w:val="22"/>
          <w:szCs w:val="22"/>
        </w:rPr>
      </w:pPr>
      <w:r>
        <w:rPr>
          <w:sz w:val="22"/>
          <w:szCs w:val="22"/>
        </w:rPr>
        <w:t>806</w:t>
      </w:r>
    </w:p>
    <w:p w:rsidR="00394298" w:rsidRPr="00E83D82" w:rsidRDefault="00394298" w:rsidP="00394298">
      <w:pPr>
        <w:ind w:left="-426"/>
        <w:rPr>
          <w:sz w:val="22"/>
          <w:szCs w:val="22"/>
        </w:rPr>
      </w:pPr>
      <w:r w:rsidRPr="00E83D82">
        <w:rPr>
          <w:sz w:val="22"/>
          <w:szCs w:val="22"/>
        </w:rPr>
        <w:t>J.Mierkalne</w:t>
      </w:r>
    </w:p>
    <w:p w:rsidR="0015060C" w:rsidRPr="00E83D82" w:rsidRDefault="00394298" w:rsidP="00C70B74">
      <w:pPr>
        <w:ind w:left="-426"/>
        <w:rPr>
          <w:sz w:val="22"/>
          <w:szCs w:val="22"/>
        </w:rPr>
      </w:pPr>
      <w:r w:rsidRPr="00E83D82">
        <w:rPr>
          <w:sz w:val="22"/>
          <w:szCs w:val="22"/>
        </w:rPr>
        <w:t>67038681, judite.mierkalne@vzd.gov.lv</w:t>
      </w:r>
    </w:p>
    <w:sectPr w:rsidR="0015060C" w:rsidRPr="00E83D82" w:rsidSect="00C31E36">
      <w:headerReference w:type="even" r:id="rId10"/>
      <w:headerReference w:type="default" r:id="rId11"/>
      <w:footerReference w:type="default" r:id="rId12"/>
      <w:footerReference w:type="first" r:id="rId13"/>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7C4" w:rsidRDefault="000637C4">
      <w:r>
        <w:separator/>
      </w:r>
    </w:p>
  </w:endnote>
  <w:endnote w:type="continuationSeparator" w:id="0">
    <w:p w:rsidR="000637C4" w:rsidRDefault="000637C4">
      <w:r>
        <w:continuationSeparator/>
      </w:r>
    </w:p>
  </w:endnote>
  <w:endnote w:type="continuationNotice" w:id="1">
    <w:p w:rsidR="000637C4" w:rsidRDefault="000637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5CC" w:rsidRPr="004B209C" w:rsidRDefault="00FA25CC" w:rsidP="004B209C">
    <w:pPr>
      <w:tabs>
        <w:tab w:val="center" w:pos="4153"/>
        <w:tab w:val="right" w:pos="8306"/>
      </w:tabs>
      <w:jc w:val="both"/>
    </w:pPr>
    <w:r w:rsidRPr="00C70B74">
      <w:rPr>
        <w:sz w:val="22"/>
      </w:rPr>
      <w:t>TMAnot_</w:t>
    </w:r>
    <w:r w:rsidR="008A67DF">
      <w:rPr>
        <w:sz w:val="22"/>
        <w:szCs w:val="22"/>
      </w:rPr>
      <w:t>11</w:t>
    </w:r>
    <w:r>
      <w:rPr>
        <w:sz w:val="22"/>
        <w:szCs w:val="22"/>
      </w:rPr>
      <w:t>09</w:t>
    </w:r>
    <w:r w:rsidRPr="00E71CBF">
      <w:rPr>
        <w:sz w:val="22"/>
        <w:szCs w:val="22"/>
      </w:rPr>
      <w:t>12_zem_ref</w:t>
    </w:r>
    <w:r>
      <w:rPr>
        <w:sz w:val="22"/>
        <w:szCs w:val="22"/>
      </w:rPr>
      <w:t>p</w:t>
    </w:r>
    <w:r w:rsidRPr="00E71CBF">
      <w:rPr>
        <w:sz w:val="22"/>
        <w:szCs w:val="22"/>
      </w:rPr>
      <w:t xml:space="preserve">; Likumprojekta </w:t>
    </w:r>
    <w:r w:rsidRPr="004B209C">
      <w:rPr>
        <w:sz w:val="22"/>
        <w:szCs w:val="22"/>
      </w:rPr>
      <w:t>„Grozījums likumā „Par zemes reformas pabeigšanu pilsētās””</w:t>
    </w:r>
    <w:r>
      <w:rPr>
        <w:sz w:val="22"/>
        <w:szCs w:val="22"/>
      </w:rPr>
      <w:t xml:space="preserve"> </w:t>
    </w:r>
    <w:r w:rsidRPr="002426F1">
      <w:rPr>
        <w:sz w:val="22"/>
        <w:szCs w:val="22"/>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5CC" w:rsidRPr="002426F1" w:rsidRDefault="00FA25CC" w:rsidP="002426F1">
    <w:pPr>
      <w:tabs>
        <w:tab w:val="center" w:pos="4153"/>
        <w:tab w:val="right" w:pos="8306"/>
      </w:tabs>
      <w:jc w:val="both"/>
    </w:pPr>
    <w:r w:rsidRPr="00C70B74">
      <w:rPr>
        <w:sz w:val="22"/>
      </w:rPr>
      <w:t>TMAnot_</w:t>
    </w:r>
    <w:r w:rsidR="008A67DF">
      <w:rPr>
        <w:sz w:val="22"/>
        <w:szCs w:val="22"/>
      </w:rPr>
      <w:t>11</w:t>
    </w:r>
    <w:r>
      <w:rPr>
        <w:sz w:val="22"/>
        <w:szCs w:val="22"/>
      </w:rPr>
      <w:t>09</w:t>
    </w:r>
    <w:r w:rsidRPr="00E71CBF">
      <w:rPr>
        <w:sz w:val="22"/>
        <w:szCs w:val="22"/>
      </w:rPr>
      <w:t>12_zem_ref</w:t>
    </w:r>
    <w:r>
      <w:rPr>
        <w:sz w:val="22"/>
        <w:szCs w:val="22"/>
      </w:rPr>
      <w:t>p</w:t>
    </w:r>
    <w:r w:rsidRPr="00E71CBF">
      <w:rPr>
        <w:sz w:val="22"/>
        <w:szCs w:val="22"/>
      </w:rPr>
      <w:t xml:space="preserve">; Likumprojekta </w:t>
    </w:r>
    <w:r w:rsidRPr="004B209C">
      <w:rPr>
        <w:sz w:val="22"/>
        <w:szCs w:val="22"/>
      </w:rPr>
      <w:t>„Grozījums likumā „Par zemes reformas pabeigšanu pilsētās””</w:t>
    </w:r>
    <w:r>
      <w:rPr>
        <w:sz w:val="22"/>
        <w:szCs w:val="22"/>
      </w:rPr>
      <w:t xml:space="preserve"> </w:t>
    </w:r>
    <w:r w:rsidRPr="002426F1">
      <w:rPr>
        <w:sz w:val="22"/>
        <w:szCs w:val="22"/>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7C4" w:rsidRDefault="000637C4">
      <w:r>
        <w:separator/>
      </w:r>
    </w:p>
  </w:footnote>
  <w:footnote w:type="continuationSeparator" w:id="0">
    <w:p w:rsidR="000637C4" w:rsidRDefault="000637C4">
      <w:r>
        <w:continuationSeparator/>
      </w:r>
    </w:p>
  </w:footnote>
  <w:footnote w:type="continuationNotice" w:id="1">
    <w:p w:rsidR="000637C4" w:rsidRDefault="000637C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5CC" w:rsidRDefault="00C96EF3" w:rsidP="003C449B">
    <w:pPr>
      <w:pStyle w:val="Galvene"/>
      <w:framePr w:wrap="around" w:vAnchor="text" w:hAnchor="margin" w:xAlign="center" w:y="1"/>
      <w:rPr>
        <w:rStyle w:val="Lappusesnumurs"/>
      </w:rPr>
    </w:pPr>
    <w:r>
      <w:rPr>
        <w:rStyle w:val="Lappusesnumurs"/>
      </w:rPr>
      <w:fldChar w:fldCharType="begin"/>
    </w:r>
    <w:r w:rsidR="00FA25CC">
      <w:rPr>
        <w:rStyle w:val="Lappusesnumurs"/>
      </w:rPr>
      <w:instrText xml:space="preserve">PAGE  </w:instrText>
    </w:r>
    <w:r>
      <w:rPr>
        <w:rStyle w:val="Lappusesnumurs"/>
      </w:rPr>
      <w:fldChar w:fldCharType="end"/>
    </w:r>
  </w:p>
  <w:p w:rsidR="00FA25CC" w:rsidRDefault="00FA25CC">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5CC" w:rsidRDefault="00C96EF3" w:rsidP="003C449B">
    <w:pPr>
      <w:pStyle w:val="Galvene"/>
      <w:framePr w:wrap="around" w:vAnchor="text" w:hAnchor="margin" w:xAlign="center" w:y="1"/>
      <w:rPr>
        <w:rStyle w:val="Lappusesnumurs"/>
      </w:rPr>
    </w:pPr>
    <w:r>
      <w:rPr>
        <w:rStyle w:val="Lappusesnumurs"/>
      </w:rPr>
      <w:fldChar w:fldCharType="begin"/>
    </w:r>
    <w:r w:rsidR="00FA25CC">
      <w:rPr>
        <w:rStyle w:val="Lappusesnumurs"/>
      </w:rPr>
      <w:instrText xml:space="preserve">PAGE  </w:instrText>
    </w:r>
    <w:r>
      <w:rPr>
        <w:rStyle w:val="Lappusesnumurs"/>
      </w:rPr>
      <w:fldChar w:fldCharType="separate"/>
    </w:r>
    <w:r w:rsidR="0081197C">
      <w:rPr>
        <w:rStyle w:val="Lappusesnumurs"/>
        <w:noProof/>
      </w:rPr>
      <w:t>3</w:t>
    </w:r>
    <w:r>
      <w:rPr>
        <w:rStyle w:val="Lappusesnumurs"/>
      </w:rPr>
      <w:fldChar w:fldCharType="end"/>
    </w:r>
  </w:p>
  <w:p w:rsidR="00FA25CC" w:rsidRDefault="00FA25C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9">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1">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B7C124F"/>
    <w:multiLevelType w:val="hybridMultilevel"/>
    <w:tmpl w:val="3FE471B2"/>
    <w:lvl w:ilvl="0" w:tplc="6172D8FE">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1"/>
  </w:num>
  <w:num w:numId="3">
    <w:abstractNumId w:val="3"/>
  </w:num>
  <w:num w:numId="4">
    <w:abstractNumId w:val="1"/>
  </w:num>
  <w:num w:numId="5">
    <w:abstractNumId w:val="0"/>
  </w:num>
  <w:num w:numId="6">
    <w:abstractNumId w:val="8"/>
  </w:num>
  <w:num w:numId="7">
    <w:abstractNumId w:val="12"/>
  </w:num>
  <w:num w:numId="8">
    <w:abstractNumId w:val="5"/>
  </w:num>
  <w:num w:numId="9">
    <w:abstractNumId w:val="2"/>
  </w:num>
  <w:num w:numId="10">
    <w:abstractNumId w:val="6"/>
  </w:num>
  <w:num w:numId="11">
    <w:abstractNumId w:val="7"/>
  </w:num>
  <w:num w:numId="12">
    <w:abstractNumId w:val="9"/>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C5649"/>
    <w:rsid w:val="00002204"/>
    <w:rsid w:val="00011D24"/>
    <w:rsid w:val="00013FF4"/>
    <w:rsid w:val="00016649"/>
    <w:rsid w:val="0002022A"/>
    <w:rsid w:val="00020FE1"/>
    <w:rsid w:val="00022E13"/>
    <w:rsid w:val="00032388"/>
    <w:rsid w:val="00035CE2"/>
    <w:rsid w:val="0005553B"/>
    <w:rsid w:val="000604D2"/>
    <w:rsid w:val="000637C4"/>
    <w:rsid w:val="0009005E"/>
    <w:rsid w:val="000928D6"/>
    <w:rsid w:val="000941C5"/>
    <w:rsid w:val="000A6451"/>
    <w:rsid w:val="000B064E"/>
    <w:rsid w:val="000B69CF"/>
    <w:rsid w:val="000C790C"/>
    <w:rsid w:val="000F061D"/>
    <w:rsid w:val="000F4794"/>
    <w:rsid w:val="00104B42"/>
    <w:rsid w:val="00124F12"/>
    <w:rsid w:val="00144E3A"/>
    <w:rsid w:val="0015060C"/>
    <w:rsid w:val="0016018A"/>
    <w:rsid w:val="00161F0E"/>
    <w:rsid w:val="00170E2A"/>
    <w:rsid w:val="00177394"/>
    <w:rsid w:val="00181D32"/>
    <w:rsid w:val="00182C18"/>
    <w:rsid w:val="00183B4B"/>
    <w:rsid w:val="00183CC2"/>
    <w:rsid w:val="001900E4"/>
    <w:rsid w:val="00190F88"/>
    <w:rsid w:val="00190F98"/>
    <w:rsid w:val="001A4066"/>
    <w:rsid w:val="001A6AE4"/>
    <w:rsid w:val="001B01FD"/>
    <w:rsid w:val="001B3F27"/>
    <w:rsid w:val="001B4A71"/>
    <w:rsid w:val="001D5B54"/>
    <w:rsid w:val="001D5C17"/>
    <w:rsid w:val="001E13B0"/>
    <w:rsid w:val="001E1DBF"/>
    <w:rsid w:val="001E4639"/>
    <w:rsid w:val="001E4A7D"/>
    <w:rsid w:val="001F4209"/>
    <w:rsid w:val="001F43A8"/>
    <w:rsid w:val="001F5CD6"/>
    <w:rsid w:val="0021263D"/>
    <w:rsid w:val="00213F0C"/>
    <w:rsid w:val="00214094"/>
    <w:rsid w:val="0021592D"/>
    <w:rsid w:val="00222D76"/>
    <w:rsid w:val="00223EB1"/>
    <w:rsid w:val="00225DE5"/>
    <w:rsid w:val="00231344"/>
    <w:rsid w:val="0023436E"/>
    <w:rsid w:val="002347C0"/>
    <w:rsid w:val="00241A6C"/>
    <w:rsid w:val="002426F1"/>
    <w:rsid w:val="00242D2B"/>
    <w:rsid w:val="00262E2B"/>
    <w:rsid w:val="00270429"/>
    <w:rsid w:val="002723E9"/>
    <w:rsid w:val="00275FA7"/>
    <w:rsid w:val="002772A1"/>
    <w:rsid w:val="00277929"/>
    <w:rsid w:val="00283B82"/>
    <w:rsid w:val="002846E9"/>
    <w:rsid w:val="00284C34"/>
    <w:rsid w:val="0029066C"/>
    <w:rsid w:val="002A4342"/>
    <w:rsid w:val="002B50DB"/>
    <w:rsid w:val="002C12AB"/>
    <w:rsid w:val="002C7CAC"/>
    <w:rsid w:val="002D3306"/>
    <w:rsid w:val="002D48AA"/>
    <w:rsid w:val="002D7BAA"/>
    <w:rsid w:val="002D7F54"/>
    <w:rsid w:val="002E3FF4"/>
    <w:rsid w:val="002E5443"/>
    <w:rsid w:val="002E6801"/>
    <w:rsid w:val="002F78C8"/>
    <w:rsid w:val="00301CF3"/>
    <w:rsid w:val="003210A1"/>
    <w:rsid w:val="0032715C"/>
    <w:rsid w:val="00337CA5"/>
    <w:rsid w:val="00362478"/>
    <w:rsid w:val="00375B25"/>
    <w:rsid w:val="0038132C"/>
    <w:rsid w:val="00382A02"/>
    <w:rsid w:val="00394298"/>
    <w:rsid w:val="00396542"/>
    <w:rsid w:val="0039685B"/>
    <w:rsid w:val="003A31A6"/>
    <w:rsid w:val="003A7F0C"/>
    <w:rsid w:val="003A7F79"/>
    <w:rsid w:val="003B6404"/>
    <w:rsid w:val="003B66B7"/>
    <w:rsid w:val="003C449B"/>
    <w:rsid w:val="003D21FF"/>
    <w:rsid w:val="003D44A7"/>
    <w:rsid w:val="003F0112"/>
    <w:rsid w:val="003F071A"/>
    <w:rsid w:val="003F160B"/>
    <w:rsid w:val="003F694E"/>
    <w:rsid w:val="00400032"/>
    <w:rsid w:val="00400B5B"/>
    <w:rsid w:val="00405A00"/>
    <w:rsid w:val="00420870"/>
    <w:rsid w:val="0042553E"/>
    <w:rsid w:val="00432D0C"/>
    <w:rsid w:val="0043791B"/>
    <w:rsid w:val="00441483"/>
    <w:rsid w:val="00441BCB"/>
    <w:rsid w:val="0045176A"/>
    <w:rsid w:val="00456332"/>
    <w:rsid w:val="00461826"/>
    <w:rsid w:val="004800F9"/>
    <w:rsid w:val="0049134A"/>
    <w:rsid w:val="004A58CB"/>
    <w:rsid w:val="004B1795"/>
    <w:rsid w:val="004B209C"/>
    <w:rsid w:val="004B56DD"/>
    <w:rsid w:val="004C020F"/>
    <w:rsid w:val="004C1AFD"/>
    <w:rsid w:val="004C3BB8"/>
    <w:rsid w:val="004C558B"/>
    <w:rsid w:val="004F1F88"/>
    <w:rsid w:val="004F5461"/>
    <w:rsid w:val="004F5F1B"/>
    <w:rsid w:val="00502374"/>
    <w:rsid w:val="005060A1"/>
    <w:rsid w:val="00516072"/>
    <w:rsid w:val="00526EAB"/>
    <w:rsid w:val="005332EC"/>
    <w:rsid w:val="00534418"/>
    <w:rsid w:val="005353AB"/>
    <w:rsid w:val="00535A4D"/>
    <w:rsid w:val="00536775"/>
    <w:rsid w:val="00537260"/>
    <w:rsid w:val="005560BC"/>
    <w:rsid w:val="005573BE"/>
    <w:rsid w:val="00572700"/>
    <w:rsid w:val="00580468"/>
    <w:rsid w:val="00582231"/>
    <w:rsid w:val="0058603B"/>
    <w:rsid w:val="0059431B"/>
    <w:rsid w:val="005A39CC"/>
    <w:rsid w:val="005B2A53"/>
    <w:rsid w:val="005B4730"/>
    <w:rsid w:val="005E05D7"/>
    <w:rsid w:val="005E41E7"/>
    <w:rsid w:val="005E450F"/>
    <w:rsid w:val="0062298A"/>
    <w:rsid w:val="006260EB"/>
    <w:rsid w:val="00626514"/>
    <w:rsid w:val="00626589"/>
    <w:rsid w:val="006339A0"/>
    <w:rsid w:val="006413A8"/>
    <w:rsid w:val="00642E56"/>
    <w:rsid w:val="00651E00"/>
    <w:rsid w:val="00674572"/>
    <w:rsid w:val="00687763"/>
    <w:rsid w:val="00692B0D"/>
    <w:rsid w:val="00693E0E"/>
    <w:rsid w:val="006A1AE3"/>
    <w:rsid w:val="006C30E1"/>
    <w:rsid w:val="006C4607"/>
    <w:rsid w:val="006D48F1"/>
    <w:rsid w:val="006E40CE"/>
    <w:rsid w:val="006F45BE"/>
    <w:rsid w:val="007004FC"/>
    <w:rsid w:val="00706670"/>
    <w:rsid w:val="00711F59"/>
    <w:rsid w:val="0072417C"/>
    <w:rsid w:val="00734450"/>
    <w:rsid w:val="00745F67"/>
    <w:rsid w:val="0075039E"/>
    <w:rsid w:val="00752D9D"/>
    <w:rsid w:val="00754784"/>
    <w:rsid w:val="00757C6E"/>
    <w:rsid w:val="00762BDA"/>
    <w:rsid w:val="007805FD"/>
    <w:rsid w:val="00784422"/>
    <w:rsid w:val="007A2B36"/>
    <w:rsid w:val="007B3B54"/>
    <w:rsid w:val="007B3FA0"/>
    <w:rsid w:val="007C0F2C"/>
    <w:rsid w:val="007C2BCC"/>
    <w:rsid w:val="007C4EF0"/>
    <w:rsid w:val="007D099D"/>
    <w:rsid w:val="007E2664"/>
    <w:rsid w:val="007E3ABF"/>
    <w:rsid w:val="007E5BFA"/>
    <w:rsid w:val="007E6689"/>
    <w:rsid w:val="007E731C"/>
    <w:rsid w:val="007F0A03"/>
    <w:rsid w:val="008019BF"/>
    <w:rsid w:val="00806E69"/>
    <w:rsid w:val="00810040"/>
    <w:rsid w:val="00811536"/>
    <w:rsid w:val="0081197C"/>
    <w:rsid w:val="0082023A"/>
    <w:rsid w:val="00821A7A"/>
    <w:rsid w:val="008253F8"/>
    <w:rsid w:val="00831A4C"/>
    <w:rsid w:val="008325E4"/>
    <w:rsid w:val="00832A2B"/>
    <w:rsid w:val="00845811"/>
    <w:rsid w:val="00846994"/>
    <w:rsid w:val="00850451"/>
    <w:rsid w:val="00852042"/>
    <w:rsid w:val="008534C9"/>
    <w:rsid w:val="0085599D"/>
    <w:rsid w:val="0087510C"/>
    <w:rsid w:val="008968D2"/>
    <w:rsid w:val="0089738E"/>
    <w:rsid w:val="008A67DF"/>
    <w:rsid w:val="008B5BAA"/>
    <w:rsid w:val="008B5FDB"/>
    <w:rsid w:val="008B7959"/>
    <w:rsid w:val="008C2482"/>
    <w:rsid w:val="008C50F4"/>
    <w:rsid w:val="008C5649"/>
    <w:rsid w:val="008C5D91"/>
    <w:rsid w:val="008E44A2"/>
    <w:rsid w:val="008E697D"/>
    <w:rsid w:val="00903263"/>
    <w:rsid w:val="00906A21"/>
    <w:rsid w:val="009079C3"/>
    <w:rsid w:val="00910462"/>
    <w:rsid w:val="00915AB1"/>
    <w:rsid w:val="00917532"/>
    <w:rsid w:val="009235BA"/>
    <w:rsid w:val="00924023"/>
    <w:rsid w:val="00924CE2"/>
    <w:rsid w:val="00925B9F"/>
    <w:rsid w:val="00926AC0"/>
    <w:rsid w:val="00931AED"/>
    <w:rsid w:val="009476A3"/>
    <w:rsid w:val="00951284"/>
    <w:rsid w:val="0095334F"/>
    <w:rsid w:val="00965897"/>
    <w:rsid w:val="009675C9"/>
    <w:rsid w:val="0096765C"/>
    <w:rsid w:val="009727E4"/>
    <w:rsid w:val="009819A2"/>
    <w:rsid w:val="009934C5"/>
    <w:rsid w:val="00994C0F"/>
    <w:rsid w:val="009B22D7"/>
    <w:rsid w:val="009B72ED"/>
    <w:rsid w:val="009C6DEB"/>
    <w:rsid w:val="009D6504"/>
    <w:rsid w:val="009E12D7"/>
    <w:rsid w:val="009E661A"/>
    <w:rsid w:val="00A04237"/>
    <w:rsid w:val="00A06781"/>
    <w:rsid w:val="00A074C3"/>
    <w:rsid w:val="00A0793A"/>
    <w:rsid w:val="00A1509C"/>
    <w:rsid w:val="00A249B9"/>
    <w:rsid w:val="00A34260"/>
    <w:rsid w:val="00A70CFD"/>
    <w:rsid w:val="00A72A0B"/>
    <w:rsid w:val="00A76796"/>
    <w:rsid w:val="00A81E42"/>
    <w:rsid w:val="00A864FE"/>
    <w:rsid w:val="00A86F41"/>
    <w:rsid w:val="00A87D04"/>
    <w:rsid w:val="00A950C5"/>
    <w:rsid w:val="00AA1D25"/>
    <w:rsid w:val="00AB2B1A"/>
    <w:rsid w:val="00AB397F"/>
    <w:rsid w:val="00AB5832"/>
    <w:rsid w:val="00AC51F2"/>
    <w:rsid w:val="00AD3269"/>
    <w:rsid w:val="00AE5066"/>
    <w:rsid w:val="00AE5E24"/>
    <w:rsid w:val="00AE61B7"/>
    <w:rsid w:val="00AE6CBA"/>
    <w:rsid w:val="00AE79AD"/>
    <w:rsid w:val="00AF07A2"/>
    <w:rsid w:val="00AF35E4"/>
    <w:rsid w:val="00AF5CDE"/>
    <w:rsid w:val="00B11A57"/>
    <w:rsid w:val="00B211C3"/>
    <w:rsid w:val="00B25597"/>
    <w:rsid w:val="00B267B9"/>
    <w:rsid w:val="00B33E09"/>
    <w:rsid w:val="00B45442"/>
    <w:rsid w:val="00B50708"/>
    <w:rsid w:val="00B50C68"/>
    <w:rsid w:val="00B51293"/>
    <w:rsid w:val="00B52B1E"/>
    <w:rsid w:val="00B55481"/>
    <w:rsid w:val="00B56C32"/>
    <w:rsid w:val="00B57ACF"/>
    <w:rsid w:val="00B60CB2"/>
    <w:rsid w:val="00B64BB1"/>
    <w:rsid w:val="00B73166"/>
    <w:rsid w:val="00B8426C"/>
    <w:rsid w:val="00B87E1B"/>
    <w:rsid w:val="00B91B8D"/>
    <w:rsid w:val="00B94E90"/>
    <w:rsid w:val="00BB0A82"/>
    <w:rsid w:val="00BB7C94"/>
    <w:rsid w:val="00BC0A9D"/>
    <w:rsid w:val="00BC4188"/>
    <w:rsid w:val="00BE7B05"/>
    <w:rsid w:val="00BF40ED"/>
    <w:rsid w:val="00BF5BC2"/>
    <w:rsid w:val="00C1133D"/>
    <w:rsid w:val="00C145DB"/>
    <w:rsid w:val="00C16204"/>
    <w:rsid w:val="00C27A08"/>
    <w:rsid w:val="00C31312"/>
    <w:rsid w:val="00C31E36"/>
    <w:rsid w:val="00C326C6"/>
    <w:rsid w:val="00C35295"/>
    <w:rsid w:val="00C36ADD"/>
    <w:rsid w:val="00C36E74"/>
    <w:rsid w:val="00C40595"/>
    <w:rsid w:val="00C41621"/>
    <w:rsid w:val="00C449FA"/>
    <w:rsid w:val="00C5384F"/>
    <w:rsid w:val="00C56964"/>
    <w:rsid w:val="00C6306F"/>
    <w:rsid w:val="00C656D5"/>
    <w:rsid w:val="00C67103"/>
    <w:rsid w:val="00C70B74"/>
    <w:rsid w:val="00C71BB9"/>
    <w:rsid w:val="00C735B2"/>
    <w:rsid w:val="00C94C28"/>
    <w:rsid w:val="00C96EF3"/>
    <w:rsid w:val="00CB0247"/>
    <w:rsid w:val="00CB3440"/>
    <w:rsid w:val="00CC1692"/>
    <w:rsid w:val="00CD138B"/>
    <w:rsid w:val="00CD2735"/>
    <w:rsid w:val="00CD3E31"/>
    <w:rsid w:val="00CD74A3"/>
    <w:rsid w:val="00CE0527"/>
    <w:rsid w:val="00CE5B23"/>
    <w:rsid w:val="00CF70AD"/>
    <w:rsid w:val="00CF7729"/>
    <w:rsid w:val="00D00059"/>
    <w:rsid w:val="00D045B8"/>
    <w:rsid w:val="00D107FA"/>
    <w:rsid w:val="00D12275"/>
    <w:rsid w:val="00D12766"/>
    <w:rsid w:val="00D20FF4"/>
    <w:rsid w:val="00D24D2C"/>
    <w:rsid w:val="00D35531"/>
    <w:rsid w:val="00D35881"/>
    <w:rsid w:val="00D84774"/>
    <w:rsid w:val="00DA7DA5"/>
    <w:rsid w:val="00DB073B"/>
    <w:rsid w:val="00DB78F0"/>
    <w:rsid w:val="00DC0CEA"/>
    <w:rsid w:val="00DC2E43"/>
    <w:rsid w:val="00DC59FA"/>
    <w:rsid w:val="00DD095C"/>
    <w:rsid w:val="00DD1020"/>
    <w:rsid w:val="00DD1330"/>
    <w:rsid w:val="00DE0B83"/>
    <w:rsid w:val="00DE1A81"/>
    <w:rsid w:val="00DE1C13"/>
    <w:rsid w:val="00DE4E10"/>
    <w:rsid w:val="00E02ABF"/>
    <w:rsid w:val="00E05090"/>
    <w:rsid w:val="00E14995"/>
    <w:rsid w:val="00E179CD"/>
    <w:rsid w:val="00E23E8D"/>
    <w:rsid w:val="00E262BB"/>
    <w:rsid w:val="00E37F98"/>
    <w:rsid w:val="00E4618C"/>
    <w:rsid w:val="00E46559"/>
    <w:rsid w:val="00E6670C"/>
    <w:rsid w:val="00E71CBF"/>
    <w:rsid w:val="00E76983"/>
    <w:rsid w:val="00E776E8"/>
    <w:rsid w:val="00E83D82"/>
    <w:rsid w:val="00E85146"/>
    <w:rsid w:val="00E92C1F"/>
    <w:rsid w:val="00E95D4B"/>
    <w:rsid w:val="00EB199F"/>
    <w:rsid w:val="00EC23F7"/>
    <w:rsid w:val="00EC4BD8"/>
    <w:rsid w:val="00EC63EB"/>
    <w:rsid w:val="00ED412F"/>
    <w:rsid w:val="00EE28CB"/>
    <w:rsid w:val="00EF36B2"/>
    <w:rsid w:val="00F1246B"/>
    <w:rsid w:val="00F201EC"/>
    <w:rsid w:val="00F208A9"/>
    <w:rsid w:val="00F41D75"/>
    <w:rsid w:val="00F5139D"/>
    <w:rsid w:val="00F63DAC"/>
    <w:rsid w:val="00F7454F"/>
    <w:rsid w:val="00F77988"/>
    <w:rsid w:val="00F779EC"/>
    <w:rsid w:val="00F77F48"/>
    <w:rsid w:val="00F841D5"/>
    <w:rsid w:val="00FA25CC"/>
    <w:rsid w:val="00FA7D34"/>
    <w:rsid w:val="00FB30F1"/>
    <w:rsid w:val="00FB53E7"/>
    <w:rsid w:val="00FD2A8A"/>
    <w:rsid w:val="00FE6A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s"/>
    <w:rsid w:val="008C5649"/>
    <w:pPr>
      <w:spacing w:before="75" w:after="75"/>
      <w:ind w:firstLine="375"/>
      <w:jc w:val="both"/>
    </w:pPr>
  </w:style>
  <w:style w:type="paragraph" w:customStyle="1" w:styleId="naisnod">
    <w:name w:val="naisnod"/>
    <w:basedOn w:val="Parasts"/>
    <w:rsid w:val="008C5649"/>
    <w:pPr>
      <w:spacing w:before="150" w:after="150"/>
      <w:jc w:val="center"/>
    </w:pPr>
    <w:rPr>
      <w:b/>
      <w:bCs/>
    </w:rPr>
  </w:style>
  <w:style w:type="paragraph" w:customStyle="1" w:styleId="naislab">
    <w:name w:val="naislab"/>
    <w:basedOn w:val="Parasts"/>
    <w:rsid w:val="008C5649"/>
    <w:pPr>
      <w:spacing w:before="75" w:after="75"/>
      <w:jc w:val="right"/>
    </w:pPr>
  </w:style>
  <w:style w:type="paragraph" w:customStyle="1" w:styleId="naiskr">
    <w:name w:val="naiskr"/>
    <w:basedOn w:val="Parasts"/>
    <w:rsid w:val="008C5649"/>
    <w:pPr>
      <w:spacing w:before="75" w:after="75"/>
    </w:pPr>
  </w:style>
  <w:style w:type="paragraph" w:customStyle="1" w:styleId="naisc">
    <w:name w:val="naisc"/>
    <w:basedOn w:val="Parasts"/>
    <w:rsid w:val="008C5649"/>
    <w:pPr>
      <w:spacing w:before="75" w:after="75"/>
      <w:jc w:val="center"/>
    </w:pPr>
  </w:style>
  <w:style w:type="character" w:customStyle="1" w:styleId="th1">
    <w:name w:val="th1"/>
    <w:rsid w:val="008C5649"/>
    <w:rPr>
      <w:b/>
      <w:bCs/>
      <w:color w:val="333333"/>
    </w:rPr>
  </w:style>
  <w:style w:type="character" w:styleId="Komentraatsauce">
    <w:name w:val="annotation reference"/>
    <w:semiHidden/>
    <w:rsid w:val="008C5649"/>
    <w:rPr>
      <w:sz w:val="16"/>
      <w:szCs w:val="16"/>
    </w:rPr>
  </w:style>
  <w:style w:type="paragraph" w:styleId="Komentrateksts">
    <w:name w:val="annotation text"/>
    <w:basedOn w:val="Parasts"/>
    <w:link w:val="KomentratekstsRakstz"/>
    <w:semiHidden/>
    <w:rsid w:val="008C5649"/>
    <w:rPr>
      <w:sz w:val="20"/>
      <w:szCs w:val="20"/>
    </w:rPr>
  </w:style>
  <w:style w:type="character" w:customStyle="1" w:styleId="KomentratekstsRakstz">
    <w:name w:val="Komentāra teksts Rakstz."/>
    <w:link w:val="Komentrateksts"/>
    <w:semiHidden/>
    <w:rsid w:val="008C5649"/>
    <w:rPr>
      <w:lang w:val="lv-LV" w:eastAsia="lv-LV" w:bidi="ar-SA"/>
    </w:rPr>
  </w:style>
  <w:style w:type="paragraph" w:styleId="Balonteksts">
    <w:name w:val="Balloon Text"/>
    <w:basedOn w:val="Parasts"/>
    <w:semiHidden/>
    <w:rsid w:val="008C5649"/>
    <w:rPr>
      <w:rFonts w:ascii="Tahoma" w:hAnsi="Tahoma" w:cs="Tahoma"/>
      <w:sz w:val="16"/>
      <w:szCs w:val="16"/>
    </w:rPr>
  </w:style>
  <w:style w:type="table" w:styleId="Reatabula">
    <w:name w:val="Table Grid"/>
    <w:basedOn w:val="Parastatabula"/>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s"/>
    <w:semiHidden/>
    <w:rsid w:val="008C5649"/>
    <w:rPr>
      <w:sz w:val="20"/>
      <w:szCs w:val="20"/>
    </w:rPr>
  </w:style>
  <w:style w:type="character" w:styleId="Vresatsauce">
    <w:name w:val="footnote reference"/>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s"/>
    <w:link w:val="KjeneRakstz"/>
    <w:rsid w:val="00262E2B"/>
    <w:pPr>
      <w:tabs>
        <w:tab w:val="center" w:pos="4153"/>
        <w:tab w:val="right" w:pos="8306"/>
      </w:tabs>
    </w:pPr>
  </w:style>
  <w:style w:type="character" w:customStyle="1" w:styleId="KjeneRakstz">
    <w:name w:val="Kājene Rakstz."/>
    <w:link w:val="Kjene"/>
    <w:semiHidden/>
    <w:rsid w:val="00231344"/>
    <w:rPr>
      <w:sz w:val="24"/>
      <w:szCs w:val="24"/>
      <w:lang w:val="lv-LV" w:eastAsia="lv-LV" w:bidi="ar-SA"/>
    </w:rPr>
  </w:style>
  <w:style w:type="character" w:styleId="Hipersaite">
    <w:name w:val="Hyperlink"/>
    <w:rsid w:val="007004FC"/>
    <w:rPr>
      <w:color w:val="0000FF"/>
      <w:u w:val="single"/>
    </w:rPr>
  </w:style>
  <w:style w:type="paragraph" w:styleId="Dokumentakarte">
    <w:name w:val="Document Map"/>
    <w:basedOn w:val="Parasts"/>
    <w:semiHidden/>
    <w:rsid w:val="00846994"/>
    <w:pPr>
      <w:shd w:val="clear" w:color="auto" w:fill="000080"/>
    </w:pPr>
    <w:rPr>
      <w:rFonts w:ascii="Tahoma" w:hAnsi="Tahoma" w:cs="Tahoma"/>
      <w:sz w:val="20"/>
      <w:szCs w:val="20"/>
    </w:rPr>
  </w:style>
  <w:style w:type="paragraph" w:styleId="Paraststmeklis">
    <w:name w:val="Normal (Web)"/>
    <w:basedOn w:val="Parasts"/>
    <w:unhideWhenUsed/>
    <w:rsid w:val="009675C9"/>
    <w:pPr>
      <w:spacing w:before="100" w:beforeAutospacing="1" w:after="100" w:afterAutospacing="1"/>
    </w:pPr>
    <w:rPr>
      <w:szCs w:val="20"/>
      <w:lang w:eastAsia="en-US"/>
    </w:rPr>
  </w:style>
  <w:style w:type="paragraph" w:customStyle="1" w:styleId="StyleRight">
    <w:name w:val="Style Right"/>
    <w:basedOn w:val="Parasts"/>
    <w:rsid w:val="00394298"/>
    <w:pPr>
      <w:spacing w:after="120"/>
      <w:ind w:firstLine="720"/>
      <w:jc w:val="right"/>
    </w:pPr>
    <w:rPr>
      <w:sz w:val="28"/>
      <w:szCs w:val="28"/>
      <w:lang w:eastAsia="en-US"/>
    </w:rPr>
  </w:style>
  <w:style w:type="character" w:customStyle="1" w:styleId="spelle">
    <w:name w:val="spelle"/>
    <w:basedOn w:val="Noklusjumarindkopasfonts"/>
    <w:rsid w:val="00C630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s"/>
    <w:rsid w:val="008C5649"/>
    <w:pPr>
      <w:spacing w:before="75" w:after="75"/>
      <w:ind w:firstLine="375"/>
      <w:jc w:val="both"/>
    </w:pPr>
  </w:style>
  <w:style w:type="paragraph" w:customStyle="1" w:styleId="naisnod">
    <w:name w:val="naisnod"/>
    <w:basedOn w:val="Parasts"/>
    <w:rsid w:val="008C5649"/>
    <w:pPr>
      <w:spacing w:before="150" w:after="150"/>
      <w:jc w:val="center"/>
    </w:pPr>
    <w:rPr>
      <w:b/>
      <w:bCs/>
    </w:rPr>
  </w:style>
  <w:style w:type="paragraph" w:customStyle="1" w:styleId="naislab">
    <w:name w:val="naislab"/>
    <w:basedOn w:val="Parasts"/>
    <w:rsid w:val="008C5649"/>
    <w:pPr>
      <w:spacing w:before="75" w:after="75"/>
      <w:jc w:val="right"/>
    </w:pPr>
  </w:style>
  <w:style w:type="paragraph" w:customStyle="1" w:styleId="naiskr">
    <w:name w:val="naiskr"/>
    <w:basedOn w:val="Parasts"/>
    <w:rsid w:val="008C5649"/>
    <w:pPr>
      <w:spacing w:before="75" w:after="75"/>
    </w:pPr>
  </w:style>
  <w:style w:type="paragraph" w:customStyle="1" w:styleId="naisc">
    <w:name w:val="naisc"/>
    <w:basedOn w:val="Parasts"/>
    <w:rsid w:val="008C5649"/>
    <w:pPr>
      <w:spacing w:before="75" w:after="75"/>
      <w:jc w:val="center"/>
    </w:pPr>
  </w:style>
  <w:style w:type="character" w:customStyle="1" w:styleId="th1">
    <w:name w:val="th1"/>
    <w:rsid w:val="008C5649"/>
    <w:rPr>
      <w:b/>
      <w:bCs/>
      <w:color w:val="333333"/>
    </w:rPr>
  </w:style>
  <w:style w:type="character" w:styleId="Komentraatsauce">
    <w:name w:val="annotation reference"/>
    <w:semiHidden/>
    <w:rsid w:val="008C5649"/>
    <w:rPr>
      <w:sz w:val="16"/>
      <w:szCs w:val="16"/>
    </w:rPr>
  </w:style>
  <w:style w:type="paragraph" w:styleId="Komentrateksts">
    <w:name w:val="annotation text"/>
    <w:basedOn w:val="Parasts"/>
    <w:link w:val="KomentratekstsRakstz"/>
    <w:semiHidden/>
    <w:rsid w:val="008C5649"/>
    <w:rPr>
      <w:sz w:val="20"/>
      <w:szCs w:val="20"/>
    </w:rPr>
  </w:style>
  <w:style w:type="character" w:customStyle="1" w:styleId="KomentratekstsRakstz">
    <w:name w:val="Komentāra teksts Rakstz."/>
    <w:link w:val="Komentrateksts"/>
    <w:semiHidden/>
    <w:rsid w:val="008C5649"/>
    <w:rPr>
      <w:lang w:val="lv-LV" w:eastAsia="lv-LV" w:bidi="ar-SA"/>
    </w:rPr>
  </w:style>
  <w:style w:type="paragraph" w:styleId="Balonteksts">
    <w:name w:val="Balloon Text"/>
    <w:basedOn w:val="Parasts"/>
    <w:semiHidden/>
    <w:rsid w:val="008C5649"/>
    <w:rPr>
      <w:rFonts w:ascii="Tahoma" w:hAnsi="Tahoma" w:cs="Tahoma"/>
      <w:sz w:val="16"/>
      <w:szCs w:val="16"/>
    </w:rPr>
  </w:style>
  <w:style w:type="table" w:styleId="Reatabula">
    <w:name w:val="Table Grid"/>
    <w:basedOn w:val="Parastatabula"/>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s"/>
    <w:semiHidden/>
    <w:rsid w:val="008C5649"/>
    <w:rPr>
      <w:sz w:val="20"/>
      <w:szCs w:val="20"/>
    </w:rPr>
  </w:style>
  <w:style w:type="character" w:styleId="Vresatsauce">
    <w:name w:val="footnote reference"/>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s"/>
    <w:link w:val="KjeneRakstz"/>
    <w:rsid w:val="00262E2B"/>
    <w:pPr>
      <w:tabs>
        <w:tab w:val="center" w:pos="4153"/>
        <w:tab w:val="right" w:pos="8306"/>
      </w:tabs>
    </w:pPr>
  </w:style>
  <w:style w:type="character" w:customStyle="1" w:styleId="KjeneRakstz">
    <w:name w:val="Kājene Rakstz."/>
    <w:link w:val="Kjene"/>
    <w:semiHidden/>
    <w:rsid w:val="00231344"/>
    <w:rPr>
      <w:sz w:val="24"/>
      <w:szCs w:val="24"/>
      <w:lang w:val="lv-LV" w:eastAsia="lv-LV" w:bidi="ar-SA"/>
    </w:rPr>
  </w:style>
  <w:style w:type="character" w:styleId="Hipersaite">
    <w:name w:val="Hyperlink"/>
    <w:rsid w:val="007004FC"/>
    <w:rPr>
      <w:color w:val="0000FF"/>
      <w:u w:val="single"/>
    </w:rPr>
  </w:style>
  <w:style w:type="paragraph" w:styleId="Dokumentakarte">
    <w:name w:val="Document Map"/>
    <w:basedOn w:val="Parasts"/>
    <w:semiHidden/>
    <w:rsid w:val="00846994"/>
    <w:pPr>
      <w:shd w:val="clear" w:color="auto" w:fill="000080"/>
    </w:pPr>
    <w:rPr>
      <w:rFonts w:ascii="Tahoma" w:hAnsi="Tahoma" w:cs="Tahoma"/>
      <w:sz w:val="20"/>
      <w:szCs w:val="20"/>
    </w:rPr>
  </w:style>
  <w:style w:type="paragraph" w:styleId="Paraststmeklis">
    <w:name w:val="Normal (Web)"/>
    <w:basedOn w:val="Parasts"/>
    <w:unhideWhenUsed/>
    <w:rsid w:val="009675C9"/>
    <w:pPr>
      <w:spacing w:before="100" w:beforeAutospacing="1" w:after="100" w:afterAutospacing="1"/>
    </w:pPr>
    <w:rPr>
      <w:szCs w:val="20"/>
      <w:lang w:eastAsia="en-US"/>
    </w:rPr>
  </w:style>
  <w:style w:type="paragraph" w:customStyle="1" w:styleId="StyleRight">
    <w:name w:val="Style Right"/>
    <w:basedOn w:val="Parasts"/>
    <w:rsid w:val="00394298"/>
    <w:pPr>
      <w:spacing w:after="120"/>
      <w:ind w:firstLine="720"/>
      <w:jc w:val="right"/>
    </w:pPr>
    <w:rPr>
      <w:sz w:val="28"/>
      <w:szCs w:val="28"/>
      <w:lang w:eastAsia="en-US"/>
    </w:rPr>
  </w:style>
  <w:style w:type="character" w:customStyle="1" w:styleId="spelle">
    <w:name w:val="spelle"/>
    <w:basedOn w:val="Noklusjumarindkopasfonts"/>
    <w:rsid w:val="00C63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235163">
      <w:bodyDiv w:val="1"/>
      <w:marLeft w:val="0"/>
      <w:marRight w:val="0"/>
      <w:marTop w:val="0"/>
      <w:marBottom w:val="0"/>
      <w:divBdr>
        <w:top w:val="none" w:sz="0" w:space="0" w:color="auto"/>
        <w:left w:val="none" w:sz="0" w:space="0" w:color="auto"/>
        <w:bottom w:val="none" w:sz="0" w:space="0" w:color="auto"/>
        <w:right w:val="none" w:sz="0" w:space="0" w:color="auto"/>
      </w:divBdr>
    </w:div>
    <w:div w:id="187256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C2BE0-E6C4-4EC9-B8C4-7D94076605D4}">
  <ds:schemaRefs>
    <ds:schemaRef ds:uri="http://schemas.openxmlformats.org/officeDocument/2006/bibliography"/>
  </ds:schemaRefs>
</ds:datastoreItem>
</file>

<file path=customXml/itemProps2.xml><?xml version="1.0" encoding="utf-8"?>
<ds:datastoreItem xmlns:ds="http://schemas.openxmlformats.org/officeDocument/2006/customXml" ds:itemID="{E55BFEBB-9656-43CD-99FF-675DA4317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3</Pages>
  <Words>806</Words>
  <Characters>5730</Characters>
  <Application>Microsoft Office Word</Application>
  <DocSecurity>0</DocSecurity>
  <Lines>47</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Grozījums likumā „Par zemes reformas pabeigšanu pilsētās”</vt:lpstr>
      <vt:lpstr>Grozījumi likumā „Par zemes reformas pabeigšanu lauku apvidos”</vt:lpstr>
    </vt:vector>
  </TitlesOfParts>
  <Company>Tieslietu Ministrija</Company>
  <LinksUpToDate>false</LinksUpToDate>
  <CharactersWithSpaces>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likumā „Par zemes reformas pabeigšanu pilsētās”</dc:title>
  <dc:subject>Sākontējās ietekmes novērtējuma ziņojums (anotācija)</dc:subject>
  <dc:creator>Tieslietu ministrija (Valsts zemes dienests)</dc:creator>
  <dc:description>J.Mierkalne, 67038681, judite.mierkalne@vzd.gov.lv</dc:description>
  <cp:lastModifiedBy>Kristaps Tralmaks</cp:lastModifiedBy>
  <cp:revision>10</cp:revision>
  <cp:lastPrinted>2010-01-04T11:31:00Z</cp:lastPrinted>
  <dcterms:created xsi:type="dcterms:W3CDTF">2011-01-18T11:52:00Z</dcterms:created>
  <dcterms:modified xsi:type="dcterms:W3CDTF">2012-09-11T13:22:00Z</dcterms:modified>
</cp:coreProperties>
</file>