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05" w:rsidRPr="00B57444" w:rsidRDefault="00990405" w:rsidP="00990405">
      <w:pPr>
        <w:pStyle w:val="Virsraksts4"/>
        <w:numPr>
          <w:ilvl w:val="0"/>
          <w:numId w:val="0"/>
        </w:numPr>
        <w:spacing w:before="0" w:after="0"/>
        <w:jc w:val="center"/>
      </w:pPr>
      <w:bookmarkStart w:id="0" w:name="_GoBack"/>
      <w:bookmarkEnd w:id="0"/>
      <w:r w:rsidRPr="00B57444">
        <w:t>Likumprojekta „Groz</w:t>
      </w:r>
      <w:r w:rsidR="00121AF2">
        <w:t>ījum</w:t>
      </w:r>
      <w:r w:rsidR="00880A4D">
        <w:t>s Komerclikuma spēkā stāšanās kārtības likumā”</w:t>
      </w:r>
      <w:r w:rsidR="001B7CBF">
        <w:t>”</w:t>
      </w:r>
      <w:r w:rsidRPr="00B57444">
        <w:t xml:space="preserve"> sākotnējās ietekmes novērtējuma ziņojums (anotācija)</w:t>
      </w:r>
    </w:p>
    <w:p w:rsidR="00F94807" w:rsidRPr="00C415B5" w:rsidRDefault="00F94807" w:rsidP="009472D3">
      <w:pPr>
        <w:pStyle w:val="Virsraksts4"/>
        <w:spacing w:before="0" w:after="0"/>
        <w:ind w:left="862" w:hanging="862"/>
        <w:jc w:val="cente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7"/>
        <w:gridCol w:w="2500"/>
        <w:gridCol w:w="6095"/>
      </w:tblGrid>
      <w:tr w:rsidR="00884FB0" w:rsidRPr="00B57444" w:rsidTr="005640C4">
        <w:tc>
          <w:tcPr>
            <w:tcW w:w="9072" w:type="dxa"/>
            <w:gridSpan w:val="3"/>
          </w:tcPr>
          <w:p w:rsidR="00884FB0" w:rsidRPr="00B57444" w:rsidRDefault="00884FB0" w:rsidP="00905158">
            <w:pPr>
              <w:pStyle w:val="naislab"/>
              <w:spacing w:before="0" w:after="0"/>
              <w:jc w:val="center"/>
              <w:outlineLvl w:val="0"/>
              <w:rPr>
                <w:b/>
                <w:bCs/>
              </w:rPr>
            </w:pPr>
            <w:r w:rsidRPr="00B57444">
              <w:rPr>
                <w:b/>
                <w:bCs/>
              </w:rPr>
              <w:t>I. Tiesību akta projekta izstrādes nepieciešamība</w:t>
            </w: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t>1.</w:t>
            </w:r>
          </w:p>
        </w:tc>
        <w:tc>
          <w:tcPr>
            <w:tcW w:w="2500" w:type="dxa"/>
          </w:tcPr>
          <w:p w:rsidR="00880A4D" w:rsidRPr="00B57444" w:rsidRDefault="00880A4D" w:rsidP="00905158">
            <w:pPr>
              <w:pStyle w:val="naislab"/>
              <w:spacing w:before="0" w:after="0"/>
              <w:jc w:val="both"/>
              <w:outlineLvl w:val="0"/>
            </w:pPr>
            <w:r w:rsidRPr="00B57444">
              <w:t>Pamatojums</w:t>
            </w:r>
          </w:p>
        </w:tc>
        <w:tc>
          <w:tcPr>
            <w:tcW w:w="6095" w:type="dxa"/>
          </w:tcPr>
          <w:p w:rsidR="00880A4D" w:rsidRPr="00861555" w:rsidRDefault="00880A4D" w:rsidP="00880A4D">
            <w:pPr>
              <w:pStyle w:val="naislab"/>
              <w:spacing w:before="0" w:after="0"/>
              <w:jc w:val="both"/>
              <w:outlineLvl w:val="0"/>
            </w:pPr>
            <w:r w:rsidRPr="00861555">
              <w:t xml:space="preserve"> </w:t>
            </w:r>
            <w:r w:rsidR="00AE65CB">
              <w:t xml:space="preserve"> </w:t>
            </w:r>
            <w:r w:rsidR="007003D9">
              <w:t xml:space="preserve">  </w:t>
            </w:r>
            <w:r w:rsidR="00AE65CB">
              <w:t>Likumprojekts „Grozījums</w:t>
            </w:r>
            <w:r>
              <w:t xml:space="preserve"> Komerclikuma spēkā stāšanās kārtības likumā”” (turpmāk – Likumprojekts) izstrādāts, pamatojoties uz Ministru kabineta 2011.</w:t>
            </w:r>
            <w:r w:rsidR="00340A75">
              <w:t xml:space="preserve"> </w:t>
            </w:r>
            <w:r>
              <w:t>gada 12.</w:t>
            </w:r>
            <w:r w:rsidR="00340A75">
              <w:t xml:space="preserve"> </w:t>
            </w:r>
            <w:r>
              <w:t>jūlija sēdes protokollēmumu (prot. Nr.43 30</w:t>
            </w:r>
            <w:r w:rsidRPr="00FD501A">
              <w:t xml:space="preserve">.§) </w:t>
            </w:r>
            <w:r>
              <w:t>„Par informatīvo ziņojumu par turpmāko rīcību par tiesību subjekta reģistrācijas apliecības izsniegšanu tikai pēc tā rakstveida pieprasījuma nodrošināšanai” un Ministru kabineta 2011.gada 10.</w:t>
            </w:r>
            <w:r w:rsidR="00340A75">
              <w:t xml:space="preserve"> </w:t>
            </w:r>
            <w:r>
              <w:t>februāra rīkojumu Nr.54 „Par Uzņēmējdarbības vides uzlabošanas pasākumu plānu 2011.gadam” (1.5. Uzņēmējdarbības vides uzlabošanas pasākums „atteikšanās no komersanta filiāles reģistrācijas apliecības obligātas izsniegšanas papīra formā un iesniegšanas institūcijās”).</w:t>
            </w: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t>2.</w:t>
            </w:r>
          </w:p>
        </w:tc>
        <w:tc>
          <w:tcPr>
            <w:tcW w:w="2500" w:type="dxa"/>
          </w:tcPr>
          <w:p w:rsidR="00880A4D" w:rsidRPr="00B57444" w:rsidRDefault="00880A4D" w:rsidP="00905158">
            <w:pPr>
              <w:pStyle w:val="naislab"/>
              <w:spacing w:before="0" w:after="0"/>
              <w:jc w:val="both"/>
              <w:outlineLvl w:val="0"/>
            </w:pPr>
            <w:r w:rsidRPr="00B57444">
              <w:t>Pašreizējā situācija un problēmas</w:t>
            </w:r>
          </w:p>
        </w:tc>
        <w:tc>
          <w:tcPr>
            <w:tcW w:w="6095" w:type="dxa"/>
          </w:tcPr>
          <w:p w:rsidR="00880A4D" w:rsidRDefault="00880A4D" w:rsidP="00880A4D">
            <w:pPr>
              <w:shd w:val="clear" w:color="auto" w:fill="FFFFFF"/>
              <w:jc w:val="both"/>
            </w:pPr>
            <w:r>
              <w:t xml:space="preserve">    Pašlaik Komerclikuma 13.</w:t>
            </w:r>
            <w:r w:rsidR="00340A75">
              <w:t xml:space="preserve"> </w:t>
            </w:r>
            <w:r>
              <w:t>panta pirmā daļa nosaka, ka pēc komersanta ierakstīšanas komercreģistrā tam izsniedz reģistrācijas apliecību, ko paraksta un ar zīmogu apliecina komercreģistra iestādes amatpersona. Līdzīgs regulējums noteikts arī par komersanta filiāles ierakstīšanu komercreģistrā. Proti, saskaņā ar Komerclikuma 13.</w:t>
            </w:r>
            <w:r w:rsidR="00340A75">
              <w:t xml:space="preserve"> </w:t>
            </w:r>
            <w:r>
              <w:t>panta trešo daļu, pēc komersanta filiāles ierakstīšanas komercreģistrā tai izsniedz reģistrācijas apliecību.</w:t>
            </w:r>
          </w:p>
          <w:p w:rsidR="00880A4D" w:rsidRDefault="00880A4D" w:rsidP="00880A4D">
            <w:pPr>
              <w:shd w:val="clear" w:color="auto" w:fill="FFFFFF"/>
              <w:jc w:val="both"/>
            </w:pPr>
            <w:r>
              <w:t xml:space="preserve">    </w:t>
            </w:r>
            <w:r w:rsidRPr="00F52D14">
              <w:t xml:space="preserve">Atbilstoši Komerclikuma 1. panta pirmajai daļai komersants ir komercreģistrā ierakstīta fiziskā persona (individuālais komersants) vai komercsabiedrība (personālsabiedrība un kapitālsabiedrība). Līdz ar to fiziskā persona vai komercsabiedrība iegūst komersanta statusu tikai ar attiecīgā ieraksta izdarīšanas </w:t>
            </w:r>
            <w:r>
              <w:t xml:space="preserve">komercreģistrā brīdi, </w:t>
            </w:r>
            <w:r w:rsidRPr="00F52D14">
              <w:t>nevis, saņemot reģistrācijas apliecību. Vienlaikus Komerclikuma 2. pantā ir noteikts, ka, ja komersants ir ierakstīts komercreģistrā,</w:t>
            </w:r>
            <w:r>
              <w:t xml:space="preserve"> nav pieļaujams, </w:t>
            </w:r>
            <w:r w:rsidRPr="00F52D14">
              <w:t xml:space="preserve">ka saimnieciskā darbība, kas veikta, izmantojot komercreģistrā ierakstīto firmu, nav komercdarbība. Līdz ar to reģistrācijas apliecības izsniegšanai nav juridiskas nozīmes. </w:t>
            </w:r>
          </w:p>
          <w:p w:rsidR="00880A4D" w:rsidRDefault="00880A4D" w:rsidP="00880A4D">
            <w:pPr>
              <w:shd w:val="clear" w:color="auto" w:fill="FFFFFF"/>
              <w:jc w:val="both"/>
            </w:pPr>
            <w:r>
              <w:t xml:space="preserve">    S</w:t>
            </w:r>
            <w:r w:rsidRPr="00861555">
              <w:t>aglabājot obligātu pienākumu saņemt tiesību subjekta reģistrācijas apliecību par tā reģistrāci</w:t>
            </w:r>
            <w:r>
              <w:t>ju Uzņēmumu reģistrā un nosakot</w:t>
            </w:r>
            <w:r w:rsidRPr="00861555">
              <w:t xml:space="preserve"> pienākumu noteiktos gadījumos uzrādīt reģistrācijas apliecību vai izgatavot un iesniegt reģistrācijas apliecības kopiju valsts un pašvaldību institūcijās, kā arī izmantot to civiltiesiskajā apritē, komersantiem un citiem Uzņēmumu reģistr</w:t>
            </w:r>
            <w:r>
              <w:t>a vestajos reģistros</w:t>
            </w:r>
            <w:r w:rsidRPr="00861555">
              <w:t xml:space="preserve"> reģistrētajiem tiesību subjektiem tiek uzlikts papildus administratīvais slogs.</w:t>
            </w:r>
          </w:p>
          <w:p w:rsidR="00880A4D" w:rsidRDefault="00880A4D" w:rsidP="00880A4D">
            <w:pPr>
              <w:shd w:val="clear" w:color="auto" w:fill="FFFFFF"/>
              <w:jc w:val="both"/>
            </w:pPr>
            <w:r>
              <w:t xml:space="preserve">   </w:t>
            </w:r>
            <w:r w:rsidR="007003D9">
              <w:t xml:space="preserve"> </w:t>
            </w:r>
            <w:r w:rsidRPr="005A6D15">
              <w:t xml:space="preserve">Jau šobrīd, izmantojot Uzņēmumu reģistra mājas lapā piedāvātās meklēšanas iespējas, jebkurai personai ir iespējams bez maksas iegūt informāciju par pamatdatiem Uzņēmumu reģistra vestajos reģistros reģistrētajiem tiesību subjektiem, tajā skaitā </w:t>
            </w:r>
            <w:r>
              <w:t>komersantiem un to filiālēm.</w:t>
            </w:r>
            <w:r w:rsidRPr="005A6D15">
              <w:t xml:space="preserve"> Tādējādi </w:t>
            </w:r>
            <w:r w:rsidRPr="005A6D15">
              <w:lastRenderedPageBreak/>
              <w:t>Uzņēmumu reģistra mājas lapā ir iespējams aplūkot, pi</w:t>
            </w:r>
            <w:r w:rsidR="003031BA">
              <w:t>emēram, informāciju par komersanta</w:t>
            </w:r>
            <w:r w:rsidRPr="005A6D15">
              <w:t xml:space="preserve"> nosaukumu, reģistrācijas numuru.</w:t>
            </w:r>
          </w:p>
          <w:p w:rsidR="00880A4D" w:rsidRDefault="00880A4D" w:rsidP="00880A4D">
            <w:pPr>
              <w:shd w:val="clear" w:color="auto" w:fill="FFFFFF"/>
              <w:jc w:val="both"/>
            </w:pPr>
            <w:r>
              <w:t xml:space="preserve">  </w:t>
            </w:r>
            <w:r w:rsidR="007003D9">
              <w:t xml:space="preserve"> </w:t>
            </w:r>
            <w:r>
              <w:t xml:space="preserve"> K</w:t>
            </w:r>
            <w:r w:rsidRPr="000D0D07">
              <w:t>onceptuālu atbalstu priekšlikumam atteikties no Uzņēmumu reģistra vestajos reģistros reģistrēto tiesību subjektu reģistrācijas apliecības obligātas izsniegšanas, paredzot apliecību izsniegšanu tikai pēc attiecīgā su</w:t>
            </w:r>
            <w:r>
              <w:t xml:space="preserve">bjekta rakstveida pieprasījuma, ir izteikušas visas ministrijas, izpildot </w:t>
            </w:r>
            <w:r w:rsidRPr="000D0D07">
              <w:t>Ministru kabineta 2010. gada 27. aprīļa sēdes protokollēmumā (prot. Nr. 21, 29 §) doto uzdevumu un atbildot uz Tieslietu ministrijas nosū</w:t>
            </w:r>
            <w:r>
              <w:t xml:space="preserve">tīto informācijas pieprasījumu. </w:t>
            </w:r>
          </w:p>
          <w:p w:rsidR="00880A4D" w:rsidRDefault="00880A4D" w:rsidP="00880A4D">
            <w:pPr>
              <w:shd w:val="clear" w:color="auto" w:fill="FFFFFF"/>
              <w:jc w:val="both"/>
            </w:pPr>
            <w:r>
              <w:t xml:space="preserve">  </w:t>
            </w:r>
            <w:r w:rsidR="007003D9">
              <w:t xml:space="preserve"> </w:t>
            </w:r>
            <w:r>
              <w:t xml:space="preserve"> Atsakoties no reģistrācijas apliecības obligātas izsniegšanas, normatīvajā regulējumā ir skaidri jānodala divi procesi, proti, pirmkārt, </w:t>
            </w:r>
            <w:r w:rsidRPr="0037665E">
              <w:t>tiesību subjekta reģistrācija, par ko ir maksājama valsts nodeva, un, otrkārt, tiesību subjekta reģistrācijas apliecības un tās dublikāta izsniegšana, nosakot, ka par šo pakalpojumu ir maksājama maksa par pakalpojumu.</w:t>
            </w:r>
            <w:r>
              <w:t xml:space="preserve"> </w:t>
            </w:r>
          </w:p>
          <w:p w:rsidR="00880A4D" w:rsidRPr="00AE2353" w:rsidRDefault="00880A4D" w:rsidP="00880A4D">
            <w:pPr>
              <w:pStyle w:val="naisf"/>
              <w:spacing w:before="0" w:after="0"/>
              <w:ind w:firstLine="0"/>
            </w:pPr>
            <w:r>
              <w:t xml:space="preserve">    </w:t>
            </w:r>
            <w:r w:rsidRPr="00AE2353">
              <w:t xml:space="preserve">Reģistrācijas apliecības izsniegšana pēc tiesību subjekta </w:t>
            </w:r>
            <w:r>
              <w:t xml:space="preserve">rakstveida </w:t>
            </w:r>
            <w:r w:rsidRPr="00AE2353">
              <w:t xml:space="preserve">pieprasījuma par maksu, proti, nosakot to par Uzņēmumu reģistra sniegtu maksas pakalpojumu, ir pamatota ar šādiem argumentiem: </w:t>
            </w:r>
          </w:p>
          <w:p w:rsidR="00880A4D" w:rsidRDefault="00880A4D" w:rsidP="00880A4D">
            <w:pPr>
              <w:pStyle w:val="naisf"/>
              <w:spacing w:before="0" w:after="0"/>
              <w:ind w:firstLine="0"/>
            </w:pPr>
            <w:r>
              <w:t xml:space="preserve">    </w:t>
            </w:r>
            <w:r w:rsidRPr="00AE2353">
              <w:t>1) Uzņēmumu reģistram, lai nodrošinātu reģistrācijas apliecības izsniegšanu, rodas administratīvās izmaksas, jo īpaši ņemot vērā, ka tā būs papildu procedūra, kas tiks īstenota tikai atsevišķos gadījumos pēc personu pieprasījuma;</w:t>
            </w:r>
          </w:p>
          <w:p w:rsidR="00880A4D" w:rsidRPr="00AE2353" w:rsidRDefault="00880A4D" w:rsidP="00880A4D">
            <w:pPr>
              <w:pStyle w:val="naisf"/>
              <w:spacing w:before="0" w:after="0"/>
              <w:ind w:firstLine="0"/>
            </w:pPr>
            <w:r>
              <w:t xml:space="preserve">    </w:t>
            </w:r>
            <w:r w:rsidRPr="00AE2353">
              <w:t>2) maksa par pakalpojumu nodrošinās regulējuma ieviešanas efektivitāti, disciplinējot personas un rosinot tās izvērtēt, vai tik tiešām ir nepieciešams saņemt reģistrācijas apliecību.</w:t>
            </w:r>
          </w:p>
          <w:p w:rsidR="00880A4D" w:rsidRDefault="00880A4D" w:rsidP="00880A4D">
            <w:pPr>
              <w:shd w:val="clear" w:color="auto" w:fill="FFFFFF"/>
              <w:jc w:val="both"/>
            </w:pPr>
            <w:r>
              <w:t xml:space="preserve">  </w:t>
            </w:r>
            <w:r w:rsidR="007003D9">
              <w:t xml:space="preserve"> </w:t>
            </w:r>
            <w:r>
              <w:t xml:space="preserve"> Š</w:t>
            </w:r>
            <w:r w:rsidRPr="00AE2353">
              <w:t>obrīd normatīvajos aktos noteiktā</w:t>
            </w:r>
            <w:r>
              <w:t xml:space="preserve"> maksājuma (valsts nodeva</w:t>
            </w:r>
            <w:r w:rsidRPr="00AE2353">
              <w:t xml:space="preserve">) apmērs par </w:t>
            </w:r>
            <w:r>
              <w:t xml:space="preserve">Uzņēmumu reģistra vestajos reģistros reģistrēto tiesību </w:t>
            </w:r>
            <w:r w:rsidRPr="00AE2353">
              <w:t>reģistrācijas apliecības dublikāta izsniegšanu vai atkārtotu reģistrācijas apliecības izsniegšanu saskaņā ar attiecīgo maksājuma apmēru reglamentējošo spēkā esošo Ministru kabineta noteik</w:t>
            </w:r>
            <w:r>
              <w:t xml:space="preserve">umu regulējumu nav </w:t>
            </w:r>
            <w:r w:rsidRPr="00AE2353">
              <w:t>piesaistīts ar attiecīgā pakalpojuma sniegšanu saistītajām izmaksām</w:t>
            </w:r>
            <w:r>
              <w:t xml:space="preserve">. </w:t>
            </w:r>
            <w:r w:rsidRPr="00A64239">
              <w:t xml:space="preserve">Tikai attiecībā uz </w:t>
            </w:r>
            <w:r w:rsidR="006327D9" w:rsidRPr="00A64239">
              <w:t>Politisko partiju likumā</w:t>
            </w:r>
            <w:r w:rsidR="006327D9">
              <w:t>,</w:t>
            </w:r>
            <w:r w:rsidR="006327D9" w:rsidRPr="00A64239">
              <w:t xml:space="preserve"> </w:t>
            </w:r>
            <w:r w:rsidR="006327D9" w:rsidRPr="00AB2F8B">
              <w:rPr>
                <w:bCs/>
              </w:rPr>
              <w:t>Biedrību un nodibinājumu likumā un Komerclikuma 185.</w:t>
            </w:r>
            <w:r w:rsidR="006327D9" w:rsidRPr="00AB2F8B">
              <w:rPr>
                <w:bCs/>
                <w:vertAlign w:val="superscript"/>
              </w:rPr>
              <w:t>1</w:t>
            </w:r>
            <w:r w:rsidR="006327D9" w:rsidRPr="00AB2F8B">
              <w:rPr>
                <w:bCs/>
              </w:rPr>
              <w:t xml:space="preserve"> pantā </w:t>
            </w:r>
            <w:r w:rsidRPr="00A64239">
              <w:t>noteikto tiesību subjektu reģistrācijas valsts nodevas apmēru ir noteikts, ka tas nedrīkst pārsniegt administratīvos izdevumus, kas saistīti ar lēmuma pieņemšanu par reģistrāciju un attiecīgā ieraksta izdarīšanu.</w:t>
            </w:r>
          </w:p>
          <w:p w:rsidR="00085652" w:rsidRDefault="00483A9C" w:rsidP="00F110F2">
            <w:pPr>
              <w:jc w:val="both"/>
            </w:pPr>
            <w:r>
              <w:t xml:space="preserve">   </w:t>
            </w:r>
            <w:r w:rsidR="00F06985">
              <w:t xml:space="preserve">  </w:t>
            </w:r>
            <w:r w:rsidR="00085652" w:rsidRPr="00085652">
              <w:t xml:space="preserve">Lai mazinātu administratīvo slogu </w:t>
            </w:r>
            <w:r w:rsidR="00085652" w:rsidRPr="00085652">
              <w:rPr>
                <w:bCs/>
              </w:rPr>
              <w:t xml:space="preserve">Uzņēmumu reģistra vestajos reģistros reģistrētajiem tiesību subjektiem, tajā skaitā komersantiem, </w:t>
            </w:r>
            <w:r w:rsidR="00085652" w:rsidRPr="00085652">
              <w:t xml:space="preserve">ir izstrādāti grozījumi vairākos normatīvajos aktos, kas noteic, ka nav nepieciešama reģistrācijas apliecības uzrādīšana, tās kopijas iesniegšana vai citas atsauces uz </w:t>
            </w:r>
            <w:r w:rsidR="00085652" w:rsidRPr="00085652">
              <w:lastRenderedPageBreak/>
              <w:t>reģistrācijas apliecības norādīšanu, iesniedzot dokumentus valsts vai pašvaldību institūcijās, lai persona saņemtu kādu valsts pakalpojumu vai nokārtotu saistības ar valsti. Vienlaikus ir paredzēts noteikt, ka reģistrācijas apliecība nav obligāti izsniedzams dokuments. Tomēr var</w:t>
            </w:r>
            <w:r w:rsidR="00166C81">
              <w:t xml:space="preserve"> būt gadījumi, kad persona vēlēs</w:t>
            </w:r>
            <w:r w:rsidR="00085652" w:rsidRPr="00085652">
              <w:t>ies saņemt šādu dokumentu, lai to izmantotu kādu savu privāttiesisku darījumu veikšanai vai citiem mērķiem. Saskaņā ar Finanšu ministrijas izstrādātā informatīvā ziņojumā „Par valsts nodevu un maksas pakalpojumu nošķiršanu un nodevu sistēmas pilnveidošanu” (izskatīts Ministru kabineta 2012. gada 20. marta sēdē, prot. Nr. 16, 31. §) minēto, tādi pakalpojumi, kas nesaistās ar regulējošām valsts funkcijām, un nerada personai nekādas tiesības, nav apliekami ar valsts nodevu – ir maksas pakalpojumi. Līdz ar to kā risinājums ir paredzēts ieviest jaunu maksas pakalpojumu, kas ļaus tiesību subjektam saņemt reģistrācijas apliecību vai tās dublikātu, ja tiesību subjekts to vēlēsies. Tāpat, ņemot vērā, ka reģistrācijas apliecības dublikāta izsniegšana vairāk atbilst maksas pakalpojuma definīcijai, tad līdzšinējā valsts nodeva par reģistrācijas apliecības dublikāta izsniegšanu tiek pārveidota par maksas pakalpojumu. Plānots, ka visiem tiesību subjektiem, neatkarīgi no tiesību subjekta veida un neatkarīgi no tā vai persona vēlēsies saņemt reģistrācijas apliecību pie jauna tiesību subjekta reģistrācijas, vai reģistrācijas apliecības dublikātu – summa par maksas par pakalpojumu būs viena. Turklāt, minētā maksas pakalpojuma apmērs būs noteikts atbilstoši Ministru kabineta 2011.gada 3.maija noteikumiem Nr. 333 „Kārtība, kādā plānojami un uzskaitāmi ieņēmumi no maksas pakalpojumiem un ar šo pakalpojumu sniegšanu saistītie izdevumi, kā arī maksas pakalpojumu izcenojumu noteikšanas metodika un izcenojumu apstiprināšanas kārtība” un tas segs ar šī pakalpojuma nodrošināšanu saistītos administratī</w:t>
            </w:r>
            <w:r w:rsidR="004C4017">
              <w:t>vos izdevumus. Uzņēmumu reģistrā</w:t>
            </w:r>
            <w:r w:rsidR="00085652" w:rsidRPr="00085652">
              <w:t xml:space="preserve"> maksas pakalpojums tiks sniegts esošo resursu ietvaros. </w:t>
            </w:r>
          </w:p>
          <w:p w:rsidR="00085652" w:rsidRDefault="00085652" w:rsidP="00F110F2">
            <w:pPr>
              <w:jc w:val="both"/>
            </w:pPr>
            <w:r w:rsidRPr="00085652">
              <w:t xml:space="preserve">      Papildus tam Uzņēmumu reģistrs ir izvērtējis, ka, lai gan reģistrācijas apliecību izsniegšana iepriekš bija iekļauta valsts nodevā par jaunu subjektu reģistrēšanu, tas neatstāj būtiskas izmaiņas uz valsts nodevas apmēru šobrīd. Valsts nodevas apmērs ar reģistrācijas apliecības izsniegšanas izmaksām ir noteikts pirms vairākiem gadiem, taču administratīvie izdevumi ir mainījušies un šobrīd valsts nodeva saglabājas esošajā apmērā bez ietvertām reģistrācijas apliecības izsniegšanas izmaksām. </w:t>
            </w:r>
          </w:p>
          <w:p w:rsidR="00880A4D" w:rsidRDefault="00880A4D" w:rsidP="00880A4D">
            <w:pPr>
              <w:jc w:val="both"/>
            </w:pPr>
            <w:r>
              <w:t xml:space="preserve">  </w:t>
            </w:r>
            <w:r w:rsidR="007003D9">
              <w:t xml:space="preserve"> </w:t>
            </w:r>
            <w:r>
              <w:t xml:space="preserve"> </w:t>
            </w:r>
            <w:r w:rsidRPr="00AE2353">
              <w:t>Statistiskā informācija saistībā ar Uzņēmumu reģistra izsniegtajām reģistrācijas apliecībām</w:t>
            </w:r>
            <w:r>
              <w:t xml:space="preserve"> liecina, ka</w:t>
            </w:r>
            <w:r w:rsidRPr="00AE2353">
              <w:t xml:space="preserve"> Uzņēmumu reģistrs vidēji mēnesī izsniedz 2032 reģistrācijas apliecības, tajā skaitā gan jauna subjekta reģistrācijas gadījumā, gan </w:t>
            </w:r>
            <w:r w:rsidRPr="00AE2353">
              <w:lastRenderedPageBreak/>
              <w:t xml:space="preserve">izmaiņu gadījumā, kad izdodama jauna apliecība (piemēram, nosaukuma maiņa). Vienas apliecības izsniegšanas izmaksas gadījumā, ja apliecība tiek pieprasīta vienlaikus ar reģistrācijas pieteikuma iesniegšanu, un gadījumā, ja tiek pieprasīta jau reģistrēta tiesību subjekta reģistrācijas apliecība, ir atšķirīgas. </w:t>
            </w:r>
          </w:p>
          <w:p w:rsidR="00880A4D" w:rsidRDefault="00880A4D" w:rsidP="00880A4D">
            <w:pPr>
              <w:shd w:val="clear" w:color="auto" w:fill="FFFFFF"/>
              <w:jc w:val="both"/>
            </w:pPr>
            <w:r>
              <w:t xml:space="preserve">  </w:t>
            </w:r>
            <w:r w:rsidR="007003D9">
              <w:t xml:space="preserve">  </w:t>
            </w:r>
            <w:r>
              <w:t>Savukārt Komerclikuma spēkā stāšanās kārtības likuma 5.</w:t>
            </w:r>
            <w:r w:rsidR="00340A75">
              <w:t xml:space="preserve"> </w:t>
            </w:r>
            <w:r>
              <w:t xml:space="preserve">panta septītā daļa noteic, ka komercreģistra izdota reģistrācijas apliecība ir dokuments, uz kura pamata likumā noteiktajā kārtībā izdara grozījumus attiecīgajos reģistros un citos dokumentos. Komersanta reģistrācijas apliecībā papildus Komerclikumā noteiktajām ziņām norāda arī reģistrācijas datumu uzņēmumu reģistrā. Tomēr no reģistrācijas apliecības nav iespējams gūt aktuālo informāciju par attiecīgo tiesību subjektu. Reģistrācijas apliecība pēc būtības apliecina tikai to, ka tiesību subjekts kādreiz tika reģistrēts, bet tas nav apliecinājums tam, ka tiesību subjekts vēl joprojām pastāv un tā darbība nav izbeigta. </w:t>
            </w:r>
          </w:p>
          <w:p w:rsidR="00CB2660" w:rsidRPr="0050778B" w:rsidRDefault="00880A4D" w:rsidP="00880A4D">
            <w:pPr>
              <w:jc w:val="both"/>
            </w:pPr>
            <w:r>
              <w:t xml:space="preserve">   </w:t>
            </w:r>
            <w:r w:rsidR="007003D9">
              <w:t xml:space="preserve">  </w:t>
            </w:r>
            <w:r>
              <w:t>Ievērojot augstāk minēto, nepieciešams veikt grozījumus normatīvajos aktos, lai izslēgtu regulējumu, kas noteic reģistrācijas apliecības izsniegšanu visos likumā noteiktajos gadījumos vai reģistrācijas apliecības vai reģistrācijas apliecībā ierakstīto ziņu tiesisko nozīmi. Attiecīgi n</w:t>
            </w:r>
            <w:r w:rsidR="0056263E">
              <w:t>epieciešams veikt arī grozījumu</w:t>
            </w:r>
            <w:r>
              <w:t xml:space="preserve"> Komerclikuma spēkā stāšanās kārtības likumā, izslēdzot 5.</w:t>
            </w:r>
            <w:r w:rsidR="002E7F42">
              <w:t xml:space="preserve"> </w:t>
            </w:r>
            <w:r>
              <w:t xml:space="preserve">panta septīto daļu. </w:t>
            </w: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lastRenderedPageBreak/>
              <w:t>3.</w:t>
            </w:r>
          </w:p>
        </w:tc>
        <w:tc>
          <w:tcPr>
            <w:tcW w:w="2500" w:type="dxa"/>
          </w:tcPr>
          <w:p w:rsidR="00880A4D" w:rsidRPr="00B57444" w:rsidRDefault="00880A4D" w:rsidP="00905158">
            <w:pPr>
              <w:pStyle w:val="naislab"/>
              <w:spacing w:before="0" w:after="0"/>
              <w:jc w:val="both"/>
              <w:outlineLvl w:val="0"/>
            </w:pPr>
            <w:r w:rsidRPr="00B57444">
              <w:t>Saistītie politikas ietekmes novērtējumi un pētījumi</w:t>
            </w:r>
          </w:p>
        </w:tc>
        <w:tc>
          <w:tcPr>
            <w:tcW w:w="6095" w:type="dxa"/>
          </w:tcPr>
          <w:p w:rsidR="00880A4D" w:rsidRDefault="00D54F5C" w:rsidP="000D24C7">
            <w:pPr>
              <w:jc w:val="both"/>
            </w:pPr>
            <w:r>
              <w:t>Projekts šo jomu neskar</w:t>
            </w:r>
          </w:p>
          <w:p w:rsidR="00CB2660" w:rsidRDefault="00CB2660" w:rsidP="000D24C7">
            <w:pPr>
              <w:jc w:val="both"/>
            </w:pPr>
          </w:p>
          <w:p w:rsidR="00886824" w:rsidRDefault="00886824" w:rsidP="000D24C7">
            <w:pPr>
              <w:jc w:val="both"/>
            </w:pPr>
          </w:p>
          <w:p w:rsidR="005C13A1" w:rsidRPr="00B57444" w:rsidRDefault="005C13A1" w:rsidP="000D24C7">
            <w:pPr>
              <w:jc w:val="both"/>
            </w:pP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t>4.</w:t>
            </w:r>
          </w:p>
        </w:tc>
        <w:tc>
          <w:tcPr>
            <w:tcW w:w="2500" w:type="dxa"/>
          </w:tcPr>
          <w:p w:rsidR="00880A4D" w:rsidRPr="00B57444" w:rsidRDefault="00880A4D" w:rsidP="00905158">
            <w:pPr>
              <w:pStyle w:val="naislab"/>
              <w:spacing w:before="0" w:after="0"/>
              <w:jc w:val="both"/>
              <w:outlineLvl w:val="0"/>
            </w:pPr>
            <w:r w:rsidRPr="00B57444">
              <w:t>Tiesiskā regulējuma mērķis un būtība</w:t>
            </w:r>
          </w:p>
        </w:tc>
        <w:tc>
          <w:tcPr>
            <w:tcW w:w="6095" w:type="dxa"/>
          </w:tcPr>
          <w:p w:rsidR="00880A4D" w:rsidRPr="00880A4D" w:rsidRDefault="007003D9" w:rsidP="00880A4D">
            <w:pPr>
              <w:pStyle w:val="Paraststmeklis"/>
              <w:spacing w:before="0" w:after="0"/>
              <w:rPr>
                <w:sz w:val="24"/>
                <w:szCs w:val="24"/>
              </w:rPr>
            </w:pPr>
            <w:r>
              <w:rPr>
                <w:sz w:val="24"/>
                <w:szCs w:val="24"/>
              </w:rPr>
              <w:t xml:space="preserve">     </w:t>
            </w:r>
            <w:r w:rsidR="00880A4D" w:rsidRPr="00880A4D">
              <w:rPr>
                <w:sz w:val="24"/>
                <w:szCs w:val="24"/>
              </w:rPr>
              <w:t>Likumprojekta mērķis izslēgt regulējumu, kas nosaka reģistrācijas apliecībā ierakstīto ziņu tiesisko nozīmi.</w:t>
            </w:r>
          </w:p>
          <w:p w:rsidR="00CB2660" w:rsidRPr="00880A4D" w:rsidRDefault="008163E8" w:rsidP="00880A4D">
            <w:pPr>
              <w:pStyle w:val="Paraststmeklis"/>
              <w:spacing w:before="0" w:after="0"/>
              <w:rPr>
                <w:sz w:val="24"/>
                <w:szCs w:val="24"/>
              </w:rPr>
            </w:pPr>
            <w:r>
              <w:rPr>
                <w:sz w:val="24"/>
                <w:szCs w:val="24"/>
              </w:rPr>
              <w:t xml:space="preserve"> </w:t>
            </w:r>
            <w:r w:rsidR="007003D9">
              <w:rPr>
                <w:sz w:val="24"/>
                <w:szCs w:val="24"/>
              </w:rPr>
              <w:t xml:space="preserve">    </w:t>
            </w:r>
            <w:r w:rsidR="00880A4D" w:rsidRPr="00880A4D">
              <w:rPr>
                <w:sz w:val="24"/>
                <w:szCs w:val="24"/>
              </w:rPr>
              <w:t>Atsakoties no reģistrācijas apliecības un tās dublikāta izsniegšanas, un nosakot, ka par reģistrācijas apliecības izsniegšanu maksājama maksa par pakalpojumu, tiks nodrošināta regulējuma ieviešanas efektivitāte un samazināts administratīvais slogs komercreģistrā reģistrā reģistrētajiem tiesību subjektiem.</w:t>
            </w: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t>5.</w:t>
            </w:r>
          </w:p>
        </w:tc>
        <w:tc>
          <w:tcPr>
            <w:tcW w:w="2500" w:type="dxa"/>
          </w:tcPr>
          <w:p w:rsidR="00880A4D" w:rsidRPr="00B57444" w:rsidRDefault="00880A4D" w:rsidP="00905158">
            <w:pPr>
              <w:pStyle w:val="naislab"/>
              <w:spacing w:before="0" w:after="0"/>
              <w:jc w:val="both"/>
              <w:outlineLvl w:val="0"/>
            </w:pPr>
            <w:r w:rsidRPr="00B57444">
              <w:t>Projekta izstrādē iesaistītās institūcijas</w:t>
            </w:r>
          </w:p>
        </w:tc>
        <w:tc>
          <w:tcPr>
            <w:tcW w:w="6095" w:type="dxa"/>
          </w:tcPr>
          <w:p w:rsidR="00880A4D" w:rsidRDefault="007003D9" w:rsidP="005640C4">
            <w:pPr>
              <w:pStyle w:val="Paraststmeklis"/>
              <w:spacing w:before="0" w:after="0"/>
              <w:rPr>
                <w:sz w:val="24"/>
                <w:szCs w:val="24"/>
              </w:rPr>
            </w:pPr>
            <w:r>
              <w:rPr>
                <w:sz w:val="24"/>
                <w:szCs w:val="24"/>
              </w:rPr>
              <w:t xml:space="preserve">  </w:t>
            </w:r>
            <w:r w:rsidR="00880A4D" w:rsidRPr="00861555">
              <w:rPr>
                <w:sz w:val="24"/>
                <w:szCs w:val="24"/>
              </w:rPr>
              <w:t xml:space="preserve">Tieslietu ministrija, Uzņēmumu reģistrs </w:t>
            </w:r>
          </w:p>
          <w:p w:rsidR="00886824" w:rsidRDefault="00886824" w:rsidP="005640C4">
            <w:pPr>
              <w:pStyle w:val="Paraststmeklis"/>
              <w:spacing w:before="0" w:after="0"/>
              <w:rPr>
                <w:sz w:val="24"/>
                <w:szCs w:val="24"/>
              </w:rPr>
            </w:pPr>
          </w:p>
          <w:p w:rsidR="005C13A1" w:rsidRPr="00861555" w:rsidRDefault="005C13A1" w:rsidP="005640C4">
            <w:pPr>
              <w:pStyle w:val="Paraststmeklis"/>
              <w:spacing w:before="0" w:after="0"/>
              <w:rPr>
                <w:sz w:val="24"/>
                <w:szCs w:val="24"/>
              </w:rPr>
            </w:pP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t>6.</w:t>
            </w:r>
          </w:p>
        </w:tc>
        <w:tc>
          <w:tcPr>
            <w:tcW w:w="2500" w:type="dxa"/>
          </w:tcPr>
          <w:p w:rsidR="00880A4D" w:rsidRPr="00B57444" w:rsidRDefault="00880A4D" w:rsidP="00905158">
            <w:pPr>
              <w:pStyle w:val="naislab"/>
              <w:spacing w:before="0" w:after="0"/>
              <w:jc w:val="both"/>
              <w:outlineLvl w:val="0"/>
            </w:pPr>
            <w:r w:rsidRPr="00B57444">
              <w:t>Iemesli, kādēļ netika nodrošināta sabiedrības līdzdalība</w:t>
            </w:r>
          </w:p>
        </w:tc>
        <w:tc>
          <w:tcPr>
            <w:tcW w:w="6095" w:type="dxa"/>
          </w:tcPr>
          <w:p w:rsidR="005C13A1" w:rsidRPr="00861555" w:rsidRDefault="007003D9" w:rsidP="005640C4">
            <w:pPr>
              <w:jc w:val="both"/>
            </w:pPr>
            <w:r>
              <w:t xml:space="preserve">   </w:t>
            </w:r>
            <w:r w:rsidR="00880A4D" w:rsidRPr="006F035C">
              <w:t>Likumprojekts izstrādāts pamatojoties uz Ministru kabineta sēdes protokollēmumu „Par informatīvo ziņojumu par turpmāko rīcību par tiesību subjekta reģistrācijas apliecības izsniegšanu tikai pēc tā rakstveida pieprasījuma nodrošināšanai”, kas tika akceptēts Ministru kabineta 2011.</w:t>
            </w:r>
            <w:r w:rsidR="0057004F">
              <w:t xml:space="preserve"> </w:t>
            </w:r>
            <w:r w:rsidR="00880A4D" w:rsidRPr="006F035C">
              <w:t>gada 12.</w:t>
            </w:r>
            <w:r w:rsidR="0057004F">
              <w:t xml:space="preserve"> </w:t>
            </w:r>
            <w:r w:rsidR="00880A4D" w:rsidRPr="006F035C">
              <w:t xml:space="preserve">jūlija sēdē. Sabiedrības līdzdalība tika nodrošināta jau minētā informatīvā ziņojuma izstrādāšanas un virzības </w:t>
            </w:r>
            <w:r w:rsidR="00880A4D" w:rsidRPr="006F035C">
              <w:lastRenderedPageBreak/>
              <w:t>laikā.</w:t>
            </w:r>
          </w:p>
        </w:tc>
      </w:tr>
      <w:tr w:rsidR="00880A4D" w:rsidRPr="00B57444" w:rsidTr="005640C4">
        <w:tc>
          <w:tcPr>
            <w:tcW w:w="477" w:type="dxa"/>
          </w:tcPr>
          <w:p w:rsidR="00880A4D" w:rsidRPr="00B57444" w:rsidRDefault="00880A4D" w:rsidP="00905158">
            <w:pPr>
              <w:pStyle w:val="naislab"/>
              <w:spacing w:before="0" w:after="0"/>
              <w:jc w:val="center"/>
              <w:outlineLvl w:val="0"/>
            </w:pPr>
            <w:r w:rsidRPr="00B57444">
              <w:lastRenderedPageBreak/>
              <w:t>7.</w:t>
            </w:r>
          </w:p>
        </w:tc>
        <w:tc>
          <w:tcPr>
            <w:tcW w:w="2500" w:type="dxa"/>
          </w:tcPr>
          <w:p w:rsidR="00880A4D" w:rsidRPr="00B57444" w:rsidRDefault="00880A4D" w:rsidP="00905158">
            <w:pPr>
              <w:pStyle w:val="naislab"/>
              <w:spacing w:before="0" w:after="0"/>
              <w:jc w:val="both"/>
              <w:outlineLvl w:val="0"/>
              <w:rPr>
                <w:color w:val="000000"/>
              </w:rPr>
            </w:pPr>
            <w:r w:rsidRPr="00B57444">
              <w:rPr>
                <w:color w:val="000000"/>
              </w:rPr>
              <w:t>Cita informācija</w:t>
            </w:r>
          </w:p>
        </w:tc>
        <w:tc>
          <w:tcPr>
            <w:tcW w:w="6095" w:type="dxa"/>
          </w:tcPr>
          <w:p w:rsidR="005C13A1" w:rsidRDefault="00880A4D" w:rsidP="001B7716">
            <w:pPr>
              <w:jc w:val="both"/>
              <w:rPr>
                <w:color w:val="000000"/>
              </w:rPr>
            </w:pPr>
            <w:r w:rsidRPr="00B57444">
              <w:rPr>
                <w:color w:val="000000"/>
              </w:rPr>
              <w:t>Nav</w:t>
            </w:r>
          </w:p>
          <w:p w:rsidR="00886824" w:rsidRPr="00B57444" w:rsidRDefault="00886824" w:rsidP="001B7716">
            <w:pPr>
              <w:jc w:val="both"/>
              <w:rPr>
                <w:color w:val="000000"/>
              </w:rPr>
            </w:pPr>
          </w:p>
        </w:tc>
      </w:tr>
    </w:tbl>
    <w:p w:rsidR="00886824" w:rsidRPr="00B57444" w:rsidRDefault="00886824" w:rsidP="00905158"/>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636"/>
        <w:gridCol w:w="6010"/>
      </w:tblGrid>
      <w:tr w:rsidR="00884FB0" w:rsidRPr="00B57444" w:rsidTr="005640C4">
        <w:tc>
          <w:tcPr>
            <w:tcW w:w="9072" w:type="dxa"/>
            <w:gridSpan w:val="3"/>
          </w:tcPr>
          <w:p w:rsidR="00884FB0" w:rsidRPr="00B57444" w:rsidRDefault="00884FB0" w:rsidP="00905158">
            <w:pPr>
              <w:jc w:val="center"/>
              <w:rPr>
                <w:b/>
                <w:bCs/>
              </w:rPr>
            </w:pPr>
            <w:r w:rsidRPr="00B57444">
              <w:rPr>
                <w:b/>
                <w:bCs/>
              </w:rPr>
              <w:t>II. Tiesību akta projekta ietekme uz sabiedrību</w:t>
            </w: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1.</w:t>
            </w:r>
          </w:p>
        </w:tc>
        <w:tc>
          <w:tcPr>
            <w:tcW w:w="2636" w:type="dxa"/>
          </w:tcPr>
          <w:p w:rsidR="00880A4D" w:rsidRPr="00B57444" w:rsidRDefault="00880A4D" w:rsidP="00905158">
            <w:pPr>
              <w:pStyle w:val="naislab"/>
              <w:spacing w:before="0" w:after="0"/>
              <w:jc w:val="both"/>
              <w:outlineLvl w:val="0"/>
            </w:pPr>
            <w:r w:rsidRPr="00B57444">
              <w:t>Sabiedrības mērķgrupa</w:t>
            </w:r>
          </w:p>
        </w:tc>
        <w:tc>
          <w:tcPr>
            <w:tcW w:w="6010" w:type="dxa"/>
          </w:tcPr>
          <w:p w:rsidR="00CB2660" w:rsidRPr="00861555" w:rsidRDefault="007003D9" w:rsidP="000976D8">
            <w:pPr>
              <w:jc w:val="both"/>
            </w:pPr>
            <w:r>
              <w:t xml:space="preserve">   </w:t>
            </w:r>
            <w:r w:rsidR="00880A4D">
              <w:t xml:space="preserve">Komercreģistrā </w:t>
            </w:r>
            <w:r w:rsidR="00880A4D" w:rsidRPr="00913BC5">
              <w:t>reģistrētie tiesību subjekt</w:t>
            </w:r>
            <w:r w:rsidR="00880A4D">
              <w:t xml:space="preserve">i, kā arī jaunie tiesību subjekti. </w:t>
            </w:r>
            <w:r w:rsidR="00880A4D" w:rsidRPr="00B516BF">
              <w:t>Komercreģistrā reģistrētie tiesību subjekti, kā arī ja</w:t>
            </w:r>
            <w:r w:rsidR="00015315">
              <w:t>unie tiesību subjekti. Līdz 2012</w:t>
            </w:r>
            <w:r w:rsidR="00880A4D" w:rsidRPr="00B516BF">
              <w:t>.</w:t>
            </w:r>
            <w:r w:rsidR="00763B27">
              <w:t xml:space="preserve"> </w:t>
            </w:r>
            <w:r w:rsidR="00880A4D" w:rsidRPr="00B516BF">
              <w:t>gada decembrim</w:t>
            </w:r>
            <w:r w:rsidR="00015315">
              <w:t xml:space="preserve"> komercreģistrā reģistrēti 128340</w:t>
            </w:r>
            <w:r w:rsidR="00880A4D" w:rsidRPr="00B516BF">
              <w:t xml:space="preserve"> tiesību subjekti. Vidēji mēnesī komercreģistrā tiek reģistrēti 900 jauni tiesību subjekti</w:t>
            </w:r>
            <w:r w:rsidR="00880A4D">
              <w:t>.</w:t>
            </w:r>
            <w:r w:rsidR="00D8406A">
              <w:t xml:space="preserve"> </w:t>
            </w:r>
            <w:r w:rsidR="000976D8" w:rsidRPr="000976D8">
              <w:t xml:space="preserve">Regulējums attiecināms arī uz Uzņēmumu reģistra nodarbinātajiem, kuru darba pienākumos ietilpst pakalpojumu sniegšanas nodrošināšana Uzņēmumu reģistra klientiem. </w:t>
            </w: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2.</w:t>
            </w:r>
          </w:p>
        </w:tc>
        <w:tc>
          <w:tcPr>
            <w:tcW w:w="2636" w:type="dxa"/>
          </w:tcPr>
          <w:p w:rsidR="00880A4D" w:rsidRPr="00B57444" w:rsidRDefault="00880A4D" w:rsidP="00905158">
            <w:pPr>
              <w:pStyle w:val="naislab"/>
              <w:spacing w:before="0" w:after="0"/>
              <w:jc w:val="both"/>
              <w:outlineLvl w:val="0"/>
            </w:pPr>
            <w:r w:rsidRPr="00B57444">
              <w:t>Citas sabiedrības grupas (bez mērķgrupas), kuras tiesiskais regulējums arī ietekmē vai varētu ietekmēt</w:t>
            </w:r>
          </w:p>
        </w:tc>
        <w:tc>
          <w:tcPr>
            <w:tcW w:w="6010" w:type="dxa"/>
          </w:tcPr>
          <w:p w:rsidR="00880A4D" w:rsidRDefault="00880A4D" w:rsidP="00DB5C85">
            <w:pPr>
              <w:jc w:val="both"/>
            </w:pPr>
            <w:r w:rsidRPr="00B57444">
              <w:t xml:space="preserve"> </w:t>
            </w:r>
            <w:r w:rsidR="007003D9">
              <w:t xml:space="preserve"> </w:t>
            </w:r>
            <w:r w:rsidRPr="00B57444">
              <w:t xml:space="preserve"> </w:t>
            </w:r>
            <w:r w:rsidR="00D54F5C" w:rsidRPr="00D54F5C">
              <w:t>Projekts šo jomu neskar</w:t>
            </w:r>
          </w:p>
          <w:p w:rsidR="00886824" w:rsidRDefault="00886824" w:rsidP="00DB5C85">
            <w:pPr>
              <w:jc w:val="both"/>
            </w:pPr>
          </w:p>
          <w:p w:rsidR="00886824" w:rsidRDefault="00886824" w:rsidP="00DB5C85">
            <w:pPr>
              <w:jc w:val="both"/>
            </w:pPr>
          </w:p>
          <w:p w:rsidR="00886824" w:rsidRDefault="00886824" w:rsidP="00DB5C85">
            <w:pPr>
              <w:jc w:val="both"/>
            </w:pPr>
          </w:p>
          <w:p w:rsidR="00886824" w:rsidRDefault="00886824" w:rsidP="00DB5C85">
            <w:pPr>
              <w:jc w:val="both"/>
            </w:pPr>
          </w:p>
          <w:p w:rsidR="00886824" w:rsidRPr="00B57444" w:rsidRDefault="00886824" w:rsidP="00DB5C85">
            <w:pPr>
              <w:jc w:val="both"/>
            </w:pP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3.</w:t>
            </w:r>
          </w:p>
        </w:tc>
        <w:tc>
          <w:tcPr>
            <w:tcW w:w="2636" w:type="dxa"/>
          </w:tcPr>
          <w:p w:rsidR="00880A4D" w:rsidRPr="00B57444" w:rsidRDefault="00880A4D" w:rsidP="00905158">
            <w:pPr>
              <w:pStyle w:val="naislab"/>
              <w:spacing w:before="0" w:after="0"/>
              <w:jc w:val="both"/>
              <w:outlineLvl w:val="0"/>
            </w:pPr>
            <w:r w:rsidRPr="00B57444">
              <w:t>Tiesiskā regulējuma finansiālā ietekme</w:t>
            </w:r>
          </w:p>
        </w:tc>
        <w:tc>
          <w:tcPr>
            <w:tcW w:w="6010" w:type="dxa"/>
          </w:tcPr>
          <w:p w:rsidR="002D3EA9" w:rsidRPr="003D00AC" w:rsidRDefault="007003D9" w:rsidP="00E82E2F">
            <w:pPr>
              <w:pStyle w:val="naisc"/>
              <w:spacing w:before="0" w:beforeAutospacing="0" w:after="0" w:afterAutospacing="0"/>
              <w:jc w:val="both"/>
            </w:pPr>
            <w:r>
              <w:t xml:space="preserve">    </w:t>
            </w:r>
            <w:r w:rsidR="00880A4D" w:rsidRPr="00E66325">
              <w:t>Ieviešot likumprojektā noteikto regulējumu, par komercreģistrā reģistrēta tiesību subjekta reģistrācijas apliecības (dublikāta) izsniegšanu tiks not</w:t>
            </w:r>
            <w:r w:rsidR="00DB653F">
              <w:t>eikta maksa par pakalpojumu 8,00</w:t>
            </w:r>
            <w:r w:rsidR="00880A4D" w:rsidRPr="00E66325">
              <w:t xml:space="preserve"> latu apmērā.</w:t>
            </w:r>
            <w:r w:rsidR="00ED1C1C">
              <w:t xml:space="preserve"> </w:t>
            </w:r>
            <w:r w:rsidR="00E82E2F">
              <w:t>Papildus amata vietas minētā maksas pakalpojuma nodrošināšanai netiks veidotas. Par maksas pakalpojumu sniegtie ieņēmumi tiks izlietoti esošo nodarbināto, kuri tiks iesaistīti maksas pakalpojuma sniegšanā, atalgojuma nodrošināšanai.</w:t>
            </w: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4.</w:t>
            </w:r>
          </w:p>
        </w:tc>
        <w:tc>
          <w:tcPr>
            <w:tcW w:w="2636" w:type="dxa"/>
          </w:tcPr>
          <w:p w:rsidR="00880A4D" w:rsidRPr="00B57444" w:rsidRDefault="00880A4D" w:rsidP="00905158">
            <w:pPr>
              <w:pStyle w:val="naislab"/>
              <w:spacing w:before="0" w:after="0"/>
              <w:jc w:val="both"/>
              <w:outlineLvl w:val="0"/>
            </w:pPr>
            <w:r w:rsidRPr="00B57444">
              <w:t>Tiesiskā regulējuma nefinansiālā ietekme</w:t>
            </w:r>
          </w:p>
        </w:tc>
        <w:tc>
          <w:tcPr>
            <w:tcW w:w="6010" w:type="dxa"/>
          </w:tcPr>
          <w:p w:rsidR="00886824" w:rsidRDefault="007003D9" w:rsidP="00B25D49">
            <w:pPr>
              <w:pStyle w:val="Paraststmeklis"/>
              <w:spacing w:before="0" w:after="0"/>
              <w:rPr>
                <w:sz w:val="24"/>
                <w:szCs w:val="24"/>
              </w:rPr>
            </w:pPr>
            <w:r>
              <w:rPr>
                <w:sz w:val="24"/>
                <w:szCs w:val="24"/>
              </w:rPr>
              <w:t xml:space="preserve">   </w:t>
            </w:r>
            <w:r w:rsidR="00D54F5C" w:rsidRPr="00D54F5C">
              <w:rPr>
                <w:sz w:val="24"/>
                <w:szCs w:val="24"/>
              </w:rPr>
              <w:t>Projekts šo jomu neskar</w:t>
            </w:r>
          </w:p>
          <w:p w:rsidR="005C13A1" w:rsidRPr="00B57444" w:rsidRDefault="005C13A1" w:rsidP="00B25D49">
            <w:pPr>
              <w:pStyle w:val="Paraststmeklis"/>
              <w:spacing w:before="0" w:after="0"/>
              <w:rPr>
                <w:sz w:val="24"/>
                <w:szCs w:val="24"/>
              </w:rPr>
            </w:pP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5.</w:t>
            </w:r>
          </w:p>
        </w:tc>
        <w:tc>
          <w:tcPr>
            <w:tcW w:w="2636" w:type="dxa"/>
          </w:tcPr>
          <w:p w:rsidR="00880A4D" w:rsidRPr="00B57444" w:rsidRDefault="00880A4D" w:rsidP="00905158">
            <w:pPr>
              <w:pStyle w:val="naislab"/>
              <w:spacing w:before="0" w:after="0"/>
              <w:jc w:val="both"/>
              <w:outlineLvl w:val="0"/>
            </w:pPr>
            <w:r w:rsidRPr="00B57444">
              <w:t>Administratīvās procedūras raksturojums</w:t>
            </w:r>
          </w:p>
        </w:tc>
        <w:tc>
          <w:tcPr>
            <w:tcW w:w="6010" w:type="dxa"/>
          </w:tcPr>
          <w:p w:rsidR="00880A4D" w:rsidRPr="00861555" w:rsidRDefault="007003D9" w:rsidP="00880A4D">
            <w:pPr>
              <w:jc w:val="both"/>
            </w:pPr>
            <w:r>
              <w:t xml:space="preserve">   </w:t>
            </w:r>
            <w:r w:rsidR="00880A4D" w:rsidRPr="00DF41D2">
              <w:t>Samazināsies administratīvais slogs komercreģistrā reģistrētajiem tiesī</w:t>
            </w:r>
            <w:r w:rsidR="00130F58">
              <w:t xml:space="preserve">bu subjektiem, jo komersantiem </w:t>
            </w:r>
            <w:r w:rsidR="00880A4D" w:rsidRPr="00DF41D2">
              <w:t>par to ierakstīšanu komercreģistrā nebūs obligāts pienākums saņemt reģistrācijas apliecību. Turpmāk Uzņēmumu reģistrs reģistrācijas apliecības izsniegšanu komersantiem pēc to ierakstīšanas komercreģistrā nodrošinās pēc rakstveida pieprasījuma par maksu.</w:t>
            </w: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6.</w:t>
            </w:r>
          </w:p>
        </w:tc>
        <w:tc>
          <w:tcPr>
            <w:tcW w:w="2636" w:type="dxa"/>
          </w:tcPr>
          <w:p w:rsidR="00880A4D" w:rsidRPr="00B57444" w:rsidRDefault="00880A4D" w:rsidP="00905158">
            <w:pPr>
              <w:pStyle w:val="naislab"/>
              <w:spacing w:before="0" w:after="0"/>
              <w:jc w:val="both"/>
              <w:outlineLvl w:val="0"/>
            </w:pPr>
            <w:r w:rsidRPr="00B57444">
              <w:t>Administratīvo izmaksu monetārs novērtējums</w:t>
            </w:r>
          </w:p>
        </w:tc>
        <w:tc>
          <w:tcPr>
            <w:tcW w:w="6010" w:type="dxa"/>
          </w:tcPr>
          <w:p w:rsidR="00880A4D" w:rsidRDefault="007003D9" w:rsidP="004C7908">
            <w:pPr>
              <w:jc w:val="both"/>
            </w:pPr>
            <w:r>
              <w:t xml:space="preserve">   </w:t>
            </w:r>
            <w:r w:rsidR="00D54F5C" w:rsidRPr="00D54F5C">
              <w:t>Projekts šo jomu neskar</w:t>
            </w:r>
          </w:p>
          <w:p w:rsidR="00886824" w:rsidRDefault="00886824" w:rsidP="004C7908">
            <w:pPr>
              <w:jc w:val="both"/>
            </w:pPr>
          </w:p>
          <w:p w:rsidR="00CB2660" w:rsidRPr="00B57444" w:rsidRDefault="00CB2660" w:rsidP="004C7908">
            <w:pPr>
              <w:jc w:val="both"/>
            </w:pPr>
          </w:p>
        </w:tc>
      </w:tr>
      <w:tr w:rsidR="00880A4D" w:rsidRPr="00B57444" w:rsidTr="005640C4">
        <w:tc>
          <w:tcPr>
            <w:tcW w:w="426" w:type="dxa"/>
          </w:tcPr>
          <w:p w:rsidR="00880A4D" w:rsidRPr="00B57444" w:rsidRDefault="00880A4D" w:rsidP="00905158">
            <w:pPr>
              <w:pStyle w:val="naislab"/>
              <w:spacing w:before="0" w:after="0"/>
              <w:jc w:val="center"/>
              <w:outlineLvl w:val="0"/>
            </w:pPr>
            <w:r w:rsidRPr="00B57444">
              <w:t>7.</w:t>
            </w:r>
          </w:p>
        </w:tc>
        <w:tc>
          <w:tcPr>
            <w:tcW w:w="2636" w:type="dxa"/>
          </w:tcPr>
          <w:p w:rsidR="00880A4D" w:rsidRPr="00B57444" w:rsidRDefault="00880A4D" w:rsidP="00905158">
            <w:pPr>
              <w:pStyle w:val="naislab"/>
              <w:spacing w:before="0" w:after="0"/>
              <w:jc w:val="both"/>
              <w:outlineLvl w:val="0"/>
            </w:pPr>
            <w:r w:rsidRPr="00B57444">
              <w:t>Cita informācija</w:t>
            </w:r>
          </w:p>
        </w:tc>
        <w:tc>
          <w:tcPr>
            <w:tcW w:w="6010" w:type="dxa"/>
          </w:tcPr>
          <w:p w:rsidR="005C13A1" w:rsidRDefault="007003D9" w:rsidP="004C7908">
            <w:pPr>
              <w:jc w:val="both"/>
            </w:pPr>
            <w:r>
              <w:t xml:space="preserve">   </w:t>
            </w:r>
            <w:r w:rsidR="00880A4D" w:rsidRPr="00B57444">
              <w:t xml:space="preserve">Nav </w:t>
            </w:r>
          </w:p>
          <w:p w:rsidR="00886824" w:rsidRPr="00B57444" w:rsidRDefault="00886824" w:rsidP="004C7908">
            <w:pPr>
              <w:jc w:val="both"/>
            </w:pPr>
          </w:p>
        </w:tc>
      </w:tr>
    </w:tbl>
    <w:p w:rsidR="00886824" w:rsidRDefault="00886824" w:rsidP="00B966AA">
      <w:pPr>
        <w:pStyle w:val="naisf"/>
        <w:spacing w:before="0" w:after="0"/>
        <w:ind w:firstLine="0"/>
        <w:rPr>
          <w:i/>
          <w:iCs/>
        </w:rPr>
      </w:pPr>
    </w:p>
    <w:tbl>
      <w:tblPr>
        <w:tblW w:w="9027" w:type="dxa"/>
        <w:jc w:val="center"/>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324"/>
        <w:gridCol w:w="1298"/>
        <w:gridCol w:w="1278"/>
        <w:gridCol w:w="1317"/>
        <w:gridCol w:w="1197"/>
      </w:tblGrid>
      <w:tr w:rsidR="00FE5794" w:rsidRPr="00FE5794" w:rsidTr="005640C4">
        <w:trPr>
          <w:trHeight w:val="344"/>
          <w:jc w:val="center"/>
        </w:trPr>
        <w:tc>
          <w:tcPr>
            <w:tcW w:w="9027" w:type="dxa"/>
            <w:gridSpan w:val="6"/>
          </w:tcPr>
          <w:p w:rsidR="00FE5794" w:rsidRPr="00FE5794" w:rsidRDefault="00FE5794" w:rsidP="00FE5794">
            <w:pPr>
              <w:pStyle w:val="naisf"/>
              <w:spacing w:before="0" w:after="0"/>
              <w:rPr>
                <w:b/>
                <w:bCs/>
                <w:i/>
                <w:iCs/>
              </w:rPr>
            </w:pPr>
            <w:r w:rsidRPr="00FE5794">
              <w:rPr>
                <w:b/>
                <w:bCs/>
                <w:iCs/>
              </w:rPr>
              <w:br w:type="page"/>
              <w:t>III. Tiesību akta projekta ietekme uz valsts budžetu un pašvaldību budžetiem</w:t>
            </w:r>
          </w:p>
        </w:tc>
      </w:tr>
      <w:tr w:rsidR="00FE5794" w:rsidRPr="00FE5794" w:rsidTr="005640C4">
        <w:trPr>
          <w:jc w:val="center"/>
        </w:trPr>
        <w:tc>
          <w:tcPr>
            <w:tcW w:w="2613" w:type="dxa"/>
            <w:vMerge w:val="restart"/>
            <w:vAlign w:val="center"/>
          </w:tcPr>
          <w:p w:rsidR="00FE5794" w:rsidRPr="00FE5794" w:rsidRDefault="00FE5794" w:rsidP="00FE5794">
            <w:pPr>
              <w:pStyle w:val="naisf"/>
              <w:spacing w:before="0" w:after="0"/>
              <w:rPr>
                <w:b/>
                <w:iCs/>
              </w:rPr>
            </w:pPr>
            <w:r w:rsidRPr="00FE5794">
              <w:rPr>
                <w:b/>
                <w:iCs/>
              </w:rPr>
              <w:t>Rādītāji</w:t>
            </w:r>
          </w:p>
        </w:tc>
        <w:tc>
          <w:tcPr>
            <w:tcW w:w="2622" w:type="dxa"/>
            <w:gridSpan w:val="2"/>
            <w:vMerge w:val="restart"/>
            <w:vAlign w:val="center"/>
          </w:tcPr>
          <w:p w:rsidR="00FE5794" w:rsidRPr="00FE5794" w:rsidRDefault="00A9136B" w:rsidP="00FE5794">
            <w:pPr>
              <w:pStyle w:val="naisf"/>
              <w:spacing w:before="0" w:after="0"/>
              <w:jc w:val="center"/>
              <w:rPr>
                <w:b/>
                <w:iCs/>
              </w:rPr>
            </w:pPr>
            <w:r>
              <w:rPr>
                <w:b/>
                <w:iCs/>
              </w:rPr>
              <w:t>2013</w:t>
            </w:r>
            <w:r w:rsidR="00FE5794" w:rsidRPr="00FE5794">
              <w:rPr>
                <w:b/>
                <w:iCs/>
              </w:rPr>
              <w:t>. gads</w:t>
            </w:r>
          </w:p>
        </w:tc>
        <w:tc>
          <w:tcPr>
            <w:tcW w:w="3792" w:type="dxa"/>
            <w:gridSpan w:val="3"/>
            <w:vAlign w:val="center"/>
          </w:tcPr>
          <w:p w:rsidR="00FE5794" w:rsidRPr="00FE5794" w:rsidRDefault="00FE5794" w:rsidP="00FE5794">
            <w:pPr>
              <w:pStyle w:val="naisf"/>
              <w:spacing w:before="0" w:after="0"/>
              <w:rPr>
                <w:b/>
                <w:i/>
                <w:iCs/>
              </w:rPr>
            </w:pPr>
            <w:r w:rsidRPr="00FE5794">
              <w:rPr>
                <w:iCs/>
              </w:rPr>
              <w:t>Turpmākie trīs gadi (tūkst. latu)</w:t>
            </w:r>
          </w:p>
        </w:tc>
      </w:tr>
      <w:tr w:rsidR="00FE5794" w:rsidRPr="00FE5794" w:rsidTr="005640C4">
        <w:trPr>
          <w:jc w:val="center"/>
        </w:trPr>
        <w:tc>
          <w:tcPr>
            <w:tcW w:w="2613" w:type="dxa"/>
            <w:vMerge/>
            <w:vAlign w:val="center"/>
          </w:tcPr>
          <w:p w:rsidR="00FE5794" w:rsidRPr="00FE5794" w:rsidRDefault="00FE5794" w:rsidP="00FE5794">
            <w:pPr>
              <w:pStyle w:val="naisf"/>
              <w:spacing w:before="0" w:after="0"/>
              <w:rPr>
                <w:b/>
                <w:i/>
                <w:iCs/>
              </w:rPr>
            </w:pPr>
          </w:p>
        </w:tc>
        <w:tc>
          <w:tcPr>
            <w:tcW w:w="2622" w:type="dxa"/>
            <w:gridSpan w:val="2"/>
            <w:vMerge/>
            <w:vAlign w:val="center"/>
          </w:tcPr>
          <w:p w:rsidR="00FE5794" w:rsidRPr="00FE5794" w:rsidRDefault="00FE5794" w:rsidP="00FE5794">
            <w:pPr>
              <w:pStyle w:val="naisf"/>
              <w:spacing w:before="0" w:after="0"/>
              <w:rPr>
                <w:b/>
                <w:i/>
                <w:iCs/>
              </w:rPr>
            </w:pPr>
          </w:p>
        </w:tc>
        <w:tc>
          <w:tcPr>
            <w:tcW w:w="1278" w:type="dxa"/>
            <w:vAlign w:val="center"/>
          </w:tcPr>
          <w:p w:rsidR="00FE5794" w:rsidRPr="00FE5794" w:rsidRDefault="00A9136B" w:rsidP="00FE5794">
            <w:pPr>
              <w:pStyle w:val="naisf"/>
              <w:spacing w:before="0" w:after="0"/>
              <w:rPr>
                <w:b/>
                <w:i/>
                <w:iCs/>
              </w:rPr>
            </w:pPr>
            <w:r>
              <w:rPr>
                <w:b/>
                <w:bCs/>
                <w:iCs/>
              </w:rPr>
              <w:t>2014</w:t>
            </w:r>
          </w:p>
        </w:tc>
        <w:tc>
          <w:tcPr>
            <w:tcW w:w="1317" w:type="dxa"/>
            <w:vAlign w:val="center"/>
          </w:tcPr>
          <w:p w:rsidR="00FE5794" w:rsidRPr="00FE5794" w:rsidRDefault="00A9136B" w:rsidP="00FE5794">
            <w:pPr>
              <w:pStyle w:val="naisf"/>
              <w:spacing w:before="0" w:after="0"/>
              <w:rPr>
                <w:b/>
                <w:i/>
                <w:iCs/>
              </w:rPr>
            </w:pPr>
            <w:r>
              <w:rPr>
                <w:b/>
                <w:bCs/>
                <w:iCs/>
              </w:rPr>
              <w:t>2015</w:t>
            </w:r>
          </w:p>
        </w:tc>
        <w:tc>
          <w:tcPr>
            <w:tcW w:w="1197" w:type="dxa"/>
            <w:vAlign w:val="center"/>
          </w:tcPr>
          <w:p w:rsidR="00FE5794" w:rsidRPr="00FE5794" w:rsidRDefault="00A9136B" w:rsidP="00FE5794">
            <w:pPr>
              <w:pStyle w:val="naisf"/>
              <w:spacing w:before="0" w:after="0"/>
              <w:rPr>
                <w:b/>
                <w:i/>
                <w:iCs/>
              </w:rPr>
            </w:pPr>
            <w:r>
              <w:rPr>
                <w:b/>
                <w:bCs/>
                <w:iCs/>
              </w:rPr>
              <w:t>2016</w:t>
            </w:r>
          </w:p>
        </w:tc>
      </w:tr>
      <w:tr w:rsidR="00FE5794" w:rsidRPr="00FE5794" w:rsidTr="00763B27">
        <w:trPr>
          <w:jc w:val="center"/>
        </w:trPr>
        <w:tc>
          <w:tcPr>
            <w:tcW w:w="2613" w:type="dxa"/>
            <w:vMerge/>
            <w:vAlign w:val="center"/>
          </w:tcPr>
          <w:p w:rsidR="00FE5794" w:rsidRPr="00FE5794" w:rsidRDefault="00FE5794" w:rsidP="00FE5794">
            <w:pPr>
              <w:pStyle w:val="naisf"/>
              <w:spacing w:before="0" w:after="0"/>
              <w:rPr>
                <w:b/>
                <w:i/>
                <w:iCs/>
              </w:rPr>
            </w:pPr>
          </w:p>
        </w:tc>
        <w:tc>
          <w:tcPr>
            <w:tcW w:w="1324" w:type="dxa"/>
          </w:tcPr>
          <w:p w:rsidR="00FE5794" w:rsidRPr="00FE5794" w:rsidRDefault="00FE5794" w:rsidP="00763B27">
            <w:pPr>
              <w:pStyle w:val="naisf"/>
              <w:spacing w:before="0" w:after="0"/>
              <w:ind w:firstLine="0"/>
              <w:jc w:val="left"/>
              <w:rPr>
                <w:b/>
                <w:i/>
                <w:iCs/>
              </w:rPr>
            </w:pPr>
            <w:r w:rsidRPr="00FE5794">
              <w:rPr>
                <w:iCs/>
              </w:rPr>
              <w:t xml:space="preserve">Saskaņā ar </w:t>
            </w:r>
            <w:r w:rsidRPr="00FE5794">
              <w:rPr>
                <w:iCs/>
              </w:rPr>
              <w:lastRenderedPageBreak/>
              <w:t>valsts budžetu kārtējam gadam</w:t>
            </w:r>
          </w:p>
        </w:tc>
        <w:tc>
          <w:tcPr>
            <w:tcW w:w="1298" w:type="dxa"/>
          </w:tcPr>
          <w:p w:rsidR="00FE5794" w:rsidRPr="00FE5794" w:rsidRDefault="00FE5794" w:rsidP="00763B27">
            <w:pPr>
              <w:pStyle w:val="naisf"/>
              <w:spacing w:before="0" w:after="0"/>
              <w:ind w:firstLine="0"/>
              <w:jc w:val="left"/>
              <w:rPr>
                <w:b/>
                <w:i/>
                <w:iCs/>
              </w:rPr>
            </w:pPr>
            <w:r w:rsidRPr="00FE5794">
              <w:rPr>
                <w:iCs/>
              </w:rPr>
              <w:lastRenderedPageBreak/>
              <w:t xml:space="preserve">Izmaiņas </w:t>
            </w:r>
            <w:r w:rsidRPr="00FE5794">
              <w:rPr>
                <w:iCs/>
              </w:rPr>
              <w:lastRenderedPageBreak/>
              <w:t>kārtējā gadā, salīdzinot ar budžetu kārtējam gadam</w:t>
            </w:r>
          </w:p>
        </w:tc>
        <w:tc>
          <w:tcPr>
            <w:tcW w:w="1278" w:type="dxa"/>
          </w:tcPr>
          <w:p w:rsidR="00FE5794" w:rsidRPr="00FE5794" w:rsidRDefault="00A9136B" w:rsidP="00763B27">
            <w:pPr>
              <w:pStyle w:val="naisf"/>
              <w:spacing w:before="0" w:after="0"/>
              <w:ind w:firstLine="0"/>
              <w:jc w:val="left"/>
              <w:rPr>
                <w:b/>
                <w:i/>
                <w:iCs/>
              </w:rPr>
            </w:pPr>
            <w:r>
              <w:rPr>
                <w:iCs/>
              </w:rPr>
              <w:lastRenderedPageBreak/>
              <w:t xml:space="preserve">Izmaiņas, </w:t>
            </w:r>
            <w:r>
              <w:rPr>
                <w:iCs/>
              </w:rPr>
              <w:lastRenderedPageBreak/>
              <w:t>salīdzinot ar 2013</w:t>
            </w:r>
            <w:r w:rsidR="00FE5794" w:rsidRPr="00FE5794">
              <w:rPr>
                <w:iCs/>
              </w:rPr>
              <w:t>. gadu</w:t>
            </w:r>
          </w:p>
        </w:tc>
        <w:tc>
          <w:tcPr>
            <w:tcW w:w="1317" w:type="dxa"/>
          </w:tcPr>
          <w:p w:rsidR="00FE5794" w:rsidRPr="00FE5794" w:rsidRDefault="00A9136B" w:rsidP="00763B27">
            <w:pPr>
              <w:pStyle w:val="naisf"/>
              <w:spacing w:before="0" w:after="0"/>
              <w:ind w:firstLine="0"/>
              <w:jc w:val="left"/>
              <w:rPr>
                <w:b/>
                <w:i/>
                <w:iCs/>
              </w:rPr>
            </w:pPr>
            <w:r>
              <w:rPr>
                <w:iCs/>
              </w:rPr>
              <w:lastRenderedPageBreak/>
              <w:t xml:space="preserve">Izmaiņas, </w:t>
            </w:r>
            <w:r>
              <w:rPr>
                <w:iCs/>
              </w:rPr>
              <w:lastRenderedPageBreak/>
              <w:t>salīdzinot ar 2013</w:t>
            </w:r>
            <w:r w:rsidR="00FE5794" w:rsidRPr="00FE5794">
              <w:rPr>
                <w:iCs/>
              </w:rPr>
              <w:t>. gadu</w:t>
            </w:r>
          </w:p>
        </w:tc>
        <w:tc>
          <w:tcPr>
            <w:tcW w:w="1197" w:type="dxa"/>
          </w:tcPr>
          <w:p w:rsidR="00FE5794" w:rsidRPr="00FE5794" w:rsidRDefault="00A9136B" w:rsidP="00763B27">
            <w:pPr>
              <w:pStyle w:val="naisf"/>
              <w:spacing w:before="0" w:after="0"/>
              <w:ind w:firstLine="0"/>
              <w:jc w:val="left"/>
              <w:rPr>
                <w:b/>
                <w:i/>
                <w:iCs/>
              </w:rPr>
            </w:pPr>
            <w:r>
              <w:rPr>
                <w:iCs/>
              </w:rPr>
              <w:lastRenderedPageBreak/>
              <w:t xml:space="preserve">Izmaiņas, </w:t>
            </w:r>
            <w:r>
              <w:rPr>
                <w:iCs/>
              </w:rPr>
              <w:lastRenderedPageBreak/>
              <w:t>salīdzinot ar 2013</w:t>
            </w:r>
            <w:r w:rsidR="00FE5794" w:rsidRPr="00FE5794">
              <w:rPr>
                <w:iCs/>
              </w:rPr>
              <w:t>. gadu</w:t>
            </w:r>
          </w:p>
        </w:tc>
      </w:tr>
      <w:tr w:rsidR="00FE5794" w:rsidRPr="00FE5794" w:rsidTr="005640C4">
        <w:trPr>
          <w:jc w:val="center"/>
        </w:trPr>
        <w:tc>
          <w:tcPr>
            <w:tcW w:w="2613" w:type="dxa"/>
            <w:vAlign w:val="center"/>
          </w:tcPr>
          <w:p w:rsidR="00FE5794" w:rsidRPr="00FE5794" w:rsidRDefault="00FE5794" w:rsidP="00FE5794">
            <w:pPr>
              <w:pStyle w:val="naisf"/>
              <w:spacing w:before="0" w:after="0"/>
              <w:rPr>
                <w:bCs/>
                <w:iCs/>
              </w:rPr>
            </w:pPr>
            <w:r w:rsidRPr="00FE5794">
              <w:rPr>
                <w:bCs/>
                <w:iCs/>
              </w:rPr>
              <w:lastRenderedPageBreak/>
              <w:t>1</w:t>
            </w:r>
          </w:p>
        </w:tc>
        <w:tc>
          <w:tcPr>
            <w:tcW w:w="1324" w:type="dxa"/>
            <w:vAlign w:val="center"/>
          </w:tcPr>
          <w:p w:rsidR="00FE5794" w:rsidRPr="00FE5794" w:rsidRDefault="00FE5794" w:rsidP="00FE5794">
            <w:pPr>
              <w:pStyle w:val="naisf"/>
              <w:spacing w:before="0" w:after="0"/>
              <w:rPr>
                <w:bCs/>
                <w:iCs/>
              </w:rPr>
            </w:pPr>
            <w:r w:rsidRPr="00FE5794">
              <w:rPr>
                <w:bCs/>
                <w:iCs/>
              </w:rPr>
              <w:t>2</w:t>
            </w:r>
          </w:p>
        </w:tc>
        <w:tc>
          <w:tcPr>
            <w:tcW w:w="1298" w:type="dxa"/>
            <w:vAlign w:val="center"/>
          </w:tcPr>
          <w:p w:rsidR="00FE5794" w:rsidRPr="00FE5794" w:rsidRDefault="00FE5794" w:rsidP="00FE5794">
            <w:pPr>
              <w:pStyle w:val="naisf"/>
              <w:spacing w:before="0" w:after="0"/>
              <w:rPr>
                <w:bCs/>
                <w:iCs/>
              </w:rPr>
            </w:pPr>
            <w:r w:rsidRPr="00FE5794">
              <w:rPr>
                <w:bCs/>
                <w:iCs/>
              </w:rPr>
              <w:t>3</w:t>
            </w:r>
          </w:p>
        </w:tc>
        <w:tc>
          <w:tcPr>
            <w:tcW w:w="1278" w:type="dxa"/>
            <w:vAlign w:val="center"/>
          </w:tcPr>
          <w:p w:rsidR="00FE5794" w:rsidRPr="00FE5794" w:rsidRDefault="00FE5794" w:rsidP="00FE5794">
            <w:pPr>
              <w:pStyle w:val="naisf"/>
              <w:spacing w:before="0" w:after="0"/>
              <w:rPr>
                <w:bCs/>
                <w:iCs/>
              </w:rPr>
            </w:pPr>
            <w:r w:rsidRPr="00FE5794">
              <w:rPr>
                <w:bCs/>
                <w:iCs/>
              </w:rPr>
              <w:t>4</w:t>
            </w:r>
          </w:p>
        </w:tc>
        <w:tc>
          <w:tcPr>
            <w:tcW w:w="1317" w:type="dxa"/>
            <w:vAlign w:val="center"/>
          </w:tcPr>
          <w:p w:rsidR="00FE5794" w:rsidRPr="00FE5794" w:rsidRDefault="00FE5794" w:rsidP="00FE5794">
            <w:pPr>
              <w:pStyle w:val="naisf"/>
              <w:spacing w:before="0" w:after="0"/>
              <w:rPr>
                <w:bCs/>
                <w:iCs/>
              </w:rPr>
            </w:pPr>
            <w:r w:rsidRPr="00FE5794">
              <w:rPr>
                <w:bCs/>
                <w:iCs/>
              </w:rPr>
              <w:t>5</w:t>
            </w:r>
          </w:p>
        </w:tc>
        <w:tc>
          <w:tcPr>
            <w:tcW w:w="1197" w:type="dxa"/>
            <w:vAlign w:val="center"/>
          </w:tcPr>
          <w:p w:rsidR="00FE5794" w:rsidRPr="00FE5794" w:rsidRDefault="00FE5794" w:rsidP="00FE5794">
            <w:pPr>
              <w:pStyle w:val="naisf"/>
              <w:spacing w:before="0" w:after="0"/>
              <w:rPr>
                <w:bCs/>
                <w:iCs/>
              </w:rPr>
            </w:pPr>
            <w:r w:rsidRPr="00FE5794">
              <w:rPr>
                <w:bCs/>
                <w:iCs/>
              </w:rPr>
              <w:t>6</w:t>
            </w:r>
          </w:p>
        </w:tc>
      </w:tr>
      <w:tr w:rsidR="00FE5794" w:rsidRPr="00FE5794" w:rsidTr="005640C4">
        <w:trPr>
          <w:jc w:val="center"/>
        </w:trPr>
        <w:tc>
          <w:tcPr>
            <w:tcW w:w="2613" w:type="dxa"/>
          </w:tcPr>
          <w:p w:rsidR="00FE5794" w:rsidRPr="00FE5794" w:rsidRDefault="00FE5794" w:rsidP="00FE5794">
            <w:pPr>
              <w:pStyle w:val="naisf"/>
              <w:spacing w:before="0" w:after="0"/>
              <w:ind w:firstLine="0"/>
              <w:rPr>
                <w:i/>
                <w:iCs/>
              </w:rPr>
            </w:pPr>
            <w:r w:rsidRPr="00FE5794">
              <w:rPr>
                <w:iCs/>
              </w:rPr>
              <w:t>1. Budžeta ieņēmumi:</w:t>
            </w:r>
          </w:p>
        </w:tc>
        <w:tc>
          <w:tcPr>
            <w:tcW w:w="1324" w:type="dxa"/>
          </w:tcPr>
          <w:p w:rsidR="00FE5794" w:rsidRPr="009D71BF" w:rsidRDefault="009D71BF" w:rsidP="00FE5794">
            <w:pPr>
              <w:pStyle w:val="naisf"/>
              <w:spacing w:before="0" w:after="0"/>
              <w:rPr>
                <w:iCs/>
              </w:rPr>
            </w:pPr>
            <w:r w:rsidRPr="009D71BF">
              <w:rPr>
                <w:iCs/>
              </w:rPr>
              <w:t>0</w:t>
            </w:r>
          </w:p>
        </w:tc>
        <w:tc>
          <w:tcPr>
            <w:tcW w:w="1298" w:type="dxa"/>
          </w:tcPr>
          <w:p w:rsidR="00FE5794" w:rsidRPr="009D71BF" w:rsidRDefault="009D71BF" w:rsidP="00FE5794">
            <w:pPr>
              <w:pStyle w:val="naisf"/>
              <w:spacing w:before="0" w:after="0"/>
              <w:rPr>
                <w:iCs/>
              </w:rPr>
            </w:pPr>
            <w:r w:rsidRPr="009D71BF">
              <w:rPr>
                <w:iCs/>
              </w:rPr>
              <w:t>0</w:t>
            </w:r>
          </w:p>
        </w:tc>
        <w:tc>
          <w:tcPr>
            <w:tcW w:w="1278" w:type="dxa"/>
          </w:tcPr>
          <w:p w:rsidR="00FE5794" w:rsidRPr="00FE5794" w:rsidRDefault="00A2445E" w:rsidP="00FE5794">
            <w:pPr>
              <w:pStyle w:val="naisf"/>
              <w:spacing w:before="0" w:after="0"/>
              <w:rPr>
                <w:iCs/>
              </w:rPr>
            </w:pPr>
            <w:r>
              <w:rPr>
                <w:iCs/>
              </w:rPr>
              <w:t>0</w:t>
            </w:r>
          </w:p>
        </w:tc>
        <w:tc>
          <w:tcPr>
            <w:tcW w:w="1317" w:type="dxa"/>
          </w:tcPr>
          <w:p w:rsidR="00FE5794" w:rsidRPr="00FE5794" w:rsidRDefault="00A2445E" w:rsidP="00FE5794">
            <w:pPr>
              <w:pStyle w:val="naisf"/>
              <w:spacing w:before="0" w:after="0"/>
              <w:rPr>
                <w:iCs/>
              </w:rPr>
            </w:pPr>
            <w:r>
              <w:rPr>
                <w:iCs/>
              </w:rPr>
              <w:t>0</w:t>
            </w:r>
          </w:p>
        </w:tc>
        <w:tc>
          <w:tcPr>
            <w:tcW w:w="1197" w:type="dxa"/>
          </w:tcPr>
          <w:p w:rsidR="00FE5794" w:rsidRPr="00FE5794" w:rsidRDefault="00A2445E"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
                <w:iCs/>
              </w:rPr>
            </w:pPr>
            <w:r w:rsidRPr="00FE5794">
              <w:rPr>
                <w:iCs/>
              </w:rPr>
              <w:t>1.1. valsts pamatbudžets, tai skaitā ieņēmumi no maksas pakalpojumiem un citi pašu ieņēmumi</w:t>
            </w:r>
          </w:p>
        </w:tc>
        <w:tc>
          <w:tcPr>
            <w:tcW w:w="1324" w:type="dxa"/>
          </w:tcPr>
          <w:p w:rsidR="00FE5794" w:rsidRPr="00FE5794" w:rsidRDefault="00A2445E" w:rsidP="00FE5794">
            <w:pPr>
              <w:pStyle w:val="naisf"/>
              <w:spacing w:before="0" w:after="0"/>
              <w:rPr>
                <w:iCs/>
              </w:rPr>
            </w:pPr>
            <w:r>
              <w:rPr>
                <w:iCs/>
              </w:rPr>
              <w:t>0</w:t>
            </w:r>
          </w:p>
        </w:tc>
        <w:tc>
          <w:tcPr>
            <w:tcW w:w="1298" w:type="dxa"/>
          </w:tcPr>
          <w:p w:rsidR="00FE5794" w:rsidRPr="00FE5794" w:rsidRDefault="00A2445E" w:rsidP="00FE5794">
            <w:pPr>
              <w:pStyle w:val="naisf"/>
              <w:spacing w:before="0" w:after="0"/>
              <w:rPr>
                <w:iCs/>
              </w:rPr>
            </w:pPr>
            <w:r>
              <w:rPr>
                <w:iCs/>
              </w:rPr>
              <w:t>0</w:t>
            </w:r>
          </w:p>
        </w:tc>
        <w:tc>
          <w:tcPr>
            <w:tcW w:w="1278" w:type="dxa"/>
          </w:tcPr>
          <w:p w:rsidR="00FE5794" w:rsidRPr="00FE5794" w:rsidRDefault="00A2445E" w:rsidP="00FE5794">
            <w:pPr>
              <w:pStyle w:val="naisf"/>
              <w:spacing w:before="0" w:after="0"/>
              <w:rPr>
                <w:iCs/>
              </w:rPr>
            </w:pPr>
            <w:r>
              <w:rPr>
                <w:iCs/>
              </w:rPr>
              <w:t>0</w:t>
            </w:r>
          </w:p>
        </w:tc>
        <w:tc>
          <w:tcPr>
            <w:tcW w:w="1317" w:type="dxa"/>
          </w:tcPr>
          <w:p w:rsidR="00FE5794" w:rsidRPr="00FE5794" w:rsidRDefault="00A2445E" w:rsidP="00FE5794">
            <w:pPr>
              <w:pStyle w:val="naisf"/>
              <w:spacing w:before="0" w:after="0"/>
              <w:rPr>
                <w:iCs/>
              </w:rPr>
            </w:pPr>
            <w:r>
              <w:rPr>
                <w:iCs/>
              </w:rPr>
              <w:t>0</w:t>
            </w:r>
          </w:p>
        </w:tc>
        <w:tc>
          <w:tcPr>
            <w:tcW w:w="1197" w:type="dxa"/>
          </w:tcPr>
          <w:p w:rsidR="00FE5794" w:rsidRPr="00FE5794" w:rsidRDefault="00A2445E"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
                <w:iCs/>
              </w:rPr>
            </w:pPr>
            <w:r w:rsidRPr="00FE5794">
              <w:rPr>
                <w:iCs/>
              </w:rPr>
              <w:t>1.2. valsts speciālais budžets</w:t>
            </w:r>
          </w:p>
        </w:tc>
        <w:tc>
          <w:tcPr>
            <w:tcW w:w="1324" w:type="dxa"/>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
                <w:iCs/>
              </w:rPr>
            </w:pPr>
          </w:p>
        </w:tc>
        <w:tc>
          <w:tcPr>
            <w:tcW w:w="1317" w:type="dxa"/>
          </w:tcPr>
          <w:p w:rsidR="00FE5794" w:rsidRPr="00FE5794" w:rsidRDefault="00FE5794" w:rsidP="00FE5794">
            <w:pPr>
              <w:pStyle w:val="naisf"/>
              <w:spacing w:before="0" w:after="0"/>
              <w:rPr>
                <w:b/>
                <w:i/>
                <w:iCs/>
              </w:rPr>
            </w:pPr>
          </w:p>
        </w:tc>
        <w:tc>
          <w:tcPr>
            <w:tcW w:w="1197" w:type="dxa"/>
          </w:tcPr>
          <w:p w:rsidR="00FE5794" w:rsidRPr="00FE5794" w:rsidRDefault="00FE5794" w:rsidP="00FE5794">
            <w:pPr>
              <w:pStyle w:val="naisf"/>
              <w:spacing w:before="0" w:after="0"/>
              <w:rPr>
                <w:b/>
                <w:i/>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
                <w:iCs/>
              </w:rPr>
            </w:pPr>
            <w:r w:rsidRPr="00FE5794">
              <w:rPr>
                <w:iCs/>
              </w:rPr>
              <w:t>1.3. pašvaldību budžets</w:t>
            </w:r>
          </w:p>
        </w:tc>
        <w:tc>
          <w:tcPr>
            <w:tcW w:w="1324" w:type="dxa"/>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
                <w:iCs/>
              </w:rPr>
            </w:pPr>
          </w:p>
        </w:tc>
        <w:tc>
          <w:tcPr>
            <w:tcW w:w="1317" w:type="dxa"/>
          </w:tcPr>
          <w:p w:rsidR="00FE5794" w:rsidRPr="00FE5794" w:rsidRDefault="00FE5794" w:rsidP="00FE5794">
            <w:pPr>
              <w:pStyle w:val="naisf"/>
              <w:spacing w:before="0" w:after="0"/>
              <w:rPr>
                <w:b/>
                <w:i/>
                <w:iCs/>
              </w:rPr>
            </w:pPr>
          </w:p>
        </w:tc>
        <w:tc>
          <w:tcPr>
            <w:tcW w:w="1197" w:type="dxa"/>
          </w:tcPr>
          <w:p w:rsidR="00FE5794" w:rsidRPr="00FE5794" w:rsidRDefault="00FE5794" w:rsidP="00FE5794">
            <w:pPr>
              <w:pStyle w:val="naisf"/>
              <w:spacing w:before="0" w:after="0"/>
              <w:rPr>
                <w:b/>
                <w:i/>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2. Budžeta izdevumi:</w:t>
            </w:r>
          </w:p>
        </w:tc>
        <w:tc>
          <w:tcPr>
            <w:tcW w:w="1324" w:type="dxa"/>
          </w:tcPr>
          <w:p w:rsidR="00FE5794" w:rsidRPr="00FE5794" w:rsidRDefault="0054549A" w:rsidP="00FE5794">
            <w:pPr>
              <w:pStyle w:val="naisf"/>
              <w:spacing w:before="0" w:after="0"/>
              <w:rPr>
                <w:iCs/>
              </w:rPr>
            </w:pPr>
            <w:r>
              <w:rPr>
                <w:iCs/>
              </w:rPr>
              <w:t>0</w:t>
            </w:r>
          </w:p>
        </w:tc>
        <w:tc>
          <w:tcPr>
            <w:tcW w:w="1298" w:type="dxa"/>
          </w:tcPr>
          <w:p w:rsidR="00FE5794" w:rsidRPr="00FE5794" w:rsidRDefault="0054549A" w:rsidP="00FE5794">
            <w:pPr>
              <w:pStyle w:val="naisf"/>
              <w:spacing w:before="0" w:after="0"/>
              <w:rPr>
                <w:iCs/>
              </w:rPr>
            </w:pPr>
            <w:r>
              <w:rPr>
                <w:iCs/>
              </w:rPr>
              <w:t>0</w:t>
            </w:r>
          </w:p>
        </w:tc>
        <w:tc>
          <w:tcPr>
            <w:tcW w:w="1278" w:type="dxa"/>
          </w:tcPr>
          <w:p w:rsidR="00FE5794" w:rsidRPr="00FE5794" w:rsidRDefault="0054549A" w:rsidP="00FE5794">
            <w:pPr>
              <w:pStyle w:val="naisf"/>
              <w:spacing w:before="0" w:after="0"/>
              <w:rPr>
                <w:iCs/>
              </w:rPr>
            </w:pPr>
            <w:r>
              <w:rPr>
                <w:iCs/>
              </w:rPr>
              <w:t>0</w:t>
            </w:r>
          </w:p>
        </w:tc>
        <w:tc>
          <w:tcPr>
            <w:tcW w:w="1317" w:type="dxa"/>
          </w:tcPr>
          <w:p w:rsidR="00FE5794" w:rsidRPr="00FE5794" w:rsidRDefault="0054549A" w:rsidP="00FE5794">
            <w:pPr>
              <w:pStyle w:val="naisf"/>
              <w:spacing w:before="0" w:after="0"/>
              <w:rPr>
                <w:iCs/>
              </w:rPr>
            </w:pPr>
            <w:r>
              <w:rPr>
                <w:iCs/>
              </w:rPr>
              <w:t>0</w:t>
            </w:r>
          </w:p>
        </w:tc>
        <w:tc>
          <w:tcPr>
            <w:tcW w:w="1197" w:type="dxa"/>
          </w:tcPr>
          <w:p w:rsidR="00FE5794" w:rsidRPr="00FE5794" w:rsidRDefault="0054549A"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2.1. valsts pamatbudžets</w:t>
            </w:r>
          </w:p>
        </w:tc>
        <w:tc>
          <w:tcPr>
            <w:tcW w:w="1324" w:type="dxa"/>
          </w:tcPr>
          <w:p w:rsidR="00FE5794" w:rsidRPr="00FE5794" w:rsidRDefault="0054549A" w:rsidP="00FE5794">
            <w:pPr>
              <w:pStyle w:val="naisf"/>
              <w:spacing w:before="0" w:after="0"/>
              <w:rPr>
                <w:iCs/>
              </w:rPr>
            </w:pPr>
            <w:r>
              <w:rPr>
                <w:iCs/>
              </w:rPr>
              <w:t>0</w:t>
            </w:r>
          </w:p>
        </w:tc>
        <w:tc>
          <w:tcPr>
            <w:tcW w:w="1298" w:type="dxa"/>
          </w:tcPr>
          <w:p w:rsidR="00FE5794" w:rsidRPr="00FE5794" w:rsidRDefault="0054549A" w:rsidP="00FE5794">
            <w:pPr>
              <w:pStyle w:val="naisf"/>
              <w:spacing w:before="0" w:after="0"/>
              <w:rPr>
                <w:iCs/>
              </w:rPr>
            </w:pPr>
            <w:r>
              <w:rPr>
                <w:iCs/>
              </w:rPr>
              <w:t>0</w:t>
            </w:r>
          </w:p>
        </w:tc>
        <w:tc>
          <w:tcPr>
            <w:tcW w:w="1278" w:type="dxa"/>
          </w:tcPr>
          <w:p w:rsidR="00FE5794" w:rsidRPr="00FE5794" w:rsidRDefault="0054549A" w:rsidP="00FE5794">
            <w:pPr>
              <w:pStyle w:val="naisf"/>
              <w:spacing w:before="0" w:after="0"/>
              <w:rPr>
                <w:iCs/>
              </w:rPr>
            </w:pPr>
            <w:r>
              <w:rPr>
                <w:iCs/>
              </w:rPr>
              <w:t>0</w:t>
            </w:r>
          </w:p>
        </w:tc>
        <w:tc>
          <w:tcPr>
            <w:tcW w:w="1317" w:type="dxa"/>
          </w:tcPr>
          <w:p w:rsidR="00FE5794" w:rsidRPr="003D287E" w:rsidRDefault="0054549A" w:rsidP="00FE5794">
            <w:pPr>
              <w:pStyle w:val="naisf"/>
              <w:spacing w:before="0" w:after="0"/>
              <w:rPr>
                <w:iCs/>
              </w:rPr>
            </w:pPr>
            <w:r>
              <w:rPr>
                <w:iCs/>
              </w:rPr>
              <w:t>0</w:t>
            </w:r>
          </w:p>
        </w:tc>
        <w:tc>
          <w:tcPr>
            <w:tcW w:w="1197" w:type="dxa"/>
          </w:tcPr>
          <w:p w:rsidR="00FE5794" w:rsidRPr="00FE5794" w:rsidRDefault="0054549A"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2.2. valsts speciālais budžets</w:t>
            </w:r>
          </w:p>
        </w:tc>
        <w:tc>
          <w:tcPr>
            <w:tcW w:w="1324" w:type="dxa"/>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b/>
                <w:i/>
                <w:iCs/>
              </w:rPr>
            </w:pPr>
          </w:p>
        </w:tc>
        <w:tc>
          <w:tcPr>
            <w:tcW w:w="1317" w:type="dxa"/>
          </w:tcPr>
          <w:p w:rsidR="00FE5794" w:rsidRPr="00FE5794" w:rsidRDefault="00FE5794" w:rsidP="00FE5794">
            <w:pPr>
              <w:pStyle w:val="naisf"/>
              <w:spacing w:before="0" w:after="0"/>
              <w:rPr>
                <w:b/>
                <w:i/>
                <w:iCs/>
              </w:rPr>
            </w:pPr>
          </w:p>
        </w:tc>
        <w:tc>
          <w:tcPr>
            <w:tcW w:w="1197" w:type="dxa"/>
          </w:tcPr>
          <w:p w:rsidR="00FE5794" w:rsidRPr="00FE5794" w:rsidRDefault="00FE5794" w:rsidP="00FE5794">
            <w:pPr>
              <w:pStyle w:val="naisf"/>
              <w:spacing w:before="0" w:after="0"/>
              <w:rPr>
                <w:b/>
                <w:i/>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 xml:space="preserve">2.3. pašvaldību budžets </w:t>
            </w:r>
          </w:p>
        </w:tc>
        <w:tc>
          <w:tcPr>
            <w:tcW w:w="1324" w:type="dxa"/>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b/>
                <w:iCs/>
              </w:rPr>
            </w:pPr>
          </w:p>
        </w:tc>
        <w:tc>
          <w:tcPr>
            <w:tcW w:w="1317" w:type="dxa"/>
          </w:tcPr>
          <w:p w:rsidR="00FE5794" w:rsidRPr="00FE5794" w:rsidRDefault="00FE5794" w:rsidP="00FE5794">
            <w:pPr>
              <w:pStyle w:val="naisf"/>
              <w:spacing w:before="0" w:after="0"/>
              <w:rPr>
                <w:b/>
                <w:iCs/>
              </w:rPr>
            </w:pPr>
          </w:p>
        </w:tc>
        <w:tc>
          <w:tcPr>
            <w:tcW w:w="1197" w:type="dxa"/>
          </w:tcPr>
          <w:p w:rsidR="00FE5794" w:rsidRPr="00FE5794" w:rsidRDefault="00FE5794" w:rsidP="00FE5794">
            <w:pPr>
              <w:pStyle w:val="naisf"/>
              <w:spacing w:before="0" w:after="0"/>
              <w:rPr>
                <w:b/>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3. Finansiālā ietekme:</w:t>
            </w:r>
          </w:p>
        </w:tc>
        <w:tc>
          <w:tcPr>
            <w:tcW w:w="1324" w:type="dxa"/>
            <w:shd w:val="clear" w:color="auto" w:fill="auto"/>
          </w:tcPr>
          <w:p w:rsidR="00FE5794" w:rsidRPr="00FE5794" w:rsidRDefault="00A71990" w:rsidP="00FE5794">
            <w:pPr>
              <w:pStyle w:val="naisf"/>
              <w:spacing w:before="0" w:after="0"/>
              <w:rPr>
                <w:iCs/>
              </w:rPr>
            </w:pPr>
            <w:r>
              <w:rPr>
                <w:iCs/>
              </w:rPr>
              <w:t>0</w:t>
            </w:r>
          </w:p>
        </w:tc>
        <w:tc>
          <w:tcPr>
            <w:tcW w:w="1298" w:type="dxa"/>
          </w:tcPr>
          <w:p w:rsidR="00FE5794" w:rsidRPr="00FE5794" w:rsidRDefault="00A71990" w:rsidP="00FE5794">
            <w:pPr>
              <w:pStyle w:val="naisf"/>
              <w:spacing w:before="0" w:after="0"/>
              <w:rPr>
                <w:iCs/>
              </w:rPr>
            </w:pPr>
            <w:r>
              <w:rPr>
                <w:iCs/>
              </w:rPr>
              <w:t>0</w:t>
            </w:r>
          </w:p>
        </w:tc>
        <w:tc>
          <w:tcPr>
            <w:tcW w:w="1278" w:type="dxa"/>
          </w:tcPr>
          <w:p w:rsidR="00FE5794" w:rsidRPr="00A71990" w:rsidRDefault="00A71990" w:rsidP="00FE5794">
            <w:pPr>
              <w:pStyle w:val="naisf"/>
              <w:spacing w:before="0" w:after="0"/>
              <w:rPr>
                <w:iCs/>
              </w:rPr>
            </w:pPr>
            <w:r w:rsidRPr="00A71990">
              <w:rPr>
                <w:iCs/>
              </w:rPr>
              <w:t>0</w:t>
            </w:r>
          </w:p>
        </w:tc>
        <w:tc>
          <w:tcPr>
            <w:tcW w:w="1317" w:type="dxa"/>
          </w:tcPr>
          <w:p w:rsidR="00FE5794" w:rsidRPr="00A71990" w:rsidRDefault="00A71990" w:rsidP="00FE5794">
            <w:pPr>
              <w:pStyle w:val="naisf"/>
              <w:spacing w:before="0" w:after="0"/>
              <w:rPr>
                <w:iCs/>
              </w:rPr>
            </w:pPr>
            <w:r w:rsidRPr="00A71990">
              <w:rPr>
                <w:iCs/>
              </w:rPr>
              <w:t>0</w:t>
            </w:r>
          </w:p>
        </w:tc>
        <w:tc>
          <w:tcPr>
            <w:tcW w:w="1197" w:type="dxa"/>
          </w:tcPr>
          <w:p w:rsidR="00FE5794" w:rsidRPr="00A71990" w:rsidRDefault="00A71990" w:rsidP="00FE5794">
            <w:pPr>
              <w:pStyle w:val="naisf"/>
              <w:spacing w:before="0" w:after="0"/>
              <w:rPr>
                <w:iCs/>
              </w:rPr>
            </w:pPr>
            <w:r w:rsidRPr="00A71990">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3.1. valsts pamatbudžets</w:t>
            </w:r>
          </w:p>
        </w:tc>
        <w:tc>
          <w:tcPr>
            <w:tcW w:w="1324" w:type="dxa"/>
            <w:shd w:val="clear" w:color="auto" w:fill="auto"/>
          </w:tcPr>
          <w:p w:rsidR="00FE5794" w:rsidRPr="00FE5794" w:rsidRDefault="00A71990" w:rsidP="00FE5794">
            <w:pPr>
              <w:pStyle w:val="naisf"/>
              <w:spacing w:before="0" w:after="0"/>
              <w:rPr>
                <w:iCs/>
              </w:rPr>
            </w:pPr>
            <w:r>
              <w:rPr>
                <w:iCs/>
              </w:rPr>
              <w:t>0</w:t>
            </w:r>
          </w:p>
        </w:tc>
        <w:tc>
          <w:tcPr>
            <w:tcW w:w="1298" w:type="dxa"/>
          </w:tcPr>
          <w:p w:rsidR="00FE5794" w:rsidRPr="00FE5794" w:rsidRDefault="00A71990" w:rsidP="00FE5794">
            <w:pPr>
              <w:pStyle w:val="naisf"/>
              <w:spacing w:before="0" w:after="0"/>
              <w:rPr>
                <w:iCs/>
              </w:rPr>
            </w:pPr>
            <w:r>
              <w:rPr>
                <w:iCs/>
              </w:rPr>
              <w:t>0</w:t>
            </w:r>
          </w:p>
        </w:tc>
        <w:tc>
          <w:tcPr>
            <w:tcW w:w="1278" w:type="dxa"/>
          </w:tcPr>
          <w:p w:rsidR="00FE5794" w:rsidRPr="00A71990" w:rsidRDefault="00A71990" w:rsidP="00FE5794">
            <w:pPr>
              <w:pStyle w:val="naisf"/>
              <w:spacing w:before="0" w:after="0"/>
              <w:rPr>
                <w:iCs/>
              </w:rPr>
            </w:pPr>
            <w:r w:rsidRPr="00A71990">
              <w:rPr>
                <w:iCs/>
              </w:rPr>
              <w:t>0</w:t>
            </w:r>
          </w:p>
        </w:tc>
        <w:tc>
          <w:tcPr>
            <w:tcW w:w="1317" w:type="dxa"/>
          </w:tcPr>
          <w:p w:rsidR="00FE5794" w:rsidRPr="00A71990" w:rsidRDefault="00A71990" w:rsidP="00FE5794">
            <w:pPr>
              <w:pStyle w:val="naisf"/>
              <w:spacing w:before="0" w:after="0"/>
              <w:rPr>
                <w:iCs/>
              </w:rPr>
            </w:pPr>
            <w:r w:rsidRPr="00A71990">
              <w:rPr>
                <w:iCs/>
              </w:rPr>
              <w:t>0</w:t>
            </w:r>
          </w:p>
        </w:tc>
        <w:tc>
          <w:tcPr>
            <w:tcW w:w="1197" w:type="dxa"/>
          </w:tcPr>
          <w:p w:rsidR="00FE5794" w:rsidRPr="00A71990" w:rsidRDefault="00A71990" w:rsidP="00FE5794">
            <w:pPr>
              <w:pStyle w:val="naisf"/>
              <w:spacing w:before="0" w:after="0"/>
              <w:rPr>
                <w:iCs/>
              </w:rPr>
            </w:pPr>
            <w:r w:rsidRPr="00A71990">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3.2. speciālais budžets</w:t>
            </w:r>
          </w:p>
        </w:tc>
        <w:tc>
          <w:tcPr>
            <w:tcW w:w="1324" w:type="dxa"/>
            <w:shd w:val="clear" w:color="auto" w:fill="auto"/>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 xml:space="preserve">3.3. pašvaldību budžets </w:t>
            </w:r>
          </w:p>
        </w:tc>
        <w:tc>
          <w:tcPr>
            <w:tcW w:w="1324" w:type="dxa"/>
            <w:shd w:val="clear" w:color="auto" w:fill="auto"/>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FE5794" w:rsidRPr="00FE5794" w:rsidTr="005640C4">
        <w:trPr>
          <w:jc w:val="center"/>
        </w:trPr>
        <w:tc>
          <w:tcPr>
            <w:tcW w:w="2613" w:type="dxa"/>
            <w:vMerge w:val="restart"/>
          </w:tcPr>
          <w:p w:rsidR="00FE5794" w:rsidRPr="00FE5794" w:rsidRDefault="00FE5794" w:rsidP="00FE5794">
            <w:pPr>
              <w:pStyle w:val="naisf"/>
              <w:spacing w:before="0" w:after="0"/>
              <w:ind w:firstLine="0"/>
              <w:rPr>
                <w:iCs/>
              </w:rPr>
            </w:pPr>
            <w:r w:rsidRPr="00FE5794">
              <w:rPr>
                <w:iCs/>
              </w:rPr>
              <w:t>4. Finanšu līdzekļi papildu izde</w:t>
            </w:r>
            <w:r w:rsidRPr="00FE5794">
              <w:rPr>
                <w:iCs/>
              </w:rPr>
              <w:softHyphen/>
              <w:t>vumu finansēšanai (kompensējošu izdevumu samazinājumu norāda ar "+" zīmi)</w:t>
            </w:r>
          </w:p>
        </w:tc>
        <w:tc>
          <w:tcPr>
            <w:tcW w:w="1324" w:type="dxa"/>
            <w:vMerge w:val="restart"/>
          </w:tcPr>
          <w:p w:rsidR="00FE5794" w:rsidRPr="00FE5794" w:rsidRDefault="00A71990" w:rsidP="00FE5794">
            <w:pPr>
              <w:pStyle w:val="naisf"/>
              <w:spacing w:before="0" w:after="0"/>
              <w:rPr>
                <w:iCs/>
              </w:rPr>
            </w:pPr>
            <w:r>
              <w:rPr>
                <w:iCs/>
              </w:rPr>
              <w:t>X</w:t>
            </w:r>
          </w:p>
        </w:tc>
        <w:tc>
          <w:tcPr>
            <w:tcW w:w="1298" w:type="dxa"/>
          </w:tcPr>
          <w:p w:rsidR="00FE5794" w:rsidRPr="00FE5794" w:rsidRDefault="0054549A" w:rsidP="00FE5794">
            <w:pPr>
              <w:pStyle w:val="naisf"/>
              <w:spacing w:before="0" w:after="0"/>
              <w:rPr>
                <w:iCs/>
              </w:rPr>
            </w:pPr>
            <w:r>
              <w:rPr>
                <w:iCs/>
              </w:rPr>
              <w:t>0</w:t>
            </w:r>
          </w:p>
        </w:tc>
        <w:tc>
          <w:tcPr>
            <w:tcW w:w="1278" w:type="dxa"/>
          </w:tcPr>
          <w:p w:rsidR="00FE5794" w:rsidRPr="00FE5794" w:rsidRDefault="0054549A" w:rsidP="00FE5794">
            <w:pPr>
              <w:pStyle w:val="naisf"/>
              <w:spacing w:before="0" w:after="0"/>
              <w:rPr>
                <w:iCs/>
              </w:rPr>
            </w:pPr>
            <w:r>
              <w:rPr>
                <w:iCs/>
              </w:rPr>
              <w:t>0</w:t>
            </w:r>
          </w:p>
        </w:tc>
        <w:tc>
          <w:tcPr>
            <w:tcW w:w="1317" w:type="dxa"/>
          </w:tcPr>
          <w:p w:rsidR="00FE5794" w:rsidRPr="00FE5794" w:rsidRDefault="0054549A" w:rsidP="00FE5794">
            <w:pPr>
              <w:pStyle w:val="naisf"/>
              <w:spacing w:before="0" w:after="0"/>
              <w:rPr>
                <w:iCs/>
              </w:rPr>
            </w:pPr>
            <w:r>
              <w:rPr>
                <w:iCs/>
              </w:rPr>
              <w:t>0</w:t>
            </w:r>
          </w:p>
        </w:tc>
        <w:tc>
          <w:tcPr>
            <w:tcW w:w="1197" w:type="dxa"/>
          </w:tcPr>
          <w:p w:rsidR="00FE5794" w:rsidRPr="00FE5794" w:rsidRDefault="0054549A" w:rsidP="00FE5794">
            <w:pPr>
              <w:pStyle w:val="naisf"/>
              <w:spacing w:before="0" w:after="0"/>
              <w:rPr>
                <w:iCs/>
              </w:rPr>
            </w:pPr>
            <w:r>
              <w:rPr>
                <w:iCs/>
              </w:rPr>
              <w:t>0</w:t>
            </w:r>
          </w:p>
        </w:tc>
      </w:tr>
      <w:tr w:rsidR="00FE5794" w:rsidRPr="00FE5794" w:rsidTr="005640C4">
        <w:trPr>
          <w:jc w:val="center"/>
        </w:trPr>
        <w:tc>
          <w:tcPr>
            <w:tcW w:w="2613" w:type="dxa"/>
            <w:vMerge/>
          </w:tcPr>
          <w:p w:rsidR="00FE5794" w:rsidRPr="00FE5794" w:rsidRDefault="00FE5794" w:rsidP="00FE5794">
            <w:pPr>
              <w:pStyle w:val="naisf"/>
              <w:spacing w:before="0" w:after="0"/>
              <w:rPr>
                <w:iCs/>
              </w:rPr>
            </w:pPr>
          </w:p>
        </w:tc>
        <w:tc>
          <w:tcPr>
            <w:tcW w:w="1324" w:type="dxa"/>
            <w:vMerge/>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FE5794" w:rsidRPr="00FE5794" w:rsidTr="005640C4">
        <w:trPr>
          <w:jc w:val="center"/>
        </w:trPr>
        <w:tc>
          <w:tcPr>
            <w:tcW w:w="2613" w:type="dxa"/>
            <w:vMerge/>
          </w:tcPr>
          <w:p w:rsidR="00FE5794" w:rsidRPr="00FE5794" w:rsidRDefault="00FE5794" w:rsidP="00FE5794">
            <w:pPr>
              <w:pStyle w:val="naisf"/>
              <w:spacing w:before="0" w:after="0"/>
              <w:rPr>
                <w:iCs/>
              </w:rPr>
            </w:pPr>
          </w:p>
        </w:tc>
        <w:tc>
          <w:tcPr>
            <w:tcW w:w="1324" w:type="dxa"/>
            <w:vMerge/>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Pr>
                <w:iCs/>
              </w:rPr>
              <w:t xml:space="preserve">5. </w:t>
            </w:r>
            <w:r w:rsidRPr="00FE5794">
              <w:rPr>
                <w:iCs/>
              </w:rPr>
              <w:t>Precizēta finansiālā ietekme:</w:t>
            </w:r>
          </w:p>
        </w:tc>
        <w:tc>
          <w:tcPr>
            <w:tcW w:w="1324" w:type="dxa"/>
            <w:vMerge w:val="restart"/>
          </w:tcPr>
          <w:p w:rsidR="00FE5794" w:rsidRPr="00FE5794" w:rsidRDefault="00A71990" w:rsidP="00FE5794">
            <w:pPr>
              <w:pStyle w:val="naisf"/>
              <w:spacing w:before="0" w:after="0"/>
              <w:rPr>
                <w:iCs/>
              </w:rPr>
            </w:pPr>
            <w:r>
              <w:rPr>
                <w:iCs/>
              </w:rPr>
              <w:t>X</w:t>
            </w:r>
          </w:p>
        </w:tc>
        <w:tc>
          <w:tcPr>
            <w:tcW w:w="1298" w:type="dxa"/>
          </w:tcPr>
          <w:p w:rsidR="00FE5794" w:rsidRPr="00FE5794" w:rsidRDefault="0054549A" w:rsidP="00FE5794">
            <w:pPr>
              <w:pStyle w:val="naisf"/>
              <w:spacing w:before="0" w:after="0"/>
              <w:rPr>
                <w:iCs/>
              </w:rPr>
            </w:pPr>
            <w:r>
              <w:rPr>
                <w:iCs/>
              </w:rPr>
              <w:t>0</w:t>
            </w:r>
          </w:p>
        </w:tc>
        <w:tc>
          <w:tcPr>
            <w:tcW w:w="1278" w:type="dxa"/>
          </w:tcPr>
          <w:p w:rsidR="00FE5794" w:rsidRPr="00FE5794" w:rsidRDefault="0054549A" w:rsidP="00FE5794">
            <w:pPr>
              <w:pStyle w:val="naisf"/>
              <w:spacing w:before="0" w:after="0"/>
              <w:rPr>
                <w:iCs/>
              </w:rPr>
            </w:pPr>
            <w:r>
              <w:rPr>
                <w:iCs/>
              </w:rPr>
              <w:t>0</w:t>
            </w:r>
          </w:p>
        </w:tc>
        <w:tc>
          <w:tcPr>
            <w:tcW w:w="1317" w:type="dxa"/>
          </w:tcPr>
          <w:p w:rsidR="00FE5794" w:rsidRPr="00FE5794" w:rsidRDefault="0054549A" w:rsidP="00FE5794">
            <w:pPr>
              <w:pStyle w:val="naisf"/>
              <w:spacing w:before="0" w:after="0"/>
              <w:rPr>
                <w:iCs/>
              </w:rPr>
            </w:pPr>
            <w:r>
              <w:rPr>
                <w:iCs/>
              </w:rPr>
              <w:t>0</w:t>
            </w:r>
          </w:p>
        </w:tc>
        <w:tc>
          <w:tcPr>
            <w:tcW w:w="1197" w:type="dxa"/>
          </w:tcPr>
          <w:p w:rsidR="00FE5794" w:rsidRPr="00FE5794" w:rsidRDefault="0054549A"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5.1. valsts pamatbudžets</w:t>
            </w:r>
          </w:p>
        </w:tc>
        <w:tc>
          <w:tcPr>
            <w:tcW w:w="1324" w:type="dxa"/>
            <w:vMerge/>
            <w:vAlign w:val="center"/>
          </w:tcPr>
          <w:p w:rsidR="00FE5794" w:rsidRPr="00FE5794" w:rsidRDefault="00FE5794" w:rsidP="00FE5794">
            <w:pPr>
              <w:pStyle w:val="naisf"/>
              <w:spacing w:before="0" w:after="0"/>
              <w:rPr>
                <w:iCs/>
              </w:rPr>
            </w:pPr>
          </w:p>
        </w:tc>
        <w:tc>
          <w:tcPr>
            <w:tcW w:w="1298" w:type="dxa"/>
          </w:tcPr>
          <w:p w:rsidR="00FE5794" w:rsidRPr="00FE5794" w:rsidRDefault="0054549A" w:rsidP="00FE5794">
            <w:pPr>
              <w:pStyle w:val="naisf"/>
              <w:spacing w:before="0" w:after="0"/>
              <w:rPr>
                <w:iCs/>
              </w:rPr>
            </w:pPr>
            <w:r>
              <w:rPr>
                <w:iCs/>
              </w:rPr>
              <w:t>0</w:t>
            </w:r>
          </w:p>
        </w:tc>
        <w:tc>
          <w:tcPr>
            <w:tcW w:w="1278" w:type="dxa"/>
          </w:tcPr>
          <w:p w:rsidR="00FE5794" w:rsidRPr="00FE5794" w:rsidRDefault="0054549A" w:rsidP="00FE5794">
            <w:pPr>
              <w:pStyle w:val="naisf"/>
              <w:spacing w:before="0" w:after="0"/>
              <w:rPr>
                <w:iCs/>
              </w:rPr>
            </w:pPr>
            <w:r>
              <w:rPr>
                <w:iCs/>
              </w:rPr>
              <w:t>0</w:t>
            </w:r>
          </w:p>
        </w:tc>
        <w:tc>
          <w:tcPr>
            <w:tcW w:w="1317" w:type="dxa"/>
          </w:tcPr>
          <w:p w:rsidR="00FE5794" w:rsidRPr="00FE5794" w:rsidRDefault="0054549A" w:rsidP="00FE5794">
            <w:pPr>
              <w:pStyle w:val="naisf"/>
              <w:spacing w:before="0" w:after="0"/>
              <w:rPr>
                <w:iCs/>
              </w:rPr>
            </w:pPr>
            <w:r>
              <w:rPr>
                <w:iCs/>
              </w:rPr>
              <w:t>0</w:t>
            </w:r>
          </w:p>
        </w:tc>
        <w:tc>
          <w:tcPr>
            <w:tcW w:w="1197" w:type="dxa"/>
          </w:tcPr>
          <w:p w:rsidR="00FE5794" w:rsidRPr="00FE5794" w:rsidRDefault="0054549A" w:rsidP="00FE5794">
            <w:pPr>
              <w:pStyle w:val="naisf"/>
              <w:spacing w:before="0" w:after="0"/>
              <w:rPr>
                <w:iCs/>
              </w:rPr>
            </w:pPr>
            <w:r>
              <w:rPr>
                <w:iCs/>
              </w:rPr>
              <w:t>0</w:t>
            </w: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5.2. speciālais budžets</w:t>
            </w:r>
          </w:p>
        </w:tc>
        <w:tc>
          <w:tcPr>
            <w:tcW w:w="1324" w:type="dxa"/>
            <w:vMerge/>
            <w:vAlign w:val="center"/>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FE5794" w:rsidRPr="00FE5794" w:rsidTr="005640C4">
        <w:trPr>
          <w:jc w:val="center"/>
        </w:trPr>
        <w:tc>
          <w:tcPr>
            <w:tcW w:w="2613" w:type="dxa"/>
          </w:tcPr>
          <w:p w:rsidR="00FE5794" w:rsidRPr="00FE5794" w:rsidRDefault="00FE5794" w:rsidP="00FE5794">
            <w:pPr>
              <w:pStyle w:val="naisf"/>
              <w:spacing w:before="0" w:after="0"/>
              <w:ind w:firstLine="0"/>
              <w:rPr>
                <w:iCs/>
              </w:rPr>
            </w:pPr>
            <w:r w:rsidRPr="00FE5794">
              <w:rPr>
                <w:iCs/>
              </w:rPr>
              <w:t xml:space="preserve">5.3. pašvaldību budžets </w:t>
            </w:r>
          </w:p>
        </w:tc>
        <w:tc>
          <w:tcPr>
            <w:tcW w:w="1324" w:type="dxa"/>
            <w:vMerge/>
            <w:vAlign w:val="center"/>
          </w:tcPr>
          <w:p w:rsidR="00FE5794" w:rsidRPr="00FE5794" w:rsidRDefault="00FE5794" w:rsidP="00FE5794">
            <w:pPr>
              <w:pStyle w:val="naisf"/>
              <w:spacing w:before="0" w:after="0"/>
              <w:rPr>
                <w:iCs/>
              </w:rPr>
            </w:pPr>
          </w:p>
        </w:tc>
        <w:tc>
          <w:tcPr>
            <w:tcW w:w="1298" w:type="dxa"/>
          </w:tcPr>
          <w:p w:rsidR="00FE5794" w:rsidRPr="00FE5794" w:rsidRDefault="00FE5794" w:rsidP="00FE5794">
            <w:pPr>
              <w:pStyle w:val="naisf"/>
              <w:spacing w:before="0" w:after="0"/>
              <w:rPr>
                <w:iCs/>
              </w:rPr>
            </w:pPr>
          </w:p>
        </w:tc>
        <w:tc>
          <w:tcPr>
            <w:tcW w:w="1278" w:type="dxa"/>
          </w:tcPr>
          <w:p w:rsidR="00FE5794" w:rsidRPr="00FE5794" w:rsidRDefault="00FE5794" w:rsidP="00FE5794">
            <w:pPr>
              <w:pStyle w:val="naisf"/>
              <w:spacing w:before="0" w:after="0"/>
              <w:rPr>
                <w:iCs/>
              </w:rPr>
            </w:pPr>
          </w:p>
        </w:tc>
        <w:tc>
          <w:tcPr>
            <w:tcW w:w="1317" w:type="dxa"/>
          </w:tcPr>
          <w:p w:rsidR="00FE5794" w:rsidRPr="00FE5794" w:rsidRDefault="00FE5794" w:rsidP="00FE5794">
            <w:pPr>
              <w:pStyle w:val="naisf"/>
              <w:spacing w:before="0" w:after="0"/>
              <w:rPr>
                <w:iCs/>
              </w:rPr>
            </w:pPr>
          </w:p>
        </w:tc>
        <w:tc>
          <w:tcPr>
            <w:tcW w:w="1197" w:type="dxa"/>
          </w:tcPr>
          <w:p w:rsidR="00FE5794" w:rsidRPr="00FE5794" w:rsidRDefault="00FE5794" w:rsidP="00FE5794">
            <w:pPr>
              <w:pStyle w:val="naisf"/>
              <w:spacing w:before="0" w:after="0"/>
              <w:rPr>
                <w:iCs/>
              </w:rPr>
            </w:pPr>
          </w:p>
        </w:tc>
      </w:tr>
      <w:tr w:rsidR="00E66325" w:rsidRPr="00FE5794" w:rsidTr="005640C4">
        <w:trPr>
          <w:jc w:val="center"/>
        </w:trPr>
        <w:tc>
          <w:tcPr>
            <w:tcW w:w="2613" w:type="dxa"/>
          </w:tcPr>
          <w:p w:rsidR="00E66325" w:rsidRPr="00FE5794" w:rsidRDefault="00E66325" w:rsidP="00FE5794">
            <w:pPr>
              <w:pStyle w:val="naisf"/>
              <w:spacing w:before="0" w:after="0"/>
              <w:ind w:firstLine="0"/>
              <w:rPr>
                <w:iCs/>
              </w:rPr>
            </w:pPr>
            <w:r w:rsidRPr="00FE5794">
              <w:rPr>
                <w:iCs/>
              </w:rPr>
              <w:t>6. Detalizēts ieņēmumu un izdevu</w:t>
            </w:r>
            <w:r w:rsidRPr="00FE5794">
              <w:rPr>
                <w:iCs/>
              </w:rPr>
              <w:softHyphen/>
              <w:t>mu aprēķins (ja nepieciešams, detalizētu ieņēmumu un izdevumu aprēķinu var pievienot anotācijas pielikumā):</w:t>
            </w:r>
          </w:p>
        </w:tc>
        <w:tc>
          <w:tcPr>
            <w:tcW w:w="6414" w:type="dxa"/>
            <w:gridSpan w:val="5"/>
            <w:vAlign w:val="center"/>
          </w:tcPr>
          <w:p w:rsidR="00E66325" w:rsidRPr="00FE5794" w:rsidRDefault="00E66325" w:rsidP="00CF2256">
            <w:pPr>
              <w:pStyle w:val="naisf"/>
              <w:spacing w:before="0" w:after="0"/>
              <w:ind w:firstLine="0"/>
              <w:rPr>
                <w:iCs/>
              </w:rPr>
            </w:pPr>
          </w:p>
        </w:tc>
      </w:tr>
      <w:tr w:rsidR="006108CA" w:rsidRPr="00FE5794" w:rsidTr="005640C4">
        <w:trPr>
          <w:jc w:val="center"/>
        </w:trPr>
        <w:tc>
          <w:tcPr>
            <w:tcW w:w="2613" w:type="dxa"/>
          </w:tcPr>
          <w:p w:rsidR="006108CA" w:rsidRPr="00FE5794" w:rsidRDefault="006108CA" w:rsidP="00FE5794">
            <w:pPr>
              <w:pStyle w:val="naisf"/>
              <w:spacing w:before="0" w:after="0"/>
              <w:ind w:firstLine="0"/>
              <w:rPr>
                <w:iCs/>
              </w:rPr>
            </w:pPr>
            <w:r>
              <w:rPr>
                <w:iCs/>
              </w:rPr>
              <w:t>7. Cita informācija</w:t>
            </w:r>
          </w:p>
        </w:tc>
        <w:tc>
          <w:tcPr>
            <w:tcW w:w="6414" w:type="dxa"/>
            <w:gridSpan w:val="5"/>
            <w:vAlign w:val="center"/>
          </w:tcPr>
          <w:p w:rsidR="00886824" w:rsidRPr="006108CA" w:rsidRDefault="00AA5A08" w:rsidP="00AF27CA">
            <w:pPr>
              <w:jc w:val="both"/>
            </w:pPr>
            <w:r>
              <w:rPr>
                <w:iCs/>
              </w:rPr>
              <w:t xml:space="preserve">Likumprojekta ietekme </w:t>
            </w:r>
            <w:r w:rsidR="00587879">
              <w:rPr>
                <w:iCs/>
              </w:rPr>
              <w:t xml:space="preserve">uz valsts budžetu </w:t>
            </w:r>
            <w:r>
              <w:rPr>
                <w:iCs/>
              </w:rPr>
              <w:t xml:space="preserve">atspoguļota </w:t>
            </w:r>
            <w:r w:rsidR="00F705E8">
              <w:rPr>
                <w:iCs/>
              </w:rPr>
              <w:t xml:space="preserve">saistītā </w:t>
            </w:r>
            <w:r>
              <w:t>likumprojekta „Grozījumi likumā „Par Latvijas Republikas Uzņēmumu reģistru”” sākotnējās ietekmes novērtējuma ziņojumā (</w:t>
            </w:r>
            <w:r>
              <w:rPr>
                <w:bCs/>
              </w:rPr>
              <w:t>anotācijā).</w:t>
            </w:r>
            <w:r w:rsidR="00772959">
              <w:rPr>
                <w:bCs/>
              </w:rPr>
              <w:t xml:space="preserve"> </w:t>
            </w:r>
          </w:p>
        </w:tc>
      </w:tr>
    </w:tbl>
    <w:p w:rsidR="00937D3A" w:rsidRDefault="00937D3A" w:rsidP="00B966AA">
      <w:pPr>
        <w:pStyle w:val="naisf"/>
        <w:spacing w:before="0" w:after="0"/>
        <w:ind w:firstLine="0"/>
        <w:rPr>
          <w:i/>
          <w:iCs/>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77"/>
        <w:gridCol w:w="2500"/>
        <w:gridCol w:w="6095"/>
      </w:tblGrid>
      <w:tr w:rsidR="00937D3A" w:rsidRPr="00B57444" w:rsidTr="00937D3A">
        <w:tc>
          <w:tcPr>
            <w:tcW w:w="9072" w:type="dxa"/>
            <w:gridSpan w:val="3"/>
          </w:tcPr>
          <w:p w:rsidR="00937D3A" w:rsidRPr="00B57444" w:rsidRDefault="00937D3A" w:rsidP="00937D3A">
            <w:pPr>
              <w:pStyle w:val="naislab"/>
              <w:spacing w:before="0" w:after="0"/>
              <w:jc w:val="center"/>
              <w:outlineLvl w:val="0"/>
              <w:rPr>
                <w:b/>
                <w:bCs/>
              </w:rPr>
            </w:pPr>
            <w:r w:rsidRPr="005640C4">
              <w:rPr>
                <w:b/>
                <w:iCs/>
              </w:rPr>
              <w:t>IV. Tiesību akta projekta ietekme uz spēkā esošo tiesību normu sistēmu</w:t>
            </w:r>
          </w:p>
        </w:tc>
      </w:tr>
      <w:tr w:rsidR="00937D3A" w:rsidRPr="00861555" w:rsidTr="00937D3A">
        <w:tc>
          <w:tcPr>
            <w:tcW w:w="477" w:type="dxa"/>
          </w:tcPr>
          <w:p w:rsidR="00937D3A" w:rsidRPr="00B57444" w:rsidRDefault="00937D3A" w:rsidP="00937D3A">
            <w:pPr>
              <w:pStyle w:val="naislab"/>
              <w:spacing w:before="0" w:after="0"/>
              <w:jc w:val="center"/>
              <w:outlineLvl w:val="0"/>
            </w:pPr>
            <w:r w:rsidRPr="00B57444">
              <w:t>1.</w:t>
            </w:r>
          </w:p>
        </w:tc>
        <w:tc>
          <w:tcPr>
            <w:tcW w:w="2500" w:type="dxa"/>
          </w:tcPr>
          <w:p w:rsidR="00937D3A" w:rsidRPr="005640C4" w:rsidRDefault="00937D3A" w:rsidP="00937D3A">
            <w:pPr>
              <w:pStyle w:val="naisf"/>
              <w:spacing w:before="0" w:after="0"/>
              <w:ind w:firstLine="0"/>
              <w:rPr>
                <w:iCs/>
              </w:rPr>
            </w:pPr>
            <w:r w:rsidRPr="005640C4">
              <w:rPr>
                <w:iCs/>
              </w:rPr>
              <w:t>Nepieciešamie saistītie tiesību aktu projekti</w:t>
            </w:r>
          </w:p>
        </w:tc>
        <w:tc>
          <w:tcPr>
            <w:tcW w:w="6095" w:type="dxa"/>
          </w:tcPr>
          <w:p w:rsidR="00937D3A" w:rsidRPr="00493401" w:rsidRDefault="00937D3A" w:rsidP="00937D3A">
            <w:pPr>
              <w:jc w:val="both"/>
              <w:rPr>
                <w:iCs/>
              </w:rPr>
            </w:pPr>
            <w:r w:rsidRPr="00493401">
              <w:t xml:space="preserve"> </w:t>
            </w:r>
            <w:r>
              <w:t xml:space="preserve">   </w:t>
            </w:r>
            <w:r w:rsidRPr="00493401">
              <w:t xml:space="preserve">Vienlaicīgi ar likumprojektu </w:t>
            </w:r>
            <w:r w:rsidRPr="00493401">
              <w:rPr>
                <w:iCs/>
              </w:rPr>
              <w:t>ir izstrādāti un virzīti iesniegšanai Ministru kabinetā likumprojekti „Grozījums Politisko partiju likumā”, „Grozījums Biedrību un nodibinājumu likumā”, „Grozījumi Reliģisko organizāciju likumā”, „Grozījumi likumā „Par presi un citiem masu informācijas līdzekļiem””, „Grozījumi likumā „Par Latvijas Republikas</w:t>
            </w:r>
            <w:r>
              <w:rPr>
                <w:iCs/>
              </w:rPr>
              <w:t xml:space="preserve"> Uzņēmumu reģistru””, „Grozījumi Komerclikumā”</w:t>
            </w:r>
            <w:r w:rsidRPr="00493401">
              <w:rPr>
                <w:iCs/>
              </w:rPr>
              <w:t>.</w:t>
            </w:r>
            <w:r w:rsidR="003E63E2">
              <w:rPr>
                <w:iCs/>
              </w:rPr>
              <w:t xml:space="preserve"> Norādītie likumprojekti Ministru kabinetā un Saeimā ir izskatāmi vienlaicīgi.</w:t>
            </w:r>
            <w:r w:rsidRPr="00493401">
              <w:rPr>
                <w:iCs/>
              </w:rPr>
              <w:t xml:space="preserve"> </w:t>
            </w:r>
            <w:r w:rsidRPr="00493401">
              <w:t xml:space="preserve">Lai nodrošinātu regulējumu, ka Uzņēmumu reģistra vestajos reģistros reģistrēto tiesību subjektu reģistrācijas apliecība vai tās dublikāts ir izsniedzams tikai pēc personas pieprasījuma par maksu par pakalpojumu, </w:t>
            </w:r>
            <w:r>
              <w:t>kā arī ņemot vērā to, ka Ministru kabineta 2010.</w:t>
            </w:r>
            <w:r w:rsidR="00B42061">
              <w:t xml:space="preserve"> </w:t>
            </w:r>
            <w:r>
              <w:t>gada 12.</w:t>
            </w:r>
            <w:r w:rsidR="00B42061">
              <w:t xml:space="preserve"> </w:t>
            </w:r>
            <w:r>
              <w:t>oktobra noteikumu Nr.972 „Noteikumi par kārtību, kā veicami maksājumi valsts budžetā un tie atzīstami par saņemtiem, un prasībām tiešsaistes maksājumu pakalpojumu izmantošanai norēķinos ar valsts budžetu” 13.</w:t>
            </w:r>
            <w:r w:rsidR="00B42061">
              <w:t xml:space="preserve"> </w:t>
            </w:r>
            <w:r>
              <w:t>punktā minētais regulējums ir spēkā tikai līdz 2012.</w:t>
            </w:r>
            <w:r w:rsidR="00B42061">
              <w:t xml:space="preserve"> </w:t>
            </w:r>
            <w:r>
              <w:t>gada 1.</w:t>
            </w:r>
            <w:r w:rsidR="00B42061">
              <w:t xml:space="preserve"> </w:t>
            </w:r>
            <w:r>
              <w:t xml:space="preserve">septembrim, </w:t>
            </w:r>
            <w:r w:rsidRPr="00493401">
              <w:rPr>
                <w:iCs/>
              </w:rPr>
              <w:t>pēc augstāk minēto likumprojektu pieņemšanas Saeimā otrajā lasījumā tiks izstrādāti un iesniegti izskatīšanai Ministru kabinetā grozījumi šādos normatīvos aktos:</w:t>
            </w:r>
          </w:p>
          <w:p w:rsidR="00937D3A" w:rsidRPr="00493401" w:rsidRDefault="00937D3A" w:rsidP="00937D3A">
            <w:pPr>
              <w:jc w:val="both"/>
              <w:rPr>
                <w:iCs/>
              </w:rPr>
            </w:pPr>
            <w:r>
              <w:rPr>
                <w:iCs/>
              </w:rPr>
              <w:t xml:space="preserve">    1) </w:t>
            </w:r>
            <w:r w:rsidRPr="00493401">
              <w:rPr>
                <w:iCs/>
              </w:rPr>
              <w:t>Ministru kabineta 2008.</w:t>
            </w:r>
            <w:r w:rsidR="00B42061">
              <w:rPr>
                <w:iCs/>
              </w:rPr>
              <w:t xml:space="preserve"> </w:t>
            </w:r>
            <w:r w:rsidRPr="00493401">
              <w:rPr>
                <w:iCs/>
              </w:rPr>
              <w:t>gada 21.</w:t>
            </w:r>
            <w:r w:rsidR="00B42061">
              <w:rPr>
                <w:iCs/>
              </w:rPr>
              <w:t xml:space="preserve"> </w:t>
            </w:r>
            <w:r w:rsidRPr="00493401">
              <w:rPr>
                <w:iCs/>
              </w:rPr>
              <w:t xml:space="preserve">aprīļa noteikumu Nr.290 „Noteikumi par pieteikumiem ierakstu izdarīšanai Uzņēmumu reģistra žurnālā par Eiropas kooperatīvajām sabiedrībām” </w:t>
            </w:r>
            <w:r w:rsidR="005A766A">
              <w:rPr>
                <w:iCs/>
              </w:rPr>
              <w:t>1., 4., 5., 6. un 8.</w:t>
            </w:r>
            <w:r w:rsidR="00FC2BC2">
              <w:rPr>
                <w:iCs/>
              </w:rPr>
              <w:t xml:space="preserve"> </w:t>
            </w:r>
            <w:r w:rsidR="005A766A">
              <w:rPr>
                <w:iCs/>
              </w:rPr>
              <w:t>pielikumā</w:t>
            </w:r>
            <w:r>
              <w:rPr>
                <w:iCs/>
              </w:rPr>
              <w:t xml:space="preserve"> </w:t>
            </w:r>
            <w:r w:rsidRPr="00493401">
              <w:rPr>
                <w:rFonts w:eastAsia="Times New Roman"/>
              </w:rPr>
              <w:t>n</w:t>
            </w:r>
            <w:r w:rsidRPr="00493401">
              <w:rPr>
                <w:iCs/>
              </w:rPr>
              <w:t xml:space="preserve">epieciešams svītrot norādi par reģistrācijas apliecības </w:t>
            </w:r>
            <w:r>
              <w:rPr>
                <w:iCs/>
              </w:rPr>
              <w:t xml:space="preserve">un dokumenta par valsts nodevas samaksu </w:t>
            </w:r>
            <w:r w:rsidRPr="00033D6D">
              <w:rPr>
                <w:iCs/>
              </w:rPr>
              <w:t>iesniegšanu Uzņēmumu reģistrā</w:t>
            </w:r>
            <w:r>
              <w:rPr>
                <w:iCs/>
              </w:rPr>
              <w:t xml:space="preserve">, </w:t>
            </w:r>
            <w:r>
              <w:t xml:space="preserve">vienlaikus papildinot </w:t>
            </w:r>
            <w:r w:rsidR="00AE5993">
              <w:t xml:space="preserve">šo noteikumu </w:t>
            </w:r>
            <w:r>
              <w:t>pielikumus ar jaunu aili, kurā varētu ierakstīt informāciju par maksājumu, kas nepieciešama valsts nodevas apmaksas pārbaudei</w:t>
            </w:r>
            <w:r>
              <w:rPr>
                <w:iCs/>
              </w:rPr>
              <w:t>.</w:t>
            </w:r>
          </w:p>
          <w:p w:rsidR="003511BA" w:rsidRPr="00493401" w:rsidRDefault="00937D3A" w:rsidP="00937D3A">
            <w:pPr>
              <w:jc w:val="both"/>
              <w:rPr>
                <w:iCs/>
              </w:rPr>
            </w:pPr>
            <w:r>
              <w:rPr>
                <w:iCs/>
              </w:rPr>
              <w:t xml:space="preserve">    2)</w:t>
            </w:r>
            <w:r>
              <w:t> </w:t>
            </w:r>
            <w:r w:rsidR="003511BA">
              <w:rPr>
                <w:iCs/>
              </w:rPr>
              <w:t xml:space="preserve"> Ministru kabineta 2007. gada 23. janvāra noteikumu Nr.73 „Noteikumi par pieteikumiem ierakstu izdarīšanai politisko partiju reģistrā” 10. pielikumā nepieciešams svītrot norādi par reģistrācijas apliecības iesniegšanu un 2., 3., 4., 5., 6., 8., 9. un 10.</w:t>
            </w:r>
            <w:r w:rsidR="005D5687">
              <w:rPr>
                <w:iCs/>
              </w:rPr>
              <w:t xml:space="preserve"> pielikumā ietverto </w:t>
            </w:r>
            <w:r w:rsidR="003511BA">
              <w:rPr>
                <w:iCs/>
              </w:rPr>
              <w:t xml:space="preserve">norādi par valsts nodevas samaksu </w:t>
            </w:r>
            <w:r w:rsidR="003511BA" w:rsidRPr="00033D6D">
              <w:rPr>
                <w:iCs/>
              </w:rPr>
              <w:t>iesniegšanu Uzņēmumu reģistrā</w:t>
            </w:r>
            <w:r w:rsidR="003511BA">
              <w:rPr>
                <w:iCs/>
              </w:rPr>
              <w:t xml:space="preserve">, </w:t>
            </w:r>
            <w:r w:rsidR="003511BA">
              <w:t xml:space="preserve">vienlaikus papildinot šo noteikumu pielikumus ar jaunu aili, kurā varētu ierakstīt informāciju par maksājumu, kas nepieciešama valsts nodevas apmaksas pārbaudei. </w:t>
            </w:r>
          </w:p>
          <w:p w:rsidR="00937D3A" w:rsidRPr="00493401" w:rsidRDefault="00937D3A" w:rsidP="00937D3A">
            <w:pPr>
              <w:jc w:val="both"/>
              <w:rPr>
                <w:iCs/>
              </w:rPr>
            </w:pPr>
            <w:r>
              <w:rPr>
                <w:iCs/>
              </w:rPr>
              <w:t xml:space="preserve">    3) </w:t>
            </w:r>
            <w:r w:rsidRPr="00493401">
              <w:rPr>
                <w:iCs/>
              </w:rPr>
              <w:t>Ministru kabineta 2005.</w:t>
            </w:r>
            <w:r w:rsidR="00E17F7C">
              <w:rPr>
                <w:iCs/>
              </w:rPr>
              <w:t xml:space="preserve"> </w:t>
            </w:r>
            <w:r w:rsidRPr="00493401">
              <w:rPr>
                <w:iCs/>
              </w:rPr>
              <w:t>gada 17.</w:t>
            </w:r>
            <w:r w:rsidR="00E17F7C">
              <w:rPr>
                <w:iCs/>
              </w:rPr>
              <w:t xml:space="preserve"> </w:t>
            </w:r>
            <w:r w:rsidRPr="00493401">
              <w:rPr>
                <w:iCs/>
              </w:rPr>
              <w:t>maija noteikumu Nr.344 „Noteikumi par pieteikumu veidlapām ierakstu izdarīšanai komercreģistrā par Eiropas komercsabiedrībām”</w:t>
            </w:r>
            <w:r w:rsidRPr="00493401">
              <w:rPr>
                <w:rFonts w:eastAsia="Times New Roman"/>
              </w:rPr>
              <w:t xml:space="preserve"> </w:t>
            </w:r>
            <w:r w:rsidR="003B5837">
              <w:rPr>
                <w:rFonts w:eastAsia="Times New Roman"/>
              </w:rPr>
              <w:t>5. pielikumā</w:t>
            </w:r>
            <w:r>
              <w:rPr>
                <w:rFonts w:eastAsia="Times New Roman"/>
              </w:rPr>
              <w:t xml:space="preserve"> </w:t>
            </w:r>
            <w:r w:rsidRPr="00493401">
              <w:rPr>
                <w:iCs/>
              </w:rPr>
              <w:t xml:space="preserve">nepieciešams svītrot norādi par reģistrācijas apliecības </w:t>
            </w:r>
            <w:r>
              <w:rPr>
                <w:iCs/>
              </w:rPr>
              <w:t>un</w:t>
            </w:r>
            <w:r w:rsidR="008539DE">
              <w:rPr>
                <w:iCs/>
              </w:rPr>
              <w:t xml:space="preserve"> 3., 5. pielikumā ietverto norādi par </w:t>
            </w:r>
            <w:r>
              <w:rPr>
                <w:iCs/>
              </w:rPr>
              <w:t xml:space="preserve">dokumenta par valsts nodevas samaksu </w:t>
            </w:r>
            <w:r w:rsidR="008539DE">
              <w:rPr>
                <w:iCs/>
              </w:rPr>
              <w:t>iesniegšanu</w:t>
            </w:r>
            <w:r>
              <w:rPr>
                <w:iCs/>
              </w:rPr>
              <w:t xml:space="preserve">, </w:t>
            </w:r>
            <w:r>
              <w:t xml:space="preserve">vienlaikus papildinot </w:t>
            </w:r>
            <w:r w:rsidR="00E0111C">
              <w:lastRenderedPageBreak/>
              <w:t xml:space="preserve">šo noteikumu </w:t>
            </w:r>
            <w:r>
              <w:t xml:space="preserve">pielikumus ar jaunu aili, kurā varētu ierakstīt informāciju par maksājumu, kas nepieciešama valsts nodevas apmaksas pārbaudei. </w:t>
            </w:r>
          </w:p>
          <w:p w:rsidR="00FD1379" w:rsidRPr="00A8506A" w:rsidRDefault="00937D3A" w:rsidP="00937D3A">
            <w:pPr>
              <w:jc w:val="both"/>
            </w:pPr>
            <w:r>
              <w:rPr>
                <w:iCs/>
              </w:rPr>
              <w:t xml:space="preserve">    </w:t>
            </w:r>
            <w:r w:rsidRPr="00493401">
              <w:rPr>
                <w:iCs/>
              </w:rPr>
              <w:t>4)</w:t>
            </w:r>
            <w:r w:rsidR="00FD1379">
              <w:t xml:space="preserve"> </w:t>
            </w:r>
            <w:r w:rsidR="00FD1379" w:rsidRPr="00894C96">
              <w:rPr>
                <w:iCs/>
              </w:rPr>
              <w:t>Ministru kabineta 2005.</w:t>
            </w:r>
            <w:r w:rsidR="00FD1379">
              <w:rPr>
                <w:iCs/>
              </w:rPr>
              <w:t xml:space="preserve"> </w:t>
            </w:r>
            <w:r w:rsidR="00FD1379" w:rsidRPr="00894C96">
              <w:rPr>
                <w:iCs/>
              </w:rPr>
              <w:t>gada 29.marta noteikumu Nr.204 „Noteikumi par šķīrējtiesu reģistru” 19.</w:t>
            </w:r>
            <w:r w:rsidR="00FD1379">
              <w:rPr>
                <w:iCs/>
              </w:rPr>
              <w:t xml:space="preserve"> </w:t>
            </w:r>
            <w:r w:rsidR="00FD1379" w:rsidRPr="00894C96">
              <w:rPr>
                <w:iCs/>
              </w:rPr>
              <w:t>punktā noteikt, ka reģistrācijas apliecība pēc šķīrējtiesas ierakstīšanas reģistrā tiek izsniegta par maksu pēc pieprasījuma</w:t>
            </w:r>
            <w:r w:rsidR="00FD1379">
              <w:rPr>
                <w:iCs/>
              </w:rPr>
              <w:t xml:space="preserve">, kā arī svītrot 5.4., 9.3., 10.2. un 11.2. apakšpunktu un pielikumos ietverto </w:t>
            </w:r>
            <w:r w:rsidR="00FD1379" w:rsidRPr="00DB7737">
              <w:rPr>
                <w:iCs/>
              </w:rPr>
              <w:t xml:space="preserve">norādi par </w:t>
            </w:r>
            <w:r w:rsidR="00FD1379">
              <w:t xml:space="preserve">maksājumu apliecinoša dokumenta par valsts nodevas samaksu iesniegšanu, vienlaikus papildinot šo noteikumu pielikumus ar jaunu aili, kurā varētu ierakstīt informāciju par maksājumu, kas nepieciešama valsts nodevas apmaksas pārbaudei. </w:t>
            </w:r>
          </w:p>
          <w:p w:rsidR="001A297D" w:rsidRPr="00493401" w:rsidRDefault="00937D3A" w:rsidP="00937D3A">
            <w:pPr>
              <w:jc w:val="both"/>
              <w:rPr>
                <w:iCs/>
              </w:rPr>
            </w:pPr>
            <w:r>
              <w:rPr>
                <w:iCs/>
              </w:rPr>
              <w:t xml:space="preserve">    </w:t>
            </w:r>
            <w:r w:rsidRPr="00493401">
              <w:rPr>
                <w:iCs/>
              </w:rPr>
              <w:t>5)</w:t>
            </w:r>
            <w:r>
              <w:rPr>
                <w:iCs/>
              </w:rPr>
              <w:t> </w:t>
            </w:r>
            <w:r w:rsidR="001A297D" w:rsidRPr="005640C4">
              <w:rPr>
                <w:iCs/>
              </w:rPr>
              <w:t>Ministru kabineta 2004.</w:t>
            </w:r>
            <w:r w:rsidR="001A297D">
              <w:rPr>
                <w:iCs/>
              </w:rPr>
              <w:t xml:space="preserve"> </w:t>
            </w:r>
            <w:r w:rsidR="001A297D" w:rsidRPr="005640C4">
              <w:rPr>
                <w:iCs/>
              </w:rPr>
              <w:t>gada 30.</w:t>
            </w:r>
            <w:r w:rsidR="001A297D">
              <w:rPr>
                <w:iCs/>
              </w:rPr>
              <w:t xml:space="preserve"> marta noteikumu Nr.</w:t>
            </w:r>
            <w:r w:rsidR="001A297D" w:rsidRPr="005640C4">
              <w:rPr>
                <w:iCs/>
              </w:rPr>
              <w:t>221 „Noteikumi par pieteikumiem ierakstu izdarīšanai biedrību un nodibinājumu reģistrā”</w:t>
            </w:r>
            <w:r w:rsidR="001A297D">
              <w:rPr>
                <w:iCs/>
              </w:rPr>
              <w:t xml:space="preserve"> </w:t>
            </w:r>
            <w:r w:rsidR="001A297D" w:rsidRPr="005640C4">
              <w:rPr>
                <w:iCs/>
              </w:rPr>
              <w:t>9.</w:t>
            </w:r>
            <w:r w:rsidR="001A297D">
              <w:rPr>
                <w:iCs/>
              </w:rPr>
              <w:t xml:space="preserve"> </w:t>
            </w:r>
            <w:r w:rsidR="001A297D" w:rsidRPr="005640C4">
              <w:rPr>
                <w:iCs/>
              </w:rPr>
              <w:t xml:space="preserve">pielikumā </w:t>
            </w:r>
            <w:r w:rsidR="001A297D">
              <w:rPr>
                <w:iCs/>
              </w:rPr>
              <w:t xml:space="preserve">nepieciešams </w:t>
            </w:r>
            <w:r w:rsidR="001A297D" w:rsidRPr="005640C4">
              <w:rPr>
                <w:iCs/>
              </w:rPr>
              <w:t>svītrot norādi par reģistrācijas apliecīb</w:t>
            </w:r>
            <w:r w:rsidR="001A297D">
              <w:rPr>
                <w:iCs/>
              </w:rPr>
              <w:t xml:space="preserve">as iesniegšanu un 2., 3., 4., 5., 6., 7., 8. un 9. pielikumā ietverto norādi par </w:t>
            </w:r>
            <w:r w:rsidR="001A297D" w:rsidRPr="00B85ED9">
              <w:t>va</w:t>
            </w:r>
            <w:r w:rsidR="001A297D">
              <w:t xml:space="preserve">lsts nodevas samaksu apliecinoša dokumenta iesniegšanu, vienlaikus šo noteikumu pielikumus papildinot ar jaunu aili, kurā varētu ierakstīt informāciju par maksājumu, kas nepieciešama valsts nodevas apmaksas pārbaudei. </w:t>
            </w:r>
          </w:p>
          <w:p w:rsidR="00E44B44" w:rsidRPr="005034E2" w:rsidRDefault="00937D3A" w:rsidP="00937D3A">
            <w:pPr>
              <w:jc w:val="both"/>
            </w:pPr>
            <w:r>
              <w:rPr>
                <w:iCs/>
              </w:rPr>
              <w:t xml:space="preserve">    </w:t>
            </w:r>
            <w:r w:rsidRPr="00493401">
              <w:rPr>
                <w:iCs/>
              </w:rPr>
              <w:t>6)</w:t>
            </w:r>
            <w:r>
              <w:rPr>
                <w:iCs/>
              </w:rPr>
              <w:t> </w:t>
            </w:r>
            <w:r w:rsidR="00E44B44">
              <w:t xml:space="preserve"> </w:t>
            </w:r>
            <w:r w:rsidR="00E44B44" w:rsidRPr="00894C96">
              <w:rPr>
                <w:iCs/>
              </w:rPr>
              <w:t>Ministru kabineta 2002.</w:t>
            </w:r>
            <w:r w:rsidR="00E44B44">
              <w:rPr>
                <w:iCs/>
              </w:rPr>
              <w:t xml:space="preserve"> </w:t>
            </w:r>
            <w:r w:rsidR="00E44B44" w:rsidRPr="00894C96">
              <w:rPr>
                <w:iCs/>
              </w:rPr>
              <w:t>gada 3.</w:t>
            </w:r>
            <w:r w:rsidR="00E44B44">
              <w:rPr>
                <w:iCs/>
              </w:rPr>
              <w:t xml:space="preserve"> </w:t>
            </w:r>
            <w:r w:rsidR="00E44B44" w:rsidRPr="00894C96">
              <w:rPr>
                <w:iCs/>
              </w:rPr>
              <w:t>septembra noteikumu Nr.401 „Ārvalstu komersantu organizāciju pārstāvniecību un pārstāvju reģistrācijas kārtība” 12.3.</w:t>
            </w:r>
            <w:r w:rsidR="00E44B44">
              <w:rPr>
                <w:iCs/>
              </w:rPr>
              <w:t xml:space="preserve"> </w:t>
            </w:r>
            <w:r w:rsidR="00E44B44" w:rsidRPr="00894C96">
              <w:rPr>
                <w:iCs/>
              </w:rPr>
              <w:t>apakšpunktā noteikt, ka reģistrācijas apliecība tiek izsniegta par maksu pēc pieprasījuma</w:t>
            </w:r>
            <w:r w:rsidR="00E44B44">
              <w:rPr>
                <w:iCs/>
              </w:rPr>
              <w:t xml:space="preserve">, kā arī </w:t>
            </w:r>
            <w:r w:rsidR="00E44B44" w:rsidRPr="00894C96">
              <w:rPr>
                <w:iCs/>
              </w:rPr>
              <w:t>5.5. un 5.11.</w:t>
            </w:r>
            <w:r w:rsidR="00E44B44">
              <w:rPr>
                <w:iCs/>
              </w:rPr>
              <w:t xml:space="preserve"> </w:t>
            </w:r>
            <w:r w:rsidR="00E44B44" w:rsidRPr="00894C96">
              <w:rPr>
                <w:iCs/>
              </w:rPr>
              <w:t xml:space="preserve">apakšpunktā svītrot vārdu „adrese” un 1., 2., 4. pielikumā ietverto </w:t>
            </w:r>
            <w:r w:rsidR="00E44B44">
              <w:rPr>
                <w:iCs/>
              </w:rPr>
              <w:t>aili par dzīvesvietu, papildinot</w:t>
            </w:r>
            <w:r w:rsidR="00E44B44" w:rsidRPr="00894C96">
              <w:rPr>
                <w:iCs/>
              </w:rPr>
              <w:t xml:space="preserve"> ar norādi, ka to aizpilda tikai ārvalstu fiziskā persona, ja Latvijas Republikā tai nav deklarētās dzīvesvietas. </w:t>
            </w:r>
            <w:r w:rsidR="00E44B44">
              <w:rPr>
                <w:iCs/>
              </w:rPr>
              <w:t xml:space="preserve">Tāpat nepieciešams svītrot šo noteikumu 6.4., 18.3., 23.3., 24.3. un 25.4. apakšpunktu un pielikumos ietverto </w:t>
            </w:r>
            <w:r w:rsidR="00E44B44" w:rsidRPr="00DB7737">
              <w:rPr>
                <w:iCs/>
              </w:rPr>
              <w:t xml:space="preserve">norādi par </w:t>
            </w:r>
            <w:r w:rsidR="00E44B44">
              <w:t>maksājumu apliecinoša dokumenta par valsts nodevas samaksu iesniegšanu, vienlaikus papildinot šo noteikumu pielikumus ar jaunu aili, kurā varētu ierakstīt informāciju par maksājumu, kas nepieciešama valsts nodevas apmaksas pārbaudei.</w:t>
            </w:r>
          </w:p>
          <w:p w:rsidR="00EB0F73" w:rsidRPr="00610876" w:rsidRDefault="00937D3A" w:rsidP="00937D3A">
            <w:pPr>
              <w:jc w:val="both"/>
            </w:pPr>
            <w:r>
              <w:rPr>
                <w:iCs/>
              </w:rPr>
              <w:t xml:space="preserve">    </w:t>
            </w:r>
            <w:r w:rsidRPr="00493401">
              <w:rPr>
                <w:iCs/>
              </w:rPr>
              <w:t>7)</w:t>
            </w:r>
            <w:r>
              <w:rPr>
                <w:iCs/>
              </w:rPr>
              <w:t> </w:t>
            </w:r>
            <w:r w:rsidRPr="00493401">
              <w:rPr>
                <w:iCs/>
              </w:rPr>
              <w:t>Ministru kabineta 2001.</w:t>
            </w:r>
            <w:r w:rsidR="009E3A43">
              <w:rPr>
                <w:iCs/>
              </w:rPr>
              <w:t xml:space="preserve"> </w:t>
            </w:r>
            <w:r w:rsidRPr="00493401">
              <w:rPr>
                <w:iCs/>
              </w:rPr>
              <w:t>gada 27.</w:t>
            </w:r>
            <w:r w:rsidR="009E3A43">
              <w:rPr>
                <w:iCs/>
              </w:rPr>
              <w:t xml:space="preserve"> </w:t>
            </w:r>
            <w:r w:rsidRPr="00493401">
              <w:rPr>
                <w:iCs/>
              </w:rPr>
              <w:t>decembra noteikumi Nr.567 „Noteikumi par pieteikumu veidlapām ierakstiem komercreģistrā” 14.</w:t>
            </w:r>
            <w:r w:rsidR="009E3A43">
              <w:rPr>
                <w:iCs/>
              </w:rPr>
              <w:t xml:space="preserve"> </w:t>
            </w:r>
            <w:r w:rsidRPr="00493401">
              <w:rPr>
                <w:iCs/>
              </w:rPr>
              <w:t>pielikumā nepieciešams svītrot norādi par reģistrācijas apliecības</w:t>
            </w:r>
            <w:r w:rsidR="00DA1A1F">
              <w:rPr>
                <w:iCs/>
              </w:rPr>
              <w:t xml:space="preserve"> iesniegšanu</w:t>
            </w:r>
            <w:r w:rsidR="00610876">
              <w:rPr>
                <w:iCs/>
              </w:rPr>
              <w:t xml:space="preserve"> un </w:t>
            </w:r>
            <w:r w:rsidR="004261AF">
              <w:t>vienlaikus papildinā</w:t>
            </w:r>
            <w:r w:rsidR="00610876">
              <w:t>t šo noteikumu pielikumus ar jaunu aili, kurā varētu ierakstīt informāciju par maksājumu, kas nepieciešama valsts nodevas apmaksas pārbaudei.</w:t>
            </w:r>
          </w:p>
          <w:p w:rsidR="00937D3A" w:rsidRPr="00493401" w:rsidRDefault="00937D3A" w:rsidP="00937D3A">
            <w:pPr>
              <w:jc w:val="both"/>
              <w:rPr>
                <w:iCs/>
              </w:rPr>
            </w:pPr>
            <w:r>
              <w:rPr>
                <w:iCs/>
              </w:rPr>
              <w:t xml:space="preserve">    8</w:t>
            </w:r>
            <w:r w:rsidRPr="00493401">
              <w:rPr>
                <w:iCs/>
              </w:rPr>
              <w:t>)</w:t>
            </w:r>
            <w:r>
              <w:rPr>
                <w:iCs/>
              </w:rPr>
              <w:t> </w:t>
            </w:r>
            <w:r w:rsidRPr="00493401">
              <w:rPr>
                <w:iCs/>
              </w:rPr>
              <w:t>Ministru kabineta 2009.</w:t>
            </w:r>
            <w:r w:rsidR="00334DB2">
              <w:rPr>
                <w:iCs/>
              </w:rPr>
              <w:t xml:space="preserve"> </w:t>
            </w:r>
            <w:r w:rsidRPr="00493401">
              <w:rPr>
                <w:iCs/>
              </w:rPr>
              <w:t>gada 22.</w:t>
            </w:r>
            <w:r w:rsidR="00334DB2">
              <w:rPr>
                <w:iCs/>
              </w:rPr>
              <w:t xml:space="preserve"> </w:t>
            </w:r>
            <w:r w:rsidRPr="00493401">
              <w:rPr>
                <w:iCs/>
              </w:rPr>
              <w:t xml:space="preserve">septembra noteikumos Nr.1088 „Noteikumi par masu informācijas līdzekļu reģistrācijas valsts nodevu” nepieciešams svītrot 2.3. apakšpunktu, kas nosaka valsts nodevas apmēru reģistrācijas </w:t>
            </w:r>
            <w:r w:rsidRPr="00493401">
              <w:rPr>
                <w:iCs/>
              </w:rPr>
              <w:lastRenderedPageBreak/>
              <w:t>ap</w:t>
            </w:r>
            <w:r>
              <w:rPr>
                <w:iCs/>
              </w:rPr>
              <w:t>liecības dublikāta izsniegšanai.</w:t>
            </w:r>
          </w:p>
          <w:p w:rsidR="00937D3A" w:rsidRPr="00493401" w:rsidRDefault="00937D3A" w:rsidP="00937D3A">
            <w:pPr>
              <w:jc w:val="both"/>
              <w:rPr>
                <w:iCs/>
              </w:rPr>
            </w:pPr>
            <w:r>
              <w:rPr>
                <w:iCs/>
              </w:rPr>
              <w:t xml:space="preserve">    9) </w:t>
            </w:r>
            <w:r w:rsidRPr="00493401">
              <w:rPr>
                <w:iCs/>
              </w:rPr>
              <w:t>Ministru kabineta 2009.</w:t>
            </w:r>
            <w:r w:rsidR="00334DB2">
              <w:rPr>
                <w:iCs/>
              </w:rPr>
              <w:t xml:space="preserve"> </w:t>
            </w:r>
            <w:r w:rsidRPr="00493401">
              <w:rPr>
                <w:iCs/>
              </w:rPr>
              <w:t>gada 11.</w:t>
            </w:r>
            <w:r w:rsidR="00334DB2">
              <w:rPr>
                <w:iCs/>
              </w:rPr>
              <w:t xml:space="preserve"> </w:t>
            </w:r>
            <w:r w:rsidRPr="00493401">
              <w:rPr>
                <w:iCs/>
              </w:rPr>
              <w:t>augusta noteikumos Nr.894 „Noteikumi par ārvalstu komersantu un organizāciju pārstāvniecību un pārstāvju reģistrācijas valsts nodevu” nepieciešams svītrot 2.4.</w:t>
            </w:r>
            <w:r w:rsidR="00334DB2">
              <w:rPr>
                <w:iCs/>
              </w:rPr>
              <w:t xml:space="preserve"> </w:t>
            </w:r>
            <w:r w:rsidRPr="00493401">
              <w:rPr>
                <w:iCs/>
              </w:rPr>
              <w:t>apakšpunktu, kas nosaka valsts nodevas apmēru reģistrācijas ap</w:t>
            </w:r>
            <w:r>
              <w:rPr>
                <w:iCs/>
              </w:rPr>
              <w:t>liecības dublikāta izsniegšanai.</w:t>
            </w:r>
          </w:p>
          <w:p w:rsidR="00937D3A" w:rsidRPr="00493401" w:rsidRDefault="00937D3A" w:rsidP="00937D3A">
            <w:pPr>
              <w:jc w:val="both"/>
              <w:rPr>
                <w:iCs/>
              </w:rPr>
            </w:pPr>
            <w:r w:rsidRPr="00493401">
              <w:rPr>
                <w:iCs/>
              </w:rPr>
              <w:t xml:space="preserve"> </w:t>
            </w:r>
            <w:r>
              <w:rPr>
                <w:iCs/>
              </w:rPr>
              <w:t xml:space="preserve">  </w:t>
            </w:r>
            <w:r w:rsidRPr="00493401">
              <w:rPr>
                <w:iCs/>
              </w:rPr>
              <w:t xml:space="preserve"> </w:t>
            </w:r>
            <w:r>
              <w:rPr>
                <w:iCs/>
              </w:rPr>
              <w:t>10</w:t>
            </w:r>
            <w:r w:rsidRPr="00493401">
              <w:rPr>
                <w:iCs/>
              </w:rPr>
              <w:t>)</w:t>
            </w:r>
            <w:r>
              <w:rPr>
                <w:iCs/>
              </w:rPr>
              <w:t> </w:t>
            </w:r>
            <w:r w:rsidRPr="00493401">
              <w:rPr>
                <w:iCs/>
              </w:rPr>
              <w:t>Ministru kabineta 2009.</w:t>
            </w:r>
            <w:r w:rsidR="00334DB2">
              <w:rPr>
                <w:iCs/>
              </w:rPr>
              <w:t xml:space="preserve"> </w:t>
            </w:r>
            <w:r w:rsidRPr="00493401">
              <w:rPr>
                <w:iCs/>
              </w:rPr>
              <w:t>gada 7.</w:t>
            </w:r>
            <w:r w:rsidR="00334DB2">
              <w:rPr>
                <w:iCs/>
              </w:rPr>
              <w:t xml:space="preserve"> </w:t>
            </w:r>
            <w:r w:rsidRPr="00493401">
              <w:rPr>
                <w:iCs/>
              </w:rPr>
              <w:t>aprīļa noteikumos Nr.307 „Noteikumi par valsts nodevu ieraksta izdarīšanai reliģisko organizāciju un to iestāžu reģistrā” nepieciešams svītrot 2.5. un 2.6.</w:t>
            </w:r>
            <w:r w:rsidR="000448CF">
              <w:rPr>
                <w:iCs/>
              </w:rPr>
              <w:t xml:space="preserve"> </w:t>
            </w:r>
            <w:r w:rsidRPr="00493401">
              <w:rPr>
                <w:iCs/>
              </w:rPr>
              <w:t>apakšpunktu, kas nosaka valsts nodevas likmi par reģistrācijas apliecības atkārtotu izsniegšanu, kā arī precizēt 1.</w:t>
            </w:r>
            <w:r w:rsidR="000448CF">
              <w:rPr>
                <w:iCs/>
              </w:rPr>
              <w:t xml:space="preserve"> </w:t>
            </w:r>
            <w:r w:rsidRPr="00493401">
              <w:rPr>
                <w:iCs/>
              </w:rPr>
              <w:t>punktu, paredzot, ka noteikumi nosaka valsts nodevas apmēru par reliģisko organizāciju un to iestāžu reģistrāciju, pārreģistrāciju, statūtu (satversmes, nolikuma) grozījumu reģistrāciju, kā arī valsts nodevas ma</w:t>
            </w:r>
            <w:r>
              <w:rPr>
                <w:iCs/>
              </w:rPr>
              <w:t>ksāšanas kārtību.</w:t>
            </w:r>
          </w:p>
          <w:p w:rsidR="00937D3A" w:rsidRPr="00493401" w:rsidRDefault="00937D3A" w:rsidP="00937D3A">
            <w:pPr>
              <w:jc w:val="both"/>
              <w:rPr>
                <w:iCs/>
              </w:rPr>
            </w:pPr>
            <w:r>
              <w:rPr>
                <w:iCs/>
              </w:rPr>
              <w:t xml:space="preserve">    11) </w:t>
            </w:r>
            <w:r w:rsidRPr="00493401">
              <w:rPr>
                <w:iCs/>
              </w:rPr>
              <w:t>Ministru kabineta 2007.</w:t>
            </w:r>
            <w:r w:rsidR="000448CF">
              <w:rPr>
                <w:iCs/>
              </w:rPr>
              <w:t xml:space="preserve"> </w:t>
            </w:r>
            <w:r w:rsidRPr="00493401">
              <w:rPr>
                <w:iCs/>
              </w:rPr>
              <w:t>gada 20.</w:t>
            </w:r>
            <w:r w:rsidR="000448CF">
              <w:rPr>
                <w:iCs/>
              </w:rPr>
              <w:t xml:space="preserve"> </w:t>
            </w:r>
            <w:r w:rsidRPr="00493401">
              <w:rPr>
                <w:iCs/>
              </w:rPr>
              <w:t>februāra noteikumos Nr.140 „Noteikumi par ierakstu izdarīšanas Uzņēmumu reģistra žurnālā un komercreģistrā, kā arī iesniedzamo dokumentu reģistrācijas valsts nodevu” nepieciešams svītrot 4.3. un 9.8.</w:t>
            </w:r>
            <w:r w:rsidR="000448CF">
              <w:rPr>
                <w:iCs/>
              </w:rPr>
              <w:t xml:space="preserve"> </w:t>
            </w:r>
            <w:r w:rsidRPr="00493401">
              <w:rPr>
                <w:iCs/>
              </w:rPr>
              <w:t>apakšpunktu, kas nosaka valsts nodevas apmēru reģistrācijas ap</w:t>
            </w:r>
            <w:r>
              <w:rPr>
                <w:iCs/>
              </w:rPr>
              <w:t>liecības dublikāta izsniegšanai.</w:t>
            </w:r>
          </w:p>
          <w:p w:rsidR="00937D3A" w:rsidRDefault="00937D3A" w:rsidP="00937D3A">
            <w:pPr>
              <w:jc w:val="both"/>
              <w:rPr>
                <w:iCs/>
              </w:rPr>
            </w:pPr>
            <w:r w:rsidRPr="00493401">
              <w:rPr>
                <w:iCs/>
              </w:rPr>
              <w:t xml:space="preserve">  </w:t>
            </w:r>
            <w:r>
              <w:rPr>
                <w:iCs/>
              </w:rPr>
              <w:t xml:space="preserve">  12</w:t>
            </w:r>
            <w:r w:rsidRPr="00493401">
              <w:rPr>
                <w:iCs/>
              </w:rPr>
              <w:t>)</w:t>
            </w:r>
            <w:r>
              <w:rPr>
                <w:iCs/>
              </w:rPr>
              <w:t> </w:t>
            </w:r>
            <w:r w:rsidRPr="00493401">
              <w:rPr>
                <w:iCs/>
              </w:rPr>
              <w:t>Ministru kabineta 2007.</w:t>
            </w:r>
            <w:r w:rsidR="000448CF">
              <w:rPr>
                <w:iCs/>
              </w:rPr>
              <w:t xml:space="preserve"> </w:t>
            </w:r>
            <w:r w:rsidRPr="00493401">
              <w:rPr>
                <w:iCs/>
              </w:rPr>
              <w:t>gada 23.</w:t>
            </w:r>
            <w:r w:rsidR="000448CF">
              <w:rPr>
                <w:iCs/>
              </w:rPr>
              <w:t xml:space="preserve"> </w:t>
            </w:r>
            <w:r w:rsidRPr="00493401">
              <w:rPr>
                <w:iCs/>
              </w:rPr>
              <w:t>janvāra noteikumos Nr.77 „Noteikumi par valsts nodevu par ierakstu izdarīšanu politisko partiju reģistrā” svītrojot 2.8. apakšpunktu, kas nosaka valsts nodevas apmēru reģistrācijas ap</w:t>
            </w:r>
            <w:r>
              <w:rPr>
                <w:iCs/>
              </w:rPr>
              <w:t xml:space="preserve">liecības dublikāta izsniegšanai.      </w:t>
            </w:r>
          </w:p>
          <w:p w:rsidR="00937D3A" w:rsidRPr="00493401" w:rsidRDefault="00937D3A" w:rsidP="00937D3A">
            <w:pPr>
              <w:jc w:val="both"/>
              <w:rPr>
                <w:iCs/>
              </w:rPr>
            </w:pPr>
            <w:r>
              <w:rPr>
                <w:iCs/>
              </w:rPr>
              <w:t xml:space="preserve">    13) </w:t>
            </w:r>
            <w:r w:rsidRPr="00493401">
              <w:rPr>
                <w:iCs/>
              </w:rPr>
              <w:t>Ministru kabineta 2005.</w:t>
            </w:r>
            <w:r w:rsidR="000448CF">
              <w:rPr>
                <w:iCs/>
              </w:rPr>
              <w:t xml:space="preserve"> </w:t>
            </w:r>
            <w:r w:rsidRPr="00493401">
              <w:rPr>
                <w:iCs/>
              </w:rPr>
              <w:t>gada 29.</w:t>
            </w:r>
            <w:r w:rsidR="000448CF">
              <w:rPr>
                <w:iCs/>
              </w:rPr>
              <w:t xml:space="preserve"> </w:t>
            </w:r>
            <w:r w:rsidRPr="00493401">
              <w:rPr>
                <w:iCs/>
              </w:rPr>
              <w:t>marta noteikumos Nr.205 „Noteikumi par valsts nodevu ierakstu izdarīšanai šķīrējtiesu reģistrā” svītrojot 2.5. apakšpunktu, kas nosaka valsts nodevas apmēru reģistrācijas apliecības dublikāta izsniegš</w:t>
            </w:r>
            <w:r>
              <w:rPr>
                <w:iCs/>
              </w:rPr>
              <w:t xml:space="preserve">anai, kā arī </w:t>
            </w:r>
            <w:r w:rsidRPr="00B85ED9">
              <w:rPr>
                <w:iCs/>
              </w:rPr>
              <w:t xml:space="preserve">3.punktā noteikto prasību pieteikumam pievienot </w:t>
            </w:r>
            <w:r w:rsidRPr="00B85ED9">
              <w:t xml:space="preserve">valsts nodevas samaksu apliecinošu dokumentu. </w:t>
            </w:r>
          </w:p>
          <w:p w:rsidR="00937D3A" w:rsidRPr="00493401" w:rsidRDefault="00937D3A" w:rsidP="00937D3A">
            <w:pPr>
              <w:jc w:val="both"/>
              <w:rPr>
                <w:iCs/>
              </w:rPr>
            </w:pPr>
            <w:r>
              <w:rPr>
                <w:iCs/>
              </w:rPr>
              <w:t xml:space="preserve">    14) </w:t>
            </w:r>
            <w:r w:rsidRPr="00493401">
              <w:rPr>
                <w:iCs/>
              </w:rPr>
              <w:t>Ministru kabineta 2004.</w:t>
            </w:r>
            <w:r w:rsidR="000448CF">
              <w:rPr>
                <w:iCs/>
              </w:rPr>
              <w:t xml:space="preserve"> </w:t>
            </w:r>
            <w:r w:rsidRPr="00493401">
              <w:rPr>
                <w:iCs/>
              </w:rPr>
              <w:t>gada 13.</w:t>
            </w:r>
            <w:r w:rsidR="000448CF">
              <w:rPr>
                <w:iCs/>
              </w:rPr>
              <w:t xml:space="preserve"> </w:t>
            </w:r>
            <w:r w:rsidRPr="00493401">
              <w:rPr>
                <w:iCs/>
              </w:rPr>
              <w:t>jūlija noteikumos Nr.596 „Noteikumi par valsts nodevu ierakstu izdarīšanai Eiropas ekonomisko interešu grupu reģistrā”</w:t>
            </w:r>
            <w:r w:rsidRPr="00493401">
              <w:rPr>
                <w:rFonts w:eastAsia="Times New Roman"/>
              </w:rPr>
              <w:t xml:space="preserve"> </w:t>
            </w:r>
            <w:r w:rsidRPr="00493401">
              <w:rPr>
                <w:iCs/>
              </w:rPr>
              <w:t>svītrojot 2.5. apakšpunktu, kas nosaka valsts nodevas apmēru reģistrācijas apliecības dublikāt</w:t>
            </w:r>
            <w:r>
              <w:rPr>
                <w:iCs/>
              </w:rPr>
              <w:t xml:space="preserve">a izsniegšanai, kā arī </w:t>
            </w:r>
            <w:r w:rsidRPr="00B85ED9">
              <w:rPr>
                <w:iCs/>
              </w:rPr>
              <w:t>3.</w:t>
            </w:r>
            <w:r w:rsidR="009B1BD7">
              <w:rPr>
                <w:iCs/>
              </w:rPr>
              <w:t xml:space="preserve"> </w:t>
            </w:r>
            <w:r w:rsidRPr="00B85ED9">
              <w:rPr>
                <w:iCs/>
              </w:rPr>
              <w:t xml:space="preserve">punktā noteikto prasību pieteikumam pievienot </w:t>
            </w:r>
            <w:r w:rsidRPr="00B85ED9">
              <w:t xml:space="preserve">valsts nodevas samaksu apliecinošu dokumentu. </w:t>
            </w:r>
          </w:p>
          <w:p w:rsidR="00937D3A" w:rsidRPr="00493401" w:rsidRDefault="00937D3A" w:rsidP="00937D3A">
            <w:pPr>
              <w:jc w:val="both"/>
              <w:rPr>
                <w:iCs/>
              </w:rPr>
            </w:pPr>
            <w:r>
              <w:rPr>
                <w:iCs/>
              </w:rPr>
              <w:t xml:space="preserve">    15) </w:t>
            </w:r>
            <w:r w:rsidRPr="00493401">
              <w:rPr>
                <w:iCs/>
              </w:rPr>
              <w:t>Ministru kabineta 2004.</w:t>
            </w:r>
            <w:r w:rsidR="000448CF">
              <w:rPr>
                <w:iCs/>
              </w:rPr>
              <w:t xml:space="preserve"> </w:t>
            </w:r>
            <w:r w:rsidRPr="00493401">
              <w:rPr>
                <w:iCs/>
              </w:rPr>
              <w:t>gada 15.</w:t>
            </w:r>
            <w:r w:rsidR="000448CF">
              <w:rPr>
                <w:iCs/>
              </w:rPr>
              <w:t xml:space="preserve"> </w:t>
            </w:r>
            <w:r w:rsidR="007F1809">
              <w:rPr>
                <w:iCs/>
              </w:rPr>
              <w:t>aprīļa noteikumos Nr.</w:t>
            </w:r>
            <w:r w:rsidRPr="00493401">
              <w:rPr>
                <w:iCs/>
              </w:rPr>
              <w:t>308 „Noteikumi par valsts nodevu ieraksta izdarīšanai biedrību un nodibinājumu reģistrā” nepieciešams svītrot 2.5. apakšpunktu, kas nosaka valsts nodevas apmēru reģistrācijas apliec</w:t>
            </w:r>
            <w:r>
              <w:rPr>
                <w:iCs/>
              </w:rPr>
              <w:t xml:space="preserve">ības dublikāta izsniegšanai, kā arī </w:t>
            </w:r>
            <w:r w:rsidRPr="00B85ED9">
              <w:rPr>
                <w:iCs/>
              </w:rPr>
              <w:t>3.</w:t>
            </w:r>
            <w:r w:rsidR="002729F5">
              <w:rPr>
                <w:iCs/>
              </w:rPr>
              <w:t xml:space="preserve"> </w:t>
            </w:r>
            <w:r w:rsidRPr="00B85ED9">
              <w:rPr>
                <w:iCs/>
              </w:rPr>
              <w:t xml:space="preserve">punktā noteikto prasību pieteikumam pievienot </w:t>
            </w:r>
            <w:r w:rsidRPr="00B85ED9">
              <w:t>valsts nodevas samaksu apliecinošu dokumentu</w:t>
            </w:r>
            <w:r>
              <w:rPr>
                <w:iCs/>
              </w:rPr>
              <w:t>.</w:t>
            </w:r>
          </w:p>
          <w:p w:rsidR="00937D3A" w:rsidRPr="00493401" w:rsidRDefault="00937D3A" w:rsidP="00937D3A">
            <w:pPr>
              <w:jc w:val="both"/>
              <w:rPr>
                <w:iCs/>
              </w:rPr>
            </w:pPr>
            <w:r>
              <w:rPr>
                <w:iCs/>
              </w:rPr>
              <w:lastRenderedPageBreak/>
              <w:t xml:space="preserve">    16) </w:t>
            </w:r>
            <w:r w:rsidRPr="00493401">
              <w:rPr>
                <w:iCs/>
              </w:rPr>
              <w:t>Ministru kabineta 2005.</w:t>
            </w:r>
            <w:r w:rsidR="000448CF">
              <w:rPr>
                <w:iCs/>
              </w:rPr>
              <w:t xml:space="preserve"> </w:t>
            </w:r>
            <w:r w:rsidRPr="00493401">
              <w:rPr>
                <w:iCs/>
              </w:rPr>
              <w:t>gada 24.</w:t>
            </w:r>
            <w:r w:rsidR="000448CF">
              <w:rPr>
                <w:iCs/>
              </w:rPr>
              <w:t xml:space="preserve"> </w:t>
            </w:r>
            <w:r w:rsidRPr="00493401">
              <w:rPr>
                <w:iCs/>
              </w:rPr>
              <w:t>maija noteikumu Nr.360 „Noteikumi par Uzņēmumu reģistra sniegtajiem maksas pakalpojumiem” pielikumā nepieciešams noteikt maksas pakalpojumu apmēru Uzņēmumu reģistra vestajos reģistros reģistrēta tiesību subjekta reģistrācijas apliecības (dublikāta) izsniegšanu.</w:t>
            </w:r>
            <w:r>
              <w:rPr>
                <w:iCs/>
              </w:rPr>
              <w:t xml:space="preserve"> </w:t>
            </w:r>
          </w:p>
          <w:p w:rsidR="00937D3A" w:rsidRPr="00493401" w:rsidRDefault="00937D3A" w:rsidP="00937D3A">
            <w:pPr>
              <w:jc w:val="both"/>
            </w:pPr>
            <w:r>
              <w:t xml:space="preserve">    </w:t>
            </w:r>
            <w:r w:rsidRPr="00493401">
              <w:t>Par minēto grozījumu izstrādi atbildīga ir Tieslietu ministrija.</w:t>
            </w:r>
          </w:p>
        </w:tc>
      </w:tr>
      <w:tr w:rsidR="00937D3A" w:rsidRPr="00861555" w:rsidTr="00937D3A">
        <w:tc>
          <w:tcPr>
            <w:tcW w:w="477" w:type="dxa"/>
          </w:tcPr>
          <w:p w:rsidR="00937D3A" w:rsidRPr="00B57444" w:rsidRDefault="00937D3A" w:rsidP="00937D3A">
            <w:pPr>
              <w:pStyle w:val="naislab"/>
              <w:spacing w:before="0" w:after="0"/>
              <w:jc w:val="center"/>
              <w:outlineLvl w:val="0"/>
            </w:pPr>
            <w:r>
              <w:lastRenderedPageBreak/>
              <w:t>2.</w:t>
            </w:r>
          </w:p>
        </w:tc>
        <w:tc>
          <w:tcPr>
            <w:tcW w:w="2500" w:type="dxa"/>
          </w:tcPr>
          <w:p w:rsidR="00937D3A" w:rsidRPr="00B57444" w:rsidRDefault="00937D3A" w:rsidP="00937D3A">
            <w:pPr>
              <w:pStyle w:val="naislab"/>
              <w:spacing w:before="0" w:after="0"/>
              <w:jc w:val="both"/>
              <w:outlineLvl w:val="0"/>
            </w:pPr>
            <w:r w:rsidRPr="005640C4">
              <w:rPr>
                <w:iCs/>
              </w:rPr>
              <w:t>Cita informācija</w:t>
            </w:r>
          </w:p>
        </w:tc>
        <w:tc>
          <w:tcPr>
            <w:tcW w:w="6095" w:type="dxa"/>
          </w:tcPr>
          <w:p w:rsidR="00FA38EA" w:rsidRDefault="00937D3A" w:rsidP="00937D3A">
            <w:pPr>
              <w:pStyle w:val="naislab"/>
              <w:spacing w:before="0" w:after="0"/>
              <w:jc w:val="both"/>
              <w:outlineLvl w:val="0"/>
            </w:pPr>
            <w:r>
              <w:t>Nav</w:t>
            </w:r>
          </w:p>
          <w:p w:rsidR="00886824" w:rsidRDefault="00886824" w:rsidP="00937D3A">
            <w:pPr>
              <w:pStyle w:val="naislab"/>
              <w:spacing w:before="0" w:after="0"/>
              <w:jc w:val="both"/>
              <w:outlineLvl w:val="0"/>
            </w:pPr>
          </w:p>
        </w:tc>
      </w:tr>
    </w:tbl>
    <w:p w:rsidR="00CD7DDD" w:rsidRPr="00B57444" w:rsidRDefault="00CD7DDD" w:rsidP="00E239A7">
      <w:pPr>
        <w:pStyle w:val="naisf"/>
        <w:spacing w:before="0" w:after="0"/>
        <w:ind w:firstLine="0"/>
        <w:rPr>
          <w:i/>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239A7" w:rsidRPr="00B57444" w:rsidTr="00FE5794">
        <w:tc>
          <w:tcPr>
            <w:tcW w:w="9072" w:type="dxa"/>
          </w:tcPr>
          <w:p w:rsidR="00E239A7" w:rsidRPr="00B57444" w:rsidRDefault="00E239A7" w:rsidP="00990405">
            <w:pPr>
              <w:pStyle w:val="naisf"/>
              <w:spacing w:before="0" w:after="0"/>
              <w:ind w:firstLine="0"/>
              <w:jc w:val="center"/>
              <w:rPr>
                <w:b/>
              </w:rPr>
            </w:pPr>
            <w:r w:rsidRPr="00B57444">
              <w:rPr>
                <w:b/>
              </w:rPr>
              <w:t>V. Tiesību akta projekta atbilstība Latvijas Republikas starptautiskajām saistībām</w:t>
            </w:r>
          </w:p>
        </w:tc>
      </w:tr>
      <w:tr w:rsidR="00E239A7" w:rsidRPr="00B57444" w:rsidTr="00FE5794">
        <w:tc>
          <w:tcPr>
            <w:tcW w:w="9072" w:type="dxa"/>
          </w:tcPr>
          <w:p w:rsidR="00E239A7" w:rsidRPr="00B57444" w:rsidRDefault="00E239A7" w:rsidP="00990405">
            <w:pPr>
              <w:pStyle w:val="naisf"/>
              <w:spacing w:before="0" w:after="0"/>
              <w:jc w:val="center"/>
              <w:rPr>
                <w:b/>
                <w:bCs/>
                <w:iCs/>
              </w:rPr>
            </w:pPr>
            <w:r w:rsidRPr="00B57444">
              <w:rPr>
                <w:rFonts w:eastAsia="Times New Roman"/>
              </w:rPr>
              <w:t>Likumprojekts šo jomu neskar</w:t>
            </w:r>
          </w:p>
        </w:tc>
      </w:tr>
    </w:tbl>
    <w:p w:rsidR="00CD7DDD" w:rsidRPr="00B57444" w:rsidRDefault="00CD7DDD" w:rsidP="002F290D">
      <w:pPr>
        <w:rPr>
          <w:i/>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2834"/>
        <w:gridCol w:w="5811"/>
      </w:tblGrid>
      <w:tr w:rsidR="00E239A7" w:rsidRPr="00B57444" w:rsidTr="00FE5794">
        <w:tc>
          <w:tcPr>
            <w:tcW w:w="9072" w:type="dxa"/>
            <w:gridSpan w:val="3"/>
          </w:tcPr>
          <w:p w:rsidR="00E239A7" w:rsidRPr="00B57444" w:rsidRDefault="00E239A7" w:rsidP="00990405">
            <w:pPr>
              <w:jc w:val="center"/>
              <w:rPr>
                <w:b/>
                <w:bCs/>
              </w:rPr>
            </w:pPr>
            <w:r w:rsidRPr="00B57444">
              <w:rPr>
                <w:b/>
                <w:bCs/>
              </w:rPr>
              <w:t>VI. Sabiedrības līdzdalība un šīs līdzdalības rezultāti</w:t>
            </w:r>
          </w:p>
        </w:tc>
      </w:tr>
      <w:tr w:rsidR="00E239A7" w:rsidRPr="00B57444" w:rsidTr="00DF6020">
        <w:tc>
          <w:tcPr>
            <w:tcW w:w="427" w:type="dxa"/>
          </w:tcPr>
          <w:p w:rsidR="00E239A7" w:rsidRPr="00B57444" w:rsidRDefault="00E239A7" w:rsidP="00E239A7">
            <w:pPr>
              <w:rPr>
                <w:iCs/>
              </w:rPr>
            </w:pPr>
            <w:r w:rsidRPr="00B57444">
              <w:rPr>
                <w:iCs/>
              </w:rPr>
              <w:t>1.</w:t>
            </w:r>
          </w:p>
        </w:tc>
        <w:tc>
          <w:tcPr>
            <w:tcW w:w="2834" w:type="dxa"/>
          </w:tcPr>
          <w:p w:rsidR="00E239A7" w:rsidRPr="00B57444" w:rsidRDefault="00E239A7" w:rsidP="00990405">
            <w:pPr>
              <w:jc w:val="both"/>
            </w:pPr>
            <w:r w:rsidRPr="00B57444">
              <w:t>Sabiedrības informēšana par projekta izstrādes uzsākšanu</w:t>
            </w:r>
          </w:p>
        </w:tc>
        <w:tc>
          <w:tcPr>
            <w:tcW w:w="5811" w:type="dxa"/>
          </w:tcPr>
          <w:p w:rsidR="00E239A7" w:rsidRPr="00B57444" w:rsidRDefault="00D54F5C" w:rsidP="00B57444">
            <w:pPr>
              <w:jc w:val="both"/>
            </w:pPr>
            <w:r w:rsidRPr="00D54F5C">
              <w:t>Projekts šo jomu neskar</w:t>
            </w:r>
          </w:p>
        </w:tc>
      </w:tr>
      <w:tr w:rsidR="00E239A7" w:rsidRPr="00B57444" w:rsidTr="00DF6020">
        <w:tc>
          <w:tcPr>
            <w:tcW w:w="427" w:type="dxa"/>
          </w:tcPr>
          <w:p w:rsidR="00E239A7" w:rsidRPr="00B57444" w:rsidRDefault="00E239A7" w:rsidP="00E239A7">
            <w:pPr>
              <w:rPr>
                <w:iCs/>
              </w:rPr>
            </w:pPr>
            <w:r w:rsidRPr="00B57444">
              <w:rPr>
                <w:iCs/>
              </w:rPr>
              <w:t>2.</w:t>
            </w:r>
          </w:p>
        </w:tc>
        <w:tc>
          <w:tcPr>
            <w:tcW w:w="2834" w:type="dxa"/>
          </w:tcPr>
          <w:p w:rsidR="00E239A7" w:rsidRPr="00B57444" w:rsidRDefault="00E239A7" w:rsidP="00990405">
            <w:pPr>
              <w:jc w:val="both"/>
            </w:pPr>
            <w:r w:rsidRPr="00B57444">
              <w:t>Sabiedrības līdzdalība projekta izstrādē</w:t>
            </w:r>
          </w:p>
        </w:tc>
        <w:tc>
          <w:tcPr>
            <w:tcW w:w="5811" w:type="dxa"/>
          </w:tcPr>
          <w:p w:rsidR="00E239A7" w:rsidRPr="00B57444" w:rsidRDefault="00D54F5C" w:rsidP="00990405">
            <w:pPr>
              <w:jc w:val="both"/>
            </w:pPr>
            <w:r w:rsidRPr="00D54F5C">
              <w:t>Projekts šo jomu neskar</w:t>
            </w:r>
          </w:p>
        </w:tc>
      </w:tr>
      <w:tr w:rsidR="00E239A7" w:rsidRPr="00B57444" w:rsidTr="00DF6020">
        <w:tc>
          <w:tcPr>
            <w:tcW w:w="427" w:type="dxa"/>
          </w:tcPr>
          <w:p w:rsidR="00E239A7" w:rsidRPr="00B57444" w:rsidRDefault="00E239A7" w:rsidP="00E239A7">
            <w:pPr>
              <w:rPr>
                <w:iCs/>
              </w:rPr>
            </w:pPr>
            <w:r w:rsidRPr="00B57444">
              <w:rPr>
                <w:iCs/>
              </w:rPr>
              <w:t>3.</w:t>
            </w:r>
          </w:p>
        </w:tc>
        <w:tc>
          <w:tcPr>
            <w:tcW w:w="2834" w:type="dxa"/>
          </w:tcPr>
          <w:p w:rsidR="00E239A7" w:rsidRPr="00B57444" w:rsidRDefault="00E239A7" w:rsidP="00990405">
            <w:pPr>
              <w:jc w:val="both"/>
            </w:pPr>
            <w:r w:rsidRPr="00B57444">
              <w:t>Sabiedrības līdzdalības rezultāti</w:t>
            </w:r>
          </w:p>
        </w:tc>
        <w:tc>
          <w:tcPr>
            <w:tcW w:w="5811" w:type="dxa"/>
          </w:tcPr>
          <w:p w:rsidR="00E239A7" w:rsidRPr="00B57444" w:rsidRDefault="00D54F5C" w:rsidP="00B57444">
            <w:pPr>
              <w:pStyle w:val="naiskr"/>
              <w:spacing w:before="0" w:after="0"/>
              <w:jc w:val="both"/>
            </w:pPr>
            <w:r w:rsidRPr="00D54F5C">
              <w:t>Projekts šo jomu neskar</w:t>
            </w:r>
          </w:p>
        </w:tc>
      </w:tr>
      <w:tr w:rsidR="00643701" w:rsidRPr="00B57444" w:rsidTr="00DF6020">
        <w:tc>
          <w:tcPr>
            <w:tcW w:w="427" w:type="dxa"/>
          </w:tcPr>
          <w:p w:rsidR="00643701" w:rsidRPr="00B57444" w:rsidRDefault="00643701" w:rsidP="00DF6020">
            <w:pPr>
              <w:rPr>
                <w:iCs/>
              </w:rPr>
            </w:pPr>
            <w:r w:rsidRPr="00B57444">
              <w:rPr>
                <w:iCs/>
              </w:rPr>
              <w:t>4.</w:t>
            </w:r>
          </w:p>
        </w:tc>
        <w:tc>
          <w:tcPr>
            <w:tcW w:w="2834" w:type="dxa"/>
          </w:tcPr>
          <w:p w:rsidR="00643701" w:rsidRPr="00B57444" w:rsidRDefault="00643701" w:rsidP="00DF6020">
            <w:pPr>
              <w:jc w:val="both"/>
            </w:pPr>
            <w:r w:rsidRPr="00B57444">
              <w:t>Saeimas un ekspertu līdzdalība</w:t>
            </w:r>
          </w:p>
        </w:tc>
        <w:tc>
          <w:tcPr>
            <w:tcW w:w="5811" w:type="dxa"/>
          </w:tcPr>
          <w:p w:rsidR="00643701" w:rsidRPr="00AD5121" w:rsidRDefault="00D54F5C" w:rsidP="00DF6020">
            <w:pPr>
              <w:jc w:val="both"/>
            </w:pPr>
            <w:r w:rsidRPr="00D54F5C">
              <w:t>Projekts šo jomu neskar</w:t>
            </w:r>
          </w:p>
        </w:tc>
      </w:tr>
      <w:tr w:rsidR="00643701" w:rsidRPr="00B57444" w:rsidTr="00DF6020">
        <w:tc>
          <w:tcPr>
            <w:tcW w:w="427" w:type="dxa"/>
          </w:tcPr>
          <w:p w:rsidR="00643701" w:rsidRPr="00B57444" w:rsidRDefault="00643701" w:rsidP="00DF6020">
            <w:pPr>
              <w:rPr>
                <w:iCs/>
              </w:rPr>
            </w:pPr>
            <w:r w:rsidRPr="00B57444">
              <w:rPr>
                <w:iCs/>
              </w:rPr>
              <w:t>5.</w:t>
            </w:r>
          </w:p>
        </w:tc>
        <w:tc>
          <w:tcPr>
            <w:tcW w:w="2834" w:type="dxa"/>
          </w:tcPr>
          <w:p w:rsidR="00643701" w:rsidRPr="00B57444" w:rsidRDefault="00643701" w:rsidP="00DF6020">
            <w:pPr>
              <w:jc w:val="both"/>
            </w:pPr>
            <w:r w:rsidRPr="00B57444">
              <w:t>Cita informācija</w:t>
            </w:r>
          </w:p>
        </w:tc>
        <w:tc>
          <w:tcPr>
            <w:tcW w:w="5811" w:type="dxa"/>
          </w:tcPr>
          <w:p w:rsidR="00FA38EA" w:rsidRDefault="00643701" w:rsidP="00DF6020">
            <w:pPr>
              <w:jc w:val="both"/>
            </w:pPr>
            <w:r w:rsidRPr="00B57444">
              <w:t>Nav</w:t>
            </w:r>
          </w:p>
          <w:p w:rsidR="00886824" w:rsidRPr="00B57444" w:rsidRDefault="00886824" w:rsidP="00DF6020">
            <w:pPr>
              <w:jc w:val="both"/>
            </w:pPr>
          </w:p>
        </w:tc>
      </w:tr>
    </w:tbl>
    <w:p w:rsidR="00E239A7" w:rsidRPr="00B57444" w:rsidRDefault="00E239A7" w:rsidP="00DF6020"/>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3118"/>
        <w:gridCol w:w="5528"/>
      </w:tblGrid>
      <w:tr w:rsidR="002669B3" w:rsidRPr="00B57444" w:rsidTr="00FE5794">
        <w:tc>
          <w:tcPr>
            <w:tcW w:w="9072" w:type="dxa"/>
            <w:gridSpan w:val="3"/>
            <w:tcBorders>
              <w:top w:val="single" w:sz="4" w:space="0" w:color="auto"/>
            </w:tcBorders>
          </w:tcPr>
          <w:p w:rsidR="002669B3" w:rsidRPr="00B57444" w:rsidRDefault="002669B3" w:rsidP="00DF6020">
            <w:pPr>
              <w:pStyle w:val="naisnod"/>
              <w:spacing w:before="0" w:after="0"/>
            </w:pPr>
            <w:r w:rsidRPr="00B57444">
              <w:t>VII. Tiesību akta projekta izpildes nodrošināšana un tās ietekme uz institūcijām</w:t>
            </w:r>
          </w:p>
        </w:tc>
      </w:tr>
      <w:tr w:rsidR="002669B3" w:rsidRPr="00B57444" w:rsidTr="00FE5794">
        <w:trPr>
          <w:trHeight w:val="427"/>
        </w:trPr>
        <w:tc>
          <w:tcPr>
            <w:tcW w:w="426" w:type="dxa"/>
          </w:tcPr>
          <w:p w:rsidR="002669B3" w:rsidRPr="00B57444" w:rsidRDefault="002669B3" w:rsidP="00DF6020">
            <w:pPr>
              <w:pStyle w:val="naisnod"/>
              <w:spacing w:before="0" w:after="0"/>
              <w:rPr>
                <w:b w:val="0"/>
              </w:rPr>
            </w:pPr>
            <w:r w:rsidRPr="00B57444">
              <w:rPr>
                <w:b w:val="0"/>
              </w:rPr>
              <w:t>1.</w:t>
            </w:r>
          </w:p>
        </w:tc>
        <w:tc>
          <w:tcPr>
            <w:tcW w:w="3118" w:type="dxa"/>
          </w:tcPr>
          <w:p w:rsidR="002669B3" w:rsidRPr="00B57444" w:rsidRDefault="002669B3" w:rsidP="00DF6020">
            <w:pPr>
              <w:pStyle w:val="naisf"/>
              <w:spacing w:before="0" w:after="0"/>
              <w:ind w:firstLine="0"/>
              <w:jc w:val="left"/>
            </w:pPr>
            <w:r w:rsidRPr="00B57444">
              <w:t xml:space="preserve">Projekta izpildē iesaistītās institūcijas </w:t>
            </w:r>
          </w:p>
        </w:tc>
        <w:tc>
          <w:tcPr>
            <w:tcW w:w="5528" w:type="dxa"/>
          </w:tcPr>
          <w:p w:rsidR="002669B3" w:rsidRDefault="007E7213" w:rsidP="00DF6020">
            <w:pPr>
              <w:pStyle w:val="naisnod"/>
              <w:spacing w:before="0" w:after="0"/>
              <w:jc w:val="left"/>
              <w:rPr>
                <w:b w:val="0"/>
                <w:iCs/>
              </w:rPr>
            </w:pPr>
            <w:r>
              <w:rPr>
                <w:b w:val="0"/>
                <w:iCs/>
              </w:rPr>
              <w:t xml:space="preserve">   </w:t>
            </w:r>
            <w:r w:rsidR="002669B3" w:rsidRPr="00B57444">
              <w:rPr>
                <w:b w:val="0"/>
                <w:iCs/>
              </w:rPr>
              <w:t>Uzņēmumu reģistrs</w:t>
            </w:r>
          </w:p>
          <w:p w:rsidR="00C152F9" w:rsidRPr="00B57444" w:rsidRDefault="00C152F9" w:rsidP="00DF6020">
            <w:pPr>
              <w:pStyle w:val="naisnod"/>
              <w:spacing w:before="0" w:after="0"/>
              <w:jc w:val="left"/>
              <w:rPr>
                <w:b w:val="0"/>
              </w:rPr>
            </w:pPr>
          </w:p>
        </w:tc>
      </w:tr>
      <w:tr w:rsidR="00DF6020" w:rsidRPr="00B57444" w:rsidTr="00FE5794">
        <w:trPr>
          <w:trHeight w:val="463"/>
        </w:trPr>
        <w:tc>
          <w:tcPr>
            <w:tcW w:w="426" w:type="dxa"/>
          </w:tcPr>
          <w:p w:rsidR="00DF6020" w:rsidRPr="00B57444" w:rsidRDefault="00DF6020" w:rsidP="00DF6020">
            <w:pPr>
              <w:pStyle w:val="naisnod"/>
              <w:spacing w:before="0" w:after="0"/>
              <w:rPr>
                <w:b w:val="0"/>
              </w:rPr>
            </w:pPr>
            <w:r w:rsidRPr="00B57444">
              <w:rPr>
                <w:b w:val="0"/>
              </w:rPr>
              <w:t>2.</w:t>
            </w:r>
          </w:p>
        </w:tc>
        <w:tc>
          <w:tcPr>
            <w:tcW w:w="3118" w:type="dxa"/>
          </w:tcPr>
          <w:p w:rsidR="00DF6020" w:rsidRPr="00B57444" w:rsidRDefault="00DF6020" w:rsidP="00DF6020">
            <w:pPr>
              <w:pStyle w:val="naisf"/>
              <w:spacing w:before="0" w:after="0"/>
              <w:ind w:firstLine="0"/>
              <w:jc w:val="left"/>
            </w:pPr>
            <w:r w:rsidRPr="00B57444">
              <w:t xml:space="preserve">Projekta izpildes ietekme uz pārvaldes funkcijām </w:t>
            </w:r>
          </w:p>
        </w:tc>
        <w:tc>
          <w:tcPr>
            <w:tcW w:w="5528" w:type="dxa"/>
          </w:tcPr>
          <w:p w:rsidR="00DF6020" w:rsidRPr="0013543C" w:rsidRDefault="00DF6020" w:rsidP="00DF6020">
            <w:pPr>
              <w:pStyle w:val="Paraststmeklis"/>
              <w:spacing w:before="0" w:after="0"/>
              <w:rPr>
                <w:sz w:val="24"/>
                <w:szCs w:val="24"/>
              </w:rPr>
            </w:pPr>
            <w:r w:rsidRPr="0013543C">
              <w:rPr>
                <w:sz w:val="24"/>
                <w:szCs w:val="24"/>
              </w:rPr>
              <w:t xml:space="preserve">  </w:t>
            </w:r>
            <w:r w:rsidR="007E7213">
              <w:rPr>
                <w:sz w:val="24"/>
                <w:szCs w:val="24"/>
              </w:rPr>
              <w:t xml:space="preserve"> </w:t>
            </w:r>
            <w:r>
              <w:rPr>
                <w:sz w:val="24"/>
                <w:szCs w:val="24"/>
              </w:rPr>
              <w:t xml:space="preserve">Likumprojekta </w:t>
            </w:r>
            <w:r w:rsidRPr="0013543C">
              <w:rPr>
                <w:sz w:val="24"/>
                <w:szCs w:val="24"/>
              </w:rPr>
              <w:t xml:space="preserve">izpilde ietekmē Uzņēmumu reģistra funkciju apjomu. Turpmāk Uzņēmumu reģistra vestajos reģistros reģistrēto tiesību subjektu reģistrācijas apliecība vai tās dublikāts tiks izsniegta tikai pēc personas </w:t>
            </w:r>
            <w:r>
              <w:rPr>
                <w:sz w:val="24"/>
                <w:szCs w:val="24"/>
              </w:rPr>
              <w:t xml:space="preserve">rakstveida </w:t>
            </w:r>
            <w:r w:rsidRPr="0013543C">
              <w:rPr>
                <w:sz w:val="24"/>
                <w:szCs w:val="24"/>
              </w:rPr>
              <w:t>pieprasījuma par maksu par pakalpojumu</w:t>
            </w:r>
          </w:p>
        </w:tc>
      </w:tr>
      <w:tr w:rsidR="00DF6020" w:rsidRPr="00B57444" w:rsidTr="00FE5794">
        <w:trPr>
          <w:trHeight w:val="725"/>
        </w:trPr>
        <w:tc>
          <w:tcPr>
            <w:tcW w:w="426" w:type="dxa"/>
          </w:tcPr>
          <w:p w:rsidR="00DF6020" w:rsidRPr="00B57444" w:rsidRDefault="00DF6020" w:rsidP="00DF6020">
            <w:pPr>
              <w:pStyle w:val="naisnod"/>
              <w:spacing w:before="0" w:after="0"/>
              <w:rPr>
                <w:b w:val="0"/>
              </w:rPr>
            </w:pPr>
            <w:r w:rsidRPr="00B57444">
              <w:rPr>
                <w:b w:val="0"/>
              </w:rPr>
              <w:t>3.</w:t>
            </w:r>
          </w:p>
        </w:tc>
        <w:tc>
          <w:tcPr>
            <w:tcW w:w="3118" w:type="dxa"/>
          </w:tcPr>
          <w:p w:rsidR="00DF6020" w:rsidRPr="00B57444" w:rsidRDefault="00DF6020" w:rsidP="00DF6020">
            <w:pPr>
              <w:pStyle w:val="naisf"/>
              <w:spacing w:before="0" w:after="0"/>
              <w:ind w:firstLine="0"/>
              <w:jc w:val="left"/>
            </w:pPr>
            <w:r w:rsidRPr="00B57444">
              <w:t>Projekta izpildes ietekme uz pārvaldes institucionālo struktūru.</w:t>
            </w:r>
          </w:p>
          <w:p w:rsidR="00DF6020" w:rsidRPr="00B57444" w:rsidRDefault="00DF6020" w:rsidP="00DF6020">
            <w:pPr>
              <w:pStyle w:val="naisf"/>
              <w:spacing w:before="0" w:after="0"/>
              <w:ind w:firstLine="0"/>
              <w:jc w:val="left"/>
            </w:pPr>
            <w:r w:rsidRPr="00B57444">
              <w:t>Jaunu institūciju izveide</w:t>
            </w:r>
          </w:p>
        </w:tc>
        <w:tc>
          <w:tcPr>
            <w:tcW w:w="5528" w:type="dxa"/>
          </w:tcPr>
          <w:p w:rsidR="00DF6020" w:rsidRPr="00B57444" w:rsidRDefault="007E7213" w:rsidP="001E2EBC">
            <w:pPr>
              <w:pStyle w:val="naisnod"/>
              <w:spacing w:before="0" w:after="0"/>
              <w:jc w:val="both"/>
              <w:rPr>
                <w:b w:val="0"/>
              </w:rPr>
            </w:pPr>
            <w:r>
              <w:rPr>
                <w:rFonts w:eastAsia="Times New Roman"/>
                <w:b w:val="0"/>
                <w:bCs w:val="0"/>
              </w:rPr>
              <w:t xml:space="preserve">    </w:t>
            </w:r>
            <w:r w:rsidR="00DF6020" w:rsidRPr="00B57444">
              <w:rPr>
                <w:rFonts w:eastAsia="Times New Roman"/>
                <w:b w:val="0"/>
                <w:bCs w:val="0"/>
              </w:rPr>
              <w:t>Nav nepieciešams veidot jaunas institūcijas, jo tā izpilde tiks nodrošināta esošo institūciju līdzšinējo funkciju ietvaros.</w:t>
            </w:r>
          </w:p>
        </w:tc>
      </w:tr>
      <w:tr w:rsidR="00DF6020" w:rsidRPr="00B57444" w:rsidTr="00FE5794">
        <w:trPr>
          <w:trHeight w:val="780"/>
        </w:trPr>
        <w:tc>
          <w:tcPr>
            <w:tcW w:w="426" w:type="dxa"/>
          </w:tcPr>
          <w:p w:rsidR="00DF6020" w:rsidRPr="00B57444" w:rsidRDefault="00DF6020" w:rsidP="0069176D">
            <w:pPr>
              <w:pStyle w:val="naisnod"/>
              <w:spacing w:before="0" w:after="0"/>
              <w:ind w:left="57" w:right="57"/>
              <w:jc w:val="left"/>
              <w:rPr>
                <w:b w:val="0"/>
              </w:rPr>
            </w:pPr>
            <w:r w:rsidRPr="00B57444">
              <w:rPr>
                <w:b w:val="0"/>
              </w:rPr>
              <w:t>4.</w:t>
            </w:r>
          </w:p>
        </w:tc>
        <w:tc>
          <w:tcPr>
            <w:tcW w:w="3118" w:type="dxa"/>
          </w:tcPr>
          <w:p w:rsidR="00DF6020" w:rsidRPr="00B57444" w:rsidRDefault="00DF6020" w:rsidP="00DF6020">
            <w:pPr>
              <w:pStyle w:val="naisf"/>
              <w:spacing w:before="0" w:after="0"/>
              <w:ind w:firstLine="0"/>
              <w:jc w:val="left"/>
            </w:pPr>
            <w:r w:rsidRPr="00B57444">
              <w:t>Projekta izpildes ietekme uz pārvaldes institucionālo struktūru.</w:t>
            </w:r>
          </w:p>
          <w:p w:rsidR="00DF6020" w:rsidRPr="00B57444" w:rsidRDefault="00DF6020" w:rsidP="00DF6020">
            <w:pPr>
              <w:pStyle w:val="naisf"/>
              <w:spacing w:before="0" w:after="0"/>
              <w:ind w:firstLine="0"/>
              <w:jc w:val="left"/>
            </w:pPr>
            <w:r w:rsidRPr="00B57444">
              <w:t>Esošu institūciju likvidācija</w:t>
            </w:r>
          </w:p>
        </w:tc>
        <w:tc>
          <w:tcPr>
            <w:tcW w:w="5528" w:type="dxa"/>
          </w:tcPr>
          <w:p w:rsidR="00DF6020" w:rsidRPr="00B57444" w:rsidRDefault="00DF6020" w:rsidP="00DF6020">
            <w:pPr>
              <w:jc w:val="both"/>
            </w:pPr>
            <w:r w:rsidRPr="00B57444">
              <w:t xml:space="preserve">  </w:t>
            </w:r>
            <w:r w:rsidR="007E7213">
              <w:t xml:space="preserve">  </w:t>
            </w:r>
            <w:r w:rsidRPr="00B57444">
              <w:t>Likumprojekta izpildei nav nepieciešams likvidēt esošās institūcijas.</w:t>
            </w:r>
          </w:p>
        </w:tc>
      </w:tr>
      <w:tr w:rsidR="00DF6020" w:rsidRPr="00B57444" w:rsidTr="00FE5794">
        <w:trPr>
          <w:trHeight w:val="703"/>
        </w:trPr>
        <w:tc>
          <w:tcPr>
            <w:tcW w:w="426" w:type="dxa"/>
          </w:tcPr>
          <w:p w:rsidR="00DF6020" w:rsidRPr="00B57444" w:rsidRDefault="00DF6020" w:rsidP="0069176D">
            <w:pPr>
              <w:pStyle w:val="naisnod"/>
              <w:spacing w:before="0" w:after="0"/>
              <w:ind w:left="57" w:right="57"/>
              <w:jc w:val="left"/>
              <w:rPr>
                <w:b w:val="0"/>
              </w:rPr>
            </w:pPr>
            <w:r w:rsidRPr="00B57444">
              <w:rPr>
                <w:b w:val="0"/>
              </w:rPr>
              <w:lastRenderedPageBreak/>
              <w:t>5.</w:t>
            </w:r>
          </w:p>
        </w:tc>
        <w:tc>
          <w:tcPr>
            <w:tcW w:w="3118" w:type="dxa"/>
          </w:tcPr>
          <w:p w:rsidR="00DF6020" w:rsidRPr="00B57444" w:rsidRDefault="00DF6020" w:rsidP="00DF6020">
            <w:pPr>
              <w:pStyle w:val="naisf"/>
              <w:spacing w:before="0" w:after="0"/>
              <w:ind w:firstLine="0"/>
              <w:jc w:val="left"/>
            </w:pPr>
            <w:r w:rsidRPr="00B57444">
              <w:t>Projekta izpildes ietekme uz pārvaldes institucionālo struktūru.</w:t>
            </w:r>
          </w:p>
          <w:p w:rsidR="00DF6020" w:rsidRPr="00B57444" w:rsidRDefault="00DF6020" w:rsidP="00DF6020">
            <w:pPr>
              <w:pStyle w:val="naisf"/>
              <w:spacing w:before="0" w:after="0"/>
              <w:ind w:firstLine="0"/>
              <w:jc w:val="left"/>
            </w:pPr>
            <w:r w:rsidRPr="00B57444">
              <w:t>Esošu institūciju reorganizācija</w:t>
            </w:r>
          </w:p>
        </w:tc>
        <w:tc>
          <w:tcPr>
            <w:tcW w:w="5528" w:type="dxa"/>
          </w:tcPr>
          <w:p w:rsidR="00DF6020" w:rsidRPr="00B57444" w:rsidRDefault="00DF6020" w:rsidP="00DF6020">
            <w:pPr>
              <w:jc w:val="both"/>
            </w:pPr>
            <w:r w:rsidRPr="00B57444">
              <w:t xml:space="preserve"> </w:t>
            </w:r>
            <w:r w:rsidR="007E7213">
              <w:t xml:space="preserve">  </w:t>
            </w:r>
            <w:r w:rsidRPr="00B57444">
              <w:t xml:space="preserve"> Likumprojekta izpildes rezultātā nav plānots reorganizēt vai apvienot jau esošās institūcijas.</w:t>
            </w:r>
          </w:p>
        </w:tc>
      </w:tr>
      <w:tr w:rsidR="00DF6020" w:rsidRPr="00B57444" w:rsidTr="00FE5794">
        <w:trPr>
          <w:trHeight w:val="347"/>
        </w:trPr>
        <w:tc>
          <w:tcPr>
            <w:tcW w:w="426" w:type="dxa"/>
          </w:tcPr>
          <w:p w:rsidR="00DF6020" w:rsidRPr="00B57444" w:rsidRDefault="00DF6020" w:rsidP="0069176D">
            <w:pPr>
              <w:pStyle w:val="naiskr"/>
              <w:spacing w:before="0" w:after="0"/>
              <w:ind w:left="57" w:right="57"/>
            </w:pPr>
            <w:r w:rsidRPr="00B57444">
              <w:t>6.</w:t>
            </w:r>
          </w:p>
        </w:tc>
        <w:tc>
          <w:tcPr>
            <w:tcW w:w="3118" w:type="dxa"/>
          </w:tcPr>
          <w:p w:rsidR="00DF6020" w:rsidRPr="00B57444" w:rsidRDefault="00DF6020" w:rsidP="00DF6020">
            <w:pPr>
              <w:pStyle w:val="naiskr"/>
              <w:spacing w:before="0" w:after="0"/>
            </w:pPr>
            <w:r w:rsidRPr="00B57444">
              <w:t>Cita informācija</w:t>
            </w:r>
          </w:p>
        </w:tc>
        <w:tc>
          <w:tcPr>
            <w:tcW w:w="5528" w:type="dxa"/>
          </w:tcPr>
          <w:p w:rsidR="00DF6020" w:rsidRPr="00B57444" w:rsidRDefault="007E7213" w:rsidP="00DF6020">
            <w:pPr>
              <w:pStyle w:val="naiskr"/>
              <w:spacing w:before="0" w:after="0"/>
            </w:pPr>
            <w:r>
              <w:t xml:space="preserve">    </w:t>
            </w:r>
            <w:r w:rsidR="00DF6020" w:rsidRPr="00B57444">
              <w:t>Nav</w:t>
            </w:r>
          </w:p>
        </w:tc>
      </w:tr>
    </w:tbl>
    <w:p w:rsidR="00C84E6B" w:rsidRDefault="00C84E6B" w:rsidP="00990405">
      <w:pPr>
        <w:rPr>
          <w:rFonts w:eastAsia="Times New Roman"/>
        </w:rPr>
      </w:pPr>
    </w:p>
    <w:p w:rsidR="00886824" w:rsidRDefault="00886824" w:rsidP="00990405">
      <w:pPr>
        <w:rPr>
          <w:rFonts w:eastAsia="Times New Roman"/>
        </w:rPr>
      </w:pPr>
    </w:p>
    <w:p w:rsidR="00990405" w:rsidRPr="00B57444" w:rsidRDefault="00990405" w:rsidP="00990405">
      <w:pPr>
        <w:rPr>
          <w:rFonts w:eastAsia="Times New Roman"/>
        </w:rPr>
      </w:pPr>
      <w:r w:rsidRPr="00B57444">
        <w:rPr>
          <w:rFonts w:eastAsia="Times New Roman"/>
        </w:rPr>
        <w:t>Tieslietu ministrs</w:t>
      </w:r>
      <w:r w:rsidRPr="00B57444">
        <w:rPr>
          <w:rFonts w:eastAsia="Times New Roman"/>
        </w:rPr>
        <w:tab/>
      </w:r>
      <w:r w:rsidRPr="00B57444">
        <w:rPr>
          <w:rFonts w:eastAsia="Times New Roman"/>
        </w:rPr>
        <w:tab/>
      </w:r>
      <w:r w:rsidRPr="00B57444">
        <w:rPr>
          <w:rFonts w:eastAsia="Times New Roman"/>
        </w:rPr>
        <w:tab/>
      </w:r>
      <w:r w:rsidRPr="00B57444">
        <w:rPr>
          <w:rFonts w:eastAsia="Times New Roman"/>
        </w:rPr>
        <w:tab/>
      </w:r>
      <w:r w:rsidRPr="00B57444">
        <w:rPr>
          <w:rFonts w:eastAsia="Times New Roman"/>
        </w:rPr>
        <w:tab/>
      </w:r>
      <w:r w:rsidRPr="00B57444">
        <w:rPr>
          <w:rFonts w:eastAsia="Times New Roman"/>
        </w:rPr>
        <w:tab/>
      </w:r>
      <w:r w:rsidRPr="00B57444">
        <w:rPr>
          <w:rFonts w:eastAsia="Times New Roman"/>
        </w:rPr>
        <w:tab/>
      </w:r>
      <w:r w:rsidRPr="00B57444">
        <w:rPr>
          <w:rFonts w:eastAsia="Times New Roman"/>
        </w:rPr>
        <w:tab/>
      </w:r>
      <w:r w:rsidR="00CD1653">
        <w:rPr>
          <w:rFonts w:eastAsia="Times New Roman"/>
        </w:rPr>
        <w:t>J. Bordāns</w:t>
      </w:r>
    </w:p>
    <w:p w:rsidR="005C2244" w:rsidRDefault="005C2244" w:rsidP="00990405">
      <w:pPr>
        <w:rPr>
          <w:rFonts w:eastAsia="Times New Roman"/>
        </w:rPr>
      </w:pPr>
    </w:p>
    <w:p w:rsidR="00886824" w:rsidRDefault="00886824" w:rsidP="00990405">
      <w:pPr>
        <w:rPr>
          <w:rFonts w:eastAsia="Times New Roman"/>
        </w:rPr>
      </w:pPr>
    </w:p>
    <w:p w:rsidR="00886824" w:rsidRDefault="00886824" w:rsidP="00990405">
      <w:pPr>
        <w:rPr>
          <w:rFonts w:eastAsia="Times New Roman"/>
          <w:sz w:val="28"/>
          <w:szCs w:val="28"/>
        </w:rPr>
      </w:pPr>
    </w:p>
    <w:p w:rsidR="00521084" w:rsidRPr="004E2284" w:rsidRDefault="006820FD" w:rsidP="00990405">
      <w:pPr>
        <w:rPr>
          <w:rFonts w:eastAsia="Times New Roman"/>
          <w:sz w:val="20"/>
          <w:szCs w:val="20"/>
        </w:rPr>
      </w:pPr>
      <w:r>
        <w:rPr>
          <w:rFonts w:eastAsia="Times New Roman"/>
          <w:sz w:val="20"/>
          <w:szCs w:val="20"/>
        </w:rPr>
        <w:t>12.02.2013. 15:19</w:t>
      </w:r>
    </w:p>
    <w:p w:rsidR="00990405" w:rsidRPr="004E2284" w:rsidRDefault="00810E7F" w:rsidP="00990405">
      <w:pPr>
        <w:rPr>
          <w:rFonts w:eastAsia="Times New Roman"/>
          <w:sz w:val="20"/>
          <w:szCs w:val="20"/>
        </w:rPr>
      </w:pPr>
      <w:r>
        <w:rPr>
          <w:rFonts w:eastAsia="Times New Roman"/>
          <w:sz w:val="20"/>
          <w:szCs w:val="20"/>
        </w:rPr>
        <w:t>2884</w:t>
      </w:r>
    </w:p>
    <w:p w:rsidR="00990405" w:rsidRPr="004E2284" w:rsidRDefault="00990405" w:rsidP="00990405">
      <w:pPr>
        <w:tabs>
          <w:tab w:val="center" w:pos="-142"/>
          <w:tab w:val="left" w:pos="7088"/>
        </w:tabs>
        <w:rPr>
          <w:rFonts w:eastAsia="Times New Roman"/>
          <w:sz w:val="20"/>
          <w:szCs w:val="20"/>
        </w:rPr>
      </w:pPr>
      <w:r w:rsidRPr="004E2284">
        <w:rPr>
          <w:rFonts w:eastAsia="Times New Roman"/>
          <w:sz w:val="20"/>
          <w:szCs w:val="20"/>
        </w:rPr>
        <w:t>I.Tērauda</w:t>
      </w:r>
    </w:p>
    <w:p w:rsidR="002C77ED" w:rsidRPr="004E2284" w:rsidRDefault="00990405" w:rsidP="00905158">
      <w:pPr>
        <w:rPr>
          <w:rFonts w:eastAsia="Times New Roman"/>
          <w:sz w:val="20"/>
          <w:szCs w:val="20"/>
        </w:rPr>
      </w:pPr>
      <w:r w:rsidRPr="004E2284">
        <w:rPr>
          <w:rFonts w:eastAsia="Times New Roman"/>
          <w:color w:val="000000"/>
          <w:sz w:val="20"/>
          <w:szCs w:val="20"/>
        </w:rPr>
        <w:t xml:space="preserve">67031734, </w:t>
      </w:r>
      <w:r w:rsidRPr="004E2284">
        <w:rPr>
          <w:rFonts w:eastAsia="Times New Roman"/>
          <w:sz w:val="20"/>
          <w:szCs w:val="20"/>
        </w:rPr>
        <w:t>inese.terauda@ur.gov.lv</w:t>
      </w:r>
    </w:p>
    <w:sectPr w:rsidR="002C77ED" w:rsidRPr="004E2284" w:rsidSect="00D54F5C">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2A0" w:rsidRDefault="005112A0" w:rsidP="005B235E">
      <w:r>
        <w:separator/>
      </w:r>
    </w:p>
  </w:endnote>
  <w:endnote w:type="continuationSeparator" w:id="0">
    <w:p w:rsidR="005112A0" w:rsidRDefault="005112A0" w:rsidP="005B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Pr="00121AF2" w:rsidRDefault="005112A0" w:rsidP="00121AF2">
    <w:pPr>
      <w:pStyle w:val="Kjene"/>
      <w:rPr>
        <w:sz w:val="20"/>
        <w:szCs w:val="20"/>
      </w:rPr>
    </w:pPr>
  </w:p>
  <w:p w:rsidR="00731327" w:rsidRPr="00040684" w:rsidRDefault="006820FD" w:rsidP="00731327">
    <w:pPr>
      <w:tabs>
        <w:tab w:val="center" w:pos="4153"/>
        <w:tab w:val="right" w:pos="8306"/>
      </w:tabs>
      <w:jc w:val="both"/>
      <w:rPr>
        <w:rFonts w:eastAsia="Times New Roman"/>
        <w:sz w:val="20"/>
        <w:szCs w:val="20"/>
      </w:rPr>
    </w:pPr>
    <w:r>
      <w:rPr>
        <w:rFonts w:eastAsia="Times New Roman"/>
        <w:sz w:val="20"/>
        <w:szCs w:val="20"/>
      </w:rPr>
      <w:t>TMAnot_12</w:t>
    </w:r>
    <w:r w:rsidR="00FB6491">
      <w:rPr>
        <w:rFonts w:eastAsia="Times New Roman"/>
        <w:sz w:val="20"/>
        <w:szCs w:val="20"/>
      </w:rPr>
      <w:t>02</w:t>
    </w:r>
    <w:r w:rsidR="00731327">
      <w:rPr>
        <w:rFonts w:eastAsia="Times New Roman"/>
        <w:sz w:val="20"/>
        <w:szCs w:val="20"/>
      </w:rPr>
      <w:t>13</w:t>
    </w:r>
    <w:r w:rsidR="00731327" w:rsidRPr="00040684">
      <w:rPr>
        <w:rFonts w:eastAsia="Times New Roman"/>
        <w:sz w:val="20"/>
        <w:szCs w:val="20"/>
      </w:rPr>
      <w:t>_KCL_kart; Likumprojekta „Grozījums Komerclikuma spēkā stāšanās kārtības likumā” sākotnējās ietekmes novērtējuma ziņojums (anotācija)</w:t>
    </w:r>
  </w:p>
  <w:p w:rsidR="005112A0" w:rsidRPr="00AE65CB" w:rsidRDefault="005112A0" w:rsidP="009D71BF">
    <w:pPr>
      <w:pStyle w:val="Kjene"/>
      <w:jc w:val="both"/>
      <w:rPr>
        <w:sz w:val="20"/>
        <w:szCs w:val="20"/>
      </w:rPr>
    </w:pPr>
  </w:p>
  <w:p w:rsidR="005112A0" w:rsidRPr="00121AF2" w:rsidRDefault="005112A0" w:rsidP="009D71BF">
    <w:pPr>
      <w:pStyle w:val="Kjene"/>
      <w:jc w:val="both"/>
      <w:rPr>
        <w:sz w:val="20"/>
        <w:szCs w:val="20"/>
      </w:rPr>
    </w:pPr>
  </w:p>
  <w:p w:rsidR="005112A0" w:rsidRPr="00FB7D34" w:rsidRDefault="005112A0" w:rsidP="00FB7D3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Pr="00040684" w:rsidRDefault="006820FD" w:rsidP="00040684">
    <w:pPr>
      <w:tabs>
        <w:tab w:val="center" w:pos="4153"/>
        <w:tab w:val="right" w:pos="8306"/>
      </w:tabs>
      <w:jc w:val="both"/>
      <w:rPr>
        <w:rFonts w:eastAsia="Times New Roman"/>
        <w:sz w:val="20"/>
        <w:szCs w:val="20"/>
      </w:rPr>
    </w:pPr>
    <w:r>
      <w:rPr>
        <w:rFonts w:eastAsia="Times New Roman"/>
        <w:sz w:val="20"/>
        <w:szCs w:val="20"/>
      </w:rPr>
      <w:t>TMAnot_12</w:t>
    </w:r>
    <w:r w:rsidR="00FB6491">
      <w:rPr>
        <w:rFonts w:eastAsia="Times New Roman"/>
        <w:sz w:val="20"/>
        <w:szCs w:val="20"/>
      </w:rPr>
      <w:t>02</w:t>
    </w:r>
    <w:r w:rsidR="00731327">
      <w:rPr>
        <w:rFonts w:eastAsia="Times New Roman"/>
        <w:sz w:val="20"/>
        <w:szCs w:val="20"/>
      </w:rPr>
      <w:t>13</w:t>
    </w:r>
    <w:r w:rsidR="005112A0" w:rsidRPr="00040684">
      <w:rPr>
        <w:rFonts w:eastAsia="Times New Roman"/>
        <w:sz w:val="20"/>
        <w:szCs w:val="20"/>
      </w:rPr>
      <w:t>_KCL_kart; Likumprojekta „Grozījums Komerclikuma spēkā stāšanās kārtības likumā” sākotnējās ietekmes novērtējuma ziņojums (anotācija)</w:t>
    </w:r>
  </w:p>
  <w:p w:rsidR="005112A0" w:rsidRPr="00040684" w:rsidRDefault="005112A0" w:rsidP="00040684">
    <w:pPr>
      <w:pStyle w:val="Kjene"/>
      <w:jc w:val="both"/>
      <w:rPr>
        <w:sz w:val="20"/>
        <w:szCs w:val="20"/>
      </w:rPr>
    </w:pPr>
  </w:p>
  <w:p w:rsidR="005112A0" w:rsidRPr="00BA72C7" w:rsidRDefault="005112A0" w:rsidP="005B235E">
    <w:pPr>
      <w:pStyle w:val="Kjen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2A0" w:rsidRDefault="005112A0" w:rsidP="005B235E">
      <w:r>
        <w:separator/>
      </w:r>
    </w:p>
  </w:footnote>
  <w:footnote w:type="continuationSeparator" w:id="0">
    <w:p w:rsidR="005112A0" w:rsidRDefault="005112A0" w:rsidP="005B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A0" w:rsidRDefault="00FF2B96" w:rsidP="005B235E">
    <w:pPr>
      <w:pStyle w:val="Galvene"/>
      <w:framePr w:wrap="auto" w:vAnchor="text" w:hAnchor="margin" w:xAlign="center" w:y="1"/>
      <w:rPr>
        <w:rStyle w:val="Lappusesnumurs"/>
      </w:rPr>
    </w:pPr>
    <w:r>
      <w:rPr>
        <w:rStyle w:val="Lappusesnumurs"/>
      </w:rPr>
      <w:fldChar w:fldCharType="begin"/>
    </w:r>
    <w:r w:rsidR="005112A0">
      <w:rPr>
        <w:rStyle w:val="Lappusesnumurs"/>
      </w:rPr>
      <w:instrText xml:space="preserve">PAGE  </w:instrText>
    </w:r>
    <w:r>
      <w:rPr>
        <w:rStyle w:val="Lappusesnumurs"/>
      </w:rPr>
      <w:fldChar w:fldCharType="separate"/>
    </w:r>
    <w:r w:rsidR="0064548B">
      <w:rPr>
        <w:rStyle w:val="Lappusesnumurs"/>
        <w:noProof/>
      </w:rPr>
      <w:t>11</w:t>
    </w:r>
    <w:r>
      <w:rPr>
        <w:rStyle w:val="Lappusesnumurs"/>
      </w:rPr>
      <w:fldChar w:fldCharType="end"/>
    </w:r>
  </w:p>
  <w:p w:rsidR="005112A0" w:rsidRDefault="005112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81E45FA"/>
    <w:multiLevelType w:val="hybridMultilevel"/>
    <w:tmpl w:val="7C88D6C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066638C"/>
    <w:multiLevelType w:val="hybridMultilevel"/>
    <w:tmpl w:val="274284BC"/>
    <w:lvl w:ilvl="0" w:tplc="996C5FA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18B5EBD"/>
    <w:multiLevelType w:val="hybridMultilevel"/>
    <w:tmpl w:val="B9489348"/>
    <w:lvl w:ilvl="0" w:tplc="8D36F5EA">
      <w:numFmt w:val="bullet"/>
      <w:lvlText w:val="-"/>
      <w:lvlJc w:val="left"/>
      <w:pPr>
        <w:tabs>
          <w:tab w:val="num" w:pos="612"/>
        </w:tabs>
        <w:ind w:left="612" w:hanging="360"/>
      </w:pPr>
      <w:rPr>
        <w:rFonts w:ascii="Times New Roman" w:eastAsia="Calibri" w:hAnsi="Times New Roman"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
    <w:nsid w:val="4EF67D17"/>
    <w:multiLevelType w:val="hybridMultilevel"/>
    <w:tmpl w:val="96468A6C"/>
    <w:lvl w:ilvl="0" w:tplc="C046BBA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50F058FE"/>
    <w:multiLevelType w:val="hybridMultilevel"/>
    <w:tmpl w:val="837A536E"/>
    <w:lvl w:ilvl="0" w:tplc="C046BBA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558B75B0"/>
    <w:multiLevelType w:val="hybridMultilevel"/>
    <w:tmpl w:val="A2CAB74A"/>
    <w:lvl w:ilvl="0" w:tplc="C046BBA6">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38E6DC1"/>
    <w:multiLevelType w:val="hybridMultilevel"/>
    <w:tmpl w:val="31FCEF3C"/>
    <w:lvl w:ilvl="0" w:tplc="13227244">
      <w:numFmt w:val="bullet"/>
      <w:lvlText w:val="-"/>
      <w:lvlJc w:val="left"/>
      <w:pPr>
        <w:tabs>
          <w:tab w:val="num" w:pos="540"/>
        </w:tabs>
        <w:ind w:left="540" w:hanging="360"/>
      </w:pPr>
      <w:rPr>
        <w:rFonts w:ascii="Times New Roman" w:eastAsia="Calibri"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64"/>
    <w:rsid w:val="00002BFD"/>
    <w:rsid w:val="00004FA4"/>
    <w:rsid w:val="00005252"/>
    <w:rsid w:val="00007398"/>
    <w:rsid w:val="00007E7E"/>
    <w:rsid w:val="00010EF4"/>
    <w:rsid w:val="0001198C"/>
    <w:rsid w:val="00015315"/>
    <w:rsid w:val="00016B56"/>
    <w:rsid w:val="00016FE9"/>
    <w:rsid w:val="000231E7"/>
    <w:rsid w:val="0002329A"/>
    <w:rsid w:val="00023F67"/>
    <w:rsid w:val="00027412"/>
    <w:rsid w:val="00030BB7"/>
    <w:rsid w:val="00034846"/>
    <w:rsid w:val="0003698A"/>
    <w:rsid w:val="000377C2"/>
    <w:rsid w:val="00040684"/>
    <w:rsid w:val="00041484"/>
    <w:rsid w:val="000416BD"/>
    <w:rsid w:val="00041A76"/>
    <w:rsid w:val="00042F3B"/>
    <w:rsid w:val="00043CC5"/>
    <w:rsid w:val="000448CF"/>
    <w:rsid w:val="00045FE8"/>
    <w:rsid w:val="000466A9"/>
    <w:rsid w:val="00051835"/>
    <w:rsid w:val="00051FE7"/>
    <w:rsid w:val="00053E3A"/>
    <w:rsid w:val="00062B01"/>
    <w:rsid w:val="00070025"/>
    <w:rsid w:val="000718D0"/>
    <w:rsid w:val="00072BFE"/>
    <w:rsid w:val="00075CAC"/>
    <w:rsid w:val="00075FA6"/>
    <w:rsid w:val="00077AEB"/>
    <w:rsid w:val="00080D9B"/>
    <w:rsid w:val="00082A62"/>
    <w:rsid w:val="00083D61"/>
    <w:rsid w:val="00085652"/>
    <w:rsid w:val="00085E40"/>
    <w:rsid w:val="00087053"/>
    <w:rsid w:val="00087302"/>
    <w:rsid w:val="00092E4C"/>
    <w:rsid w:val="00093A3A"/>
    <w:rsid w:val="00093B16"/>
    <w:rsid w:val="00095D37"/>
    <w:rsid w:val="000960F4"/>
    <w:rsid w:val="000964DD"/>
    <w:rsid w:val="000976D8"/>
    <w:rsid w:val="00097727"/>
    <w:rsid w:val="000A0009"/>
    <w:rsid w:val="000A079E"/>
    <w:rsid w:val="000A0ACA"/>
    <w:rsid w:val="000A0F02"/>
    <w:rsid w:val="000A1A2D"/>
    <w:rsid w:val="000A6DFB"/>
    <w:rsid w:val="000B05CB"/>
    <w:rsid w:val="000B062E"/>
    <w:rsid w:val="000B2F90"/>
    <w:rsid w:val="000B5DB2"/>
    <w:rsid w:val="000B5DB4"/>
    <w:rsid w:val="000B736A"/>
    <w:rsid w:val="000C0058"/>
    <w:rsid w:val="000C0F05"/>
    <w:rsid w:val="000C3121"/>
    <w:rsid w:val="000C35E4"/>
    <w:rsid w:val="000C593F"/>
    <w:rsid w:val="000D24C7"/>
    <w:rsid w:val="000D2E44"/>
    <w:rsid w:val="000D4741"/>
    <w:rsid w:val="000D7360"/>
    <w:rsid w:val="000E1A4C"/>
    <w:rsid w:val="000E1C52"/>
    <w:rsid w:val="000E37BF"/>
    <w:rsid w:val="000E4700"/>
    <w:rsid w:val="000E5A1A"/>
    <w:rsid w:val="000E5BEA"/>
    <w:rsid w:val="000E64AA"/>
    <w:rsid w:val="000E6CE4"/>
    <w:rsid w:val="000E7076"/>
    <w:rsid w:val="000E779C"/>
    <w:rsid w:val="000F040F"/>
    <w:rsid w:val="000F17C2"/>
    <w:rsid w:val="000F20E3"/>
    <w:rsid w:val="000F5BAE"/>
    <w:rsid w:val="000F7995"/>
    <w:rsid w:val="00102376"/>
    <w:rsid w:val="001031EE"/>
    <w:rsid w:val="001036AD"/>
    <w:rsid w:val="001037C1"/>
    <w:rsid w:val="00103834"/>
    <w:rsid w:val="0010523C"/>
    <w:rsid w:val="001061DD"/>
    <w:rsid w:val="001075E6"/>
    <w:rsid w:val="00111E2D"/>
    <w:rsid w:val="00112495"/>
    <w:rsid w:val="001201A9"/>
    <w:rsid w:val="00121AF2"/>
    <w:rsid w:val="00123FF5"/>
    <w:rsid w:val="0012589D"/>
    <w:rsid w:val="0012618C"/>
    <w:rsid w:val="00130F58"/>
    <w:rsid w:val="001329C0"/>
    <w:rsid w:val="00144452"/>
    <w:rsid w:val="00146119"/>
    <w:rsid w:val="00151B4A"/>
    <w:rsid w:val="00152D1D"/>
    <w:rsid w:val="001538EF"/>
    <w:rsid w:val="00156A24"/>
    <w:rsid w:val="001661DA"/>
    <w:rsid w:val="0016692F"/>
    <w:rsid w:val="00166C81"/>
    <w:rsid w:val="001671CA"/>
    <w:rsid w:val="001679D6"/>
    <w:rsid w:val="001708BE"/>
    <w:rsid w:val="00173BA8"/>
    <w:rsid w:val="0017408D"/>
    <w:rsid w:val="0017744E"/>
    <w:rsid w:val="001808A5"/>
    <w:rsid w:val="00181FE9"/>
    <w:rsid w:val="00186F23"/>
    <w:rsid w:val="00187521"/>
    <w:rsid w:val="00195994"/>
    <w:rsid w:val="001A02AF"/>
    <w:rsid w:val="001A0B0C"/>
    <w:rsid w:val="001A297D"/>
    <w:rsid w:val="001A2EBF"/>
    <w:rsid w:val="001A4999"/>
    <w:rsid w:val="001A4A80"/>
    <w:rsid w:val="001A5B4B"/>
    <w:rsid w:val="001B06D3"/>
    <w:rsid w:val="001B0A5A"/>
    <w:rsid w:val="001B0B94"/>
    <w:rsid w:val="001B2580"/>
    <w:rsid w:val="001B3450"/>
    <w:rsid w:val="001B7716"/>
    <w:rsid w:val="001B7CBF"/>
    <w:rsid w:val="001C3B95"/>
    <w:rsid w:val="001D2997"/>
    <w:rsid w:val="001D2A5F"/>
    <w:rsid w:val="001E2EBC"/>
    <w:rsid w:val="001E32BA"/>
    <w:rsid w:val="001E6239"/>
    <w:rsid w:val="001F3662"/>
    <w:rsid w:val="001F72DA"/>
    <w:rsid w:val="00202804"/>
    <w:rsid w:val="00203506"/>
    <w:rsid w:val="00203541"/>
    <w:rsid w:val="00212138"/>
    <w:rsid w:val="0021773A"/>
    <w:rsid w:val="00217EFD"/>
    <w:rsid w:val="00220573"/>
    <w:rsid w:val="00222413"/>
    <w:rsid w:val="0022320D"/>
    <w:rsid w:val="0022735F"/>
    <w:rsid w:val="00234A3A"/>
    <w:rsid w:val="00240964"/>
    <w:rsid w:val="00241480"/>
    <w:rsid w:val="002440CC"/>
    <w:rsid w:val="0024481D"/>
    <w:rsid w:val="00245AC1"/>
    <w:rsid w:val="00257212"/>
    <w:rsid w:val="00265BDB"/>
    <w:rsid w:val="00265F11"/>
    <w:rsid w:val="002669B3"/>
    <w:rsid w:val="0027040A"/>
    <w:rsid w:val="00271236"/>
    <w:rsid w:val="002729F5"/>
    <w:rsid w:val="00277550"/>
    <w:rsid w:val="00277809"/>
    <w:rsid w:val="00281B56"/>
    <w:rsid w:val="002866D7"/>
    <w:rsid w:val="002869EC"/>
    <w:rsid w:val="002901F0"/>
    <w:rsid w:val="0029210F"/>
    <w:rsid w:val="00292240"/>
    <w:rsid w:val="00293405"/>
    <w:rsid w:val="00294C33"/>
    <w:rsid w:val="002959B0"/>
    <w:rsid w:val="002A05A8"/>
    <w:rsid w:val="002A0679"/>
    <w:rsid w:val="002A2B20"/>
    <w:rsid w:val="002A2E35"/>
    <w:rsid w:val="002B497F"/>
    <w:rsid w:val="002B4DCC"/>
    <w:rsid w:val="002C00B8"/>
    <w:rsid w:val="002C0193"/>
    <w:rsid w:val="002C0987"/>
    <w:rsid w:val="002C4227"/>
    <w:rsid w:val="002C77ED"/>
    <w:rsid w:val="002D2508"/>
    <w:rsid w:val="002D29B7"/>
    <w:rsid w:val="002D2C21"/>
    <w:rsid w:val="002D3EA9"/>
    <w:rsid w:val="002E07F0"/>
    <w:rsid w:val="002E294B"/>
    <w:rsid w:val="002E65F1"/>
    <w:rsid w:val="002E6A9B"/>
    <w:rsid w:val="002E6CAC"/>
    <w:rsid w:val="002E70D6"/>
    <w:rsid w:val="002E7F42"/>
    <w:rsid w:val="002F290D"/>
    <w:rsid w:val="002F49A4"/>
    <w:rsid w:val="002F4A28"/>
    <w:rsid w:val="002F70A8"/>
    <w:rsid w:val="003001E7"/>
    <w:rsid w:val="003009B9"/>
    <w:rsid w:val="003031BA"/>
    <w:rsid w:val="003046B8"/>
    <w:rsid w:val="003074D4"/>
    <w:rsid w:val="003076C1"/>
    <w:rsid w:val="00313DC6"/>
    <w:rsid w:val="0031534B"/>
    <w:rsid w:val="00315F82"/>
    <w:rsid w:val="00320DBE"/>
    <w:rsid w:val="00322672"/>
    <w:rsid w:val="00322C09"/>
    <w:rsid w:val="003236CF"/>
    <w:rsid w:val="00327311"/>
    <w:rsid w:val="0033149D"/>
    <w:rsid w:val="0033485E"/>
    <w:rsid w:val="00334DB2"/>
    <w:rsid w:val="00334F29"/>
    <w:rsid w:val="00336A21"/>
    <w:rsid w:val="00337552"/>
    <w:rsid w:val="00340A75"/>
    <w:rsid w:val="00343614"/>
    <w:rsid w:val="00343E40"/>
    <w:rsid w:val="003511BA"/>
    <w:rsid w:val="00352C81"/>
    <w:rsid w:val="00352FE7"/>
    <w:rsid w:val="00353C21"/>
    <w:rsid w:val="00355340"/>
    <w:rsid w:val="00356FA8"/>
    <w:rsid w:val="00367F54"/>
    <w:rsid w:val="0037010B"/>
    <w:rsid w:val="003760A2"/>
    <w:rsid w:val="00376665"/>
    <w:rsid w:val="003812E7"/>
    <w:rsid w:val="0038337C"/>
    <w:rsid w:val="003839BB"/>
    <w:rsid w:val="00390A40"/>
    <w:rsid w:val="003915C2"/>
    <w:rsid w:val="00393A2A"/>
    <w:rsid w:val="00396EAD"/>
    <w:rsid w:val="00397AF7"/>
    <w:rsid w:val="003A03BE"/>
    <w:rsid w:val="003A3863"/>
    <w:rsid w:val="003B12B8"/>
    <w:rsid w:val="003B166E"/>
    <w:rsid w:val="003B3E5F"/>
    <w:rsid w:val="003B4E47"/>
    <w:rsid w:val="003B5837"/>
    <w:rsid w:val="003B7652"/>
    <w:rsid w:val="003C19F3"/>
    <w:rsid w:val="003C27C9"/>
    <w:rsid w:val="003C38D0"/>
    <w:rsid w:val="003C4F5C"/>
    <w:rsid w:val="003D00AC"/>
    <w:rsid w:val="003D287E"/>
    <w:rsid w:val="003D2FB9"/>
    <w:rsid w:val="003D3CBA"/>
    <w:rsid w:val="003D4D56"/>
    <w:rsid w:val="003E0CE5"/>
    <w:rsid w:val="003E2F2B"/>
    <w:rsid w:val="003E63E2"/>
    <w:rsid w:val="003F0BA1"/>
    <w:rsid w:val="003F1791"/>
    <w:rsid w:val="003F263D"/>
    <w:rsid w:val="003F5967"/>
    <w:rsid w:val="004007CD"/>
    <w:rsid w:val="00400EEB"/>
    <w:rsid w:val="00401513"/>
    <w:rsid w:val="00404E56"/>
    <w:rsid w:val="00415F81"/>
    <w:rsid w:val="00421862"/>
    <w:rsid w:val="004261AF"/>
    <w:rsid w:val="00426FFC"/>
    <w:rsid w:val="00435909"/>
    <w:rsid w:val="004365AC"/>
    <w:rsid w:val="004435C7"/>
    <w:rsid w:val="00443856"/>
    <w:rsid w:val="00443981"/>
    <w:rsid w:val="004475D3"/>
    <w:rsid w:val="0045200E"/>
    <w:rsid w:val="0045731C"/>
    <w:rsid w:val="00457F4B"/>
    <w:rsid w:val="0046004D"/>
    <w:rsid w:val="00462012"/>
    <w:rsid w:val="00464012"/>
    <w:rsid w:val="00464CFB"/>
    <w:rsid w:val="00464E13"/>
    <w:rsid w:val="00464F73"/>
    <w:rsid w:val="00464F8C"/>
    <w:rsid w:val="0046791C"/>
    <w:rsid w:val="00467DA0"/>
    <w:rsid w:val="00471DDE"/>
    <w:rsid w:val="00473F86"/>
    <w:rsid w:val="00475876"/>
    <w:rsid w:val="004760F2"/>
    <w:rsid w:val="00480C45"/>
    <w:rsid w:val="00481D90"/>
    <w:rsid w:val="00483A9C"/>
    <w:rsid w:val="00485666"/>
    <w:rsid w:val="004878C4"/>
    <w:rsid w:val="004927DA"/>
    <w:rsid w:val="00493401"/>
    <w:rsid w:val="004A2B54"/>
    <w:rsid w:val="004A3784"/>
    <w:rsid w:val="004A3A66"/>
    <w:rsid w:val="004A7C6F"/>
    <w:rsid w:val="004B17DB"/>
    <w:rsid w:val="004B49B7"/>
    <w:rsid w:val="004B5B72"/>
    <w:rsid w:val="004C0BBA"/>
    <w:rsid w:val="004C4017"/>
    <w:rsid w:val="004C7908"/>
    <w:rsid w:val="004D1CAF"/>
    <w:rsid w:val="004D38F1"/>
    <w:rsid w:val="004D3A7D"/>
    <w:rsid w:val="004D4D8E"/>
    <w:rsid w:val="004D6C1D"/>
    <w:rsid w:val="004E2284"/>
    <w:rsid w:val="004E3FA4"/>
    <w:rsid w:val="004E47F2"/>
    <w:rsid w:val="004E621E"/>
    <w:rsid w:val="004F21F8"/>
    <w:rsid w:val="004F3AE8"/>
    <w:rsid w:val="004F4BB3"/>
    <w:rsid w:val="004F7648"/>
    <w:rsid w:val="004F7670"/>
    <w:rsid w:val="004F7ABC"/>
    <w:rsid w:val="005002BE"/>
    <w:rsid w:val="005003C5"/>
    <w:rsid w:val="005034E2"/>
    <w:rsid w:val="00505A54"/>
    <w:rsid w:val="005112A0"/>
    <w:rsid w:val="00514A36"/>
    <w:rsid w:val="005177FC"/>
    <w:rsid w:val="00520012"/>
    <w:rsid w:val="00521084"/>
    <w:rsid w:val="00525B4B"/>
    <w:rsid w:val="00531169"/>
    <w:rsid w:val="00532104"/>
    <w:rsid w:val="005336B8"/>
    <w:rsid w:val="00536A5C"/>
    <w:rsid w:val="00537B13"/>
    <w:rsid w:val="005405BD"/>
    <w:rsid w:val="005414F1"/>
    <w:rsid w:val="00543F55"/>
    <w:rsid w:val="0054549A"/>
    <w:rsid w:val="00546537"/>
    <w:rsid w:val="00546C38"/>
    <w:rsid w:val="005515F2"/>
    <w:rsid w:val="005552CF"/>
    <w:rsid w:val="00555515"/>
    <w:rsid w:val="00557274"/>
    <w:rsid w:val="0056263E"/>
    <w:rsid w:val="005640C4"/>
    <w:rsid w:val="00566BF2"/>
    <w:rsid w:val="0057004F"/>
    <w:rsid w:val="00570B34"/>
    <w:rsid w:val="005716D6"/>
    <w:rsid w:val="0057208A"/>
    <w:rsid w:val="005748AB"/>
    <w:rsid w:val="005758EA"/>
    <w:rsid w:val="005762B2"/>
    <w:rsid w:val="00580340"/>
    <w:rsid w:val="00582E48"/>
    <w:rsid w:val="0058477D"/>
    <w:rsid w:val="00584ECF"/>
    <w:rsid w:val="005859BF"/>
    <w:rsid w:val="005877DB"/>
    <w:rsid w:val="00587879"/>
    <w:rsid w:val="00592B22"/>
    <w:rsid w:val="0059451B"/>
    <w:rsid w:val="005A1432"/>
    <w:rsid w:val="005A1DF4"/>
    <w:rsid w:val="005A2D86"/>
    <w:rsid w:val="005A3860"/>
    <w:rsid w:val="005A4FAD"/>
    <w:rsid w:val="005A766A"/>
    <w:rsid w:val="005B235E"/>
    <w:rsid w:val="005B530C"/>
    <w:rsid w:val="005B5545"/>
    <w:rsid w:val="005C0CA3"/>
    <w:rsid w:val="005C13A1"/>
    <w:rsid w:val="005C2244"/>
    <w:rsid w:val="005C2401"/>
    <w:rsid w:val="005C255F"/>
    <w:rsid w:val="005C54BA"/>
    <w:rsid w:val="005C6441"/>
    <w:rsid w:val="005D0C82"/>
    <w:rsid w:val="005D13A3"/>
    <w:rsid w:val="005D15D1"/>
    <w:rsid w:val="005D3D31"/>
    <w:rsid w:val="005D5687"/>
    <w:rsid w:val="005D5B00"/>
    <w:rsid w:val="005D6780"/>
    <w:rsid w:val="005D6AE2"/>
    <w:rsid w:val="005E1DA8"/>
    <w:rsid w:val="005E41F3"/>
    <w:rsid w:val="005F048C"/>
    <w:rsid w:val="005F0C3A"/>
    <w:rsid w:val="005F1589"/>
    <w:rsid w:val="005F195D"/>
    <w:rsid w:val="005F7393"/>
    <w:rsid w:val="00600C7C"/>
    <w:rsid w:val="0060102B"/>
    <w:rsid w:val="006019D9"/>
    <w:rsid w:val="00603988"/>
    <w:rsid w:val="0060424B"/>
    <w:rsid w:val="00604654"/>
    <w:rsid w:val="00610876"/>
    <w:rsid w:val="006108CA"/>
    <w:rsid w:val="00615067"/>
    <w:rsid w:val="00615848"/>
    <w:rsid w:val="00615C5A"/>
    <w:rsid w:val="006170A4"/>
    <w:rsid w:val="00620E07"/>
    <w:rsid w:val="006327D9"/>
    <w:rsid w:val="00632D22"/>
    <w:rsid w:val="00640AD8"/>
    <w:rsid w:val="006423E7"/>
    <w:rsid w:val="006424E7"/>
    <w:rsid w:val="00643701"/>
    <w:rsid w:val="0064548B"/>
    <w:rsid w:val="006457DB"/>
    <w:rsid w:val="0065204F"/>
    <w:rsid w:val="006521FF"/>
    <w:rsid w:val="00653605"/>
    <w:rsid w:val="00654BFD"/>
    <w:rsid w:val="00655417"/>
    <w:rsid w:val="006579DD"/>
    <w:rsid w:val="00661AB4"/>
    <w:rsid w:val="0066328A"/>
    <w:rsid w:val="006637F7"/>
    <w:rsid w:val="00664327"/>
    <w:rsid w:val="0066521B"/>
    <w:rsid w:val="00671697"/>
    <w:rsid w:val="0067419A"/>
    <w:rsid w:val="00674550"/>
    <w:rsid w:val="00674B1B"/>
    <w:rsid w:val="0067746B"/>
    <w:rsid w:val="006807CE"/>
    <w:rsid w:val="006816CD"/>
    <w:rsid w:val="006820FD"/>
    <w:rsid w:val="00682F3B"/>
    <w:rsid w:val="006834F4"/>
    <w:rsid w:val="00684F51"/>
    <w:rsid w:val="006878A4"/>
    <w:rsid w:val="00691696"/>
    <w:rsid w:val="0069176D"/>
    <w:rsid w:val="006926F1"/>
    <w:rsid w:val="00693125"/>
    <w:rsid w:val="0069469B"/>
    <w:rsid w:val="00695D92"/>
    <w:rsid w:val="006979DF"/>
    <w:rsid w:val="006A12B9"/>
    <w:rsid w:val="006A3C32"/>
    <w:rsid w:val="006A7620"/>
    <w:rsid w:val="006B4E74"/>
    <w:rsid w:val="006B5C1E"/>
    <w:rsid w:val="006B7A94"/>
    <w:rsid w:val="006C79AD"/>
    <w:rsid w:val="006D0F93"/>
    <w:rsid w:val="006D218F"/>
    <w:rsid w:val="006D54A4"/>
    <w:rsid w:val="006D5C5F"/>
    <w:rsid w:val="006E0B03"/>
    <w:rsid w:val="006E13CC"/>
    <w:rsid w:val="006E1FE9"/>
    <w:rsid w:val="006E40AC"/>
    <w:rsid w:val="006E64BA"/>
    <w:rsid w:val="006E6FDB"/>
    <w:rsid w:val="006F035C"/>
    <w:rsid w:val="006F16FB"/>
    <w:rsid w:val="006F218D"/>
    <w:rsid w:val="006F49F7"/>
    <w:rsid w:val="007003D9"/>
    <w:rsid w:val="0070195A"/>
    <w:rsid w:val="00702BA4"/>
    <w:rsid w:val="00705918"/>
    <w:rsid w:val="00707869"/>
    <w:rsid w:val="00707974"/>
    <w:rsid w:val="007162E7"/>
    <w:rsid w:val="007179A7"/>
    <w:rsid w:val="007257AF"/>
    <w:rsid w:val="0073126B"/>
    <w:rsid w:val="00731327"/>
    <w:rsid w:val="007318DE"/>
    <w:rsid w:val="0073244B"/>
    <w:rsid w:val="00734BD5"/>
    <w:rsid w:val="00734C0E"/>
    <w:rsid w:val="007354EA"/>
    <w:rsid w:val="00735799"/>
    <w:rsid w:val="0073633F"/>
    <w:rsid w:val="00737F3E"/>
    <w:rsid w:val="00742082"/>
    <w:rsid w:val="007422D3"/>
    <w:rsid w:val="00744D26"/>
    <w:rsid w:val="00751612"/>
    <w:rsid w:val="00753FC6"/>
    <w:rsid w:val="00754022"/>
    <w:rsid w:val="00755C4C"/>
    <w:rsid w:val="00756EAA"/>
    <w:rsid w:val="007601A5"/>
    <w:rsid w:val="00760F36"/>
    <w:rsid w:val="00763A5A"/>
    <w:rsid w:val="00763B27"/>
    <w:rsid w:val="00764F11"/>
    <w:rsid w:val="007665F9"/>
    <w:rsid w:val="00766F9C"/>
    <w:rsid w:val="0076764C"/>
    <w:rsid w:val="00771158"/>
    <w:rsid w:val="007723EE"/>
    <w:rsid w:val="00772959"/>
    <w:rsid w:val="00774E2A"/>
    <w:rsid w:val="00776192"/>
    <w:rsid w:val="007775D5"/>
    <w:rsid w:val="00777728"/>
    <w:rsid w:val="00777BFF"/>
    <w:rsid w:val="0078617E"/>
    <w:rsid w:val="00791530"/>
    <w:rsid w:val="007922C9"/>
    <w:rsid w:val="007939B4"/>
    <w:rsid w:val="00796D3A"/>
    <w:rsid w:val="007A2051"/>
    <w:rsid w:val="007A3584"/>
    <w:rsid w:val="007A4501"/>
    <w:rsid w:val="007A5380"/>
    <w:rsid w:val="007A6446"/>
    <w:rsid w:val="007B0537"/>
    <w:rsid w:val="007B1CA4"/>
    <w:rsid w:val="007B27D3"/>
    <w:rsid w:val="007B2E06"/>
    <w:rsid w:val="007B63C1"/>
    <w:rsid w:val="007C0131"/>
    <w:rsid w:val="007C1C09"/>
    <w:rsid w:val="007C2AB5"/>
    <w:rsid w:val="007C2BF4"/>
    <w:rsid w:val="007C3F34"/>
    <w:rsid w:val="007C45D9"/>
    <w:rsid w:val="007D56FD"/>
    <w:rsid w:val="007D5A86"/>
    <w:rsid w:val="007D66AC"/>
    <w:rsid w:val="007D727F"/>
    <w:rsid w:val="007E14CE"/>
    <w:rsid w:val="007E5FA7"/>
    <w:rsid w:val="007E7213"/>
    <w:rsid w:val="007F1809"/>
    <w:rsid w:val="007F205D"/>
    <w:rsid w:val="007F3FB0"/>
    <w:rsid w:val="007F6146"/>
    <w:rsid w:val="007F6738"/>
    <w:rsid w:val="00801719"/>
    <w:rsid w:val="0080532F"/>
    <w:rsid w:val="00810558"/>
    <w:rsid w:val="00810E7F"/>
    <w:rsid w:val="00811814"/>
    <w:rsid w:val="0081483E"/>
    <w:rsid w:val="0081611E"/>
    <w:rsid w:val="008163E8"/>
    <w:rsid w:val="00817CFB"/>
    <w:rsid w:val="00820F91"/>
    <w:rsid w:val="00821153"/>
    <w:rsid w:val="00823E6B"/>
    <w:rsid w:val="00824A6A"/>
    <w:rsid w:val="008250C9"/>
    <w:rsid w:val="008258F6"/>
    <w:rsid w:val="00825DEB"/>
    <w:rsid w:val="008305EC"/>
    <w:rsid w:val="00831371"/>
    <w:rsid w:val="008321F3"/>
    <w:rsid w:val="00835524"/>
    <w:rsid w:val="00836F16"/>
    <w:rsid w:val="00840FA2"/>
    <w:rsid w:val="008439A1"/>
    <w:rsid w:val="008455DC"/>
    <w:rsid w:val="00847AEE"/>
    <w:rsid w:val="008509F5"/>
    <w:rsid w:val="008539DE"/>
    <w:rsid w:val="0085606A"/>
    <w:rsid w:val="00857050"/>
    <w:rsid w:val="00857BEE"/>
    <w:rsid w:val="00865610"/>
    <w:rsid w:val="008675E0"/>
    <w:rsid w:val="00870640"/>
    <w:rsid w:val="00874C11"/>
    <w:rsid w:val="008775E6"/>
    <w:rsid w:val="00880A4D"/>
    <w:rsid w:val="00882708"/>
    <w:rsid w:val="008828E5"/>
    <w:rsid w:val="008831C4"/>
    <w:rsid w:val="00883DC6"/>
    <w:rsid w:val="00884FB0"/>
    <w:rsid w:val="00885EC1"/>
    <w:rsid w:val="00886824"/>
    <w:rsid w:val="00887172"/>
    <w:rsid w:val="00887845"/>
    <w:rsid w:val="00890A57"/>
    <w:rsid w:val="00890EAA"/>
    <w:rsid w:val="008920B3"/>
    <w:rsid w:val="00892931"/>
    <w:rsid w:val="00897357"/>
    <w:rsid w:val="00897B24"/>
    <w:rsid w:val="00897C28"/>
    <w:rsid w:val="00897D9E"/>
    <w:rsid w:val="008A0EBE"/>
    <w:rsid w:val="008A1465"/>
    <w:rsid w:val="008A43F6"/>
    <w:rsid w:val="008A4AEF"/>
    <w:rsid w:val="008A4C2D"/>
    <w:rsid w:val="008A5D34"/>
    <w:rsid w:val="008A68FE"/>
    <w:rsid w:val="008A7EF3"/>
    <w:rsid w:val="008B2527"/>
    <w:rsid w:val="008B4F56"/>
    <w:rsid w:val="008B5F55"/>
    <w:rsid w:val="008C0609"/>
    <w:rsid w:val="008C3222"/>
    <w:rsid w:val="008C3DE2"/>
    <w:rsid w:val="008C6222"/>
    <w:rsid w:val="008C63B9"/>
    <w:rsid w:val="008D0E1C"/>
    <w:rsid w:val="008D0EF9"/>
    <w:rsid w:val="008D2A4E"/>
    <w:rsid w:val="008D4FB8"/>
    <w:rsid w:val="008D5791"/>
    <w:rsid w:val="008D7EFB"/>
    <w:rsid w:val="008E01A7"/>
    <w:rsid w:val="008E0C72"/>
    <w:rsid w:val="008E17D5"/>
    <w:rsid w:val="008E3A6B"/>
    <w:rsid w:val="008E4404"/>
    <w:rsid w:val="008E4FEA"/>
    <w:rsid w:val="008E546E"/>
    <w:rsid w:val="008E56B7"/>
    <w:rsid w:val="008E5F63"/>
    <w:rsid w:val="008F165A"/>
    <w:rsid w:val="008F3005"/>
    <w:rsid w:val="008F3710"/>
    <w:rsid w:val="008F50CC"/>
    <w:rsid w:val="008F56DA"/>
    <w:rsid w:val="008F5EA8"/>
    <w:rsid w:val="008F7B7F"/>
    <w:rsid w:val="008F7BFC"/>
    <w:rsid w:val="0090096A"/>
    <w:rsid w:val="00900E62"/>
    <w:rsid w:val="00901E05"/>
    <w:rsid w:val="009028D0"/>
    <w:rsid w:val="0090293F"/>
    <w:rsid w:val="00905158"/>
    <w:rsid w:val="009058C5"/>
    <w:rsid w:val="0090791A"/>
    <w:rsid w:val="009141A8"/>
    <w:rsid w:val="00916BD8"/>
    <w:rsid w:val="00917338"/>
    <w:rsid w:val="00917F6D"/>
    <w:rsid w:val="00920599"/>
    <w:rsid w:val="0092446E"/>
    <w:rsid w:val="00925A4E"/>
    <w:rsid w:val="009268F7"/>
    <w:rsid w:val="009313FD"/>
    <w:rsid w:val="00932B45"/>
    <w:rsid w:val="009357D4"/>
    <w:rsid w:val="00937D3A"/>
    <w:rsid w:val="0094136C"/>
    <w:rsid w:val="00943913"/>
    <w:rsid w:val="00943EDC"/>
    <w:rsid w:val="009470D1"/>
    <w:rsid w:val="009472D3"/>
    <w:rsid w:val="00952D04"/>
    <w:rsid w:val="00963A46"/>
    <w:rsid w:val="00967B5F"/>
    <w:rsid w:val="00970E06"/>
    <w:rsid w:val="00971110"/>
    <w:rsid w:val="00971115"/>
    <w:rsid w:val="009824D9"/>
    <w:rsid w:val="0098494E"/>
    <w:rsid w:val="00984A0C"/>
    <w:rsid w:val="00987CFA"/>
    <w:rsid w:val="00990405"/>
    <w:rsid w:val="00990698"/>
    <w:rsid w:val="0099162E"/>
    <w:rsid w:val="00992CC7"/>
    <w:rsid w:val="00997143"/>
    <w:rsid w:val="009A0899"/>
    <w:rsid w:val="009A3BC2"/>
    <w:rsid w:val="009A3EA6"/>
    <w:rsid w:val="009A5D73"/>
    <w:rsid w:val="009A5FAC"/>
    <w:rsid w:val="009B1BD7"/>
    <w:rsid w:val="009B56CA"/>
    <w:rsid w:val="009C0267"/>
    <w:rsid w:val="009C06A7"/>
    <w:rsid w:val="009C3036"/>
    <w:rsid w:val="009C444C"/>
    <w:rsid w:val="009C6B2F"/>
    <w:rsid w:val="009D1466"/>
    <w:rsid w:val="009D2020"/>
    <w:rsid w:val="009D3B4F"/>
    <w:rsid w:val="009D5916"/>
    <w:rsid w:val="009D5F87"/>
    <w:rsid w:val="009D71BF"/>
    <w:rsid w:val="009E396F"/>
    <w:rsid w:val="009E3A43"/>
    <w:rsid w:val="009E3B06"/>
    <w:rsid w:val="009E5472"/>
    <w:rsid w:val="009E7639"/>
    <w:rsid w:val="009E79FF"/>
    <w:rsid w:val="009F0701"/>
    <w:rsid w:val="009F0C7D"/>
    <w:rsid w:val="009F2175"/>
    <w:rsid w:val="009F6AF7"/>
    <w:rsid w:val="00A00D6D"/>
    <w:rsid w:val="00A0255B"/>
    <w:rsid w:val="00A02969"/>
    <w:rsid w:val="00A02F37"/>
    <w:rsid w:val="00A10320"/>
    <w:rsid w:val="00A17108"/>
    <w:rsid w:val="00A211C4"/>
    <w:rsid w:val="00A2167B"/>
    <w:rsid w:val="00A21A71"/>
    <w:rsid w:val="00A23D76"/>
    <w:rsid w:val="00A2445E"/>
    <w:rsid w:val="00A252BA"/>
    <w:rsid w:val="00A26DA1"/>
    <w:rsid w:val="00A30D67"/>
    <w:rsid w:val="00A320AE"/>
    <w:rsid w:val="00A3528B"/>
    <w:rsid w:val="00A36091"/>
    <w:rsid w:val="00A369B5"/>
    <w:rsid w:val="00A37A64"/>
    <w:rsid w:val="00A37F7E"/>
    <w:rsid w:val="00A41BE0"/>
    <w:rsid w:val="00A45171"/>
    <w:rsid w:val="00A455EB"/>
    <w:rsid w:val="00A47D3B"/>
    <w:rsid w:val="00A50C8C"/>
    <w:rsid w:val="00A51E0F"/>
    <w:rsid w:val="00A52BE6"/>
    <w:rsid w:val="00A566EE"/>
    <w:rsid w:val="00A5705D"/>
    <w:rsid w:val="00A61653"/>
    <w:rsid w:val="00A61A93"/>
    <w:rsid w:val="00A62211"/>
    <w:rsid w:val="00A62242"/>
    <w:rsid w:val="00A623E0"/>
    <w:rsid w:val="00A71990"/>
    <w:rsid w:val="00A71F92"/>
    <w:rsid w:val="00A75603"/>
    <w:rsid w:val="00A75E08"/>
    <w:rsid w:val="00A8214B"/>
    <w:rsid w:val="00A82765"/>
    <w:rsid w:val="00A82806"/>
    <w:rsid w:val="00A82A22"/>
    <w:rsid w:val="00A83391"/>
    <w:rsid w:val="00A84ADD"/>
    <w:rsid w:val="00A8506A"/>
    <w:rsid w:val="00A855B3"/>
    <w:rsid w:val="00A85626"/>
    <w:rsid w:val="00A90FD7"/>
    <w:rsid w:val="00A9136B"/>
    <w:rsid w:val="00A91590"/>
    <w:rsid w:val="00A93255"/>
    <w:rsid w:val="00AA0006"/>
    <w:rsid w:val="00AA349C"/>
    <w:rsid w:val="00AA5A08"/>
    <w:rsid w:val="00AA6079"/>
    <w:rsid w:val="00AA7F01"/>
    <w:rsid w:val="00AB1E5A"/>
    <w:rsid w:val="00AB2C1E"/>
    <w:rsid w:val="00AB313A"/>
    <w:rsid w:val="00AB4202"/>
    <w:rsid w:val="00AB533B"/>
    <w:rsid w:val="00AC08E9"/>
    <w:rsid w:val="00AD02E8"/>
    <w:rsid w:val="00AD2F48"/>
    <w:rsid w:val="00AD3D31"/>
    <w:rsid w:val="00AD4E14"/>
    <w:rsid w:val="00AD4E38"/>
    <w:rsid w:val="00AD5121"/>
    <w:rsid w:val="00AD5D0D"/>
    <w:rsid w:val="00AD7D3A"/>
    <w:rsid w:val="00AE14A8"/>
    <w:rsid w:val="00AE1923"/>
    <w:rsid w:val="00AE1CEA"/>
    <w:rsid w:val="00AE5993"/>
    <w:rsid w:val="00AE65CB"/>
    <w:rsid w:val="00AF0B87"/>
    <w:rsid w:val="00AF1563"/>
    <w:rsid w:val="00AF27CA"/>
    <w:rsid w:val="00B019F1"/>
    <w:rsid w:val="00B04462"/>
    <w:rsid w:val="00B0455A"/>
    <w:rsid w:val="00B07528"/>
    <w:rsid w:val="00B111C6"/>
    <w:rsid w:val="00B11B11"/>
    <w:rsid w:val="00B162CE"/>
    <w:rsid w:val="00B1725F"/>
    <w:rsid w:val="00B17E35"/>
    <w:rsid w:val="00B20FDE"/>
    <w:rsid w:val="00B23749"/>
    <w:rsid w:val="00B25D49"/>
    <w:rsid w:val="00B27690"/>
    <w:rsid w:val="00B30323"/>
    <w:rsid w:val="00B30B74"/>
    <w:rsid w:val="00B363BB"/>
    <w:rsid w:val="00B414E2"/>
    <w:rsid w:val="00B42061"/>
    <w:rsid w:val="00B44587"/>
    <w:rsid w:val="00B4485C"/>
    <w:rsid w:val="00B504F6"/>
    <w:rsid w:val="00B50A58"/>
    <w:rsid w:val="00B518AD"/>
    <w:rsid w:val="00B53DC8"/>
    <w:rsid w:val="00B56785"/>
    <w:rsid w:val="00B57444"/>
    <w:rsid w:val="00B61E85"/>
    <w:rsid w:val="00B62A25"/>
    <w:rsid w:val="00B63CCF"/>
    <w:rsid w:val="00B67CB7"/>
    <w:rsid w:val="00B77223"/>
    <w:rsid w:val="00B81A38"/>
    <w:rsid w:val="00B823F8"/>
    <w:rsid w:val="00B85ED9"/>
    <w:rsid w:val="00B87EF3"/>
    <w:rsid w:val="00B9052F"/>
    <w:rsid w:val="00B90D43"/>
    <w:rsid w:val="00B910E6"/>
    <w:rsid w:val="00B936E0"/>
    <w:rsid w:val="00B94FD3"/>
    <w:rsid w:val="00B95611"/>
    <w:rsid w:val="00B966AA"/>
    <w:rsid w:val="00B978C8"/>
    <w:rsid w:val="00BA3D31"/>
    <w:rsid w:val="00BA72C7"/>
    <w:rsid w:val="00BB0A66"/>
    <w:rsid w:val="00BB0B1A"/>
    <w:rsid w:val="00BB2361"/>
    <w:rsid w:val="00BB5615"/>
    <w:rsid w:val="00BB78BE"/>
    <w:rsid w:val="00BC12FE"/>
    <w:rsid w:val="00BC1B7A"/>
    <w:rsid w:val="00BC3595"/>
    <w:rsid w:val="00BC712B"/>
    <w:rsid w:val="00BD27F8"/>
    <w:rsid w:val="00BD3472"/>
    <w:rsid w:val="00BD3709"/>
    <w:rsid w:val="00BD57A1"/>
    <w:rsid w:val="00BD7C98"/>
    <w:rsid w:val="00BE0101"/>
    <w:rsid w:val="00BE26F4"/>
    <w:rsid w:val="00BE7460"/>
    <w:rsid w:val="00BF0D20"/>
    <w:rsid w:val="00BF4E5F"/>
    <w:rsid w:val="00C0023A"/>
    <w:rsid w:val="00C051C0"/>
    <w:rsid w:val="00C07D38"/>
    <w:rsid w:val="00C1361A"/>
    <w:rsid w:val="00C152F9"/>
    <w:rsid w:val="00C173EB"/>
    <w:rsid w:val="00C216A7"/>
    <w:rsid w:val="00C21967"/>
    <w:rsid w:val="00C22F9D"/>
    <w:rsid w:val="00C23E7A"/>
    <w:rsid w:val="00C2521A"/>
    <w:rsid w:val="00C33EC9"/>
    <w:rsid w:val="00C345BA"/>
    <w:rsid w:val="00C36A04"/>
    <w:rsid w:val="00C415B5"/>
    <w:rsid w:val="00C42608"/>
    <w:rsid w:val="00C456FA"/>
    <w:rsid w:val="00C51595"/>
    <w:rsid w:val="00C51F2D"/>
    <w:rsid w:val="00C52E03"/>
    <w:rsid w:val="00C5390D"/>
    <w:rsid w:val="00C560BB"/>
    <w:rsid w:val="00C62547"/>
    <w:rsid w:val="00C64158"/>
    <w:rsid w:val="00C66F56"/>
    <w:rsid w:val="00C7064E"/>
    <w:rsid w:val="00C73D84"/>
    <w:rsid w:val="00C7435C"/>
    <w:rsid w:val="00C76110"/>
    <w:rsid w:val="00C77D62"/>
    <w:rsid w:val="00C80145"/>
    <w:rsid w:val="00C804CE"/>
    <w:rsid w:val="00C80A40"/>
    <w:rsid w:val="00C828BE"/>
    <w:rsid w:val="00C84CAF"/>
    <w:rsid w:val="00C84E6B"/>
    <w:rsid w:val="00C925C6"/>
    <w:rsid w:val="00C937F3"/>
    <w:rsid w:val="00C93B0E"/>
    <w:rsid w:val="00C9787C"/>
    <w:rsid w:val="00C97CF8"/>
    <w:rsid w:val="00CA23A3"/>
    <w:rsid w:val="00CA33BD"/>
    <w:rsid w:val="00CA4574"/>
    <w:rsid w:val="00CA629B"/>
    <w:rsid w:val="00CA6A42"/>
    <w:rsid w:val="00CA6C77"/>
    <w:rsid w:val="00CA7352"/>
    <w:rsid w:val="00CB2660"/>
    <w:rsid w:val="00CB5A75"/>
    <w:rsid w:val="00CB5EAE"/>
    <w:rsid w:val="00CC28BD"/>
    <w:rsid w:val="00CC7628"/>
    <w:rsid w:val="00CD1653"/>
    <w:rsid w:val="00CD46F5"/>
    <w:rsid w:val="00CD5DA8"/>
    <w:rsid w:val="00CD64F8"/>
    <w:rsid w:val="00CD6E10"/>
    <w:rsid w:val="00CD7DDD"/>
    <w:rsid w:val="00CE3353"/>
    <w:rsid w:val="00CE42B6"/>
    <w:rsid w:val="00CE6A6C"/>
    <w:rsid w:val="00CF2256"/>
    <w:rsid w:val="00CF26E5"/>
    <w:rsid w:val="00CF3A4B"/>
    <w:rsid w:val="00CF56B2"/>
    <w:rsid w:val="00CF6423"/>
    <w:rsid w:val="00D00EC5"/>
    <w:rsid w:val="00D00EC6"/>
    <w:rsid w:val="00D015A3"/>
    <w:rsid w:val="00D01777"/>
    <w:rsid w:val="00D02582"/>
    <w:rsid w:val="00D036FF"/>
    <w:rsid w:val="00D03AC3"/>
    <w:rsid w:val="00D11E65"/>
    <w:rsid w:val="00D21CA5"/>
    <w:rsid w:val="00D27E19"/>
    <w:rsid w:val="00D30CCD"/>
    <w:rsid w:val="00D31868"/>
    <w:rsid w:val="00D364C8"/>
    <w:rsid w:val="00D37889"/>
    <w:rsid w:val="00D42184"/>
    <w:rsid w:val="00D42C3D"/>
    <w:rsid w:val="00D442B0"/>
    <w:rsid w:val="00D4449B"/>
    <w:rsid w:val="00D466E3"/>
    <w:rsid w:val="00D4789D"/>
    <w:rsid w:val="00D54F5C"/>
    <w:rsid w:val="00D55071"/>
    <w:rsid w:val="00D55F17"/>
    <w:rsid w:val="00D57DAE"/>
    <w:rsid w:val="00D64090"/>
    <w:rsid w:val="00D70C9C"/>
    <w:rsid w:val="00D7425A"/>
    <w:rsid w:val="00D748EB"/>
    <w:rsid w:val="00D75A9B"/>
    <w:rsid w:val="00D77041"/>
    <w:rsid w:val="00D81768"/>
    <w:rsid w:val="00D83927"/>
    <w:rsid w:val="00D8406A"/>
    <w:rsid w:val="00D86B93"/>
    <w:rsid w:val="00D9067D"/>
    <w:rsid w:val="00DA07EA"/>
    <w:rsid w:val="00DA1A1F"/>
    <w:rsid w:val="00DA3F4D"/>
    <w:rsid w:val="00DA6CCB"/>
    <w:rsid w:val="00DA7F99"/>
    <w:rsid w:val="00DB05AF"/>
    <w:rsid w:val="00DB1008"/>
    <w:rsid w:val="00DB5C85"/>
    <w:rsid w:val="00DB653F"/>
    <w:rsid w:val="00DB6741"/>
    <w:rsid w:val="00DB6D93"/>
    <w:rsid w:val="00DB7A4B"/>
    <w:rsid w:val="00DC20E9"/>
    <w:rsid w:val="00DC2373"/>
    <w:rsid w:val="00DC47ED"/>
    <w:rsid w:val="00DC5352"/>
    <w:rsid w:val="00DC58CC"/>
    <w:rsid w:val="00DC6405"/>
    <w:rsid w:val="00DD0546"/>
    <w:rsid w:val="00DD2D45"/>
    <w:rsid w:val="00DD57FF"/>
    <w:rsid w:val="00DD5BD3"/>
    <w:rsid w:val="00DD7161"/>
    <w:rsid w:val="00DE3342"/>
    <w:rsid w:val="00DE7E67"/>
    <w:rsid w:val="00DF2D7C"/>
    <w:rsid w:val="00DF4CDE"/>
    <w:rsid w:val="00DF4D89"/>
    <w:rsid w:val="00DF5927"/>
    <w:rsid w:val="00DF6020"/>
    <w:rsid w:val="00DF7459"/>
    <w:rsid w:val="00E0111C"/>
    <w:rsid w:val="00E04227"/>
    <w:rsid w:val="00E04963"/>
    <w:rsid w:val="00E06D3C"/>
    <w:rsid w:val="00E10AD5"/>
    <w:rsid w:val="00E11430"/>
    <w:rsid w:val="00E12219"/>
    <w:rsid w:val="00E13BA5"/>
    <w:rsid w:val="00E146C8"/>
    <w:rsid w:val="00E15375"/>
    <w:rsid w:val="00E16123"/>
    <w:rsid w:val="00E17F7C"/>
    <w:rsid w:val="00E21014"/>
    <w:rsid w:val="00E216D3"/>
    <w:rsid w:val="00E239A7"/>
    <w:rsid w:val="00E242FD"/>
    <w:rsid w:val="00E264B9"/>
    <w:rsid w:val="00E37240"/>
    <w:rsid w:val="00E373A6"/>
    <w:rsid w:val="00E40557"/>
    <w:rsid w:val="00E44B44"/>
    <w:rsid w:val="00E53974"/>
    <w:rsid w:val="00E574B4"/>
    <w:rsid w:val="00E60E6C"/>
    <w:rsid w:val="00E62F72"/>
    <w:rsid w:val="00E66325"/>
    <w:rsid w:val="00E666BC"/>
    <w:rsid w:val="00E67A18"/>
    <w:rsid w:val="00E67FF4"/>
    <w:rsid w:val="00E70AED"/>
    <w:rsid w:val="00E72867"/>
    <w:rsid w:val="00E765EF"/>
    <w:rsid w:val="00E76E08"/>
    <w:rsid w:val="00E82A45"/>
    <w:rsid w:val="00E82E2F"/>
    <w:rsid w:val="00E8715D"/>
    <w:rsid w:val="00E915F4"/>
    <w:rsid w:val="00E95201"/>
    <w:rsid w:val="00E95940"/>
    <w:rsid w:val="00E975CD"/>
    <w:rsid w:val="00EA0C48"/>
    <w:rsid w:val="00EB0F73"/>
    <w:rsid w:val="00EB354A"/>
    <w:rsid w:val="00EB3EC3"/>
    <w:rsid w:val="00EB417D"/>
    <w:rsid w:val="00EB4853"/>
    <w:rsid w:val="00EB4C3C"/>
    <w:rsid w:val="00EB617F"/>
    <w:rsid w:val="00ED0028"/>
    <w:rsid w:val="00ED1C1C"/>
    <w:rsid w:val="00ED68A9"/>
    <w:rsid w:val="00ED6DED"/>
    <w:rsid w:val="00EE4536"/>
    <w:rsid w:val="00EE68CF"/>
    <w:rsid w:val="00EF030C"/>
    <w:rsid w:val="00EF1108"/>
    <w:rsid w:val="00EF62FE"/>
    <w:rsid w:val="00F0628D"/>
    <w:rsid w:val="00F06985"/>
    <w:rsid w:val="00F110F2"/>
    <w:rsid w:val="00F12A30"/>
    <w:rsid w:val="00F13C09"/>
    <w:rsid w:val="00F15988"/>
    <w:rsid w:val="00F16365"/>
    <w:rsid w:val="00F17F84"/>
    <w:rsid w:val="00F23CF4"/>
    <w:rsid w:val="00F273BA"/>
    <w:rsid w:val="00F32742"/>
    <w:rsid w:val="00F4116B"/>
    <w:rsid w:val="00F422B5"/>
    <w:rsid w:val="00F43629"/>
    <w:rsid w:val="00F4500A"/>
    <w:rsid w:val="00F464AE"/>
    <w:rsid w:val="00F472EC"/>
    <w:rsid w:val="00F47560"/>
    <w:rsid w:val="00F54AB8"/>
    <w:rsid w:val="00F54B28"/>
    <w:rsid w:val="00F61311"/>
    <w:rsid w:val="00F63F66"/>
    <w:rsid w:val="00F63F75"/>
    <w:rsid w:val="00F64DE1"/>
    <w:rsid w:val="00F65129"/>
    <w:rsid w:val="00F705E8"/>
    <w:rsid w:val="00F70EAB"/>
    <w:rsid w:val="00F72758"/>
    <w:rsid w:val="00F764CC"/>
    <w:rsid w:val="00F83AE6"/>
    <w:rsid w:val="00F84A6B"/>
    <w:rsid w:val="00F8649B"/>
    <w:rsid w:val="00F86A46"/>
    <w:rsid w:val="00F86CE8"/>
    <w:rsid w:val="00F87C39"/>
    <w:rsid w:val="00F91D9F"/>
    <w:rsid w:val="00F937F4"/>
    <w:rsid w:val="00F94807"/>
    <w:rsid w:val="00F94BFC"/>
    <w:rsid w:val="00FA18B0"/>
    <w:rsid w:val="00FA24B3"/>
    <w:rsid w:val="00FA38EA"/>
    <w:rsid w:val="00FB045B"/>
    <w:rsid w:val="00FB2CC9"/>
    <w:rsid w:val="00FB61F9"/>
    <w:rsid w:val="00FB6491"/>
    <w:rsid w:val="00FB7D34"/>
    <w:rsid w:val="00FC2A10"/>
    <w:rsid w:val="00FC2BC2"/>
    <w:rsid w:val="00FC2EF2"/>
    <w:rsid w:val="00FC398E"/>
    <w:rsid w:val="00FC42CD"/>
    <w:rsid w:val="00FC498C"/>
    <w:rsid w:val="00FC5513"/>
    <w:rsid w:val="00FD121F"/>
    <w:rsid w:val="00FD1379"/>
    <w:rsid w:val="00FD7F7B"/>
    <w:rsid w:val="00FD7FFA"/>
    <w:rsid w:val="00FE03F9"/>
    <w:rsid w:val="00FE0B16"/>
    <w:rsid w:val="00FE1504"/>
    <w:rsid w:val="00FE5794"/>
    <w:rsid w:val="00FF07BE"/>
    <w:rsid w:val="00FF0F14"/>
    <w:rsid w:val="00FF2B96"/>
    <w:rsid w:val="00FF511E"/>
    <w:rsid w:val="00FF58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240964"/>
    <w:rPr>
      <w:rFonts w:ascii="Times New Roman" w:hAnsi="Times New Roman"/>
      <w:sz w:val="24"/>
      <w:szCs w:val="24"/>
    </w:rPr>
  </w:style>
  <w:style w:type="paragraph" w:styleId="Virsraksts1">
    <w:name w:val="heading 1"/>
    <w:basedOn w:val="Parasts"/>
    <w:next w:val="Parasts"/>
    <w:link w:val="Virsraksts1Rakstz"/>
    <w:uiPriority w:val="9"/>
    <w:qFormat/>
    <w:rsid w:val="00CD46F5"/>
    <w:pPr>
      <w:keepNext/>
      <w:spacing w:before="240" w:after="60"/>
      <w:outlineLvl w:val="0"/>
    </w:pPr>
    <w:rPr>
      <w:rFonts w:ascii="Cambria" w:eastAsia="Times New Roman" w:hAnsi="Cambria"/>
      <w:b/>
      <w:bCs/>
      <w:kern w:val="32"/>
      <w:sz w:val="32"/>
      <w:szCs w:val="32"/>
      <w:lang w:val="x-none" w:eastAsia="x-none"/>
    </w:rPr>
  </w:style>
  <w:style w:type="paragraph" w:styleId="Virsraksts4">
    <w:name w:val="heading 4"/>
    <w:basedOn w:val="Parasts"/>
    <w:next w:val="Pamatteksts"/>
    <w:link w:val="Virsraksts4Rakstz"/>
    <w:uiPriority w:val="99"/>
    <w:qFormat/>
    <w:rsid w:val="00240964"/>
    <w:pPr>
      <w:numPr>
        <w:ilvl w:val="3"/>
        <w:numId w:val="1"/>
      </w:numPr>
      <w:suppressAutoHyphens/>
      <w:spacing w:before="280" w:after="280"/>
      <w:outlineLvl w:val="3"/>
    </w:pPr>
    <w:rPr>
      <w:rFonts w:eastAsia="Times New Roman"/>
      <w:b/>
      <w:bCs/>
      <w:kern w:val="1"/>
      <w:lang w:val="x-non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6A58CE"/>
    <w:rPr>
      <w:rFonts w:ascii="Cambria" w:eastAsia="Times New Roman" w:hAnsi="Cambria" w:cs="Times New Roman"/>
      <w:b/>
      <w:bCs/>
      <w:kern w:val="32"/>
      <w:sz w:val="32"/>
      <w:szCs w:val="32"/>
    </w:rPr>
  </w:style>
  <w:style w:type="character" w:customStyle="1" w:styleId="Heading4Char">
    <w:name w:val="Heading 4 Char"/>
    <w:uiPriority w:val="9"/>
    <w:semiHidden/>
    <w:rsid w:val="006A58CE"/>
    <w:rPr>
      <w:rFonts w:ascii="Calibri" w:eastAsia="Times New Roman" w:hAnsi="Calibri" w:cs="Times New Roman"/>
      <w:b/>
      <w:bCs/>
      <w:sz w:val="28"/>
      <w:szCs w:val="28"/>
    </w:rPr>
  </w:style>
  <w:style w:type="paragraph" w:customStyle="1" w:styleId="naislab">
    <w:name w:val="naislab"/>
    <w:basedOn w:val="Parasts"/>
    <w:uiPriority w:val="99"/>
    <w:rsid w:val="00240964"/>
    <w:pPr>
      <w:spacing w:before="75" w:after="75"/>
      <w:jc w:val="right"/>
    </w:pPr>
  </w:style>
  <w:style w:type="paragraph" w:customStyle="1" w:styleId="naiskr">
    <w:name w:val="naiskr"/>
    <w:basedOn w:val="Parasts"/>
    <w:rsid w:val="00240964"/>
    <w:pPr>
      <w:spacing w:before="75" w:after="75"/>
    </w:pPr>
  </w:style>
  <w:style w:type="paragraph" w:styleId="Galvene">
    <w:name w:val="header"/>
    <w:basedOn w:val="Parasts"/>
    <w:link w:val="GalveneRakstz"/>
    <w:uiPriority w:val="99"/>
    <w:rsid w:val="00240964"/>
    <w:pPr>
      <w:tabs>
        <w:tab w:val="center" w:pos="4153"/>
        <w:tab w:val="right" w:pos="8306"/>
      </w:tabs>
    </w:pPr>
    <w:rPr>
      <w:rFonts w:eastAsia="Times New Roman"/>
      <w:lang w:val="x-none"/>
    </w:rPr>
  </w:style>
  <w:style w:type="character" w:customStyle="1" w:styleId="HeaderChar">
    <w:name w:val="Header Char"/>
    <w:uiPriority w:val="99"/>
    <w:semiHidden/>
    <w:rsid w:val="006A58CE"/>
    <w:rPr>
      <w:rFonts w:ascii="Times New Roman" w:hAnsi="Times New Roman"/>
      <w:sz w:val="24"/>
      <w:szCs w:val="24"/>
    </w:rPr>
  </w:style>
  <w:style w:type="character" w:customStyle="1" w:styleId="GalveneRakstz">
    <w:name w:val="Galvene Rakstz."/>
    <w:link w:val="Galvene"/>
    <w:uiPriority w:val="99"/>
    <w:locked/>
    <w:rsid w:val="00240964"/>
    <w:rPr>
      <w:rFonts w:ascii="Times New Roman" w:eastAsia="Times New Roman" w:hAnsi="Times New Roman" w:cs="Times New Roman"/>
      <w:sz w:val="24"/>
      <w:szCs w:val="24"/>
      <w:lang w:val="x-none" w:eastAsia="lv-LV"/>
    </w:rPr>
  </w:style>
  <w:style w:type="character" w:styleId="Lappusesnumurs">
    <w:name w:val="page number"/>
    <w:basedOn w:val="Noklusjumarindkopasfonts"/>
    <w:uiPriority w:val="99"/>
    <w:rsid w:val="00240964"/>
  </w:style>
  <w:style w:type="paragraph" w:customStyle="1" w:styleId="naisnod">
    <w:name w:val="naisnod"/>
    <w:basedOn w:val="Parasts"/>
    <w:uiPriority w:val="99"/>
    <w:rsid w:val="00240964"/>
    <w:pPr>
      <w:spacing w:before="150" w:after="150"/>
      <w:jc w:val="center"/>
    </w:pPr>
    <w:rPr>
      <w:b/>
      <w:bCs/>
    </w:rPr>
  </w:style>
  <w:style w:type="paragraph" w:customStyle="1" w:styleId="naisf">
    <w:name w:val="naisf"/>
    <w:basedOn w:val="Parasts"/>
    <w:rsid w:val="00240964"/>
    <w:pPr>
      <w:spacing w:before="75" w:after="75"/>
      <w:ind w:firstLine="375"/>
      <w:jc w:val="both"/>
    </w:pPr>
  </w:style>
  <w:style w:type="paragraph" w:styleId="Kjene">
    <w:name w:val="footer"/>
    <w:basedOn w:val="Parasts"/>
    <w:link w:val="KjeneRakstz"/>
    <w:uiPriority w:val="99"/>
    <w:rsid w:val="00240964"/>
    <w:pPr>
      <w:tabs>
        <w:tab w:val="center" w:pos="4153"/>
        <w:tab w:val="right" w:pos="8306"/>
      </w:tabs>
    </w:pPr>
    <w:rPr>
      <w:rFonts w:eastAsia="Times New Roman"/>
      <w:lang w:val="x-none"/>
    </w:rPr>
  </w:style>
  <w:style w:type="character" w:customStyle="1" w:styleId="FooterChar">
    <w:name w:val="Footer Char"/>
    <w:uiPriority w:val="99"/>
    <w:semiHidden/>
    <w:rsid w:val="006A58CE"/>
    <w:rPr>
      <w:rFonts w:ascii="Times New Roman" w:hAnsi="Times New Roman"/>
      <w:sz w:val="24"/>
      <w:szCs w:val="24"/>
    </w:rPr>
  </w:style>
  <w:style w:type="character" w:customStyle="1" w:styleId="KjeneRakstz">
    <w:name w:val="Kājene Rakstz."/>
    <w:link w:val="Kjene"/>
    <w:uiPriority w:val="99"/>
    <w:locked/>
    <w:rsid w:val="00240964"/>
    <w:rPr>
      <w:rFonts w:ascii="Times New Roman" w:eastAsia="Times New Roman" w:hAnsi="Times New Roman" w:cs="Times New Roman"/>
      <w:sz w:val="24"/>
      <w:szCs w:val="24"/>
      <w:lang w:val="x-none" w:eastAsia="lv-LV"/>
    </w:rPr>
  </w:style>
  <w:style w:type="character" w:customStyle="1" w:styleId="Virsraksts4Rakstz">
    <w:name w:val="Virsraksts 4 Rakstz."/>
    <w:link w:val="Virsraksts4"/>
    <w:uiPriority w:val="99"/>
    <w:locked/>
    <w:rsid w:val="00240964"/>
    <w:rPr>
      <w:rFonts w:ascii="Times New Roman" w:eastAsia="Times New Roman" w:hAnsi="Times New Roman" w:cs="Times New Roman"/>
      <w:b/>
      <w:bCs/>
      <w:kern w:val="1"/>
      <w:sz w:val="24"/>
      <w:szCs w:val="24"/>
      <w:lang w:val="x-none" w:eastAsia="ar-SA" w:bidi="ar-SA"/>
    </w:rPr>
  </w:style>
  <w:style w:type="paragraph" w:styleId="Pamattekstsaratkpi">
    <w:name w:val="Body Text Indent"/>
    <w:basedOn w:val="Parasts"/>
    <w:link w:val="PamattekstsaratkpiRakstz"/>
    <w:uiPriority w:val="99"/>
    <w:rsid w:val="00240964"/>
    <w:pPr>
      <w:spacing w:after="120"/>
      <w:ind w:left="283"/>
    </w:pPr>
    <w:rPr>
      <w:rFonts w:eastAsia="Times New Roman"/>
      <w:lang w:val="x-none" w:eastAsia="x-none"/>
    </w:rPr>
  </w:style>
  <w:style w:type="character" w:customStyle="1" w:styleId="BodyTextIndentChar">
    <w:name w:val="Body Text Indent Char"/>
    <w:uiPriority w:val="99"/>
    <w:semiHidden/>
    <w:rsid w:val="006A58CE"/>
    <w:rPr>
      <w:rFonts w:ascii="Times New Roman" w:hAnsi="Times New Roman"/>
      <w:sz w:val="24"/>
      <w:szCs w:val="24"/>
    </w:rPr>
  </w:style>
  <w:style w:type="character" w:customStyle="1" w:styleId="PamattekstsaratkpiRakstz">
    <w:name w:val="Pamatteksts ar atkāpi Rakstz."/>
    <w:link w:val="Pamattekstsaratkpi"/>
    <w:uiPriority w:val="99"/>
    <w:locked/>
    <w:rsid w:val="00240964"/>
    <w:rPr>
      <w:rFonts w:ascii="Times New Roman" w:eastAsia="Times New Roman" w:hAnsi="Times New Roman" w:cs="Times New Roman"/>
      <w:sz w:val="24"/>
      <w:szCs w:val="24"/>
    </w:rPr>
  </w:style>
  <w:style w:type="paragraph" w:styleId="Pamatteksts">
    <w:name w:val="Body Text"/>
    <w:basedOn w:val="Parasts"/>
    <w:link w:val="PamattekstsRakstz"/>
    <w:uiPriority w:val="99"/>
    <w:semiHidden/>
    <w:rsid w:val="00240964"/>
    <w:pPr>
      <w:spacing w:after="120"/>
    </w:pPr>
    <w:rPr>
      <w:rFonts w:eastAsia="Times New Roman"/>
      <w:lang w:val="x-none"/>
    </w:rPr>
  </w:style>
  <w:style w:type="character" w:customStyle="1" w:styleId="BodyTextChar">
    <w:name w:val="Body Text Char"/>
    <w:uiPriority w:val="99"/>
    <w:semiHidden/>
    <w:rsid w:val="006A58CE"/>
    <w:rPr>
      <w:rFonts w:ascii="Times New Roman" w:hAnsi="Times New Roman"/>
      <w:sz w:val="24"/>
      <w:szCs w:val="24"/>
    </w:rPr>
  </w:style>
  <w:style w:type="character" w:customStyle="1" w:styleId="PamattekstsRakstz">
    <w:name w:val="Pamatteksts Rakstz."/>
    <w:link w:val="Pamatteksts"/>
    <w:uiPriority w:val="99"/>
    <w:semiHidden/>
    <w:locked/>
    <w:rsid w:val="00240964"/>
    <w:rPr>
      <w:rFonts w:ascii="Times New Roman" w:eastAsia="Times New Roman" w:hAnsi="Times New Roman" w:cs="Times New Roman"/>
      <w:sz w:val="24"/>
      <w:szCs w:val="24"/>
      <w:lang w:val="x-none" w:eastAsia="lv-LV"/>
    </w:rPr>
  </w:style>
  <w:style w:type="paragraph" w:styleId="Paraststmeklis">
    <w:name w:val="Normal (Web)"/>
    <w:aliases w:val="Parastais (Web)"/>
    <w:basedOn w:val="Parasts"/>
    <w:uiPriority w:val="99"/>
    <w:rsid w:val="00240964"/>
    <w:pPr>
      <w:suppressAutoHyphens/>
      <w:spacing w:before="280" w:after="280"/>
      <w:jc w:val="both"/>
    </w:pPr>
    <w:rPr>
      <w:color w:val="000000"/>
      <w:kern w:val="1"/>
      <w:sz w:val="20"/>
      <w:szCs w:val="20"/>
      <w:lang w:eastAsia="ar-SA"/>
    </w:rPr>
  </w:style>
  <w:style w:type="paragraph" w:styleId="Balonteksts">
    <w:name w:val="Balloon Text"/>
    <w:basedOn w:val="Parasts"/>
    <w:link w:val="BalontekstsRakstz"/>
    <w:uiPriority w:val="99"/>
    <w:semiHidden/>
    <w:rsid w:val="005B235E"/>
    <w:rPr>
      <w:rFonts w:ascii="Tahoma" w:eastAsia="Times New Roman" w:hAnsi="Tahoma"/>
      <w:sz w:val="16"/>
      <w:szCs w:val="16"/>
      <w:lang w:val="x-none" w:eastAsia="x-none"/>
    </w:rPr>
  </w:style>
  <w:style w:type="character" w:customStyle="1" w:styleId="BalloonTextChar">
    <w:name w:val="Balloon Text Char"/>
    <w:uiPriority w:val="99"/>
    <w:semiHidden/>
    <w:rsid w:val="006A58CE"/>
    <w:rPr>
      <w:rFonts w:ascii="Times New Roman" w:hAnsi="Times New Roman"/>
      <w:sz w:val="0"/>
      <w:szCs w:val="0"/>
    </w:rPr>
  </w:style>
  <w:style w:type="character" w:customStyle="1" w:styleId="BalontekstsRakstz">
    <w:name w:val="Balonteksts Rakstz."/>
    <w:link w:val="Balonteksts"/>
    <w:uiPriority w:val="99"/>
    <w:semiHidden/>
    <w:locked/>
    <w:rsid w:val="005B235E"/>
    <w:rPr>
      <w:rFonts w:ascii="Tahoma" w:eastAsia="Times New Roman" w:hAnsi="Tahoma" w:cs="Tahoma"/>
      <w:sz w:val="16"/>
      <w:szCs w:val="16"/>
    </w:rPr>
  </w:style>
  <w:style w:type="paragraph" w:customStyle="1" w:styleId="Bezatstarpm1">
    <w:name w:val="Bez atstarpēm1"/>
    <w:uiPriority w:val="99"/>
    <w:qFormat/>
    <w:rsid w:val="001D2997"/>
    <w:rPr>
      <w:rFonts w:eastAsia="Times New Roman" w:cs="Calibri"/>
      <w:sz w:val="22"/>
      <w:szCs w:val="22"/>
      <w:lang w:eastAsia="en-US"/>
    </w:rPr>
  </w:style>
  <w:style w:type="paragraph" w:customStyle="1" w:styleId="naisc">
    <w:name w:val="naisc"/>
    <w:basedOn w:val="Parasts"/>
    <w:rsid w:val="009F6AF7"/>
    <w:pPr>
      <w:spacing w:before="100" w:beforeAutospacing="1" w:after="100" w:afterAutospacing="1"/>
    </w:pPr>
  </w:style>
  <w:style w:type="paragraph" w:customStyle="1" w:styleId="Char">
    <w:name w:val="Char"/>
    <w:basedOn w:val="Parasts"/>
    <w:next w:val="Parasts"/>
    <w:uiPriority w:val="99"/>
    <w:rsid w:val="007922C9"/>
    <w:pPr>
      <w:spacing w:after="160" w:line="240" w:lineRule="exact"/>
    </w:pPr>
    <w:rPr>
      <w:rFonts w:ascii="Tahoma" w:hAnsi="Tahoma" w:cs="Tahoma"/>
      <w:lang w:val="en-US" w:eastAsia="en-US"/>
    </w:rPr>
  </w:style>
  <w:style w:type="paragraph" w:styleId="Vresteksts">
    <w:name w:val="footnote text"/>
    <w:basedOn w:val="Parasts"/>
    <w:link w:val="VrestekstsRakstz"/>
    <w:uiPriority w:val="99"/>
    <w:semiHidden/>
    <w:rsid w:val="000C593F"/>
    <w:rPr>
      <w:sz w:val="20"/>
      <w:szCs w:val="20"/>
      <w:lang w:val="x-none" w:eastAsia="x-none"/>
    </w:rPr>
  </w:style>
  <w:style w:type="character" w:customStyle="1" w:styleId="VrestekstsRakstz">
    <w:name w:val="Vēres teksts Rakstz."/>
    <w:link w:val="Vresteksts"/>
    <w:uiPriority w:val="99"/>
    <w:semiHidden/>
    <w:rsid w:val="006A58CE"/>
    <w:rPr>
      <w:rFonts w:ascii="Times New Roman" w:hAnsi="Times New Roman"/>
      <w:sz w:val="20"/>
      <w:szCs w:val="20"/>
    </w:rPr>
  </w:style>
  <w:style w:type="character" w:styleId="Vresatsauce">
    <w:name w:val="footnote reference"/>
    <w:uiPriority w:val="99"/>
    <w:semiHidden/>
    <w:rsid w:val="000C593F"/>
    <w:rPr>
      <w:vertAlign w:val="superscript"/>
    </w:rPr>
  </w:style>
  <w:style w:type="character" w:styleId="Hipersaite">
    <w:name w:val="Hyperlink"/>
    <w:uiPriority w:val="99"/>
    <w:unhideWhenUsed/>
    <w:rsid w:val="00C07D38"/>
    <w:rPr>
      <w:color w:val="0000FF"/>
      <w:u w:val="single"/>
    </w:rPr>
  </w:style>
  <w:style w:type="character" w:styleId="Izteiksmgs">
    <w:name w:val="Strong"/>
    <w:uiPriority w:val="22"/>
    <w:qFormat/>
    <w:rsid w:val="00695D92"/>
    <w:rPr>
      <w:b/>
      <w:bCs/>
    </w:rPr>
  </w:style>
  <w:style w:type="paragraph" w:customStyle="1" w:styleId="RakstzCharCharRakstzCharCharRakstz">
    <w:name w:val="Rakstz. Char Char Rakstz. Char Char Rakstz."/>
    <w:basedOn w:val="Parasts"/>
    <w:rsid w:val="00C2521A"/>
    <w:pPr>
      <w:spacing w:after="160" w:line="240" w:lineRule="exact"/>
    </w:pPr>
    <w:rPr>
      <w:rFonts w:ascii="Tahoma" w:eastAsia="Times New Roman" w:hAnsi="Tahoma"/>
      <w:sz w:val="20"/>
      <w:szCs w:val="20"/>
      <w:lang w:val="en-US" w:eastAsia="en-US"/>
    </w:rPr>
  </w:style>
  <w:style w:type="paragraph" w:customStyle="1" w:styleId="naispant">
    <w:name w:val="naispant"/>
    <w:basedOn w:val="Parasts"/>
    <w:rsid w:val="00584ECF"/>
    <w:pPr>
      <w:spacing w:before="100" w:beforeAutospacing="1" w:after="100" w:afterAutospacing="1"/>
    </w:pPr>
    <w:rPr>
      <w:rFonts w:eastAsia="Times New Roman"/>
    </w:rPr>
  </w:style>
  <w:style w:type="paragraph" w:styleId="Bezatstarpm">
    <w:name w:val="No Spacing"/>
    <w:uiPriority w:val="1"/>
    <w:qFormat/>
    <w:rsid w:val="002669B3"/>
    <w:rPr>
      <w:sz w:val="22"/>
      <w:szCs w:val="22"/>
      <w:lang w:eastAsia="en-US"/>
    </w:rPr>
  </w:style>
  <w:style w:type="paragraph" w:customStyle="1" w:styleId="RakstzCharCharRakstzCharCharRakstz0">
    <w:name w:val="Rakstz. Char Char Rakstz. Char Char Rakstz."/>
    <w:basedOn w:val="Parasts"/>
    <w:rsid w:val="00F4116B"/>
    <w:pPr>
      <w:spacing w:after="160" w:line="240" w:lineRule="exact"/>
    </w:pPr>
    <w:rPr>
      <w:rFonts w:ascii="Tahoma" w:eastAsia="Times New Roman" w:hAnsi="Tahoma"/>
      <w:sz w:val="20"/>
      <w:szCs w:val="20"/>
      <w:lang w:val="en-US" w:eastAsia="en-US"/>
    </w:rPr>
  </w:style>
  <w:style w:type="character" w:styleId="Komentraatsauce">
    <w:name w:val="annotation reference"/>
    <w:basedOn w:val="Noklusjumarindkopasfonts"/>
    <w:uiPriority w:val="99"/>
    <w:semiHidden/>
    <w:unhideWhenUsed/>
    <w:rsid w:val="00083D61"/>
    <w:rPr>
      <w:sz w:val="16"/>
      <w:szCs w:val="16"/>
    </w:rPr>
  </w:style>
  <w:style w:type="paragraph" w:styleId="Komentrateksts">
    <w:name w:val="annotation text"/>
    <w:basedOn w:val="Parasts"/>
    <w:link w:val="KomentratekstsRakstz"/>
    <w:uiPriority w:val="99"/>
    <w:semiHidden/>
    <w:unhideWhenUsed/>
    <w:rsid w:val="00083D61"/>
    <w:rPr>
      <w:sz w:val="20"/>
      <w:szCs w:val="20"/>
    </w:rPr>
  </w:style>
  <w:style w:type="character" w:customStyle="1" w:styleId="KomentratekstsRakstz">
    <w:name w:val="Komentāra teksts Rakstz."/>
    <w:basedOn w:val="Noklusjumarindkopasfonts"/>
    <w:link w:val="Komentrateksts"/>
    <w:uiPriority w:val="99"/>
    <w:semiHidden/>
    <w:rsid w:val="00083D61"/>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083D61"/>
    <w:rPr>
      <w:b/>
      <w:bCs/>
    </w:rPr>
  </w:style>
  <w:style w:type="character" w:customStyle="1" w:styleId="KomentratmaRakstz">
    <w:name w:val="Komentāra tēma Rakstz."/>
    <w:basedOn w:val="KomentratekstsRakstz"/>
    <w:link w:val="Komentratma"/>
    <w:uiPriority w:val="99"/>
    <w:semiHidden/>
    <w:rsid w:val="00083D61"/>
    <w:rPr>
      <w:rFonts w:ascii="Times New Roman" w:hAnsi="Times New Roman"/>
      <w:b/>
      <w:bCs/>
    </w:rPr>
  </w:style>
  <w:style w:type="paragraph" w:styleId="Sarakstarindkopa">
    <w:name w:val="List Paragraph"/>
    <w:basedOn w:val="Parasts"/>
    <w:uiPriority w:val="34"/>
    <w:qFormat/>
    <w:rsid w:val="008F5E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aliases w:val="Parastais"/>
    <w:qFormat/>
    <w:rsid w:val="00240964"/>
    <w:rPr>
      <w:rFonts w:ascii="Times New Roman" w:hAnsi="Times New Roman"/>
      <w:sz w:val="24"/>
      <w:szCs w:val="24"/>
    </w:rPr>
  </w:style>
  <w:style w:type="paragraph" w:styleId="Virsraksts1">
    <w:name w:val="heading 1"/>
    <w:basedOn w:val="Parasts"/>
    <w:next w:val="Parasts"/>
    <w:link w:val="Virsraksts1Rakstz"/>
    <w:uiPriority w:val="9"/>
    <w:qFormat/>
    <w:rsid w:val="00CD46F5"/>
    <w:pPr>
      <w:keepNext/>
      <w:spacing w:before="240" w:after="60"/>
      <w:outlineLvl w:val="0"/>
    </w:pPr>
    <w:rPr>
      <w:rFonts w:ascii="Cambria" w:eastAsia="Times New Roman" w:hAnsi="Cambria"/>
      <w:b/>
      <w:bCs/>
      <w:kern w:val="32"/>
      <w:sz w:val="32"/>
      <w:szCs w:val="32"/>
      <w:lang w:val="x-none" w:eastAsia="x-none"/>
    </w:rPr>
  </w:style>
  <w:style w:type="paragraph" w:styleId="Virsraksts4">
    <w:name w:val="heading 4"/>
    <w:basedOn w:val="Parasts"/>
    <w:next w:val="Pamatteksts"/>
    <w:link w:val="Virsraksts4Rakstz"/>
    <w:uiPriority w:val="99"/>
    <w:qFormat/>
    <w:rsid w:val="00240964"/>
    <w:pPr>
      <w:numPr>
        <w:ilvl w:val="3"/>
        <w:numId w:val="1"/>
      </w:numPr>
      <w:suppressAutoHyphens/>
      <w:spacing w:before="280" w:after="280"/>
      <w:outlineLvl w:val="3"/>
    </w:pPr>
    <w:rPr>
      <w:rFonts w:eastAsia="Times New Roman"/>
      <w:b/>
      <w:bCs/>
      <w:kern w:val="1"/>
      <w:lang w:val="x-non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6A58CE"/>
    <w:rPr>
      <w:rFonts w:ascii="Cambria" w:eastAsia="Times New Roman" w:hAnsi="Cambria" w:cs="Times New Roman"/>
      <w:b/>
      <w:bCs/>
      <w:kern w:val="32"/>
      <w:sz w:val="32"/>
      <w:szCs w:val="32"/>
    </w:rPr>
  </w:style>
  <w:style w:type="character" w:customStyle="1" w:styleId="Heading4Char">
    <w:name w:val="Heading 4 Char"/>
    <w:uiPriority w:val="9"/>
    <w:semiHidden/>
    <w:rsid w:val="006A58CE"/>
    <w:rPr>
      <w:rFonts w:ascii="Calibri" w:eastAsia="Times New Roman" w:hAnsi="Calibri" w:cs="Times New Roman"/>
      <w:b/>
      <w:bCs/>
      <w:sz w:val="28"/>
      <w:szCs w:val="28"/>
    </w:rPr>
  </w:style>
  <w:style w:type="paragraph" w:customStyle="1" w:styleId="naislab">
    <w:name w:val="naislab"/>
    <w:basedOn w:val="Parasts"/>
    <w:uiPriority w:val="99"/>
    <w:rsid w:val="00240964"/>
    <w:pPr>
      <w:spacing w:before="75" w:after="75"/>
      <w:jc w:val="right"/>
    </w:pPr>
  </w:style>
  <w:style w:type="paragraph" w:customStyle="1" w:styleId="naiskr">
    <w:name w:val="naiskr"/>
    <w:basedOn w:val="Parasts"/>
    <w:rsid w:val="00240964"/>
    <w:pPr>
      <w:spacing w:before="75" w:after="75"/>
    </w:pPr>
  </w:style>
  <w:style w:type="paragraph" w:styleId="Galvene">
    <w:name w:val="header"/>
    <w:basedOn w:val="Parasts"/>
    <w:link w:val="GalveneRakstz"/>
    <w:uiPriority w:val="99"/>
    <w:rsid w:val="00240964"/>
    <w:pPr>
      <w:tabs>
        <w:tab w:val="center" w:pos="4153"/>
        <w:tab w:val="right" w:pos="8306"/>
      </w:tabs>
    </w:pPr>
    <w:rPr>
      <w:rFonts w:eastAsia="Times New Roman"/>
      <w:lang w:val="x-none"/>
    </w:rPr>
  </w:style>
  <w:style w:type="character" w:customStyle="1" w:styleId="HeaderChar">
    <w:name w:val="Header Char"/>
    <w:uiPriority w:val="99"/>
    <w:semiHidden/>
    <w:rsid w:val="006A58CE"/>
    <w:rPr>
      <w:rFonts w:ascii="Times New Roman" w:hAnsi="Times New Roman"/>
      <w:sz w:val="24"/>
      <w:szCs w:val="24"/>
    </w:rPr>
  </w:style>
  <w:style w:type="character" w:customStyle="1" w:styleId="GalveneRakstz">
    <w:name w:val="Galvene Rakstz."/>
    <w:link w:val="Galvene"/>
    <w:uiPriority w:val="99"/>
    <w:locked/>
    <w:rsid w:val="00240964"/>
    <w:rPr>
      <w:rFonts w:ascii="Times New Roman" w:eastAsia="Times New Roman" w:hAnsi="Times New Roman" w:cs="Times New Roman"/>
      <w:sz w:val="24"/>
      <w:szCs w:val="24"/>
      <w:lang w:val="x-none" w:eastAsia="lv-LV"/>
    </w:rPr>
  </w:style>
  <w:style w:type="character" w:styleId="Lappusesnumurs">
    <w:name w:val="page number"/>
    <w:basedOn w:val="Noklusjumarindkopasfonts"/>
    <w:uiPriority w:val="99"/>
    <w:rsid w:val="00240964"/>
  </w:style>
  <w:style w:type="paragraph" w:customStyle="1" w:styleId="naisnod">
    <w:name w:val="naisnod"/>
    <w:basedOn w:val="Parasts"/>
    <w:uiPriority w:val="99"/>
    <w:rsid w:val="00240964"/>
    <w:pPr>
      <w:spacing w:before="150" w:after="150"/>
      <w:jc w:val="center"/>
    </w:pPr>
    <w:rPr>
      <w:b/>
      <w:bCs/>
    </w:rPr>
  </w:style>
  <w:style w:type="paragraph" w:customStyle="1" w:styleId="naisf">
    <w:name w:val="naisf"/>
    <w:basedOn w:val="Parasts"/>
    <w:rsid w:val="00240964"/>
    <w:pPr>
      <w:spacing w:before="75" w:after="75"/>
      <w:ind w:firstLine="375"/>
      <w:jc w:val="both"/>
    </w:pPr>
  </w:style>
  <w:style w:type="paragraph" w:styleId="Kjene">
    <w:name w:val="footer"/>
    <w:basedOn w:val="Parasts"/>
    <w:link w:val="KjeneRakstz"/>
    <w:uiPriority w:val="99"/>
    <w:rsid w:val="00240964"/>
    <w:pPr>
      <w:tabs>
        <w:tab w:val="center" w:pos="4153"/>
        <w:tab w:val="right" w:pos="8306"/>
      </w:tabs>
    </w:pPr>
    <w:rPr>
      <w:rFonts w:eastAsia="Times New Roman"/>
      <w:lang w:val="x-none"/>
    </w:rPr>
  </w:style>
  <w:style w:type="character" w:customStyle="1" w:styleId="FooterChar">
    <w:name w:val="Footer Char"/>
    <w:uiPriority w:val="99"/>
    <w:semiHidden/>
    <w:rsid w:val="006A58CE"/>
    <w:rPr>
      <w:rFonts w:ascii="Times New Roman" w:hAnsi="Times New Roman"/>
      <w:sz w:val="24"/>
      <w:szCs w:val="24"/>
    </w:rPr>
  </w:style>
  <w:style w:type="character" w:customStyle="1" w:styleId="KjeneRakstz">
    <w:name w:val="Kājene Rakstz."/>
    <w:link w:val="Kjene"/>
    <w:uiPriority w:val="99"/>
    <w:locked/>
    <w:rsid w:val="00240964"/>
    <w:rPr>
      <w:rFonts w:ascii="Times New Roman" w:eastAsia="Times New Roman" w:hAnsi="Times New Roman" w:cs="Times New Roman"/>
      <w:sz w:val="24"/>
      <w:szCs w:val="24"/>
      <w:lang w:val="x-none" w:eastAsia="lv-LV"/>
    </w:rPr>
  </w:style>
  <w:style w:type="character" w:customStyle="1" w:styleId="Virsraksts4Rakstz">
    <w:name w:val="Virsraksts 4 Rakstz."/>
    <w:link w:val="Virsraksts4"/>
    <w:uiPriority w:val="99"/>
    <w:locked/>
    <w:rsid w:val="00240964"/>
    <w:rPr>
      <w:rFonts w:ascii="Times New Roman" w:eastAsia="Times New Roman" w:hAnsi="Times New Roman" w:cs="Times New Roman"/>
      <w:b/>
      <w:bCs/>
      <w:kern w:val="1"/>
      <w:sz w:val="24"/>
      <w:szCs w:val="24"/>
      <w:lang w:val="x-none" w:eastAsia="ar-SA" w:bidi="ar-SA"/>
    </w:rPr>
  </w:style>
  <w:style w:type="paragraph" w:styleId="Pamattekstsaratkpi">
    <w:name w:val="Body Text Indent"/>
    <w:basedOn w:val="Parasts"/>
    <w:link w:val="PamattekstsaratkpiRakstz"/>
    <w:uiPriority w:val="99"/>
    <w:rsid w:val="00240964"/>
    <w:pPr>
      <w:spacing w:after="120"/>
      <w:ind w:left="283"/>
    </w:pPr>
    <w:rPr>
      <w:rFonts w:eastAsia="Times New Roman"/>
      <w:lang w:val="x-none" w:eastAsia="x-none"/>
    </w:rPr>
  </w:style>
  <w:style w:type="character" w:customStyle="1" w:styleId="BodyTextIndentChar">
    <w:name w:val="Body Text Indent Char"/>
    <w:uiPriority w:val="99"/>
    <w:semiHidden/>
    <w:rsid w:val="006A58CE"/>
    <w:rPr>
      <w:rFonts w:ascii="Times New Roman" w:hAnsi="Times New Roman"/>
      <w:sz w:val="24"/>
      <w:szCs w:val="24"/>
    </w:rPr>
  </w:style>
  <w:style w:type="character" w:customStyle="1" w:styleId="PamattekstsaratkpiRakstz">
    <w:name w:val="Pamatteksts ar atkāpi Rakstz."/>
    <w:link w:val="Pamattekstsaratkpi"/>
    <w:uiPriority w:val="99"/>
    <w:locked/>
    <w:rsid w:val="00240964"/>
    <w:rPr>
      <w:rFonts w:ascii="Times New Roman" w:eastAsia="Times New Roman" w:hAnsi="Times New Roman" w:cs="Times New Roman"/>
      <w:sz w:val="24"/>
      <w:szCs w:val="24"/>
    </w:rPr>
  </w:style>
  <w:style w:type="paragraph" w:styleId="Pamatteksts">
    <w:name w:val="Body Text"/>
    <w:basedOn w:val="Parasts"/>
    <w:link w:val="PamattekstsRakstz"/>
    <w:uiPriority w:val="99"/>
    <w:semiHidden/>
    <w:rsid w:val="00240964"/>
    <w:pPr>
      <w:spacing w:after="120"/>
    </w:pPr>
    <w:rPr>
      <w:rFonts w:eastAsia="Times New Roman"/>
      <w:lang w:val="x-none"/>
    </w:rPr>
  </w:style>
  <w:style w:type="character" w:customStyle="1" w:styleId="BodyTextChar">
    <w:name w:val="Body Text Char"/>
    <w:uiPriority w:val="99"/>
    <w:semiHidden/>
    <w:rsid w:val="006A58CE"/>
    <w:rPr>
      <w:rFonts w:ascii="Times New Roman" w:hAnsi="Times New Roman"/>
      <w:sz w:val="24"/>
      <w:szCs w:val="24"/>
    </w:rPr>
  </w:style>
  <w:style w:type="character" w:customStyle="1" w:styleId="PamattekstsRakstz">
    <w:name w:val="Pamatteksts Rakstz."/>
    <w:link w:val="Pamatteksts"/>
    <w:uiPriority w:val="99"/>
    <w:semiHidden/>
    <w:locked/>
    <w:rsid w:val="00240964"/>
    <w:rPr>
      <w:rFonts w:ascii="Times New Roman" w:eastAsia="Times New Roman" w:hAnsi="Times New Roman" w:cs="Times New Roman"/>
      <w:sz w:val="24"/>
      <w:szCs w:val="24"/>
      <w:lang w:val="x-none" w:eastAsia="lv-LV"/>
    </w:rPr>
  </w:style>
  <w:style w:type="paragraph" w:styleId="Paraststmeklis">
    <w:name w:val="Normal (Web)"/>
    <w:aliases w:val="Parastais (Web)"/>
    <w:basedOn w:val="Parasts"/>
    <w:uiPriority w:val="99"/>
    <w:rsid w:val="00240964"/>
    <w:pPr>
      <w:suppressAutoHyphens/>
      <w:spacing w:before="280" w:after="280"/>
      <w:jc w:val="both"/>
    </w:pPr>
    <w:rPr>
      <w:color w:val="000000"/>
      <w:kern w:val="1"/>
      <w:sz w:val="20"/>
      <w:szCs w:val="20"/>
      <w:lang w:eastAsia="ar-SA"/>
    </w:rPr>
  </w:style>
  <w:style w:type="paragraph" w:styleId="Balonteksts">
    <w:name w:val="Balloon Text"/>
    <w:basedOn w:val="Parasts"/>
    <w:link w:val="BalontekstsRakstz"/>
    <w:uiPriority w:val="99"/>
    <w:semiHidden/>
    <w:rsid w:val="005B235E"/>
    <w:rPr>
      <w:rFonts w:ascii="Tahoma" w:eastAsia="Times New Roman" w:hAnsi="Tahoma"/>
      <w:sz w:val="16"/>
      <w:szCs w:val="16"/>
      <w:lang w:val="x-none" w:eastAsia="x-none"/>
    </w:rPr>
  </w:style>
  <w:style w:type="character" w:customStyle="1" w:styleId="BalloonTextChar">
    <w:name w:val="Balloon Text Char"/>
    <w:uiPriority w:val="99"/>
    <w:semiHidden/>
    <w:rsid w:val="006A58CE"/>
    <w:rPr>
      <w:rFonts w:ascii="Times New Roman" w:hAnsi="Times New Roman"/>
      <w:sz w:val="0"/>
      <w:szCs w:val="0"/>
    </w:rPr>
  </w:style>
  <w:style w:type="character" w:customStyle="1" w:styleId="BalontekstsRakstz">
    <w:name w:val="Balonteksts Rakstz."/>
    <w:link w:val="Balonteksts"/>
    <w:uiPriority w:val="99"/>
    <w:semiHidden/>
    <w:locked/>
    <w:rsid w:val="005B235E"/>
    <w:rPr>
      <w:rFonts w:ascii="Tahoma" w:eastAsia="Times New Roman" w:hAnsi="Tahoma" w:cs="Tahoma"/>
      <w:sz w:val="16"/>
      <w:szCs w:val="16"/>
    </w:rPr>
  </w:style>
  <w:style w:type="paragraph" w:customStyle="1" w:styleId="Bezatstarpm1">
    <w:name w:val="Bez atstarpēm1"/>
    <w:uiPriority w:val="99"/>
    <w:qFormat/>
    <w:rsid w:val="001D2997"/>
    <w:rPr>
      <w:rFonts w:eastAsia="Times New Roman" w:cs="Calibri"/>
      <w:sz w:val="22"/>
      <w:szCs w:val="22"/>
      <w:lang w:eastAsia="en-US"/>
    </w:rPr>
  </w:style>
  <w:style w:type="paragraph" w:customStyle="1" w:styleId="naisc">
    <w:name w:val="naisc"/>
    <w:basedOn w:val="Parasts"/>
    <w:rsid w:val="009F6AF7"/>
    <w:pPr>
      <w:spacing w:before="100" w:beforeAutospacing="1" w:after="100" w:afterAutospacing="1"/>
    </w:pPr>
  </w:style>
  <w:style w:type="paragraph" w:customStyle="1" w:styleId="Char">
    <w:name w:val="Char"/>
    <w:basedOn w:val="Parasts"/>
    <w:next w:val="Parasts"/>
    <w:uiPriority w:val="99"/>
    <w:rsid w:val="007922C9"/>
    <w:pPr>
      <w:spacing w:after="160" w:line="240" w:lineRule="exact"/>
    </w:pPr>
    <w:rPr>
      <w:rFonts w:ascii="Tahoma" w:hAnsi="Tahoma" w:cs="Tahoma"/>
      <w:lang w:val="en-US" w:eastAsia="en-US"/>
    </w:rPr>
  </w:style>
  <w:style w:type="paragraph" w:styleId="Vresteksts">
    <w:name w:val="footnote text"/>
    <w:basedOn w:val="Parasts"/>
    <w:link w:val="VrestekstsRakstz"/>
    <w:uiPriority w:val="99"/>
    <w:semiHidden/>
    <w:rsid w:val="000C593F"/>
    <w:rPr>
      <w:sz w:val="20"/>
      <w:szCs w:val="20"/>
      <w:lang w:val="x-none" w:eastAsia="x-none"/>
    </w:rPr>
  </w:style>
  <w:style w:type="character" w:customStyle="1" w:styleId="VrestekstsRakstz">
    <w:name w:val="Vēres teksts Rakstz."/>
    <w:link w:val="Vresteksts"/>
    <w:uiPriority w:val="99"/>
    <w:semiHidden/>
    <w:rsid w:val="006A58CE"/>
    <w:rPr>
      <w:rFonts w:ascii="Times New Roman" w:hAnsi="Times New Roman"/>
      <w:sz w:val="20"/>
      <w:szCs w:val="20"/>
    </w:rPr>
  </w:style>
  <w:style w:type="character" w:styleId="Vresatsauce">
    <w:name w:val="footnote reference"/>
    <w:uiPriority w:val="99"/>
    <w:semiHidden/>
    <w:rsid w:val="000C593F"/>
    <w:rPr>
      <w:vertAlign w:val="superscript"/>
    </w:rPr>
  </w:style>
  <w:style w:type="character" w:styleId="Hipersaite">
    <w:name w:val="Hyperlink"/>
    <w:uiPriority w:val="99"/>
    <w:unhideWhenUsed/>
    <w:rsid w:val="00C07D38"/>
    <w:rPr>
      <w:color w:val="0000FF"/>
      <w:u w:val="single"/>
    </w:rPr>
  </w:style>
  <w:style w:type="character" w:styleId="Izteiksmgs">
    <w:name w:val="Strong"/>
    <w:uiPriority w:val="22"/>
    <w:qFormat/>
    <w:rsid w:val="00695D92"/>
    <w:rPr>
      <w:b/>
      <w:bCs/>
    </w:rPr>
  </w:style>
  <w:style w:type="paragraph" w:customStyle="1" w:styleId="RakstzCharCharRakstzCharCharRakstz">
    <w:name w:val="Rakstz. Char Char Rakstz. Char Char Rakstz."/>
    <w:basedOn w:val="Parasts"/>
    <w:rsid w:val="00C2521A"/>
    <w:pPr>
      <w:spacing w:after="160" w:line="240" w:lineRule="exact"/>
    </w:pPr>
    <w:rPr>
      <w:rFonts w:ascii="Tahoma" w:eastAsia="Times New Roman" w:hAnsi="Tahoma"/>
      <w:sz w:val="20"/>
      <w:szCs w:val="20"/>
      <w:lang w:val="en-US" w:eastAsia="en-US"/>
    </w:rPr>
  </w:style>
  <w:style w:type="paragraph" w:customStyle="1" w:styleId="naispant">
    <w:name w:val="naispant"/>
    <w:basedOn w:val="Parasts"/>
    <w:rsid w:val="00584ECF"/>
    <w:pPr>
      <w:spacing w:before="100" w:beforeAutospacing="1" w:after="100" w:afterAutospacing="1"/>
    </w:pPr>
    <w:rPr>
      <w:rFonts w:eastAsia="Times New Roman"/>
    </w:rPr>
  </w:style>
  <w:style w:type="paragraph" w:styleId="Bezatstarpm">
    <w:name w:val="No Spacing"/>
    <w:uiPriority w:val="1"/>
    <w:qFormat/>
    <w:rsid w:val="002669B3"/>
    <w:rPr>
      <w:sz w:val="22"/>
      <w:szCs w:val="22"/>
      <w:lang w:eastAsia="en-US"/>
    </w:rPr>
  </w:style>
  <w:style w:type="paragraph" w:customStyle="1" w:styleId="RakstzCharCharRakstzCharCharRakstz0">
    <w:name w:val="Rakstz. Char Char Rakstz. Char Char Rakstz."/>
    <w:basedOn w:val="Parasts"/>
    <w:rsid w:val="00F4116B"/>
    <w:pPr>
      <w:spacing w:after="160" w:line="240" w:lineRule="exact"/>
    </w:pPr>
    <w:rPr>
      <w:rFonts w:ascii="Tahoma" w:eastAsia="Times New Roman" w:hAnsi="Tahoma"/>
      <w:sz w:val="20"/>
      <w:szCs w:val="20"/>
      <w:lang w:val="en-US" w:eastAsia="en-US"/>
    </w:rPr>
  </w:style>
  <w:style w:type="character" w:styleId="Komentraatsauce">
    <w:name w:val="annotation reference"/>
    <w:basedOn w:val="Noklusjumarindkopasfonts"/>
    <w:uiPriority w:val="99"/>
    <w:semiHidden/>
    <w:unhideWhenUsed/>
    <w:rsid w:val="00083D61"/>
    <w:rPr>
      <w:sz w:val="16"/>
      <w:szCs w:val="16"/>
    </w:rPr>
  </w:style>
  <w:style w:type="paragraph" w:styleId="Komentrateksts">
    <w:name w:val="annotation text"/>
    <w:basedOn w:val="Parasts"/>
    <w:link w:val="KomentratekstsRakstz"/>
    <w:uiPriority w:val="99"/>
    <w:semiHidden/>
    <w:unhideWhenUsed/>
    <w:rsid w:val="00083D61"/>
    <w:rPr>
      <w:sz w:val="20"/>
      <w:szCs w:val="20"/>
    </w:rPr>
  </w:style>
  <w:style w:type="character" w:customStyle="1" w:styleId="KomentratekstsRakstz">
    <w:name w:val="Komentāra teksts Rakstz."/>
    <w:basedOn w:val="Noklusjumarindkopasfonts"/>
    <w:link w:val="Komentrateksts"/>
    <w:uiPriority w:val="99"/>
    <w:semiHidden/>
    <w:rsid w:val="00083D61"/>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083D61"/>
    <w:rPr>
      <w:b/>
      <w:bCs/>
    </w:rPr>
  </w:style>
  <w:style w:type="character" w:customStyle="1" w:styleId="KomentratmaRakstz">
    <w:name w:val="Komentāra tēma Rakstz."/>
    <w:basedOn w:val="KomentratekstsRakstz"/>
    <w:link w:val="Komentratma"/>
    <w:uiPriority w:val="99"/>
    <w:semiHidden/>
    <w:rsid w:val="00083D61"/>
    <w:rPr>
      <w:rFonts w:ascii="Times New Roman" w:hAnsi="Times New Roman"/>
      <w:b/>
      <w:bCs/>
    </w:rPr>
  </w:style>
  <w:style w:type="paragraph" w:styleId="Sarakstarindkopa">
    <w:name w:val="List Paragraph"/>
    <w:basedOn w:val="Parasts"/>
    <w:uiPriority w:val="34"/>
    <w:qFormat/>
    <w:rsid w:val="008F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249052">
      <w:bodyDiv w:val="1"/>
      <w:marLeft w:val="0"/>
      <w:marRight w:val="0"/>
      <w:marTop w:val="0"/>
      <w:marBottom w:val="0"/>
      <w:divBdr>
        <w:top w:val="none" w:sz="0" w:space="0" w:color="auto"/>
        <w:left w:val="none" w:sz="0" w:space="0" w:color="auto"/>
        <w:bottom w:val="none" w:sz="0" w:space="0" w:color="auto"/>
        <w:right w:val="none" w:sz="0" w:space="0" w:color="auto"/>
      </w:divBdr>
    </w:div>
    <w:div w:id="660695912">
      <w:bodyDiv w:val="1"/>
      <w:marLeft w:val="0"/>
      <w:marRight w:val="0"/>
      <w:marTop w:val="0"/>
      <w:marBottom w:val="0"/>
      <w:divBdr>
        <w:top w:val="none" w:sz="0" w:space="0" w:color="auto"/>
        <w:left w:val="none" w:sz="0" w:space="0" w:color="auto"/>
        <w:bottom w:val="none" w:sz="0" w:space="0" w:color="auto"/>
        <w:right w:val="none" w:sz="0" w:space="0" w:color="auto"/>
      </w:divBdr>
    </w:div>
    <w:div w:id="679086205">
      <w:marLeft w:val="0"/>
      <w:marRight w:val="0"/>
      <w:marTop w:val="0"/>
      <w:marBottom w:val="0"/>
      <w:divBdr>
        <w:top w:val="none" w:sz="0" w:space="0" w:color="auto"/>
        <w:left w:val="none" w:sz="0" w:space="0" w:color="auto"/>
        <w:bottom w:val="none" w:sz="0" w:space="0" w:color="auto"/>
        <w:right w:val="none" w:sz="0" w:space="0" w:color="auto"/>
      </w:divBdr>
    </w:div>
    <w:div w:id="679086206">
      <w:marLeft w:val="0"/>
      <w:marRight w:val="0"/>
      <w:marTop w:val="0"/>
      <w:marBottom w:val="0"/>
      <w:divBdr>
        <w:top w:val="none" w:sz="0" w:space="0" w:color="auto"/>
        <w:left w:val="none" w:sz="0" w:space="0" w:color="auto"/>
        <w:bottom w:val="none" w:sz="0" w:space="0" w:color="auto"/>
        <w:right w:val="none" w:sz="0" w:space="0" w:color="auto"/>
      </w:divBdr>
      <w:divsChild>
        <w:div w:id="679086203">
          <w:marLeft w:val="0"/>
          <w:marRight w:val="0"/>
          <w:marTop w:val="0"/>
          <w:marBottom w:val="0"/>
          <w:divBdr>
            <w:top w:val="none" w:sz="0" w:space="0" w:color="auto"/>
            <w:left w:val="none" w:sz="0" w:space="0" w:color="auto"/>
            <w:bottom w:val="none" w:sz="0" w:space="0" w:color="auto"/>
            <w:right w:val="none" w:sz="0" w:space="0" w:color="auto"/>
          </w:divBdr>
        </w:div>
        <w:div w:id="679086204">
          <w:marLeft w:val="0"/>
          <w:marRight w:val="0"/>
          <w:marTop w:val="0"/>
          <w:marBottom w:val="0"/>
          <w:divBdr>
            <w:top w:val="none" w:sz="0" w:space="0" w:color="auto"/>
            <w:left w:val="none" w:sz="0" w:space="0" w:color="auto"/>
            <w:bottom w:val="none" w:sz="0" w:space="0" w:color="auto"/>
            <w:right w:val="none" w:sz="0" w:space="0" w:color="auto"/>
          </w:divBdr>
        </w:div>
        <w:div w:id="679086207">
          <w:marLeft w:val="0"/>
          <w:marRight w:val="0"/>
          <w:marTop w:val="0"/>
          <w:marBottom w:val="0"/>
          <w:divBdr>
            <w:top w:val="none" w:sz="0" w:space="0" w:color="auto"/>
            <w:left w:val="none" w:sz="0" w:space="0" w:color="auto"/>
            <w:bottom w:val="none" w:sz="0" w:space="0" w:color="auto"/>
            <w:right w:val="none" w:sz="0" w:space="0" w:color="auto"/>
          </w:divBdr>
        </w:div>
        <w:div w:id="679086208">
          <w:marLeft w:val="0"/>
          <w:marRight w:val="0"/>
          <w:marTop w:val="0"/>
          <w:marBottom w:val="0"/>
          <w:divBdr>
            <w:top w:val="none" w:sz="0" w:space="0" w:color="auto"/>
            <w:left w:val="none" w:sz="0" w:space="0" w:color="auto"/>
            <w:bottom w:val="none" w:sz="0" w:space="0" w:color="auto"/>
            <w:right w:val="none" w:sz="0" w:space="0" w:color="auto"/>
          </w:divBdr>
        </w:div>
      </w:divsChild>
    </w:div>
    <w:div w:id="679086209">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20210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8E8AA-6730-4B60-9252-393488FA6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2884</Words>
  <Characters>20918</Characters>
  <Application>Microsoft Office Word</Application>
  <DocSecurity>0</DocSecurity>
  <Lines>174</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Komerclikuma spēkā stāšanās kārtības likumā" sākotnējās ietekmes novērtējuma ziņojums (anotācija)</vt:lpstr>
      <vt:lpstr>Likumprojekta "Grozījumi likumā "Par Latvijas Republikas Uzņēmumu reģistru"" sākotnējās ietekmes novērtējuma ziņojums (anotācija)</vt:lpstr>
    </vt:vector>
  </TitlesOfParts>
  <Company>Valsts kanceleja, Politikas koordinācijas departaments</Company>
  <LinksUpToDate>false</LinksUpToDate>
  <CharactersWithSpaces>23755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Komerclikuma spēkā stāšanās kārtības likumā" sākotnējās ietekmes novērtējuma ziņojums (anotācija)</dc:title>
  <dc:subject>Anotācija</dc:subject>
  <dc:creator>Inese Tērauda</dc:creator>
  <dc:description>inese.terauda@ur.gov.lv; tel.: 67031734</dc:description>
  <cp:lastModifiedBy>Inese Terauda</cp:lastModifiedBy>
  <cp:revision>2</cp:revision>
  <cp:lastPrinted>2012-08-09T05:50:00Z</cp:lastPrinted>
  <dcterms:created xsi:type="dcterms:W3CDTF">2013-02-12T13:19:00Z</dcterms:created>
  <dcterms:modified xsi:type="dcterms:W3CDTF">2013-02-12T13:19:00Z</dcterms:modified>
</cp:coreProperties>
</file>