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3A" w:rsidRDefault="009A4B32" w:rsidP="00B6123A">
      <w:pPr>
        <w:jc w:val="center"/>
        <w:rPr>
          <w:b/>
        </w:rPr>
      </w:pPr>
      <w:bookmarkStart w:id="0" w:name="OLE_LINK1"/>
      <w:bookmarkStart w:id="1" w:name="OLE_LINK2"/>
      <w:r w:rsidRPr="007D058B">
        <w:rPr>
          <w:b/>
        </w:rPr>
        <w:t xml:space="preserve">Likumprojekta </w:t>
      </w:r>
      <w:r w:rsidR="008F538D" w:rsidRPr="007D058B">
        <w:rPr>
          <w:b/>
        </w:rPr>
        <w:t>„Grozījumi</w:t>
      </w:r>
      <w:r w:rsidR="00B6123A" w:rsidRPr="007D058B">
        <w:rPr>
          <w:b/>
        </w:rPr>
        <w:t xml:space="preserve"> </w:t>
      </w:r>
      <w:r w:rsidR="001A150A" w:rsidRPr="007D058B">
        <w:rPr>
          <w:b/>
        </w:rPr>
        <w:t>Uzturlīdzekļu garantiju fonda likumā</w:t>
      </w:r>
      <w:r w:rsidRPr="007D058B">
        <w:rPr>
          <w:b/>
        </w:rPr>
        <w:t>”</w:t>
      </w:r>
      <w:r w:rsidR="00CC1729" w:rsidRPr="007D058B">
        <w:rPr>
          <w:b/>
        </w:rPr>
        <w:t xml:space="preserve"> </w:t>
      </w:r>
      <w:r w:rsidR="00846547" w:rsidRPr="007D058B">
        <w:rPr>
          <w:b/>
        </w:rPr>
        <w:t>sākotnējās ietekmes novērtējuma ziņojums</w:t>
      </w:r>
      <w:r w:rsidR="001A150A" w:rsidRPr="007D058B">
        <w:rPr>
          <w:b/>
        </w:rPr>
        <w:t xml:space="preserve"> (anotācija)</w:t>
      </w:r>
      <w:r w:rsidR="00DA3005">
        <w:rPr>
          <w:b/>
        </w:rPr>
        <w:t xml:space="preserve"> </w:t>
      </w:r>
    </w:p>
    <w:p w:rsidR="00E14BD4" w:rsidRPr="007D058B" w:rsidRDefault="00E14BD4" w:rsidP="00B6123A">
      <w:pPr>
        <w:jc w:val="center"/>
        <w:rPr>
          <w:b/>
        </w:rPr>
      </w:pP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0"/>
        <w:gridCol w:w="2257"/>
        <w:gridCol w:w="6520"/>
      </w:tblGrid>
      <w:tr w:rsidR="00846547" w:rsidRPr="007D058B" w:rsidTr="00FE5BA3">
        <w:trPr>
          <w:trHeight w:val="273"/>
          <w:tblCellSpacing w:w="0" w:type="dxa"/>
        </w:trPr>
        <w:tc>
          <w:tcPr>
            <w:tcW w:w="9087" w:type="dxa"/>
            <w:gridSpan w:val="3"/>
            <w:tcBorders>
              <w:top w:val="outset" w:sz="6" w:space="0" w:color="auto"/>
              <w:left w:val="outset" w:sz="6" w:space="0" w:color="auto"/>
              <w:bottom w:val="outset" w:sz="6" w:space="0" w:color="auto"/>
              <w:right w:val="outset" w:sz="6" w:space="0" w:color="auto"/>
            </w:tcBorders>
            <w:vAlign w:val="center"/>
          </w:tcPr>
          <w:bookmarkEnd w:id="0"/>
          <w:bookmarkEnd w:id="1"/>
          <w:p w:rsidR="00846547" w:rsidRPr="007D058B" w:rsidRDefault="00846547" w:rsidP="004C4A7F">
            <w:pPr>
              <w:pStyle w:val="naisc"/>
              <w:spacing w:before="0" w:after="120"/>
            </w:pPr>
            <w:r w:rsidRPr="007D058B">
              <w:rPr>
                <w:b/>
                <w:bCs/>
              </w:rPr>
              <w:t> I. Tiesību akta projekta izstrādes nepieciešamība</w:t>
            </w:r>
          </w:p>
        </w:tc>
      </w:tr>
      <w:tr w:rsidR="00846547" w:rsidRPr="007D058B" w:rsidTr="000A5AC8">
        <w:trPr>
          <w:trHeight w:val="630"/>
          <w:tblCellSpacing w:w="0" w:type="dxa"/>
        </w:trPr>
        <w:tc>
          <w:tcPr>
            <w:tcW w:w="310"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kr"/>
              <w:spacing w:before="0" w:after="120"/>
            </w:pPr>
            <w:r w:rsidRPr="007D058B">
              <w:t> 1.</w:t>
            </w:r>
          </w:p>
        </w:tc>
        <w:tc>
          <w:tcPr>
            <w:tcW w:w="2257"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lab"/>
              <w:spacing w:before="0" w:after="120"/>
              <w:jc w:val="left"/>
            </w:pPr>
            <w:r w:rsidRPr="007D058B">
              <w:t>Pamatojums</w:t>
            </w:r>
          </w:p>
        </w:tc>
        <w:tc>
          <w:tcPr>
            <w:tcW w:w="6520" w:type="dxa"/>
            <w:tcBorders>
              <w:top w:val="outset" w:sz="6" w:space="0" w:color="auto"/>
              <w:left w:val="outset" w:sz="6" w:space="0" w:color="auto"/>
              <w:bottom w:val="outset" w:sz="6" w:space="0" w:color="auto"/>
              <w:right w:val="outset" w:sz="6" w:space="0" w:color="auto"/>
            </w:tcBorders>
          </w:tcPr>
          <w:p w:rsidR="006E02A1" w:rsidRDefault="006E02A1" w:rsidP="006E02A1">
            <w:pPr>
              <w:pStyle w:val="naiskr"/>
              <w:spacing w:before="0" w:after="0"/>
              <w:ind w:firstLine="694"/>
              <w:jc w:val="both"/>
            </w:pPr>
            <w:r w:rsidRPr="006E02A1">
              <w:t>Likumprojekts „Grozījumi Uzturlīdzekļu garantiju fonda likumā” (turpmāk – Projekts) izstrādāts pēc Tieslietu ministrijas iniciatīvas, ie</w:t>
            </w:r>
            <w:r>
              <w:t>vērojot Ministru kabineta 2012. gada 17. </w:t>
            </w:r>
            <w:r w:rsidRPr="006E02A1">
              <w:t xml:space="preserve">aprīļa </w:t>
            </w:r>
            <w:proofErr w:type="spellStart"/>
            <w:r w:rsidRPr="006E02A1">
              <w:t>protokollēmuma</w:t>
            </w:r>
            <w:proofErr w:type="spellEnd"/>
            <w:r w:rsidRPr="006E02A1">
              <w:t xml:space="preserve"> (</w:t>
            </w:r>
            <w:proofErr w:type="spellStart"/>
            <w:r w:rsidRPr="006E02A1">
              <w:t>prot</w:t>
            </w:r>
            <w:proofErr w:type="spellEnd"/>
            <w:r w:rsidRPr="006E02A1">
              <w:t xml:space="preserve">. </w:t>
            </w:r>
            <w:proofErr w:type="spellStart"/>
            <w:r w:rsidRPr="006E02A1">
              <w:t>Nr</w:t>
            </w:r>
            <w:proofErr w:type="spellEnd"/>
            <w:r>
              <w:t>. 20 38.§) 10. </w:t>
            </w:r>
            <w:r w:rsidRPr="006E02A1">
              <w:t>punktu, kas cita starpā paredz Tieslietu min</w:t>
            </w:r>
            <w:r>
              <w:t>istrijai izvērtēt un līdz 2012. gada 1. </w:t>
            </w:r>
            <w:r w:rsidRPr="006E02A1">
              <w:t>jūlijam iesniegt izskatīšanai Ministru kabinetā priekšlikumus par iespējamiem grozījumiem Uzturlīdzekļu garantiju fonda likumā</w:t>
            </w:r>
            <w:r w:rsidR="00EE4003">
              <w:t xml:space="preserve"> (turpmāk – Likums)</w:t>
            </w:r>
            <w:r w:rsidRPr="006E02A1">
              <w:t xml:space="preserve"> paredzot, ka normu ierobežojum</w:t>
            </w:r>
            <w:r>
              <w:t>i tiek saglabāti līdz 2016. gada 1. </w:t>
            </w:r>
            <w:r w:rsidRPr="006E02A1">
              <w:t>janvārim, vai arī to apjoms tiek atjaunots pakāpeniski trīs gadu laikā. Turklāt Projekts izs</w:t>
            </w:r>
            <w:r>
              <w:t>trādāts saistībā ar Hāgas 2007. </w:t>
            </w:r>
            <w:r w:rsidRPr="006E02A1">
              <w:t>gada 23.</w:t>
            </w:r>
            <w:r>
              <w:t> </w:t>
            </w:r>
            <w:r w:rsidRPr="006E02A1">
              <w:t>novembra Konvenciju par uzturlīdzekļu bērniem un cita veida ģimenes uzturēšanas līdzekļu pārrobežu piedziņu (turpmāk – Hāgas 2007.</w:t>
            </w:r>
            <w:r>
              <w:t> gada 23. </w:t>
            </w:r>
            <w:r w:rsidRPr="006E02A1">
              <w:t xml:space="preserve">novembra konvencija),  kuras piemērošana Latvijā, tāpat kā citās Eiropas Savienības dalībvalstīs, būs jāuzsāk tiklīdz Eiropas Savienība pievienosies tai. </w:t>
            </w:r>
          </w:p>
          <w:p w:rsidR="00795C81" w:rsidRPr="007D058B" w:rsidRDefault="00795C81" w:rsidP="006E02A1">
            <w:pPr>
              <w:pStyle w:val="naiskr"/>
              <w:spacing w:before="0" w:after="0"/>
              <w:ind w:firstLine="694"/>
              <w:jc w:val="both"/>
            </w:pPr>
          </w:p>
        </w:tc>
      </w:tr>
      <w:tr w:rsidR="00846547" w:rsidRPr="007D058B" w:rsidTr="000A5AC8">
        <w:trPr>
          <w:trHeight w:val="472"/>
          <w:tblCellSpacing w:w="0" w:type="dxa"/>
        </w:trPr>
        <w:tc>
          <w:tcPr>
            <w:tcW w:w="310"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kr"/>
              <w:spacing w:before="0" w:after="120"/>
            </w:pPr>
            <w:r w:rsidRPr="007D058B">
              <w:t> 2.</w:t>
            </w:r>
          </w:p>
        </w:tc>
        <w:tc>
          <w:tcPr>
            <w:tcW w:w="2257"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kr"/>
              <w:spacing w:before="0" w:after="120"/>
            </w:pPr>
            <w:r w:rsidRPr="007D058B">
              <w:t> Pašreizējā situācija un problēmas</w:t>
            </w:r>
          </w:p>
        </w:tc>
        <w:tc>
          <w:tcPr>
            <w:tcW w:w="6520" w:type="dxa"/>
            <w:tcBorders>
              <w:top w:val="outset" w:sz="6" w:space="0" w:color="auto"/>
              <w:left w:val="outset" w:sz="6" w:space="0" w:color="auto"/>
              <w:bottom w:val="outset" w:sz="6" w:space="0" w:color="auto"/>
              <w:right w:val="outset" w:sz="6" w:space="0" w:color="auto"/>
            </w:tcBorders>
          </w:tcPr>
          <w:p w:rsidR="00F62736" w:rsidRPr="00F62736" w:rsidRDefault="00F62736" w:rsidP="00F62736">
            <w:pPr>
              <w:ind w:firstLine="552"/>
              <w:jc w:val="both"/>
            </w:pPr>
            <w:r>
              <w:t>1) A</w:t>
            </w:r>
            <w:r w:rsidRPr="00F62736">
              <w:t>ttiecībā uz Projektā ietverto regulējumu saistībā ar Hāgas 2007. gada 23. novembra konvenciju norādāms, ka tās vispārējs mērķis ir nodrošināt uzturlīdzekļu un cita veida ģimenes uzturēšanas līdzekļu efektīvu pārrobežu piedziņu, jo īpaši, izveidojot līgumslēdzēju valstu iestāžu visaptverošu sadarbības sistēmu, nodrošinot iespēju iesniegt pieteikumus uzturēšanas nolēmumu pieņemšanai, paredzot uzturēšanas nolēmumu atzīšanu un izpildi, kā arī pieprasot efektīvus pasākumus uzturēšanas nolēmumu tūlītējai izpildei. Tādējādi tas ļaus uztura kreditoriem viegli, ātri un lielākoties bez maksas iegūt izpildes dokumentu, kas būtu brīvi un bez šķēršļiem izpildāms Hāgas 2007. gada 23. novembra konvencijas dalībvalstu, kas nav Eiropas Savienības dalībvalstis (turpmāk – trešās valstis), un Eiropas Savienības dalībvalstu tiesiskajā telpā.</w:t>
            </w:r>
          </w:p>
          <w:p w:rsidR="00F62736" w:rsidRPr="00F62736" w:rsidRDefault="00F62736" w:rsidP="00F62736">
            <w:pPr>
              <w:ind w:firstLine="552"/>
              <w:jc w:val="both"/>
            </w:pPr>
            <w:r w:rsidRPr="00F62736">
              <w:t>Hāgas 2007. gada 23. novembra konvencijas 4. panta 1. punkts noteic, ka līgumslēdzēja valstis ieceļ vienu centrālo iestādi, lai tā pildītu pienākumus, kas ar šo konvenciju ir uzlikti tādām iestādēm.</w:t>
            </w:r>
          </w:p>
          <w:p w:rsidR="00F62736" w:rsidRPr="00F62736" w:rsidRDefault="00F62736" w:rsidP="00F62736">
            <w:pPr>
              <w:ind w:firstLine="552"/>
              <w:jc w:val="both"/>
            </w:pPr>
            <w:r w:rsidRPr="00F62736">
              <w:t>Tāpat Hāgas 2007. gada 23. novembra konvencijā noteiktas centrālās iestādes vispārējās un īpašās funkcijas, kā arī citi ar centrālo iestāžu darbību saistīti jautājumi.</w:t>
            </w:r>
          </w:p>
          <w:p w:rsidR="00F62736" w:rsidRPr="00F62736" w:rsidRDefault="00F62736" w:rsidP="00F62736">
            <w:pPr>
              <w:ind w:firstLine="552"/>
              <w:jc w:val="both"/>
            </w:pPr>
            <w:r w:rsidRPr="00F62736">
              <w:t xml:space="preserve">Turklāt Hāgas 2007. gada 23. novembra konvencijas 6. panta 2. punkta a) apakšpunkts un 3. punkts noteic, ka, attiecībā uz šajā pantā noteiktajiem pieteikumiem centrālās iestādes veic visus atbilstīgos pasākumus, lai, ja to prasa apstākļi, nodrošinātu vai atvieglotu juridiskās palīdzības sniegšanu. Centrālās iestādes funkcijas, ciktāl to ļauj minētās iestādes valsts tiesību akti, saskaņā ar šo pantu var veikt valsts struktūras vai citas struktūrvienības attiecīgās valsts kompetento iestāžu uzraudzībā. </w:t>
            </w:r>
          </w:p>
          <w:p w:rsidR="00F62736" w:rsidRDefault="00F62736" w:rsidP="00F62736">
            <w:pPr>
              <w:ind w:firstLine="552"/>
              <w:jc w:val="both"/>
            </w:pPr>
            <w:r w:rsidRPr="00F62736">
              <w:lastRenderedPageBreak/>
              <w:t>Tādējādi nepieciešams izdarīt attiecīgus grozījumus normatīvajos aktos, lai atbilstoši Hāgas 2007. gada 23. novembra konvencijā noteiktajam ieceltu centrālo iestādi Hāgas 2007. gada 23. novembra konvencijas kontekstā, kā arī lai noteiktu kārtību un apjomu, kādā centrālā iestāde veiks savas funkcijas.</w:t>
            </w:r>
            <w:r>
              <w:t xml:space="preserve"> </w:t>
            </w:r>
          </w:p>
          <w:p w:rsidR="00CA609C" w:rsidRDefault="00F62736" w:rsidP="00F62736">
            <w:pPr>
              <w:spacing w:before="120"/>
              <w:ind w:firstLine="550"/>
              <w:jc w:val="both"/>
            </w:pPr>
            <w:r>
              <w:t xml:space="preserve">2) Projektā ietverts arī regulējums saistībā ar nepieciešamību rast risinājumu </w:t>
            </w:r>
            <w:r w:rsidRPr="00F62736">
              <w:t>Uzturlīdzekļu garantiju fonda</w:t>
            </w:r>
            <w:r>
              <w:t xml:space="preserve"> administrācijas (turpmāk – Fonda administrācija) praksē konstatētajiem gadījumiem, kad persona, kas nepamatoti saņēmusi uzturlīdzekļus no </w:t>
            </w:r>
            <w:r w:rsidRPr="00F62736">
              <w:t>Uzturlīdzekļu garantiju fonda (turpmāk - Fonds)</w:t>
            </w:r>
            <w:r>
              <w:t xml:space="preserve">, labprāt atmaksātu nepamatoti no Fonda saņemtos uzturlīdzekļus, taču viņai ir neiespējami vai ļoti apgrūtinoši, ņemot vērā viņas finansiālo situāciju vai citus apstākļus, samaksāt visu atmaksājamo uzturlīdzekļu summu un par to aprēķinātos likumiskos procentus likumā noteiktajā termiņā, proti, 30 dienu laikā (saskaņā ar </w:t>
            </w:r>
            <w:r w:rsidR="00EE4003">
              <w:t xml:space="preserve">Likuma </w:t>
            </w:r>
            <w:r>
              <w:t>11.</w:t>
            </w:r>
            <w:r>
              <w:rPr>
                <w:vertAlign w:val="superscript"/>
              </w:rPr>
              <w:t>1</w:t>
            </w:r>
            <w:r>
              <w:t> panta otrajā daļā noteikto</w:t>
            </w:r>
            <w:r w:rsidRPr="00F62736">
              <w:rPr>
                <w:rFonts w:ascii="Verdana" w:hAnsi="Verdana"/>
                <w:sz w:val="18"/>
                <w:szCs w:val="18"/>
              </w:rPr>
              <w:t xml:space="preserve"> </w:t>
            </w:r>
            <w:r>
              <w:t>i</w:t>
            </w:r>
            <w:r w:rsidRPr="00F62736">
              <w:t>esniedzējam ir pienākums šā panta pirmajā daļā minēto lēmumu izpildīt 30 dienu laikā no lēmuma saņemšanas dienas</w:t>
            </w:r>
            <w:r>
              <w:t>)</w:t>
            </w:r>
            <w:r w:rsidRPr="00F62736">
              <w:t>.</w:t>
            </w:r>
            <w:r>
              <w:t xml:space="preserve"> </w:t>
            </w:r>
          </w:p>
          <w:p w:rsidR="00CA609C" w:rsidRDefault="00CA609C" w:rsidP="00CA609C">
            <w:pPr>
              <w:ind w:firstLine="550"/>
              <w:jc w:val="both"/>
            </w:pPr>
            <w:r>
              <w:t>Šeit papildus norādāms, ka par nepamatoti izmaksātiem saskaņā ar Likuma regulējumu ir uzskatāmi uzturlīdzekļi, kas izmaksāti, iesniedzējam sniedzot apzināti nepatiesas ziņas vai iesniedzējam nepaziņojot Fonda administrācijai par apstākļiem, kuri ietekmē tiesības saņemt uzturlīdzekļus</w:t>
            </w:r>
            <w:r w:rsidR="00EE4003">
              <w:t xml:space="preserve">, vai arī kas izmaksāti pēc to apstākļu iestāšanās, kuri </w:t>
            </w:r>
            <w:r w:rsidR="00EE4003" w:rsidRPr="00EE4003">
              <w:t>ietekmē tiesības saņemt uzturlīdzekļus</w:t>
            </w:r>
            <w:r>
              <w:t xml:space="preserve">. </w:t>
            </w:r>
          </w:p>
          <w:p w:rsidR="00F62736" w:rsidRDefault="00F62736" w:rsidP="00CA609C">
            <w:pPr>
              <w:ind w:firstLine="550"/>
              <w:jc w:val="both"/>
            </w:pPr>
            <w:r>
              <w:t>Šī problēma ir īpaši aktuāla gadījumos, ja uzturlīdzekļi no Fonda nepamatoti ir izmaksāti nevis par vienu mēnesi, bet par ilgāku laikposmu un attiecīgi atmaksājamo līdzekļu apmērs ir lielāks. Turklāt, iespējams, šī problēma kļūs vēl aktuālāka, pieaugot no Fonda maksāto uzturlīdzekļu apmēram. Līdz ar to nepieciešams paredzēt normatīvajā regulējumā mehānismu, kā, raugoties no apstākļiem un iemesliem katrā atsevišķā gadījumā, dot iespēju personai atmaksāt Fondam atlīdzināmos līdzekļus labprātīgi, bet ilgākā laikposmā nekā tas noteikts vispārējos gadījumos (</w:t>
            </w:r>
            <w:proofErr w:type="spellStart"/>
            <w:r>
              <w:t>t.i</w:t>
            </w:r>
            <w:proofErr w:type="spellEnd"/>
            <w:r>
              <w:t>., 30 dienu laikā no lēmuma par</w:t>
            </w:r>
            <w:r w:rsidRPr="00F62736">
              <w:rPr>
                <w:rFonts w:ascii="Verdana" w:hAnsi="Verdana"/>
                <w:sz w:val="18"/>
                <w:szCs w:val="18"/>
              </w:rPr>
              <w:t xml:space="preserve"> </w:t>
            </w:r>
            <w:r w:rsidRPr="00F62736">
              <w:t>izmaksāto uzturlīdzekļu un likumisko procentu par nepamatoti izmaksātajām uzturlīdzekļu summām piedziņu</w:t>
            </w:r>
            <w:r>
              <w:t xml:space="preserve"> saņemšanas dienas). </w:t>
            </w:r>
          </w:p>
          <w:p w:rsidR="009D1A12" w:rsidRPr="009D1A12" w:rsidRDefault="00F62736" w:rsidP="00F62736">
            <w:pPr>
              <w:spacing w:before="120"/>
              <w:ind w:firstLine="550"/>
              <w:jc w:val="both"/>
            </w:pPr>
            <w:r>
              <w:t xml:space="preserve">3) </w:t>
            </w:r>
            <w:r w:rsidR="009D1A12" w:rsidRPr="009D1A12">
              <w:t xml:space="preserve">Ministru kabineta 2012. gada 17. aprīļa </w:t>
            </w:r>
            <w:proofErr w:type="spellStart"/>
            <w:r w:rsidR="009D1A12" w:rsidRPr="009D1A12">
              <w:t>protokollēmuma</w:t>
            </w:r>
            <w:proofErr w:type="spellEnd"/>
            <w:r w:rsidR="009D1A12" w:rsidRPr="009D1A12">
              <w:t xml:space="preserve"> (</w:t>
            </w:r>
            <w:proofErr w:type="spellStart"/>
            <w:r w:rsidR="009D1A12" w:rsidRPr="009D1A12">
              <w:t>prot</w:t>
            </w:r>
            <w:proofErr w:type="spellEnd"/>
            <w:r w:rsidR="009D1A12" w:rsidRPr="009D1A12">
              <w:t xml:space="preserve">. </w:t>
            </w:r>
            <w:proofErr w:type="spellStart"/>
            <w:r w:rsidR="009D1A12" w:rsidRPr="009D1A12">
              <w:t>Nr</w:t>
            </w:r>
            <w:proofErr w:type="spellEnd"/>
            <w:r w:rsidR="009D1A12" w:rsidRPr="009D1A12">
              <w:t xml:space="preserve">. 20 38. §) 3. punkts paredz, ņemot vērā nepieciešamību turpināt ievērot stingru valsts budžeta fiskālo disciplīnu, nodrošināt pakāpenisku budžeta deficīta samazināšanu un priekšnoteikumu izpildi Latvijas iekļaušanai eiro zonā 2014. gadā, ministrijām detalizēti izvērtēt valsts budžeta bāzes izdevumos neiekļautos papildu pieprasījumus saskaņā ar informatīvā ziņojuma 2. pielikumu un atbilstoši Finanšu ministrijas elektroniski nosūtītajai veidlapai līdz 2012. gada 1. jūlijam iesniegt Finanšu ministrijā precizētus priekšlikumus papildu pieprasījumiem prioritārā secībā. Bez tam minētā </w:t>
            </w:r>
            <w:proofErr w:type="spellStart"/>
            <w:r w:rsidR="009D1A12" w:rsidRPr="009D1A12">
              <w:t>protokollēmuma</w:t>
            </w:r>
            <w:proofErr w:type="spellEnd"/>
            <w:r w:rsidR="009D1A12" w:rsidRPr="009D1A12">
              <w:t xml:space="preserve"> 10. punkts cita starpā paredz Tieslietu ministrijai izvērtēt un līdz 2012. gada </w:t>
            </w:r>
            <w:r w:rsidR="009D1A12" w:rsidRPr="009D1A12">
              <w:lastRenderedPageBreak/>
              <w:t xml:space="preserve">1. jūlijam iesniegt izskatīšanai Ministru kabinetā priekšlikumus par iespējamiem grozījumiem </w:t>
            </w:r>
            <w:r>
              <w:t>L</w:t>
            </w:r>
            <w:r w:rsidR="009D1A12" w:rsidRPr="009D1A12">
              <w:t xml:space="preserve">ikumā paredzot, ka normu ierobežojumi tiek saglabāti līdz 2016. gada 1. janvārim, vai arī to apjoms tiek atjaunots pakāpeniski trīs gadu laikā. </w:t>
            </w:r>
          </w:p>
          <w:p w:rsidR="008E026F" w:rsidRDefault="001A150A" w:rsidP="001630F3">
            <w:pPr>
              <w:ind w:firstLine="552"/>
              <w:jc w:val="both"/>
            </w:pPr>
            <w:r w:rsidRPr="007D058B">
              <w:t xml:space="preserve">Pašreiz saskaņā ar </w:t>
            </w:r>
            <w:r w:rsidR="008E026F" w:rsidRPr="007D058B">
              <w:t>Likum</w:t>
            </w:r>
            <w:r w:rsidR="00F62736">
              <w:t>a</w:t>
            </w:r>
            <w:r w:rsidR="008E026F" w:rsidRPr="007D058B">
              <w:t xml:space="preserve"> </w:t>
            </w:r>
            <w:r w:rsidRPr="007D058B">
              <w:t xml:space="preserve">pārejas noteikumu 4. punktu ir noteikts pārejas periods no </w:t>
            </w:r>
            <w:r w:rsidR="00F62736">
              <w:t xml:space="preserve">Fonda </w:t>
            </w:r>
            <w:r w:rsidRPr="007D058B">
              <w:t xml:space="preserve">maksāto uzturlīdzekļu izmaksāšanā. Proti, </w:t>
            </w:r>
            <w:r w:rsidR="00714621" w:rsidRPr="007D058B">
              <w:t xml:space="preserve">2009. gada 1. decembrī, </w:t>
            </w:r>
            <w:r w:rsidRPr="007D058B">
              <w:t xml:space="preserve">ievērojot ekonomisko situāciju valstī </w:t>
            </w:r>
            <w:r w:rsidR="00714621" w:rsidRPr="007D058B">
              <w:t>un tās radītās sekas, kā arī ierobežoto valsts budžeta līdzekļu apmēru</w:t>
            </w:r>
            <w:r w:rsidR="008E026F" w:rsidRPr="007D058B">
              <w:t>,</w:t>
            </w:r>
            <w:r w:rsidR="00714621" w:rsidRPr="007D058B">
              <w:t xml:space="preserve"> Saeimā tika pieņemts likums „Grozījumi Uzturlīdzekļu garantiju fonda likumā”, kas stājās spēkā 2010. gada 1. jan</w:t>
            </w:r>
            <w:r w:rsidR="00F11377" w:rsidRPr="007D058B">
              <w:t>v</w:t>
            </w:r>
            <w:r w:rsidR="00714621" w:rsidRPr="007D058B">
              <w:t>ārī</w:t>
            </w:r>
            <w:r w:rsidR="00F11377" w:rsidRPr="007D058B">
              <w:t xml:space="preserve"> un paredz laika posmā no 2010. gada 1. janvāra līdz 2012. gada 31. decembrim</w:t>
            </w:r>
            <w:r w:rsidR="004E3E00" w:rsidRPr="007D058B">
              <w:t xml:space="preserve"> uzturlīdzekļus no Fonda izmaksāt samazinātā apmērā. Tādējādi uzturlīdzekļi no Fonda minētajā laika posmā</w:t>
            </w:r>
            <w:r w:rsidR="00F11377" w:rsidRPr="007D058B">
              <w:t xml:space="preserve"> </w:t>
            </w:r>
            <w:r w:rsidR="004E3E00" w:rsidRPr="007D058B">
              <w:t xml:space="preserve">tiek maksāti nevis pēc pamatregulējumā paredzētā principa - </w:t>
            </w:r>
            <w:r w:rsidR="00C97F28" w:rsidRPr="007D058B">
              <w:t xml:space="preserve">apmērā, kādu, pamatojoties uz </w:t>
            </w:r>
            <w:hyperlink r:id="rId9" w:tgtFrame="_blank" w:tooltip="Civillikums /Spēkā esošs/" w:history="1">
              <w:r w:rsidR="00C97F28" w:rsidRPr="007D058B">
                <w:rPr>
                  <w:rStyle w:val="Hipersaite"/>
                  <w:color w:val="auto"/>
                  <w:u w:val="none"/>
                </w:rPr>
                <w:t>Civillikuma</w:t>
              </w:r>
            </w:hyperlink>
            <w:r w:rsidR="00C97F28" w:rsidRPr="007D058B">
              <w:t xml:space="preserve"> 179.</w:t>
            </w:r>
            <w:r w:rsidR="0016371B" w:rsidRPr="007D058B">
              <w:t> </w:t>
            </w:r>
            <w:r w:rsidR="00C97F28" w:rsidRPr="007D058B">
              <w:t xml:space="preserve">panta piekto daļu, noteicis Ministru kabinets, kas ir 25 % apmērā no minimālās mēneša darba algas bērniem </w:t>
            </w:r>
            <w:r w:rsidR="00DE51A7">
              <w:t xml:space="preserve">no viņu piedzimšanas </w:t>
            </w:r>
            <w:r w:rsidR="00C97F28" w:rsidRPr="007D058B">
              <w:t xml:space="preserve">līdz 7 gadiem un 30 % apmērā bērniem vecumā no 7 līdz 18 gadiem, bet gan bērniem </w:t>
            </w:r>
            <w:r w:rsidR="00DE51A7">
              <w:t>no viņu piedzimšanas</w:t>
            </w:r>
            <w:r w:rsidR="00DE51A7" w:rsidRPr="007D058B">
              <w:t xml:space="preserve"> </w:t>
            </w:r>
            <w:r w:rsidR="00C97F28" w:rsidRPr="007D058B">
              <w:t xml:space="preserve">līdz 7 gadiem 30 latu apmērā un bērniem vecumā no 7 līdz 18 gadiem 35 latu apmērā. </w:t>
            </w:r>
          </w:p>
          <w:p w:rsidR="001C18D6" w:rsidRPr="007D058B" w:rsidRDefault="0016371B" w:rsidP="001630F3">
            <w:pPr>
              <w:ind w:firstLine="552"/>
              <w:jc w:val="both"/>
            </w:pPr>
            <w:r w:rsidRPr="007D058B">
              <w:t xml:space="preserve">Tuvojoties minētā pārejas perioda termiņa beigām, </w:t>
            </w:r>
            <w:r w:rsidR="00DE1BB4" w:rsidRPr="007D058B">
              <w:t>nepieciešams izvērtēt</w:t>
            </w:r>
            <w:r w:rsidR="00AF302C" w:rsidRPr="007D058B">
              <w:t xml:space="preserve"> turpmākās no Fonda maksāto uzturlīdzekļu izmaksas iespējas, lai </w:t>
            </w:r>
            <w:r w:rsidR="008E026F" w:rsidRPr="007D058B">
              <w:t xml:space="preserve">nodrošinātu </w:t>
            </w:r>
            <w:r w:rsidR="00965198" w:rsidRPr="007D058B">
              <w:t>Likuma 2. pantā definēto mērķi</w:t>
            </w:r>
            <w:r w:rsidR="00F576B6" w:rsidRPr="007D058B">
              <w:t xml:space="preserve"> </w:t>
            </w:r>
            <w:r w:rsidR="00965198" w:rsidRPr="007D058B">
              <w:t xml:space="preserve">un </w:t>
            </w:r>
            <w:r w:rsidR="008E026F" w:rsidRPr="007D058B">
              <w:t>īstenotu Likuma 3. panta pirmajā daļā paredzēto Fonda darbības mērķi</w:t>
            </w:r>
            <w:r w:rsidR="00F576B6" w:rsidRPr="007D058B">
              <w:t xml:space="preserve"> (</w:t>
            </w:r>
            <w:proofErr w:type="spellStart"/>
            <w:r w:rsidR="00F576B6" w:rsidRPr="007D058B">
              <w:t>t.i</w:t>
            </w:r>
            <w:proofErr w:type="spellEnd"/>
            <w:r w:rsidR="00F576B6" w:rsidRPr="007D058B">
              <w:t xml:space="preserve">., </w:t>
            </w:r>
            <w:r w:rsidR="00A50EAA" w:rsidRPr="007D058B">
              <w:t xml:space="preserve">mērķis ir nodrošināt bērnu ar uzturlīdzekļiem, ja </w:t>
            </w:r>
            <w:r w:rsidR="00F576B6" w:rsidRPr="007D058B">
              <w:t xml:space="preserve">tiesas nolēmuma par uzturlīdzekļu piedziņu izpilde atzīta par neiespējamu vai parādnieks tiesas nolēmumu par uzturlīdzekļu piedziņu pilda, bet nenodrošina to minimālo uzturlīdzekļu apmēru, kādu, pamatojoties uz </w:t>
            </w:r>
            <w:hyperlink r:id="rId10" w:tgtFrame="_blank" w:tooltip="Civillikums /Spēkā esošs/" w:history="1">
              <w:r w:rsidR="00F576B6" w:rsidRPr="007D058B">
                <w:rPr>
                  <w:rStyle w:val="Hipersaite"/>
                  <w:color w:val="auto"/>
                  <w:u w:val="none"/>
                </w:rPr>
                <w:t>Civillikuma</w:t>
              </w:r>
            </w:hyperlink>
            <w:r w:rsidR="00F576B6" w:rsidRPr="007D058B">
              <w:t xml:space="preserve"> 179. panta piekto daļu, noteicis Ministru kabinets, tādējādi īstenojot bērna tiesības uz sociālo nodrošinājumu</w:t>
            </w:r>
            <w:r w:rsidR="00A50EAA" w:rsidRPr="007D058B">
              <w:t>)</w:t>
            </w:r>
            <w:r w:rsidR="005842BA" w:rsidRPr="007D058B">
              <w:t>, un turpmāko uzturlīdzekļu izmaksas politiku</w:t>
            </w:r>
            <w:r w:rsidR="00965198" w:rsidRPr="007D058B">
              <w:t xml:space="preserve">. </w:t>
            </w:r>
          </w:p>
          <w:p w:rsidR="00EA4BA0" w:rsidRPr="007D058B" w:rsidRDefault="009672DA" w:rsidP="003D3405">
            <w:pPr>
              <w:ind w:firstLine="552"/>
              <w:jc w:val="both"/>
            </w:pPr>
            <w:r w:rsidRPr="007D058B">
              <w:t>Lai arī valsts ekonomiskā situācija, salīdzinot ar situāciju 2009. gadā, kad tika pieņemts minētais pašreiz spēkā esošais pārejas periods, ir stabilizējusies un ir vērojamas pozitīvas izmaiņas valsts ekonomiskajos rādītājos, taču joprojām valsts politika i</w:t>
            </w:r>
            <w:r w:rsidR="00944164" w:rsidRPr="007D058B">
              <w:t xml:space="preserve">r īstenojama, ievērojot </w:t>
            </w:r>
            <w:r w:rsidRPr="007D058B">
              <w:t>ierobežotu valsts budžeta līdzekļu pieejamību</w:t>
            </w:r>
            <w:r w:rsidR="002F4701" w:rsidRPr="007D058B">
              <w:t>, lai būtu iespējams īstenot valsts fiskālo politiku</w:t>
            </w:r>
            <w:r w:rsidR="00DE5C70" w:rsidRPr="007D058B">
              <w:t>, tādējādi nodrošinot ekonomiskās izaugsmes un ilgtspējas veicināšanu</w:t>
            </w:r>
            <w:r w:rsidR="001C18D6" w:rsidRPr="007D058B">
              <w:t xml:space="preserve">. </w:t>
            </w:r>
            <w:r w:rsidR="003D3405" w:rsidRPr="007D058B">
              <w:t xml:space="preserve">Tā, piemēram, informatīvajā ziņojumā “Par Latvijas Stratēģiskās attīstības plāna 2010. – 2013. gadam uzdevumu un darbības rezultātu īstenošanu 2011. gadā un kārtējā pārskata periodā” (Ministru kabineta 2012. gada 21. februāra </w:t>
            </w:r>
            <w:proofErr w:type="spellStart"/>
            <w:r w:rsidR="003D3405" w:rsidRPr="007D058B">
              <w:t>prot</w:t>
            </w:r>
            <w:proofErr w:type="spellEnd"/>
            <w:r w:rsidR="003D3405" w:rsidRPr="007D058B">
              <w:t>. </w:t>
            </w:r>
            <w:proofErr w:type="spellStart"/>
            <w:r w:rsidR="003D3405" w:rsidRPr="007D058B">
              <w:t>Nr</w:t>
            </w:r>
            <w:proofErr w:type="spellEnd"/>
            <w:r w:rsidR="003D3405" w:rsidRPr="007D058B">
              <w:t>. 10 39.§) minēts, ka Latvijas tuvāko gadu fiskālās politikas galvenais virziens ir ekonomiskās attīstības ciklam atbilstošas fiskālās politikas īstenošana, kas ļaus novērst pārmērīga budžeta deficīta esamību un ilgtspējīgas Latvijas ekonomikas attīstības perspektīvas. Turklāt šajā informatīvajā ziņojumā atzīts, ka stingra apņemšanās turpmākajiem gadiem ir tādas fiskālās politikas īstenošana, lai izpildītu Māstrihtas budžeta deficīta kritēriju, liekot būtisku</w:t>
            </w:r>
            <w:r w:rsidR="00F95D86" w:rsidRPr="007D058B">
              <w:t xml:space="preserve"> pamatu Latvijas iespējām 2014. </w:t>
            </w:r>
            <w:r w:rsidR="003D3405" w:rsidRPr="007D058B">
              <w:t>gada 1.</w:t>
            </w:r>
            <w:r w:rsidR="00F95D86" w:rsidRPr="007D058B">
              <w:t> </w:t>
            </w:r>
            <w:r w:rsidR="003D3405" w:rsidRPr="007D058B">
              <w:t xml:space="preserve">janvārī ieviest eiro, </w:t>
            </w:r>
            <w:r w:rsidR="003D3405" w:rsidRPr="007D058B">
              <w:lastRenderedPageBreak/>
              <w:t>kas ir Latvijas ekonomikas stabilizēšanas un izaugsmes atjaunošanas programmas izejas stratēģija</w:t>
            </w:r>
            <w:r w:rsidR="00F95D86" w:rsidRPr="007D058B">
              <w:t xml:space="preserve">. </w:t>
            </w:r>
          </w:p>
          <w:p w:rsidR="001C18D6" w:rsidRPr="007D058B" w:rsidRDefault="00AE1B73" w:rsidP="003D3405">
            <w:pPr>
              <w:ind w:firstLine="552"/>
              <w:jc w:val="both"/>
            </w:pPr>
            <w:r w:rsidRPr="007D058B">
              <w:t xml:space="preserve">Tāpat arī </w:t>
            </w:r>
            <w:r w:rsidR="001F5C23" w:rsidRPr="007D058B">
              <w:t>Latvijas konverģences programma</w:t>
            </w:r>
            <w:r w:rsidRPr="007D058B">
              <w:t xml:space="preserve"> </w:t>
            </w:r>
            <w:r w:rsidR="001F5C23" w:rsidRPr="007D058B">
              <w:t xml:space="preserve">2011. – 2014. gadam (apstiprināta ar Ministru kabineta 2011. gada 26. aprīļa </w:t>
            </w:r>
            <w:proofErr w:type="spellStart"/>
            <w:r w:rsidR="001F5C23" w:rsidRPr="007D058B">
              <w:t>prot</w:t>
            </w:r>
            <w:proofErr w:type="spellEnd"/>
            <w:r w:rsidR="001F5C23" w:rsidRPr="007D058B">
              <w:t>. </w:t>
            </w:r>
            <w:proofErr w:type="spellStart"/>
            <w:r w:rsidR="001F5C23" w:rsidRPr="007D058B">
              <w:t>Nr</w:t>
            </w:r>
            <w:proofErr w:type="spellEnd"/>
            <w:r w:rsidR="001F5C23" w:rsidRPr="007D058B">
              <w:t xml:space="preserve">. 27 35.§) </w:t>
            </w:r>
            <w:r w:rsidRPr="007D058B">
              <w:t xml:space="preserve">paredz, ka Latvijas pēdējā laika, kā arī tuvāko gadu fiskālās politikas galvenais mērķis un arī izaicinājums ir fiskālās konsolidācijas veikšana pārmērīga valsts konsolidētā budžeta deficīta novēršanai, vienlaikus nodrošinot ilgtspējīgu Latvijas ekonomikas attīstību un uzticības atjaunošanu valsts finansēm. Turklāt </w:t>
            </w:r>
            <w:r w:rsidR="002F4701" w:rsidRPr="007D058B">
              <w:t>Saeima ir uzdevusi valdībai, sagatavojot 2012., 2013. un 2014. gada valsts budžetu likumprojektus, nodrošināt, ka tiek īstenoti fiskālās konsolidācijas pasākumi un vispārējās valdības budžeta deficīts</w:t>
            </w:r>
            <w:r w:rsidR="007C1637">
              <w:t xml:space="preserve">. </w:t>
            </w:r>
            <w:r w:rsidR="00851A87" w:rsidRPr="007D058B">
              <w:t xml:space="preserve">Šeit jāatzīmē, ka ir </w:t>
            </w:r>
            <w:r w:rsidR="00EA4BA0" w:rsidRPr="007D058B">
              <w:t xml:space="preserve">arī </w:t>
            </w:r>
            <w:r w:rsidR="00851A87" w:rsidRPr="007D058B">
              <w:t xml:space="preserve">izstrādāts un </w:t>
            </w:r>
            <w:r w:rsidR="00F65582" w:rsidRPr="007D058B">
              <w:t xml:space="preserve">2012. gada 12. janvārī </w:t>
            </w:r>
            <w:r w:rsidR="00851A87" w:rsidRPr="007D058B">
              <w:t>Saeimā pirmajā lasījumā pieņemts Fiskālās disciplīnas likuma projekts (</w:t>
            </w:r>
            <w:proofErr w:type="spellStart"/>
            <w:r w:rsidR="00F65582" w:rsidRPr="007D058B">
              <w:t>Nr</w:t>
            </w:r>
            <w:proofErr w:type="spellEnd"/>
            <w:r w:rsidR="007D058B">
              <w:t>.</w:t>
            </w:r>
            <w:r w:rsidR="00F65582" w:rsidRPr="007D058B">
              <w:t> 137/Lp11), kas kā likuma mērķi paredz nodrošināt ilgtspējīgu valsts attīstību, makroekonomisko stabilitāti un samazināt tautsaimniecības ievainojamību ārējo satricinājumu rezultātā. Minētā likumprojekta anotācijā cita starpā norādīts, ka piesardzīga, konsekventa un caurredzama fiskālā politika, kas nodrošina budžeta plānošanu vidējā termiņā, kā arī deficīta un vispārējās valdības parāda strikta kontrole, paaugstinās tautsaimniecības konkurētspēju un samazinās tās ievainojamību ārējo faktoru ietekmes rezultātā, turklāt fiskālās disciplīnas ieviešana un nostiprināšana tiesību aktos dotu arī būtisku pozitīvu ieguvumu finanšu tirgiem, jo nostiprinātu uzticību valsts spējai īstenot budžeta politiku ilgtermiņā. Saskaņā ar minēt</w:t>
            </w:r>
            <w:r w:rsidR="00EA4BA0" w:rsidRPr="007D058B">
              <w:t>a</w:t>
            </w:r>
            <w:r w:rsidR="00F65582" w:rsidRPr="007D058B">
              <w:t>jā anotācijā norādīto izstrādātais tiesību akta projekts attiecas uz valsts un pašvaldību budžeta iestādēm, budžeta nefinansētām iestādēm, no valsts budžeta daļēji finansētām atvasinātām publiskām personām, kā arī nosaka fiskālās politikas principus, kas jāievēro arī citām vispārējās valdības sektorā atbilstoši E</w:t>
            </w:r>
            <w:r w:rsidR="007C1637">
              <w:t xml:space="preserve">iropas </w:t>
            </w:r>
            <w:r w:rsidR="00F65582" w:rsidRPr="007D058B">
              <w:t>S</w:t>
            </w:r>
            <w:r w:rsidR="00FC4489">
              <w:t xml:space="preserve">avienībā </w:t>
            </w:r>
            <w:r w:rsidR="00F65582" w:rsidRPr="007D058B">
              <w:t xml:space="preserve"> piemērotajai metodoloģijai iekļaujamām institūcijām</w:t>
            </w:r>
            <w:r w:rsidR="00F7477F" w:rsidRPr="007D058B">
              <w:t xml:space="preserve">. </w:t>
            </w:r>
          </w:p>
          <w:p w:rsidR="00874164" w:rsidRPr="007D058B" w:rsidRDefault="000134D2" w:rsidP="000134D2">
            <w:pPr>
              <w:ind w:firstLine="552"/>
              <w:jc w:val="both"/>
            </w:pPr>
            <w:r w:rsidRPr="007D058B">
              <w:t xml:space="preserve">Tāpat arī </w:t>
            </w:r>
            <w:r w:rsidR="00DA7405" w:rsidRPr="007D058B">
              <w:t>informatīvajā ziņojumā "Nacionālā attīstības plāna 2014.–2020. gadam prioritāšu pamatojuma ziņojums"</w:t>
            </w:r>
            <w:r w:rsidRPr="007D058B">
              <w:t xml:space="preserve"> </w:t>
            </w:r>
            <w:r w:rsidR="00DA7405" w:rsidRPr="007D058B">
              <w:t xml:space="preserve">(Ministru kabineta 2012. gada 6. marta </w:t>
            </w:r>
            <w:proofErr w:type="spellStart"/>
            <w:r w:rsidR="00DA7405" w:rsidRPr="007D058B">
              <w:t>prot</w:t>
            </w:r>
            <w:proofErr w:type="spellEnd"/>
            <w:r w:rsidR="00DA7405" w:rsidRPr="007D058B">
              <w:t xml:space="preserve">. </w:t>
            </w:r>
            <w:proofErr w:type="spellStart"/>
            <w:r w:rsidR="00DA7405" w:rsidRPr="007D058B">
              <w:t>Nr</w:t>
            </w:r>
            <w:proofErr w:type="spellEnd"/>
            <w:r w:rsidR="00DA7405" w:rsidRPr="007D058B">
              <w:t xml:space="preserve">. 12 28.§) </w:t>
            </w:r>
            <w:r w:rsidRPr="007D058B">
              <w:t xml:space="preserve">kā galvenie secinājumi attiecībā uz makroekonomisko situāciju ir norādīti, ka makroekonomiskā situācija Latvijā ir stabilizējusies, un galvenie makroekonomiskie rādītāji (IKP dinamika, bezdarbs, ārējās tirdzniecības bilance, tekošā konta bilance, inflācija) uzrāda pozitīvas tendences, tomēr bažas rada neskaidrā globālā ekonomiskā situācija (īpaši </w:t>
            </w:r>
            <w:proofErr w:type="spellStart"/>
            <w:r w:rsidRPr="007D058B">
              <w:t>eirozonā</w:t>
            </w:r>
            <w:proofErr w:type="spellEnd"/>
            <w:r w:rsidRPr="007D058B">
              <w:t xml:space="preserve">), kā arī vēl joprojām augstais budžeta deficīts un pieaugošais valsts parāda līmenis. Turpat arī secināts, ka fiskālās krīzes sekas un ar to saistītie lēmumi ir atstājuši ietekmi uz sociālās nevienlīdzības palielināšanos, ēnu ekonomikas pieaugumu, kā arī inovāciju attīstību, un Latvijas fiskālā un nodokļu politika kopumā ir starptautiski konkurētspējīga, tomēr nepieciešama valsts parāda apjoma mazināšana vidējā termiņā un darbaspēka nodokļu politikas pārskatīšana. </w:t>
            </w:r>
            <w:r w:rsidR="00874164" w:rsidRPr="007D058B">
              <w:t>Bez tam cita starpā šis informatīvais ziņojums</w:t>
            </w:r>
            <w:r w:rsidR="00F15C80" w:rsidRPr="007D058B">
              <w:t xml:space="preserve"> zem definētās prioritātes (kas skaidrota kā valdības un ne-valdības </w:t>
            </w:r>
            <w:r w:rsidR="00F15C80" w:rsidRPr="007D058B">
              <w:lastRenderedPageBreak/>
              <w:t xml:space="preserve">sektoru saskaņotas rīcības virzienu kopums, lai panāktu vēlamās valsts sociālekonomiskās situācijas izmaiņas </w:t>
            </w:r>
            <w:proofErr w:type="spellStart"/>
            <w:r w:rsidR="00F15C80" w:rsidRPr="007D058B">
              <w:t>makrolīmenī</w:t>
            </w:r>
            <w:proofErr w:type="spellEnd"/>
            <w:r w:rsidR="00F15C80" w:rsidRPr="007D058B">
              <w:t xml:space="preserve"> un noteiktā laika</w:t>
            </w:r>
            <w:r w:rsidR="003D7EEC" w:rsidRPr="007D058B">
              <w:t xml:space="preserve"> posmā sa</w:t>
            </w:r>
            <w:r w:rsidR="007D058B">
              <w:t>s</w:t>
            </w:r>
            <w:r w:rsidR="003D7EEC" w:rsidRPr="007D058B">
              <w:t>niegtu izvirzīto mērķi</w:t>
            </w:r>
            <w:r w:rsidR="00F15C80" w:rsidRPr="007D058B">
              <w:t xml:space="preserve">) </w:t>
            </w:r>
            <w:r w:rsidR="007377C5" w:rsidRPr="007D058B">
              <w:t xml:space="preserve">„Ilgtermiņa ieguldījumi </w:t>
            </w:r>
            <w:proofErr w:type="spellStart"/>
            <w:r w:rsidR="007377C5" w:rsidRPr="007D058B">
              <w:t>cilvēkkapitālā</w:t>
            </w:r>
            <w:proofErr w:type="spellEnd"/>
            <w:r w:rsidR="007377C5" w:rsidRPr="007D058B">
              <w:t xml:space="preserve">” </w:t>
            </w:r>
            <w:r w:rsidR="00874164" w:rsidRPr="007D058B">
              <w:t>pie galvenajiem politikas virzieniem un pasākumiem nabadzības līmeņa samazināšanai kā vienu no mērķiem paredz samazināt nodokļu slogu ekonomiski aktīviem iedzīvotājiem un augstam nabadzības riskam pakļautām iedzīvotāju grupām (īpaši ģimenēm ar bērniem un zemāk atalgotiem iedzīvotājiem) un veicināt šo iedzīvotāju spēju pašiem sevi nodrošināt un izkļūt no nabadzības, kas būtu īstenojams ar attiecīgu nodokļu politiku. Tāpat kā vēl viens mērķis pie galvenajiem politikas virzieniem un pasākumiem nabadzības līmeņa samazināšanai minēts - nodrošināt un pilnveidot valsts un pašvaldību atbalstu ģimenēm ar bērniem, kā arī veicināt vecāku līdzdalību darba tirgū, lai novērstu tālāku nabadzības riska pieaugumu ģimenēm ar bērniem, kas cita starpā būtu īstenojams, sniedzot atbalstu ģimenēm ar bērniem, īstenojot sociālās aizsardzības un sociālās palīdzības pasākumus valsts un pašvaldību līmenī (atbilstoši budžeta iespējām tiks nodrošināts finansiāls atbalsts (pabalsti, valsts garantētie uzturlīdzekļi) un pakalpojumi (piemēram, sociālās rehabilitācijas pakalpojumi no vardarbības cietušajiem bērniem)</w:t>
            </w:r>
            <w:r w:rsidR="000C45EA">
              <w:t>)</w:t>
            </w:r>
            <w:r w:rsidR="00874164" w:rsidRPr="007D058B">
              <w:t xml:space="preserve">. </w:t>
            </w:r>
          </w:p>
          <w:p w:rsidR="00331107" w:rsidRPr="007D058B" w:rsidRDefault="00331107" w:rsidP="000134D2">
            <w:pPr>
              <w:ind w:firstLine="552"/>
              <w:jc w:val="both"/>
            </w:pPr>
            <w:r w:rsidRPr="007D058B">
              <w:t>Tādējādi minētajā informatīvajā ziņojumā "Nacionā</w:t>
            </w:r>
            <w:r w:rsidR="009A45ED" w:rsidRPr="007D058B">
              <w:t>lā attīstības plāna 2014.–2020. </w:t>
            </w:r>
            <w:r w:rsidRPr="007D058B">
              <w:t>gadam prioritāšu pamatojuma ziņojums", tāpat kā „</w:t>
            </w:r>
            <w:r w:rsidR="005E0233" w:rsidRPr="007D058B">
              <w:t>Ģ</w:t>
            </w:r>
            <w:r w:rsidRPr="007D058B">
              <w:t xml:space="preserve">imenes valsts politikas pamatnostādnēs 2011. – 2017. gadam” (atbalstītas ar Ministru kabineta 2011. gada 18. februāra rīkojumu </w:t>
            </w:r>
            <w:proofErr w:type="spellStart"/>
            <w:r w:rsidRPr="007D058B">
              <w:t>Nr</w:t>
            </w:r>
            <w:proofErr w:type="spellEnd"/>
            <w:r w:rsidRPr="007D058B">
              <w:t>. 65 (</w:t>
            </w:r>
            <w:proofErr w:type="spellStart"/>
            <w:r w:rsidRPr="007D058B">
              <w:t>prot</w:t>
            </w:r>
            <w:proofErr w:type="spellEnd"/>
            <w:r w:rsidRPr="007D058B">
              <w:t xml:space="preserve">. </w:t>
            </w:r>
            <w:proofErr w:type="spellStart"/>
            <w:r w:rsidRPr="007D058B">
              <w:t>Nr</w:t>
            </w:r>
            <w:proofErr w:type="spellEnd"/>
            <w:r w:rsidRPr="007D058B">
              <w:t>. 10 41.§)), ir atzīt</w:t>
            </w:r>
            <w:r w:rsidR="007D74D4" w:rsidRPr="007D058B">
              <w:t>s īpaši</w:t>
            </w:r>
            <w:r w:rsidRPr="007D058B">
              <w:t xml:space="preserve"> ģimeņu </w:t>
            </w:r>
            <w:r w:rsidR="007D74D4" w:rsidRPr="007D058B">
              <w:t xml:space="preserve">ar bērniem atbalsta nozīmīgums, </w:t>
            </w:r>
            <w:proofErr w:type="spellStart"/>
            <w:r w:rsidR="007D74D4" w:rsidRPr="007D058B">
              <w:t>t.sk</w:t>
            </w:r>
            <w:proofErr w:type="spellEnd"/>
            <w:r w:rsidR="007D74D4" w:rsidRPr="007D058B">
              <w:t xml:space="preserve">., šādu ģimeņu nabadzības riska mazināšanas nepieciešamība (lai novērstu no tā izrietošos riskus – bērniem no zemu ienākumu ģimenēm ir mazākas iespējas iegūt labu izglītību, kas nākotnē nozīmē mazāk kvalificētu darbu un zemākus ienākumus, iedzīvotājiem ar zemiem ienākumiem ir mazāk iespēju ieguldīt savā veselībā, izglītībā, jaunu iemaņu apgūšanā, kas aizkavē </w:t>
            </w:r>
            <w:proofErr w:type="spellStart"/>
            <w:r w:rsidR="007D74D4" w:rsidRPr="007D058B">
              <w:t>cilvēkkapitāla</w:t>
            </w:r>
            <w:proofErr w:type="spellEnd"/>
            <w:r w:rsidR="007D74D4" w:rsidRPr="007D058B">
              <w:t xml:space="preserve"> vērtības izaugsmi un ekonomikas izaugsmi valstī kopumā). </w:t>
            </w:r>
          </w:p>
          <w:p w:rsidR="009672DA" w:rsidRPr="007D058B" w:rsidRDefault="00E55556" w:rsidP="001630F3">
            <w:pPr>
              <w:ind w:firstLine="552"/>
              <w:jc w:val="both"/>
            </w:pPr>
            <w:r w:rsidRPr="007D058B">
              <w:t>Līdz ar to arī</w:t>
            </w:r>
            <w:r w:rsidR="00510D79" w:rsidRPr="007D058B">
              <w:t>,</w:t>
            </w:r>
            <w:r w:rsidR="005E0233" w:rsidRPr="007D058B">
              <w:t xml:space="preserve"> </w:t>
            </w:r>
            <w:r w:rsidRPr="007D058B">
              <w:t>plānojot un nosakot turpmāko uzturlīdzekļu izmaksas politiku,</w:t>
            </w:r>
            <w:r w:rsidR="00510D79" w:rsidRPr="007D058B">
              <w:t xml:space="preserve"> atbilstoši valsts iezīmētajiem ilgtermiņa un vidēja termiņa mērķiem, ievērojot kopējās valsts attīstības politikas tendences,</w:t>
            </w:r>
            <w:r w:rsidRPr="007D058B">
              <w:t xml:space="preserve"> nepieciešams ņemt vērā</w:t>
            </w:r>
            <w:r w:rsidR="004D3040" w:rsidRPr="007D058B">
              <w:t xml:space="preserve"> kā ierobežotos valsts budžeta resursus, tā arī nepieciešamību ievērot bērna tiesību aizsardzības </w:t>
            </w:r>
            <w:r w:rsidR="003C2FCB" w:rsidRPr="007D058B">
              <w:t xml:space="preserve">un </w:t>
            </w:r>
            <w:r w:rsidR="004D3040" w:rsidRPr="007D058B">
              <w:t>ģimeņu ar bērniem</w:t>
            </w:r>
            <w:r w:rsidR="003C2FCB" w:rsidRPr="007D058B">
              <w:t xml:space="preserve"> atbalsta veicināšanas interes</w:t>
            </w:r>
            <w:r w:rsidR="00DE1BB4" w:rsidRPr="007D058B">
              <w:t>es (</w:t>
            </w:r>
            <w:proofErr w:type="spellStart"/>
            <w:r w:rsidR="00DE1BB4" w:rsidRPr="007D058B">
              <w:t>t.sk</w:t>
            </w:r>
            <w:proofErr w:type="spellEnd"/>
            <w:r w:rsidR="00DE1BB4" w:rsidRPr="007D058B">
              <w:t xml:space="preserve">., tiesību uz </w:t>
            </w:r>
            <w:r w:rsidR="005D0BA5" w:rsidRPr="007D058B">
              <w:t>sociāl</w:t>
            </w:r>
            <w:r w:rsidR="00DE1BB4" w:rsidRPr="007D058B">
              <w:t>o</w:t>
            </w:r>
            <w:r w:rsidR="005D0BA5" w:rsidRPr="007D058B">
              <w:t xml:space="preserve"> nodrošinājum</w:t>
            </w:r>
            <w:r w:rsidR="00DE1BB4" w:rsidRPr="007D058B">
              <w:t xml:space="preserve">u </w:t>
            </w:r>
            <w:r w:rsidR="00B50354" w:rsidRPr="007D058B">
              <w:t>īstenošan</w:t>
            </w:r>
            <w:r w:rsidR="00DE1BB4" w:rsidRPr="007D058B">
              <w:t>a</w:t>
            </w:r>
            <w:r w:rsidR="00B50354" w:rsidRPr="007D058B">
              <w:t xml:space="preserve">). </w:t>
            </w:r>
          </w:p>
          <w:p w:rsidR="00965198" w:rsidRPr="007D058B" w:rsidRDefault="00965198" w:rsidP="001630F3">
            <w:pPr>
              <w:ind w:firstLine="552"/>
              <w:jc w:val="both"/>
              <w:rPr>
                <w:bCs/>
              </w:rPr>
            </w:pPr>
            <w:r w:rsidRPr="007D058B">
              <w:t xml:space="preserve">Šeit papildus norādāms, </w:t>
            </w:r>
            <w:r w:rsidR="00B50354" w:rsidRPr="007D058B">
              <w:t xml:space="preserve">ka </w:t>
            </w:r>
            <w:r w:rsidR="00CC47F4" w:rsidRPr="007D058B">
              <w:t xml:space="preserve">arī Satversmes tiesa savā 2011. gada 10. janvāra spriedumā lietā </w:t>
            </w:r>
            <w:proofErr w:type="spellStart"/>
            <w:r w:rsidR="00CC47F4" w:rsidRPr="007D058B">
              <w:t>Nr</w:t>
            </w:r>
            <w:proofErr w:type="spellEnd"/>
            <w:r w:rsidR="00CC47F4" w:rsidRPr="007D058B">
              <w:t xml:space="preserve">. 2010-18-01 (izskatot lietu par minētā </w:t>
            </w:r>
            <w:r w:rsidR="00CC47F4" w:rsidRPr="007D058B">
              <w:rPr>
                <w:bCs/>
              </w:rPr>
              <w:t xml:space="preserve">pārejas noteikumu 4. punkta atbilstību </w:t>
            </w:r>
            <w:hyperlink r:id="rId11" w:tgtFrame="_blank" w:tooltip="Latvijas Republikas Satversme /Spēkā esošs/" w:history="1">
              <w:r w:rsidR="00CC47F4" w:rsidRPr="007D058B">
                <w:rPr>
                  <w:rStyle w:val="Hipersaite"/>
                  <w:bCs/>
                  <w:color w:val="auto"/>
                  <w:u w:val="none"/>
                </w:rPr>
                <w:t>Latvijas Republikas Satversmes</w:t>
              </w:r>
            </w:hyperlink>
            <w:r w:rsidR="00CC47F4" w:rsidRPr="007D058B">
              <w:rPr>
                <w:bCs/>
              </w:rPr>
              <w:t xml:space="preserve"> 1., 109. un 110. pantam) </w:t>
            </w:r>
            <w:r w:rsidR="00B46914" w:rsidRPr="007D058B">
              <w:rPr>
                <w:bCs/>
              </w:rPr>
              <w:t xml:space="preserve">(turpmāk – Spriedums) </w:t>
            </w:r>
            <w:r w:rsidR="00CC47F4" w:rsidRPr="007D058B">
              <w:rPr>
                <w:bCs/>
              </w:rPr>
              <w:t>ir norādījusi</w:t>
            </w:r>
            <w:r w:rsidR="00682F91" w:rsidRPr="007D058B">
              <w:rPr>
                <w:bCs/>
              </w:rPr>
              <w:t xml:space="preserve"> uz principu, ka tiesiskajās attiecībās, kas skar bērnu, un visās darbībās attiecībā uz bērniem prioritāras ir bērna tiesības un intereses, kas nozīmē, ka ne vien tiesai un citām institūcijām savi lēmumi jāpieņem, pamatojoties uz to, kas ir bērna </w:t>
            </w:r>
            <w:r w:rsidR="00682F91" w:rsidRPr="007D058B">
              <w:rPr>
                <w:bCs/>
              </w:rPr>
              <w:lastRenderedPageBreak/>
              <w:t xml:space="preserve">interesēs, bet arī likumdevējam jāievēro, lai pieņemtie vai grozītie normatīvie akti aizsargātu bērnu intereses iespējami labākajā veidā, un valsts pienākums ir, īstenojot Satversmē garantētās tiesības uz sociālo nodrošinājumu, ne vien noteikt šo tiesību normatīvo regulējumu, bet arī izveidot efektīvu tiesību normu īstenošanas mehānismu. </w:t>
            </w:r>
          </w:p>
          <w:p w:rsidR="00682F91" w:rsidRPr="007D058B" w:rsidRDefault="00682F91" w:rsidP="004F7AE2">
            <w:pPr>
              <w:ind w:firstLine="552"/>
              <w:jc w:val="both"/>
              <w:rPr>
                <w:bCs/>
              </w:rPr>
            </w:pPr>
            <w:r w:rsidRPr="007D058B">
              <w:rPr>
                <w:bCs/>
              </w:rPr>
              <w:t xml:space="preserve">Turklāt Satversmes tiesa </w:t>
            </w:r>
            <w:r w:rsidR="00B46914" w:rsidRPr="007D058B">
              <w:rPr>
                <w:bCs/>
              </w:rPr>
              <w:t>S</w:t>
            </w:r>
            <w:r w:rsidRPr="007D058B">
              <w:rPr>
                <w:bCs/>
              </w:rPr>
              <w:t xml:space="preserve">priedumā, vērtējot minētajā pagaidu regulējumā noteikto uzturlīdzekļu apmēru, ir atzinusi, ka, tā kā tiesības uz sociālo nodrošinājumu ir personas sociālās tiesības, valstij ir rīcības brīvība to metožu un mehānismu izvēlē, ar kādiem šīs tiesības īstenojamas (..), un likumdevējs, izvērtējot valsts ekonomiskās iespējas un citus apstākļus, var izmantot savu rīcības brīvību un veidot sociālās drošības sistēmu, nosakot tās darbības vispārējos principus, līdzekļu iemaksāšanas, administrēšanas, pārvaldīšanas un izmaksāšanas noteikumus (..). </w:t>
            </w:r>
            <w:r w:rsidR="004F7AE2" w:rsidRPr="007D058B">
              <w:rPr>
                <w:bCs/>
              </w:rPr>
              <w:t xml:space="preserve">Bez tam Spriedumā attiecībā uz tiesiskās paļāvības principa izvērtējumu norādīts, ka no Satversmes 109. panta valstij izriet pienākums izveidot un uzturēt sociālās aizsardzības sistēmu kopumā, taču Satversmes 109. pants neietver prasību paredzēt uzturlīdzekļu izmaksu kādā konkrētā apmērā. </w:t>
            </w:r>
          </w:p>
          <w:p w:rsidR="00C85852" w:rsidRPr="007D058B" w:rsidRDefault="004F7AE2" w:rsidP="001630F3">
            <w:pPr>
              <w:ind w:firstLine="552"/>
              <w:jc w:val="both"/>
              <w:rPr>
                <w:bCs/>
              </w:rPr>
            </w:pPr>
            <w:r w:rsidRPr="007D058B">
              <w:rPr>
                <w:bCs/>
              </w:rPr>
              <w:t>Š</w:t>
            </w:r>
            <w:r w:rsidR="00C85852" w:rsidRPr="007D058B">
              <w:rPr>
                <w:bCs/>
              </w:rPr>
              <w:t xml:space="preserve">eit papildus </w:t>
            </w:r>
            <w:r w:rsidR="00910143" w:rsidRPr="007D058B">
              <w:rPr>
                <w:bCs/>
              </w:rPr>
              <w:t>uzsverams</w:t>
            </w:r>
            <w:r w:rsidR="00C85852" w:rsidRPr="007D058B">
              <w:rPr>
                <w:bCs/>
              </w:rPr>
              <w:t xml:space="preserve">, ka saskaņā ar Civillikuma 179. pantu </w:t>
            </w:r>
            <w:r w:rsidR="00910143" w:rsidRPr="007D058B">
              <w:rPr>
                <w:bCs/>
              </w:rPr>
              <w:t xml:space="preserve">un Ministru kabineta 2003. gada 1. jūlija noteikumu </w:t>
            </w:r>
            <w:proofErr w:type="spellStart"/>
            <w:r w:rsidR="00910143" w:rsidRPr="007D058B">
              <w:rPr>
                <w:bCs/>
              </w:rPr>
              <w:t>Nr</w:t>
            </w:r>
            <w:proofErr w:type="spellEnd"/>
            <w:r w:rsidR="00910143" w:rsidRPr="007D058B">
              <w:rPr>
                <w:bCs/>
              </w:rPr>
              <w:t xml:space="preserve">. 348 „Noteikumi par minimālo uzturlīdzekļu apmēru bērnam” 1. punktu uzturlīdzekļu nodrošināšana bērnam ir katra vecāka pienākums neatkarīgi no viņa mantas stāvokļa, savukārt </w:t>
            </w:r>
            <w:r w:rsidR="006E02A1">
              <w:rPr>
                <w:bCs/>
              </w:rPr>
              <w:t>F</w:t>
            </w:r>
            <w:r w:rsidR="00910143" w:rsidRPr="007D058B">
              <w:rPr>
                <w:bCs/>
              </w:rPr>
              <w:t>onda maksātie uzturlīdzekļi neatbrīvo kādu no vecākiem no šī pienākuma, bet gan ir tikai kā atbalsts vecākam, ar kuru bērns dzīvo, uzturlīdzekļu piedziņas proces</w:t>
            </w:r>
            <w:r w:rsidR="0059117E" w:rsidRPr="007D058B">
              <w:rPr>
                <w:bCs/>
              </w:rPr>
              <w:t xml:space="preserve">ā. </w:t>
            </w:r>
            <w:r w:rsidR="00992F5F" w:rsidRPr="007D058B">
              <w:rPr>
                <w:bCs/>
              </w:rPr>
              <w:t>B</w:t>
            </w:r>
            <w:r w:rsidR="0059117E" w:rsidRPr="007D058B">
              <w:rPr>
                <w:bCs/>
              </w:rPr>
              <w:t>ērna interešu īstenošanai</w:t>
            </w:r>
            <w:r w:rsidR="00992F5F" w:rsidRPr="007D058B">
              <w:rPr>
                <w:bCs/>
              </w:rPr>
              <w:t xml:space="preserve"> valsts</w:t>
            </w:r>
            <w:r w:rsidR="0059117E" w:rsidRPr="007D058B">
              <w:rPr>
                <w:bCs/>
              </w:rPr>
              <w:t xml:space="preserve">, ar Fonda palīdzību samaksājot šim vecākam noteiktu līdzekļu summu un tādējādi attiecīgā apmērā pārņemot uzturlīdzekļu piedziņu, atbalsta šo vecāku bērna audzināšanā brīdī, kad netiek nodrošināta piedalīšanās bērna uzturēšanā no otra vecāka puses. </w:t>
            </w:r>
            <w:r w:rsidR="0098543E" w:rsidRPr="007D058B">
              <w:rPr>
                <w:bCs/>
              </w:rPr>
              <w:t>Taču, kā jau norādīts, tas neatbrīvo vecāku no viņa pienākuma uzturēt bērnu, un valsts, ievērojot vienlīdzības principu attiecībā uz visiem bērniem un nepieciešamību valsts budžeta līdzekļus izlietot mērķtiecīgi, ilgtspējīgi un sabalansēti atbilstoši nodrošināmajiem mērķiem, nevar uzņemties šo pienākumu vecāka, kurš kādu iemeslu dēļ nenodrošina savam bērnam uzturlīdzekļus, vietā</w:t>
            </w:r>
            <w:r w:rsidR="002F587B" w:rsidRPr="007D058B">
              <w:rPr>
                <w:bCs/>
              </w:rPr>
              <w:t xml:space="preserve"> (ņemot vērā arī to, ka katram bērnam ir individuālas vajadzības, no kā atkarīgs ir viņam nepieciešamais līdzekļu apmērs). </w:t>
            </w:r>
          </w:p>
          <w:p w:rsidR="002D74F4" w:rsidRDefault="00682F91" w:rsidP="002D74F4">
            <w:pPr>
              <w:ind w:firstLine="552"/>
              <w:jc w:val="both"/>
            </w:pPr>
            <w:r w:rsidRPr="007D058B">
              <w:t>Līdz ar to, ievērojot</w:t>
            </w:r>
            <w:r w:rsidR="005E7E2F" w:rsidRPr="007D058B">
              <w:t xml:space="preserve"> </w:t>
            </w:r>
            <w:r w:rsidR="002F587B" w:rsidRPr="007D058B">
              <w:t xml:space="preserve">visus </w:t>
            </w:r>
            <w:r w:rsidRPr="007D058B">
              <w:t>minēto</w:t>
            </w:r>
            <w:r w:rsidR="002F587B" w:rsidRPr="007D058B">
              <w:t>s</w:t>
            </w:r>
            <w:r w:rsidR="005E7E2F" w:rsidRPr="007D058B">
              <w:t xml:space="preserve"> </w:t>
            </w:r>
            <w:r w:rsidRPr="007D058B">
              <w:t>apsvērumus</w:t>
            </w:r>
            <w:r w:rsidR="002F587B" w:rsidRPr="007D058B">
              <w:t xml:space="preserve"> (un īpaši minēto attiecībā uz turpmākās politikas plānošanu, ievērojot stingru fiskālo politiku)</w:t>
            </w:r>
            <w:r w:rsidR="00C73DBB">
              <w:t xml:space="preserve"> un</w:t>
            </w:r>
            <w:r w:rsidR="00235282" w:rsidRPr="007D058B">
              <w:t xml:space="preserve"> </w:t>
            </w:r>
            <w:r w:rsidR="00BA36C7" w:rsidRPr="007D058B">
              <w:t>ņemot vērā</w:t>
            </w:r>
            <w:r w:rsidR="00235282" w:rsidRPr="007D058B">
              <w:t xml:space="preserve"> minētos apstākļus </w:t>
            </w:r>
            <w:r w:rsidR="00BD452F">
              <w:t>par bērnu interešu un tie</w:t>
            </w:r>
            <w:r w:rsidR="00C73DBB">
              <w:t>sību aizsardzības nodrošināšanu</w:t>
            </w:r>
            <w:r w:rsidR="00235282" w:rsidRPr="007D058B">
              <w:t xml:space="preserve">, nepieciešams </w:t>
            </w:r>
            <w:r w:rsidR="00BA36C7" w:rsidRPr="007D058B">
              <w:t>paredzēt pakāpenisku no Fonda izmak</w:t>
            </w:r>
            <w:r w:rsidR="006F3B81" w:rsidRPr="007D058B">
              <w:t>sājamo uzturlīdzekļu apmēr</w:t>
            </w:r>
            <w:r w:rsidR="002D74F4">
              <w:t>a palielināšanu</w:t>
            </w:r>
            <w:r w:rsidR="006F3B81" w:rsidRPr="007D058B">
              <w:t>,</w:t>
            </w:r>
            <w:r w:rsidR="00BA36C7" w:rsidRPr="007D058B">
              <w:t xml:space="preserve"> jau </w:t>
            </w:r>
            <w:r w:rsidR="006F3B81" w:rsidRPr="007D058B">
              <w:t xml:space="preserve">attiecībā uz </w:t>
            </w:r>
            <w:r w:rsidR="00BA36C7" w:rsidRPr="007D058B">
              <w:t>nākam</w:t>
            </w:r>
            <w:r w:rsidR="006F3B81" w:rsidRPr="007D058B">
              <w:t>o</w:t>
            </w:r>
            <w:r w:rsidR="00BA36C7" w:rsidRPr="007D058B">
              <w:t xml:space="preserve"> (</w:t>
            </w:r>
            <w:proofErr w:type="spellStart"/>
            <w:r w:rsidR="00BA36C7" w:rsidRPr="007D058B">
              <w:t>t.i</w:t>
            </w:r>
            <w:proofErr w:type="spellEnd"/>
            <w:r w:rsidR="00BA36C7" w:rsidRPr="007D058B">
              <w:t>., 2013.) gad</w:t>
            </w:r>
            <w:r w:rsidR="00A928C0" w:rsidRPr="007D058B">
              <w:t>u</w:t>
            </w:r>
            <w:r w:rsidR="006F3B81" w:rsidRPr="007D058B">
              <w:t xml:space="preserve"> </w:t>
            </w:r>
            <w:r w:rsidR="00A928C0" w:rsidRPr="007D058B">
              <w:t>nosakot izmaksājamo uzturlīdzekļu apmēru par piecie</w:t>
            </w:r>
            <w:r w:rsidR="00C078FE" w:rsidRPr="007D058B">
              <w:t xml:space="preserve">m </w:t>
            </w:r>
            <w:r w:rsidR="002D74F4">
              <w:t xml:space="preserve">latiem lielāku nekā 2012. gadā. Šeit papildus norādāms, ka pašreiz nav prognozējams, kāds būs minimālās mēneša darba algas apmērs pēc šī nosakāmā </w:t>
            </w:r>
            <w:r w:rsidR="002D74F4">
              <w:lastRenderedPageBreak/>
              <w:t xml:space="preserve">pārejas perioda beigām un attiecīgi, kāds būs no Fonda maksājamo uzturlīdzekļu apmērs (kas saskaņā ar Likuma pamatregulējumu ir attiecīgi 25% un 30% no minimālās mēneša darba algas, kas valstī tiek noteikta katram nākamajam gadam atsevišķi). </w:t>
            </w:r>
          </w:p>
          <w:p w:rsidR="00FC7CAD" w:rsidRPr="007D058B" w:rsidRDefault="007A183C" w:rsidP="00157556">
            <w:pPr>
              <w:ind w:firstLine="552"/>
              <w:jc w:val="both"/>
            </w:pPr>
            <w:r>
              <w:t xml:space="preserve"> </w:t>
            </w:r>
          </w:p>
        </w:tc>
      </w:tr>
      <w:tr w:rsidR="00846547" w:rsidRPr="007D058B" w:rsidTr="00FE5BA3">
        <w:trPr>
          <w:trHeight w:val="899"/>
          <w:tblCellSpacing w:w="0" w:type="dxa"/>
        </w:trPr>
        <w:tc>
          <w:tcPr>
            <w:tcW w:w="310"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kr"/>
              <w:spacing w:before="0" w:after="120"/>
            </w:pPr>
            <w:r w:rsidRPr="007D058B">
              <w:lastRenderedPageBreak/>
              <w:t> 3.</w:t>
            </w:r>
          </w:p>
        </w:tc>
        <w:tc>
          <w:tcPr>
            <w:tcW w:w="2257"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kr"/>
              <w:spacing w:before="0" w:after="120"/>
            </w:pPr>
            <w:r w:rsidRPr="007D058B">
              <w:t> Saistītie politikas ietekmes novērtējumi un pētījumi</w:t>
            </w:r>
          </w:p>
        </w:tc>
        <w:tc>
          <w:tcPr>
            <w:tcW w:w="6520" w:type="dxa"/>
            <w:tcBorders>
              <w:top w:val="outset" w:sz="6" w:space="0" w:color="auto"/>
              <w:left w:val="outset" w:sz="6" w:space="0" w:color="auto"/>
              <w:bottom w:val="outset" w:sz="6" w:space="0" w:color="auto"/>
              <w:right w:val="outset" w:sz="6" w:space="0" w:color="auto"/>
            </w:tcBorders>
          </w:tcPr>
          <w:p w:rsidR="00846547" w:rsidRPr="007D058B" w:rsidRDefault="001630F3" w:rsidP="001630F3">
            <w:pPr>
              <w:pStyle w:val="naiskr"/>
              <w:spacing w:before="0" w:after="120"/>
              <w:ind w:firstLine="552"/>
              <w:jc w:val="both"/>
            </w:pPr>
            <w:r w:rsidRPr="007D058B">
              <w:t xml:space="preserve">Politikas ietekmes novērtējumi vai pētījumi nav veikti. </w:t>
            </w:r>
          </w:p>
        </w:tc>
      </w:tr>
      <w:tr w:rsidR="00846547" w:rsidRPr="007D058B" w:rsidTr="000A5AC8">
        <w:trPr>
          <w:trHeight w:val="384"/>
          <w:tblCellSpacing w:w="0" w:type="dxa"/>
        </w:trPr>
        <w:tc>
          <w:tcPr>
            <w:tcW w:w="310" w:type="dxa"/>
            <w:tcBorders>
              <w:top w:val="outset" w:sz="6" w:space="0" w:color="auto"/>
              <w:left w:val="outset" w:sz="6" w:space="0" w:color="auto"/>
              <w:bottom w:val="outset" w:sz="6" w:space="0" w:color="auto"/>
              <w:right w:val="outset" w:sz="6" w:space="0" w:color="auto"/>
            </w:tcBorders>
          </w:tcPr>
          <w:p w:rsidR="00846547" w:rsidRPr="00DD6071" w:rsidRDefault="00846547" w:rsidP="004C4A7F">
            <w:pPr>
              <w:pStyle w:val="naiskr"/>
              <w:spacing w:before="0" w:after="120"/>
            </w:pPr>
            <w:r w:rsidRPr="007D058B">
              <w:t> </w:t>
            </w:r>
            <w:r w:rsidRPr="00DD6071">
              <w:t>4.</w:t>
            </w:r>
          </w:p>
        </w:tc>
        <w:tc>
          <w:tcPr>
            <w:tcW w:w="2257" w:type="dxa"/>
            <w:tcBorders>
              <w:top w:val="outset" w:sz="6" w:space="0" w:color="auto"/>
              <w:left w:val="outset" w:sz="6" w:space="0" w:color="auto"/>
              <w:bottom w:val="outset" w:sz="6" w:space="0" w:color="auto"/>
              <w:right w:val="outset" w:sz="6" w:space="0" w:color="auto"/>
            </w:tcBorders>
          </w:tcPr>
          <w:p w:rsidR="00846547" w:rsidRPr="00DD6071" w:rsidRDefault="00846547" w:rsidP="004C4A7F">
            <w:pPr>
              <w:pStyle w:val="naiskr"/>
              <w:spacing w:before="0" w:after="120"/>
            </w:pPr>
            <w:r w:rsidRPr="00DD6071">
              <w:t> Tiesiskā regulējuma mērķis un būtība</w:t>
            </w:r>
          </w:p>
        </w:tc>
        <w:tc>
          <w:tcPr>
            <w:tcW w:w="6520" w:type="dxa"/>
            <w:tcBorders>
              <w:top w:val="outset" w:sz="6" w:space="0" w:color="auto"/>
              <w:left w:val="outset" w:sz="6" w:space="0" w:color="auto"/>
              <w:bottom w:val="outset" w:sz="6" w:space="0" w:color="auto"/>
              <w:right w:val="outset" w:sz="6" w:space="0" w:color="auto"/>
            </w:tcBorders>
          </w:tcPr>
          <w:p w:rsidR="00F47938" w:rsidRPr="00DD6071" w:rsidRDefault="00FC0F19" w:rsidP="00F47938">
            <w:pPr>
              <w:pStyle w:val="naisf"/>
              <w:spacing w:before="0" w:after="0"/>
              <w:ind w:firstLine="552"/>
            </w:pPr>
            <w:r w:rsidRPr="00DD6071">
              <w:t xml:space="preserve">1) </w:t>
            </w:r>
            <w:r w:rsidR="00F47938" w:rsidRPr="00DD6071">
              <w:t xml:space="preserve">Projektā ietvertā regulējuma saistībā ar Hāgas 2007. gada 23. novembra konvenciju mērķis ir nodrošināt Hāgas 2007. gada 23. novembra konvencijas piemērošanu Latvijā. </w:t>
            </w:r>
          </w:p>
          <w:p w:rsidR="00F47938" w:rsidRPr="00DD6071" w:rsidRDefault="00F47938" w:rsidP="00F47938">
            <w:pPr>
              <w:pStyle w:val="naisf"/>
              <w:spacing w:before="0" w:after="0"/>
            </w:pPr>
            <w:r w:rsidRPr="00DD6071">
              <w:t xml:space="preserve">Saskaņā ar Uzturlīdzekļu garantiju fonda likuma 2. un 3. pantu likuma mērķis ir nodrošināt, lai tiktu īstenotas bērna tiesības uz sociālo nodrošinājumu, izveidojot Fondu minimālo uzturlīdzekļu izmaksai. Fonds ir valsts budžetā paredzētais līdzekļu kopums bērna nodrošināšanai ar uzturlīdzekļiem, ja tiesas nolēmuma par uzturlīdzekļu piedziņu izpilde Civilprocesa likumā noteiktajā kārtībā atzīta par neiespējamu vai parādnieks tiesas nolēmumu par uzturlīdzekļu piedziņu pilda, bet nenodrošina to minimālo uzturlīdzekļu apmēru, kādu, pamatojoties uz Civillikuma 179. panta piekto daļu, noteicis Ministru kabinets. Fonda līdzekļu turētājs ir Fonda administrācija. </w:t>
            </w:r>
          </w:p>
          <w:p w:rsidR="00F47938" w:rsidRPr="00DD6071" w:rsidRDefault="00F47938" w:rsidP="00F47938">
            <w:pPr>
              <w:pStyle w:val="naisf"/>
              <w:spacing w:before="0" w:after="0"/>
              <w:ind w:firstLine="552"/>
            </w:pPr>
            <w:r w:rsidRPr="00DD6071">
              <w:t>Saskaņā ar Uzturlīdzekļu garantiju fonda likuma 4. pantu Fonda administrācija veic šādus uzdevumus:</w:t>
            </w:r>
          </w:p>
          <w:p w:rsidR="00F47938" w:rsidRPr="00DD6071" w:rsidRDefault="00F47938" w:rsidP="00F47938">
            <w:pPr>
              <w:pStyle w:val="naisf"/>
              <w:spacing w:before="0" w:after="0"/>
              <w:ind w:firstLine="552"/>
            </w:pPr>
            <w:r w:rsidRPr="00DD6071">
              <w:t>1) piesaista, uzkrāj un izmaksā Fonda līdzekļus atbilstoši šā likuma 3. panta pirmajā daļā norādītajam mērķim;</w:t>
            </w:r>
          </w:p>
          <w:p w:rsidR="00F47938" w:rsidRPr="00DD6071" w:rsidRDefault="00F47938" w:rsidP="00F47938">
            <w:pPr>
              <w:pStyle w:val="naisf"/>
              <w:spacing w:before="0" w:after="0"/>
              <w:ind w:firstLine="552"/>
            </w:pPr>
            <w:r w:rsidRPr="00DD6071">
              <w:t>2) mērķtiecīgi un efektīvi apsaimnieko Fonda līdzekļus, kā arī nodrošina to izlietojuma kontroli;</w:t>
            </w:r>
          </w:p>
          <w:p w:rsidR="00F47938" w:rsidRPr="00DD6071" w:rsidRDefault="00F47938" w:rsidP="00F47938">
            <w:pPr>
              <w:pStyle w:val="naisf"/>
              <w:spacing w:before="0" w:after="0"/>
              <w:ind w:firstLine="552"/>
            </w:pPr>
            <w:r w:rsidRPr="00DD6071">
              <w:t>3) Ministru kabineta noteiktajā kārtībā reģistrē personas, kurām izmaksāti uzturlīdzekļi no Fonda, un parādniekus.</w:t>
            </w:r>
          </w:p>
          <w:p w:rsidR="00F47938" w:rsidRPr="00DD6071" w:rsidRDefault="00F47938" w:rsidP="00F47938">
            <w:pPr>
              <w:pStyle w:val="naisf"/>
              <w:spacing w:before="0" w:after="0"/>
              <w:ind w:firstLine="552"/>
            </w:pPr>
            <w:r w:rsidRPr="00DD6071">
              <w:t xml:space="preserve">Padomes 2008. gada 18. decembra regulā (EK) </w:t>
            </w:r>
            <w:proofErr w:type="spellStart"/>
            <w:r w:rsidRPr="00DD6071">
              <w:t>Nr</w:t>
            </w:r>
            <w:proofErr w:type="spellEnd"/>
            <w:r w:rsidRPr="00DD6071">
              <w:t xml:space="preserve">. 4/2009 par jurisdikciju, piemērojamiem tiesību aktiem, nolēmumu atzīšanu un izpildi un sadarbību uzturēšanas saistību lietās (turpmāk — Padomes regula </w:t>
            </w:r>
            <w:proofErr w:type="spellStart"/>
            <w:r w:rsidRPr="00DD6071">
              <w:t>Nr</w:t>
            </w:r>
            <w:proofErr w:type="spellEnd"/>
            <w:r w:rsidRPr="00DD6071">
              <w:t xml:space="preserve">. 4/2009) noteiktos centrālās iestādes pienākumus veic Fonda administrācija. Kārtību un apjomu, kādā Fonda administrācija Padomes regulā </w:t>
            </w:r>
            <w:proofErr w:type="spellStart"/>
            <w:r w:rsidRPr="00DD6071">
              <w:t>Nr</w:t>
            </w:r>
            <w:proofErr w:type="spellEnd"/>
            <w:r w:rsidRPr="00DD6071">
              <w:t>. 4/2009 noteiktajos gadījumos sniedz personām juridisko palīdzību, īsteno noteiktās tiesības un centrālās iestādes funkcijas, kā arī pilda šajā regulā noteiktos centrālās iestādes uzdevumus, nosaka Ministru kabinets.</w:t>
            </w:r>
          </w:p>
          <w:p w:rsidR="00F47938" w:rsidRPr="00DD6071" w:rsidRDefault="00F47938" w:rsidP="00F47938">
            <w:pPr>
              <w:pStyle w:val="naisf"/>
              <w:spacing w:before="0" w:after="0"/>
            </w:pPr>
            <w:r w:rsidRPr="00DD6071">
              <w:t>Ņemot vērā Fonda administrācijas uzdevumus, tika nolemts, ka Hāgas 2007. gada 23. novembra konvencijā noteiktās centrālās iestādes funkcijas veiks un Hāgas 2007. gada 23. novembra konvencijā noteikto juridisko palīdzību tajā noteiktajos gadījumos sniegs Fonda administrācija.</w:t>
            </w:r>
          </w:p>
          <w:p w:rsidR="00F47938" w:rsidRPr="00DD6071" w:rsidRDefault="00F47938" w:rsidP="00F47938">
            <w:pPr>
              <w:pStyle w:val="naisf"/>
              <w:spacing w:before="0" w:after="0"/>
            </w:pPr>
            <w:r w:rsidRPr="00DD6071">
              <w:t>Tādējādi Projekts paredz noteikt, ka Hāgas 2007. gada 23. novembra konvencijā noteiktos centrālās iestādes pienākumus veic Fonda administrācija.</w:t>
            </w:r>
          </w:p>
          <w:p w:rsidR="00F47938" w:rsidRPr="00DD6071" w:rsidRDefault="00F47938" w:rsidP="00F47938">
            <w:pPr>
              <w:pStyle w:val="naisf"/>
              <w:spacing w:before="0" w:after="0"/>
            </w:pPr>
            <w:r w:rsidRPr="00DD6071">
              <w:t xml:space="preserve">Turklāt Projektā papildināts deleģējums Ministru kabinetam </w:t>
            </w:r>
            <w:r w:rsidRPr="00DD6071">
              <w:lastRenderedPageBreak/>
              <w:t xml:space="preserve">noteikt kārtību un apjomu, kādā Fonda administrācija Padomes regulā </w:t>
            </w:r>
            <w:proofErr w:type="spellStart"/>
            <w:r w:rsidRPr="00DD6071">
              <w:t>Nr</w:t>
            </w:r>
            <w:proofErr w:type="spellEnd"/>
            <w:r w:rsidRPr="00DD6071">
              <w:t xml:space="preserve">. 4/2009 noteiktajos gadījumos sniedz personām juridisko palīdzību, īsteno noteiktās tiesības un centrālās iestādes funkcijas, kā arī pilda šajā regulā noteiktos centrālās iestādes uzdevumus, ar atsauci arī uz Hāgas 2007. gada 23. novembra konvenciju. Tādējādi Projektā ir iekļauts deleģējums Ministru kabinetam noteikt kārtību un apjomu, kādā Fonda administrācija Padomes regulā </w:t>
            </w:r>
            <w:proofErr w:type="spellStart"/>
            <w:r w:rsidRPr="00DD6071">
              <w:t>Nr</w:t>
            </w:r>
            <w:proofErr w:type="spellEnd"/>
            <w:r w:rsidRPr="00DD6071">
              <w:t>. 4/2009 un Hāgas 2007. gada 23. novembra konvencijā noteiktajos gadījumos sniedz personām juridisko palīdzību, īsteno noteiktās tiesības un centrālās iestādes funkcijas, kā arī pilda minētajā regulā un konvencijā noteiktos centrālās iestādes uzdevumus.</w:t>
            </w:r>
          </w:p>
          <w:p w:rsidR="00F47938" w:rsidRPr="00DD6071" w:rsidRDefault="00F47938" w:rsidP="00F47938">
            <w:pPr>
              <w:pStyle w:val="naisf"/>
              <w:spacing w:before="0" w:after="0"/>
            </w:pPr>
            <w:r w:rsidRPr="00DD6071">
              <w:t>Tādējādi izstrādājamos Ministru kabineta noteikumos tiks noteikta kārtība un apjoms, kādā Fonda administrācija nodrošinās pusēm juridisko palīdzību, kas noteiktajos gadījumos ietvers palīdzību, lai puses varētu vērsties iestādē vai tiesā, kā arī pārstāvību tiesā. Tajā skaitā Ministru kabineta noteikumos tiks noteikta kārtība, kādā Fonda administrācijai vērtējams personas mantiskais stāvoklis juridiskās palīdzības nodrošināšanai, kā arī, kāda veida juridiskā palīdzība un kādām personām nodrošināma.</w:t>
            </w:r>
          </w:p>
          <w:p w:rsidR="00F47938" w:rsidRPr="00DD6071" w:rsidRDefault="00F47938" w:rsidP="00F47938">
            <w:pPr>
              <w:pStyle w:val="naisf"/>
              <w:spacing w:before="0" w:after="0"/>
            </w:pPr>
            <w:r w:rsidRPr="00DD6071">
              <w:t xml:space="preserve">Turklāt Ministru kabineta noteikumos, ieviešot Hāgas 2007. gada 23. novembra konvencijas 15. panta 1. punktu, tiks noteikts, ka attiecībā uz tādiem kreditora pieteikumiem, kas Fonda administrācijā tiks iesniegti par uzturēšanas saistībām bērniem, kas jaunāki par 21 gadu vecumu, juridiskā palīdzība ir sniedzama bez mantiskā stāvokļa izvērtēšanas, izņemot, ja ir attiecināmi Hāgas 2007. gada 23. novembra konvencijas 15. panta 2. punkta nosacījumi (saņēmēja valsts attiecībā uz pieteikumiem, kas nav minēti 10. panta 1. punkta a) un b) apakšpunktā (lēmuma atzīšana vai atzīšana un izpilde, tāda lēmuma izpilde, kas pieņemts vai atzīts saņēmējā valstī), var atteikt bezmaksas juridisko palīdzību, ja tā uzskata, ka pieteikums vai jebkura apelācija pēc būtības ir acīmredzami nepamatota). </w:t>
            </w:r>
          </w:p>
          <w:p w:rsidR="00F47938" w:rsidRPr="00DD6071" w:rsidRDefault="00F47938" w:rsidP="00F47938">
            <w:pPr>
              <w:pStyle w:val="naisf"/>
              <w:spacing w:before="0" w:after="0"/>
            </w:pPr>
            <w:r w:rsidRPr="00DD6071">
              <w:t>Tāpat Ministru kabineta noteikumos tiks paredzēts, ka gadījumā, ja puse izvēlēsies, lai tās intereses nodrošina kāds cits juridiskās palīdzības sniedzējs nevis Fonda administrācija, piemēram, zvērināts advokāts, Fonda administrācija nenodrošinās Hāgas 2007. gada 23. novembra konvencijā noteikto juridisko palīdzību.</w:t>
            </w:r>
          </w:p>
          <w:p w:rsidR="00F47938" w:rsidRPr="00DD6071" w:rsidRDefault="00F47938" w:rsidP="00F47938">
            <w:pPr>
              <w:pStyle w:val="naisf"/>
              <w:spacing w:before="0" w:after="0"/>
            </w:pPr>
            <w:r w:rsidRPr="00DD6071">
              <w:t xml:space="preserve">Ministru kabineta noteikumos paredzēts noteikt Fonda administrācijai veicamos centrālās iestādes uzdevumus, piemēram, nodrošināt palīdzību pieteikuma iesniedzējam, lai pieteikums būtu papildināts ar visu to informāciju un dokumentiem, par kuriem ir zināms, ka tādi ir vajadzīgi, lai pieteikums tiktu izskatīts, un pieteikumu izvērtēšanu, kā arī kārtību un apjomu, kādā būs veicamas centrālās iestādes funkcijas, piemēram, pieteikumu pārsūtīšana un saņemšana, tiesvedības uz šādu pieteikumu pamata ierosināšanas veicināšana, kā arī sadarbība ar citu dalībvalstu ieceltajām centrālajām iestādēm. </w:t>
            </w:r>
          </w:p>
          <w:p w:rsidR="00F47938" w:rsidRPr="00DD6071" w:rsidRDefault="00F47938" w:rsidP="00F47938">
            <w:pPr>
              <w:pStyle w:val="naisf"/>
              <w:spacing w:before="0" w:after="0"/>
            </w:pPr>
            <w:r w:rsidRPr="00DD6071">
              <w:t xml:space="preserve">Ministru kabineta noteikumos tiks noteiktas arī Hāgas </w:t>
            </w:r>
            <w:r w:rsidRPr="00DD6071">
              <w:lastRenderedPageBreak/>
              <w:t xml:space="preserve">2007. gada 23. novembra konvencijā paredzētās centrālās iestādes tiesības, piemēram, noteiktos gadījumos no zaudētājas puses, kas saskaņā ar Hāgas 2007. gada 23. novembra konvencijas nosacījumiem ir saņēmusi juridisko palīdzību, piedzīt izmaksas, ja tās finansiālais stāvoklis to atļauj. Tādējādi arī tiks noteikta kārtība, kādā Fonda administrācijai minētās tiesības īstenojamas. </w:t>
            </w:r>
          </w:p>
          <w:p w:rsidR="00F47938" w:rsidRPr="00DD6071" w:rsidRDefault="00F47938" w:rsidP="00F47938">
            <w:pPr>
              <w:pStyle w:val="naisf"/>
              <w:spacing w:before="0" w:after="0"/>
            </w:pPr>
            <w:r w:rsidRPr="00DD6071">
              <w:t>Gadījumā, ja tiesā vairākas prasības tiks apvienotas vienā lietā, piemēram, uzturēšanas līdzekļu prasība un pretprasība par laulības šķiršanu, tad Fonda administrācija pārstāvēs pieteikuma, kas iesniegts, izmantojot Hāgas 2007. gada 23. novembra konvencijā noteikto kārtību, iesniedzēja intereses, savukārt pārējā daļā šīs personas intereses pārstāvēs Juridiskās palīdzības administrācijas norīkots juridiskās palīdzības sniedzējs (ja personai atbilstoši Valsts nodrošinātās juridiskās palīdzības likumam būs tiesības uz valsts nodrošināto juridisko palīdzību) vai cits šīs personas pārstāvis. Turklāt Fonda administrācija lietas ietvaros kontaktēsies ar attiecīgo pieteikuma iesniedzēju caur iesniedzējas valsts centrālo iestādi vai caur viņa pārstāvi un koordinēti lems par turpmāko rīcību. Minētā kārtība arī tiks noteikta izstrādājamos Ministru kabineta noteikumos.</w:t>
            </w:r>
          </w:p>
          <w:p w:rsidR="00F47938" w:rsidRPr="00DD6071" w:rsidRDefault="00F47938" w:rsidP="00F47938">
            <w:pPr>
              <w:pStyle w:val="naisf"/>
              <w:spacing w:before="0" w:after="0"/>
              <w:ind w:firstLine="374"/>
            </w:pPr>
            <w:r w:rsidRPr="00DD6071">
              <w:t xml:space="preserve">Tāpat Likumprojekts paredz noteikt arī papildu pienākumu Fonda administrācijai, </w:t>
            </w:r>
            <w:proofErr w:type="spellStart"/>
            <w:r w:rsidRPr="00DD6071">
              <w:t>t.i</w:t>
            </w:r>
            <w:proofErr w:type="spellEnd"/>
            <w:r w:rsidRPr="00DD6071">
              <w:t xml:space="preserve">., ja nepieciešams, bez īpaša pilnvarojuma pārstāvēt tiesā un citās valsts un pašvaldību iestādēs personas, kurām saskaņā ar Hāgas 2007. gada 23. novembra konvenciju ir tiesības uz juridisko palīdzību, tas ir, ārvalsts prasītājus pārrobežu uzturlīdzekļu piedziņas lietās bērnam vai citām personām (saskaņā ar Hāgas 2007. gada 23. novembra konvenciju), ārvalsts prasītājus pārrobežu paternitātes noteikšanas lietās, ja prasība saskaņā ar Hāgas 2007. gada 23. novembra konvenciju celta vienlaikus ar prasību par uzturlīdzekļu piedziņu bērnam, kā arī ārvalsts pieteikuma iesniedzējus lietās par ārvalsts tiesu nolēmumu par uzturlīdzekļu piedziņu bērnam vai citām personām atzīšanu vai izpildes pasludināšanu Hāgas 2007. gada 23. novembra konvencijā paredzētajos gadījumos. Ņemot vērā to, ka ne visos gadījumos šāda pārstāvība tiesā personai būs nepieciešama, jo, piemēram, persona var izvēlēties sev citu juridiskās palīdzības sniedzēju, tad Fonda administrācija šādos gadījumos juridisko palīdzību nenodrošinās. </w:t>
            </w:r>
          </w:p>
          <w:p w:rsidR="00F47938" w:rsidRPr="00DD6071" w:rsidRDefault="00F47938" w:rsidP="00F47938">
            <w:pPr>
              <w:pStyle w:val="naisf"/>
              <w:spacing w:before="0" w:after="0"/>
              <w:ind w:firstLine="374"/>
            </w:pPr>
            <w:r w:rsidRPr="00DD6071">
              <w:t xml:space="preserve">Ņemot vērā, ka Eiropas Savienība Hāgas 2007. gada 23. novembra konvencijai pievienosies pēc tās normu ieviešanas visās Eiropas Savienības dalībvalstīs, oficiāls paziņojums par Hāgas 2007. gada 23. novembra konvencijas spēkā stāšanos tiks publicēts Eiropas Savienības Oficiālajā Vēstnesī. Pēc minētā paziņojuma publicēšanas Eiropas Savienības Oficiālajā Vēstnesī Latvijas Republikas oficiālajam izdevējam „Latvijas Vēstnesis” tiks sniegta informācija par Hāgas 2007. gada 23. novembra konvencijas spēkā stāšanos attiecīgas atzīmes par spēkā stāšanos izdarīšanai pie pieņemtajiem saistošajiem likumiem. Turklāt attiecīga informācija par Hāgas 2007. gada 23. novembra konvencijas spēkā stāšanos iedzīvotāju interesēs tiks ievietota arī </w:t>
            </w:r>
            <w:r w:rsidR="00C73B37">
              <w:t>F</w:t>
            </w:r>
            <w:r w:rsidRPr="00DD6071">
              <w:t xml:space="preserve">onda administrācijas interneta mājas lapā. </w:t>
            </w:r>
          </w:p>
          <w:p w:rsidR="00966914" w:rsidRPr="00DD6071" w:rsidRDefault="00FC0F19" w:rsidP="00F47938">
            <w:pPr>
              <w:pStyle w:val="naisf"/>
              <w:spacing w:before="120" w:after="0"/>
              <w:ind w:firstLine="374"/>
            </w:pPr>
            <w:r w:rsidRPr="00DD6071">
              <w:lastRenderedPageBreak/>
              <w:t>2) Ar Projektā ietverto regulējumu tiek arī paredzēta</w:t>
            </w:r>
            <w:r w:rsidR="00CA609C" w:rsidRPr="00DD6071">
              <w:t>s</w:t>
            </w:r>
            <w:r w:rsidRPr="00DD6071">
              <w:t xml:space="preserve"> </w:t>
            </w:r>
            <w:r w:rsidR="00CA609C" w:rsidRPr="00DD6071">
              <w:t>tiesības</w:t>
            </w:r>
            <w:r w:rsidRPr="00DD6071">
              <w:t xml:space="preserve"> iesniedzējam lūgt no Fonda nepamatoti izmaksāto uzturlīdzekļu un par tiem aprēķināto likumisko procentu </w:t>
            </w:r>
            <w:r w:rsidR="00C73B37">
              <w:t>sa</w:t>
            </w:r>
            <w:r w:rsidRPr="00DD6071">
              <w:t>maksu sadalīt termiņos</w:t>
            </w:r>
            <w:r w:rsidR="00966914" w:rsidRPr="00DD6071">
              <w:t>, iesniedzot attiecīgi iesniegumu</w:t>
            </w:r>
            <w:r w:rsidR="00CA609C" w:rsidRPr="00DD6071">
              <w:t>.</w:t>
            </w:r>
            <w:r w:rsidR="00966914" w:rsidRPr="00DD6071">
              <w:t xml:space="preserve"> Ievērojot to, ka pašlaik personai Likumā ir noteikts 30 dienu termiņš labprātīgi </w:t>
            </w:r>
            <w:r w:rsidR="00C73B37">
              <w:t>sa</w:t>
            </w:r>
            <w:r w:rsidR="00966914" w:rsidRPr="00DD6071">
              <w:t xml:space="preserve">maksāt Fondam atmaksājamo summu, tad minēto iesniegumu iesniedzējs var iesniegt 10 dienu laikā, kas būtu uzskatāms par pietiekamu laiku, lai iesniegtu iesniegumu. Turklāt Projektā ietvertais regulējums paredz, ka, iesniedzot iesniegumu, ir jānorāda pamatots iemesls, kādēļ iesniedzējam būtu nepieciešams </w:t>
            </w:r>
            <w:r w:rsidR="00C73B37">
              <w:t>sa</w:t>
            </w:r>
            <w:r w:rsidR="00966914" w:rsidRPr="00DD6071">
              <w:t xml:space="preserve">maksu sadalīt termiņos, un šī iemesla pamatotības izvērtējums tiek atstāts Fonda administrācijas ziņā, katru gadījumu vērtējot individuāli, ņemot vērā gan norādīto iemeslu būtību, gan atmaksājamo līdzekļu summu. Fonda administrācijai tiek paredzēts pienākums iesniegumu izvērtēt un pieņemt attiecīgu lēmumu </w:t>
            </w:r>
            <w:r w:rsidR="00CD6170">
              <w:t>septiņu</w:t>
            </w:r>
            <w:r w:rsidR="00966914" w:rsidRPr="00DD6071">
              <w:t xml:space="preserve"> dienu laikā, lai būtu iespējams iesniedzējam par pieņemto lēmumu savlaicīgi paziņot. Šāds regulējums paredzēts, ievērojot nepieciešamību rast efektīvākos risinājumus, lai atgūtu nepamatoti no Fonda izmaksātos līdzekļus</w:t>
            </w:r>
            <w:r w:rsidR="00BD5143">
              <w:t xml:space="preserve"> un dotu iespēju tos labprātīgi atmaksāt</w:t>
            </w:r>
            <w:r w:rsidR="00966914" w:rsidRPr="00DD6071">
              <w:t xml:space="preserve">. </w:t>
            </w:r>
          </w:p>
          <w:p w:rsidR="00966914" w:rsidRPr="00DD6071" w:rsidRDefault="00966914" w:rsidP="00966914">
            <w:pPr>
              <w:pStyle w:val="naisf"/>
              <w:spacing w:before="0" w:after="0"/>
              <w:ind w:firstLine="374"/>
            </w:pPr>
            <w:r w:rsidRPr="00DD6071">
              <w:t xml:space="preserve">Turklāt Projektā ietvertais regulējums paredz </w:t>
            </w:r>
            <w:r w:rsidR="00C73B37">
              <w:t>sa</w:t>
            </w:r>
            <w:r w:rsidRPr="00DD6071">
              <w:t xml:space="preserve">maksas termiņu sadalot pagarināt uz laiku, ne ilgāku par gadu, kas no vienas puses dod iespēju iesniedzējam </w:t>
            </w:r>
            <w:r w:rsidR="00C73B37">
              <w:t>at</w:t>
            </w:r>
            <w:r w:rsidRPr="00DD6071">
              <w:t>maksāt Fonda līdzekļus 12 mēnešu (</w:t>
            </w:r>
            <w:r w:rsidR="00BD5143">
              <w:t>30 dienu</w:t>
            </w:r>
            <w:r w:rsidRPr="00DD6071">
              <w:t xml:space="preserve"> vietā, kā tas ir vispārējā gadījumā), no otras puses tas izslēdz iespēju šos piedzenamos līdzekļus atmaksāt neierobežoti ilgā laikā, kā rezultātā zustu ar šo regulējumu panākamā līdzekļu atgūšanas efektivitāte (kas varētu tikt ļaunprātīgi izmantots). </w:t>
            </w:r>
          </w:p>
          <w:p w:rsidR="00DF163F" w:rsidRPr="00C73B37" w:rsidRDefault="006B7B0A" w:rsidP="00966914">
            <w:pPr>
              <w:pStyle w:val="naisf"/>
              <w:spacing w:before="0" w:after="0"/>
              <w:ind w:firstLine="374"/>
            </w:pPr>
            <w:r w:rsidRPr="00DD6071">
              <w:t>Bez tam Projektā paredzēts</w:t>
            </w:r>
            <w:r w:rsidR="00B96D0B" w:rsidRPr="00DD6071">
              <w:t xml:space="preserve">, ka gadījumā, ja iesniedzējs iesniegtu Fonda administrācijā iesniegumu ar lūgumu sadalīt atmaksu termiņos un Fonda administrācija attiecībā uz šo lūgumu pieņemtu negatīvu lēmumu, tad visa </w:t>
            </w:r>
            <w:r w:rsidR="00C73B37">
              <w:t>at</w:t>
            </w:r>
            <w:r w:rsidR="00B96D0B" w:rsidRPr="00DD6071">
              <w:t xml:space="preserve">maksājamā summa iesniedzējam ir </w:t>
            </w:r>
            <w:r w:rsidR="00C73B37">
              <w:t>sa</w:t>
            </w:r>
            <w:r w:rsidR="00B96D0B" w:rsidRPr="00DD6071">
              <w:t>maksājama 10 dienu laikā no dienas, kad viņš saņēmis lēmumu par atteikumu. Šāds termiņš noteikts, ievērojot to, ka brīdī, kad persona saņemtu šādu lēmumu par atteikumu, varētu būt jau iestājies vai tuvākajās dienās iestātos paredzētais vispārējā kārtībā atmaksai dotais 30 dienu termiņš (rēķinot iesnieguma iesniegšanai un lēmuma pieņemšanai noteiktos</w:t>
            </w:r>
            <w:r w:rsidR="00C73B37">
              <w:t xml:space="preserve"> maksimālos</w:t>
            </w:r>
            <w:r w:rsidR="00B96D0B" w:rsidRPr="00DD6071">
              <w:t xml:space="preserve"> termiņus un laiku iesnieguma un lēmuma nosūtīšanai pa pastu), kā arī lai pēc iespējas izslēgtu iesniedzēju vēlmi ar šāda iesnieguma iesniegšanas iespēju ļaunprātīgi pagarināt atmaksas termiņu (</w:t>
            </w:r>
            <w:proofErr w:type="spellStart"/>
            <w:r w:rsidR="00B96D0B" w:rsidRPr="00DD6071">
              <w:t>piem</w:t>
            </w:r>
            <w:proofErr w:type="spellEnd"/>
            <w:r w:rsidR="00B96D0B" w:rsidRPr="00DD6071">
              <w:t xml:space="preserve">., ja tas tiktu noteikts </w:t>
            </w:r>
            <w:r w:rsidR="0043281A">
              <w:t>vēl</w:t>
            </w:r>
            <w:r w:rsidR="00B96D0B" w:rsidRPr="00DD6071">
              <w:t xml:space="preserve"> 30 dienu ilgs). </w:t>
            </w:r>
            <w:r w:rsidR="00C73B37">
              <w:t xml:space="preserve">Taču Projektā noteikts arī, ka gadījumā, ja pēc lēmuma par atteikumu sadalīt samaksu termiņos saņemšanas lēmuma </w:t>
            </w:r>
            <w:r w:rsidR="00C73B37" w:rsidRPr="00C73B37">
              <w:t>par izmaksāto uzturlīdzekļu un likumisko procentu par nepamatoti izmaksātajām uzturlīdzekļu summām piedziņu</w:t>
            </w:r>
            <w:r w:rsidR="00C73B37">
              <w:t xml:space="preserve"> izpildei noteiktais 10 dienu termiņš iestājas pirms sākotnēji noteiktā (</w:t>
            </w:r>
            <w:proofErr w:type="spellStart"/>
            <w:r w:rsidR="00C73B37">
              <w:t>t.i</w:t>
            </w:r>
            <w:proofErr w:type="spellEnd"/>
            <w:r w:rsidR="00C73B37">
              <w:t>., saskaņā ar Likuma 11.</w:t>
            </w:r>
            <w:r w:rsidR="00C73B37">
              <w:rPr>
                <w:vertAlign w:val="superscript"/>
              </w:rPr>
              <w:t>1</w:t>
            </w:r>
            <w:r w:rsidR="00C73B37">
              <w:t xml:space="preserve"> panta otro daļu noteiktais) termiņa, tad ievērojams garākais izpildei dotais termiņš. Šāds regulējums noteikts, ņemot vērā iespējamās situācijas pie minimālākā iespējamā laika patēriņa šim procesam, </w:t>
            </w:r>
            <w:r w:rsidR="00C73B37">
              <w:lastRenderedPageBreak/>
              <w:t xml:space="preserve">proti, gadījumos, ja persona iesniegumu ar lūgumu sadalīt samaksu termiņos iesniedz Fonda administrācijai uzreiz tajā pat dienā, kad saņem lēmumu par </w:t>
            </w:r>
            <w:r w:rsidR="00C73B37" w:rsidRPr="00C73B37">
              <w:t>izmaksāto uzturlīdzekļu un likumisko procentu par nepamatoti izmaksātajām uzturlīdzekļu summām piedziņu</w:t>
            </w:r>
            <w:r w:rsidR="00C73B37">
              <w:t xml:space="preserve">, un Fonda administrācija arī, </w:t>
            </w:r>
            <w:proofErr w:type="spellStart"/>
            <w:r w:rsidR="00C73B37">
              <w:t>piem</w:t>
            </w:r>
            <w:proofErr w:type="spellEnd"/>
            <w:r w:rsidR="00C73B37">
              <w:t xml:space="preserve">., vienas dienas laikā pieņem lēmumu par atteikumu samaksu sadalīt termiņos. Šādā gadījumā personai lēmuma izpildei noteiktais 10 dienu termiņš varētu iestāties pirms sākotnēji noteiktā 30 dienu termiņa iestāšanās. </w:t>
            </w:r>
          </w:p>
          <w:p w:rsidR="006B7B0A" w:rsidRPr="00DD6071" w:rsidRDefault="00620DDC" w:rsidP="00966914">
            <w:pPr>
              <w:pStyle w:val="naisf"/>
              <w:spacing w:before="0" w:after="0"/>
              <w:ind w:firstLine="374"/>
            </w:pPr>
            <w:r w:rsidRPr="00DD6071">
              <w:t>Tāpat arī Projekta regul</w:t>
            </w:r>
            <w:r w:rsidR="00DF163F" w:rsidRPr="00DD6071">
              <w:t xml:space="preserve">ējums noteic, ka, ja iesniedzējs nokavējis kādu no lēmumā par atmaksas sadalīšanu termiņos norādītajiem termiņiem, tad, tāpat kā gadījumos, kad netiek visa Fondam atmaksājamā summa atmaksāta Likumā noteiktajos termiņos, Fonda administrācija sagatavo brīdinājumu par lēmuma par izmaksāto uzturlīdzekļu un likumisko procentu par nepamatoti izmaksātajām uzturlīdzekļu summām piedziņu piespiedu izpildi un nosūta to iesniedzējam. </w:t>
            </w:r>
          </w:p>
          <w:p w:rsidR="00FC0F19" w:rsidRPr="00DD6071" w:rsidRDefault="00966914" w:rsidP="0005170B">
            <w:pPr>
              <w:pStyle w:val="naisf"/>
              <w:spacing w:before="0" w:after="0"/>
              <w:ind w:firstLine="374"/>
            </w:pPr>
            <w:r w:rsidRPr="00DD6071">
              <w:t xml:space="preserve">Prognozējams, ka ar Projektā ietverto regulējumu būs iespējams efektīvāk atgūt Fonda līdzekļus, jo tām personām, kas to labprāt darītu, bet kurām ir grūtības atmaksāt visu uzreiz, šādā veidā tiek dota iespēja </w:t>
            </w:r>
            <w:r w:rsidR="00BD5143">
              <w:t xml:space="preserve">labprātīgi </w:t>
            </w:r>
            <w:r w:rsidRPr="00DD6071">
              <w:t>atmaksāt Fondam līdzekļus</w:t>
            </w:r>
            <w:r w:rsidR="00BD5143">
              <w:t xml:space="preserve">. </w:t>
            </w:r>
            <w:r w:rsidRPr="00DD6071">
              <w:t xml:space="preserve"> </w:t>
            </w:r>
          </w:p>
          <w:p w:rsidR="00F47938" w:rsidRPr="00DD6071" w:rsidRDefault="00FC0F19" w:rsidP="00612E87">
            <w:pPr>
              <w:pStyle w:val="naisf"/>
              <w:spacing w:before="120" w:after="0"/>
              <w:ind w:firstLine="374"/>
            </w:pPr>
            <w:r w:rsidRPr="00DD6071">
              <w:t xml:space="preserve">3) </w:t>
            </w:r>
            <w:r w:rsidR="00F47938" w:rsidRPr="00DD6071">
              <w:t xml:space="preserve">Bez tam saskaņā ar Projektā ietverto regulējumu Likums tiek papildināts ar vēl vienu pārejas noteikumu, kas paredz noteikt pārejas periodu, kad laika posmā no 2013. gada 1. janvāra līdz 2016. gada 31. decembrim uzturlīdzekļi no Fonda tiks izmaksāti mazākā apmērā kā pamatregulējumā paredzētais apmērs, taču ar katru gadu no Fonda maksātais uzturlīdzekļu apmērs par 5 latiem tiks paaugstināts. Tādējādi </w:t>
            </w:r>
            <w:r w:rsidR="00BD5143">
              <w:t xml:space="preserve">pakāpeniski katru gadu ar Projektā ietverto regulējumu nosakāmajā pārejas periodā tiks palielināts no Fonda maksāto uzturlīdzekļu apmērs. </w:t>
            </w:r>
            <w:r w:rsidR="00F47938" w:rsidRPr="00DD6071">
              <w:t>Proti, 2013. gadā par bērnu no viņa piedzimšanas līdz 7 gadu vecuma sasniegšanai 35 latu apmērā, bet par bērnu no 7 līdz 18 gadu vecumam 40 latu apmērā (šis apmērs ir par 5 latiem lielāks kā 2012. gadā maksātais), 2014. gadā attiecīgi 40 un 45 lati, 2015.</w:t>
            </w:r>
            <w:r w:rsidR="00BD5143">
              <w:t> gadā attiecīgi 45 un 50 lati un</w:t>
            </w:r>
            <w:r w:rsidR="00F47938" w:rsidRPr="00DD6071">
              <w:t xml:space="preserve"> 2016. gadā </w:t>
            </w:r>
            <w:r w:rsidR="00BD5143">
              <w:t xml:space="preserve">attiecīgi </w:t>
            </w:r>
            <w:r w:rsidR="009D1A12" w:rsidRPr="00DD6071">
              <w:t>50 </w:t>
            </w:r>
            <w:r w:rsidR="00BD5143">
              <w:t xml:space="preserve"> un 55 </w:t>
            </w:r>
            <w:r w:rsidR="009D1A12" w:rsidRPr="00DD6071">
              <w:t>lat</w:t>
            </w:r>
            <w:r w:rsidR="00BD5143">
              <w:t>i</w:t>
            </w:r>
            <w:r w:rsidR="00F47938" w:rsidRPr="00DD6071">
              <w:t xml:space="preserve">. </w:t>
            </w:r>
          </w:p>
          <w:p w:rsidR="00DD6071" w:rsidRPr="00DD6071" w:rsidRDefault="00F47938" w:rsidP="00DD6071">
            <w:pPr>
              <w:pStyle w:val="naisf"/>
              <w:spacing w:before="0" w:after="0"/>
              <w:rPr>
                <w:bCs/>
              </w:rPr>
            </w:pPr>
            <w:r w:rsidRPr="00DD6071">
              <w:rPr>
                <w:bCs/>
              </w:rPr>
              <w:t xml:space="preserve">Bez tam šeit atkārtoti vēršama uzmanība, ka ar to, ka Fonda administrācija uzsāk uzturlīdzekļu izmaksu par bērnu saskaņā ar Likumu, neizbeidzas šī bērna abu vecāku pienākums nodrošināt </w:t>
            </w:r>
            <w:r w:rsidR="00BD5143">
              <w:rPr>
                <w:bCs/>
              </w:rPr>
              <w:t>viņam</w:t>
            </w:r>
            <w:r w:rsidRPr="00DD6071">
              <w:rPr>
                <w:bCs/>
              </w:rPr>
              <w:t xml:space="preserve"> uzturlīdzekļus vismaz minimālā apmērā. Ņemams vērā arī apstāklis, ka ir tendence pieaugt (un prognozējams, ka tuvākajos gados šī tendence saglabāsies, cita starpā ievērojot, ka to ietekmē ekonomiskās situācijas valstī radītās sekas) bērnu, par kuriem no Fonda tiek maksāti uzturlīdzekļi, skaitam, kas attiecīgi, saglabājot arī pašreiz izmaksāto uzturlīdzekļu apmēru, prasītu vairāk valsts budžeta līdzekļus kā, </w:t>
            </w:r>
            <w:proofErr w:type="spellStart"/>
            <w:r w:rsidRPr="00DD6071">
              <w:rPr>
                <w:bCs/>
              </w:rPr>
              <w:t>piem</w:t>
            </w:r>
            <w:proofErr w:type="spellEnd"/>
            <w:r w:rsidRPr="00DD6071">
              <w:rPr>
                <w:bCs/>
              </w:rPr>
              <w:t xml:space="preserve">., iepriekšējā gadā (2011. gadā uzturlīdzekļi ir izmaksāti 27357 bērniem kopumā 9394901,63 latu apmērā). Tā, pēc Fonda administrācijas sniegtajām ziņām,  2011. gada pirmajā ceturksnī vidējais bērnu, kuriem tika maksāti uzturlīdzekļi no Fonda mēneša pēdējā dienā, skaits bija 22904, 2011. gada otrajā ceturksnī - apmēram 23197, 2011. gada trešajā </w:t>
            </w:r>
            <w:r w:rsidRPr="00DD6071">
              <w:rPr>
                <w:bCs/>
              </w:rPr>
              <w:lastRenderedPageBreak/>
              <w:t xml:space="preserve">ceturksnī - 23413, ceturtajā ceturksnī - 23555, bet šā gada pirmajos divos mēnešos vidēji 23680 katrā. </w:t>
            </w:r>
            <w:r w:rsidR="0015708B" w:rsidRPr="00DD6071">
              <w:rPr>
                <w:bCs/>
              </w:rPr>
              <w:t>Šeit papildus attiecībā uz bērnu, par kuriem no Fonda tiek maksāti uzturlīdzekļi, skaita palielināšanos paskaidrojam, ka no Fonda maksātos uzturlīdzekļus no jauna pieprasa par bērniem visās vecuma grupās, un</w:t>
            </w:r>
            <w:r w:rsidR="00BD5143">
              <w:rPr>
                <w:bCs/>
              </w:rPr>
              <w:t xml:space="preserve"> vairumā gadījumu</w:t>
            </w:r>
            <w:r w:rsidR="0015708B" w:rsidRPr="00DD6071">
              <w:rPr>
                <w:bCs/>
              </w:rPr>
              <w:t xml:space="preserve"> uzturlīdzekļi no Fonda tiem tiek izmaksāti līdz viņu 18 gadu vecuma sasniegšanai</w:t>
            </w:r>
            <w:r w:rsidR="00BD5143">
              <w:rPr>
                <w:bCs/>
              </w:rPr>
              <w:t xml:space="preserve"> (proti, tādu gadījumu, kad uzturlīdzekļu izmaksu no Fonda pārtrauc agrāk, </w:t>
            </w:r>
            <w:proofErr w:type="spellStart"/>
            <w:r w:rsidR="00BD5143">
              <w:rPr>
                <w:bCs/>
              </w:rPr>
              <w:t>t.i</w:t>
            </w:r>
            <w:proofErr w:type="spellEnd"/>
            <w:r w:rsidR="00BD5143">
              <w:rPr>
                <w:bCs/>
              </w:rPr>
              <w:t>., pirms bērna 18 gadu vecuma sasniegšanas, ir ievērojami mazāk)</w:t>
            </w:r>
            <w:r w:rsidR="0015708B" w:rsidRPr="00DD6071">
              <w:rPr>
                <w:bCs/>
              </w:rPr>
              <w:t xml:space="preserve">. Savukārt gadījumu skaitu, kad tiek pieprasīta uzturlīdzekļu izmaksa no Fonda, ietekmē, piemēram, kāda no vecākiem izbraukšana uz ārvalstīm (kā rezultātā izjūk ģimenes, izbraukušais vecāks </w:t>
            </w:r>
            <w:r w:rsidR="00DD6071" w:rsidRPr="00DD6071">
              <w:rPr>
                <w:bCs/>
              </w:rPr>
              <w:t xml:space="preserve">pēc laika vairs </w:t>
            </w:r>
            <w:r w:rsidR="0015708B" w:rsidRPr="00DD6071">
              <w:rPr>
                <w:bCs/>
              </w:rPr>
              <w:t xml:space="preserve">neuztur bērnu </w:t>
            </w:r>
            <w:proofErr w:type="spellStart"/>
            <w:r w:rsidR="0015708B" w:rsidRPr="00DD6071">
              <w:rPr>
                <w:bCs/>
              </w:rPr>
              <w:t>u.tml</w:t>
            </w:r>
            <w:proofErr w:type="spellEnd"/>
            <w:r w:rsidR="0015708B" w:rsidRPr="00DD6071">
              <w:rPr>
                <w:bCs/>
              </w:rPr>
              <w:t xml:space="preserve">.), vecāka, kuram jāmaksā uzturlīdzekļi savam bērnam nonākšana finansiālās grūtībās sakarā ar darba vai citu ienākuma avotu zaudēšanu vai finanšu līdzekļu samazināšanos, arī vecāka, kurš audzina un uztur bērnu, finansiālās situācijas pasliktināšanās (saistībā ar ienākumu samazināšanos vai preču un pakalpojumu cenu sadārdzināšanos), kas liek vecākam izšķirties par soli pieprasīt uzturlīdzekļus, lai gan agrāk viņš to </w:t>
            </w:r>
            <w:r w:rsidR="00BD5143">
              <w:rPr>
                <w:bCs/>
              </w:rPr>
              <w:t xml:space="preserve">nedarīja. Proti, iepriekš vecāks, kurš audzina bērnu, nebija sniedzis tiesā prasību par uzturlīdzekļu piedziņu, vai arī tiesas spriedums par uzturlīdzekļu piedziņu bija, bet šis vecāks, parādniekam nepildot šo tiesas spriedumu, nevērsās pie zvērināta tiesu izpildītāja ar lūgumu piedzīt, vai arī iepriekš parādnieks šo tiesas spriedumu pildīja. Tāpat iespējams gadījums, kad vecāks, pie kura bērns dzīvo, agrāk nevērsās Fonda administrācijā, pieprasot izmaksāt uzturlīdzekļus no Fonda, lai arī parādnieks nepildīja tiesas spriedumu par uzturlīdzekļu piedziņu, </w:t>
            </w:r>
            <w:proofErr w:type="spellStart"/>
            <w:r w:rsidR="0015708B" w:rsidRPr="00DD6071">
              <w:rPr>
                <w:bCs/>
              </w:rPr>
              <w:t>u.c</w:t>
            </w:r>
            <w:proofErr w:type="spellEnd"/>
            <w:r w:rsidR="0015708B" w:rsidRPr="00DD6071">
              <w:rPr>
                <w:bCs/>
              </w:rPr>
              <w:t xml:space="preserve">. iemesli. </w:t>
            </w:r>
            <w:r w:rsidR="00DD6071" w:rsidRPr="00DD6071">
              <w:rPr>
                <w:bCs/>
              </w:rPr>
              <w:t>Šeit atzīmējams arī psiholoģiskais aspekts, ka valsts finansiālās krīzes rezultātā personas aizvien vairāk cenšas izmantot katru iespēju papildus iegūt finanšu resursus un izmanto</w:t>
            </w:r>
            <w:r w:rsidR="00744A58">
              <w:rPr>
                <w:bCs/>
              </w:rPr>
              <w:t xml:space="preserve">t finansiālo atbalstu no valsts. </w:t>
            </w:r>
          </w:p>
          <w:p w:rsidR="00F47938" w:rsidRPr="00DD6071" w:rsidRDefault="00F47938" w:rsidP="00DD6071">
            <w:pPr>
              <w:pStyle w:val="naisf"/>
              <w:spacing w:before="0" w:after="0"/>
            </w:pPr>
            <w:r w:rsidRPr="00DD6071">
              <w:t xml:space="preserve">Turklāt ņemams vērā arī tas, ka svarīgi ir nodrošināt Fonda maksātos uzturlīdzekļus par visiem bērniem, par kuriem saskaņā ar Likumu šādus uzturlīdzekļus var pieprasīt, lai arī mazākā apmērā (vēršam uzmanību, ka arī šāds aspekts ir vērtēts Spriedumā, proti, tajā norādīts, ka, lai gan Fondam ir sekundāra loma bērnu nodrošināšanā ar uzturlīdzekļiem, valstij ir pienākums nodrošināt to bērnu tiesības, kuriem ir tiesības saņemt uzturlīdzekļus no šā Fonda, samazinot uzturlīdzekļu izmaksas apmēru salīdzinājumā ar iepriekšējo regulējumu, likumdevējs ir nodrošinājis uzturlīdzekļus visiem bērniem, kuriem ir tiesības tos saņemt no Fonda. Turklāt Satversmes tiesa paudusi, ka var piekrist arī Saeimas norādītajam, ka vecāku materiālā stāvokļa izvērtēšana nenodrošinātu efektīvu Fonda darbību un būtu pretrunā ar tā darbības mērķi.). </w:t>
            </w:r>
          </w:p>
          <w:p w:rsidR="00F47938" w:rsidRPr="00DD6071" w:rsidRDefault="00F47938" w:rsidP="00F47938">
            <w:pPr>
              <w:pStyle w:val="naisf"/>
              <w:spacing w:before="0" w:after="0"/>
              <w:ind w:firstLine="552"/>
            </w:pPr>
            <w:r w:rsidRPr="00DD6071">
              <w:t xml:space="preserve">Tādējādi, ņemot vērā minētos apstākļus un nepieciešamību sabalansēt ierobežoti pieejamos valsts budžeta finanšu resursus dažādu tiesību nodrošināšanā nākamajā un turpmākajos gados un ievērot vienlīdzību (skatīt šīs sadaļas 2. punktā), kā optimālākais risinājums ir uzskatāms no Fonda pašreiz, </w:t>
            </w:r>
            <w:proofErr w:type="spellStart"/>
            <w:r w:rsidRPr="00DD6071">
              <w:t>t.i</w:t>
            </w:r>
            <w:proofErr w:type="spellEnd"/>
            <w:r w:rsidRPr="00DD6071">
              <w:t xml:space="preserve">., 2012. gadā, maksāto </w:t>
            </w:r>
            <w:r w:rsidRPr="00DD6071">
              <w:lastRenderedPageBreak/>
              <w:t xml:space="preserve">uzturlīdzekļu apmēru, sākot ar 2013. gadu, palielināt par 5 latiem ik gadu, nosakot šādu </w:t>
            </w:r>
            <w:r w:rsidR="00BD5143">
              <w:t>pārejas periodu līdz 2016. gada 31. decembrim</w:t>
            </w:r>
            <w:r w:rsidRPr="00DD6071">
              <w:t xml:space="preserve">). </w:t>
            </w:r>
          </w:p>
          <w:p w:rsidR="00FC7CAD" w:rsidRDefault="00384E62" w:rsidP="00AF71B0">
            <w:pPr>
              <w:pStyle w:val="naisf"/>
              <w:spacing w:before="120" w:after="0"/>
              <w:ind w:firstLine="550"/>
            </w:pPr>
            <w:r w:rsidRPr="00DD6071">
              <w:t>Projekts paredz arī tajā ietvertā regulējuma spēkā stāšanās laiku</w:t>
            </w:r>
            <w:r w:rsidR="00AF71B0">
              <w:t xml:space="preserve"> 2013. gada 1. janvāri</w:t>
            </w:r>
            <w:r w:rsidRPr="00DD6071">
              <w:t xml:space="preserve">, lai tā regulējums </w:t>
            </w:r>
            <w:r w:rsidR="00AF71B0">
              <w:t>(</w:t>
            </w:r>
            <w:proofErr w:type="spellStart"/>
            <w:r w:rsidR="00AF71B0">
              <w:t>t.sk</w:t>
            </w:r>
            <w:proofErr w:type="spellEnd"/>
            <w:r w:rsidR="00AF71B0">
              <w:t xml:space="preserve">. nosakāmais jaunais pārejas periods) </w:t>
            </w:r>
            <w:r w:rsidRPr="00DD6071">
              <w:t>stātos spēkā</w:t>
            </w:r>
            <w:r w:rsidR="00AF71B0">
              <w:t xml:space="preserve"> dienā, kad</w:t>
            </w:r>
            <w:r w:rsidRPr="00DD6071">
              <w:t xml:space="preserve"> </w:t>
            </w:r>
            <w:r w:rsidR="00AF71B0">
              <w:t xml:space="preserve">beidzas pašreiz noteiktais pārejas periods. </w:t>
            </w:r>
            <w:r w:rsidRPr="00DD6071">
              <w:t>Savukārt attiecībā uz regulējumu saistībā ar Hāgas 2007. gada 23. novembra konvenciju noteikts, ka tas stājas spēkā vienlaicīgi ar Hāgas 2007. gada 23. novembra konvencijas spēkā stāšanos Eiropas Savienībā. Provizoriski Hāgas 2007. gada 23. novembra konvencija varētu stāties spēkā Eiropas Savienībā, tai skaitā, Latvijā 2013. gada pirmajā pusē.</w:t>
            </w:r>
            <w:r w:rsidR="00DD6071">
              <w:t xml:space="preserve"> </w:t>
            </w:r>
            <w:r>
              <w:t xml:space="preserve"> </w:t>
            </w:r>
          </w:p>
          <w:p w:rsidR="00795C81" w:rsidRPr="007D058B" w:rsidRDefault="00795C81" w:rsidP="00AF71B0">
            <w:pPr>
              <w:pStyle w:val="naisf"/>
              <w:spacing w:before="120" w:after="0"/>
              <w:ind w:firstLine="550"/>
            </w:pPr>
          </w:p>
        </w:tc>
      </w:tr>
      <w:tr w:rsidR="00846547" w:rsidRPr="007D058B" w:rsidTr="000A5AC8">
        <w:trPr>
          <w:trHeight w:val="476"/>
          <w:tblCellSpacing w:w="0" w:type="dxa"/>
        </w:trPr>
        <w:tc>
          <w:tcPr>
            <w:tcW w:w="310"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kr"/>
              <w:spacing w:before="0" w:after="120"/>
            </w:pPr>
            <w:r w:rsidRPr="007D058B">
              <w:lastRenderedPageBreak/>
              <w:t> 5.</w:t>
            </w:r>
          </w:p>
        </w:tc>
        <w:tc>
          <w:tcPr>
            <w:tcW w:w="2257"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kr"/>
              <w:spacing w:before="0" w:after="120"/>
            </w:pPr>
            <w:r w:rsidRPr="007D058B">
              <w:t> Projekta izstrādē iesaistītās institūcijas</w:t>
            </w:r>
          </w:p>
        </w:tc>
        <w:tc>
          <w:tcPr>
            <w:tcW w:w="6520" w:type="dxa"/>
            <w:tcBorders>
              <w:top w:val="outset" w:sz="6" w:space="0" w:color="auto"/>
              <w:left w:val="outset" w:sz="6" w:space="0" w:color="auto"/>
              <w:bottom w:val="outset" w:sz="6" w:space="0" w:color="auto"/>
              <w:right w:val="outset" w:sz="6" w:space="0" w:color="auto"/>
            </w:tcBorders>
          </w:tcPr>
          <w:p w:rsidR="00FB650C" w:rsidRDefault="00045B70" w:rsidP="00FB650C">
            <w:pPr>
              <w:pStyle w:val="naiskr"/>
              <w:spacing w:before="0" w:after="120"/>
              <w:ind w:firstLine="552"/>
              <w:jc w:val="both"/>
            </w:pPr>
            <w:r w:rsidRPr="007D058B">
              <w:t xml:space="preserve"> </w:t>
            </w:r>
            <w:r w:rsidR="00FB650C">
              <w:t>Attiecībā uz Projekta regulējumu par uzturlīdzekļu apmēru</w:t>
            </w:r>
            <w:r w:rsidR="00DD6071">
              <w:t xml:space="preserve"> un par no Fonda </w:t>
            </w:r>
            <w:r w:rsidR="00DD6071" w:rsidRPr="00DD6071">
              <w:t>nepamatoti izmaksāto uzturlīdzekļu un par tiem aprēķināto likumisko procentu atmaks</w:t>
            </w:r>
            <w:r w:rsidR="00DD6071">
              <w:t>as</w:t>
            </w:r>
            <w:r w:rsidR="00DD6071" w:rsidRPr="00DD6071">
              <w:t xml:space="preserve"> sadalī</w:t>
            </w:r>
            <w:r w:rsidR="00DD6071">
              <w:t>šanu</w:t>
            </w:r>
            <w:r w:rsidR="00DD6071" w:rsidRPr="00DD6071">
              <w:t xml:space="preserve"> termiņos </w:t>
            </w:r>
            <w:r w:rsidR="00FB650C">
              <w:t xml:space="preserve">- </w:t>
            </w:r>
            <w:r w:rsidRPr="007D058B">
              <w:t>Tieslietu ministrija</w:t>
            </w:r>
            <w:r w:rsidR="00BD5143">
              <w:t xml:space="preserve"> un Fonda administrācija</w:t>
            </w:r>
            <w:r w:rsidR="00FB650C">
              <w:t xml:space="preserve">. </w:t>
            </w:r>
          </w:p>
          <w:p w:rsidR="00846547" w:rsidRDefault="00FB650C" w:rsidP="00FB650C">
            <w:pPr>
              <w:pStyle w:val="naiskr"/>
              <w:spacing w:before="0" w:after="120"/>
              <w:ind w:firstLine="552"/>
              <w:jc w:val="both"/>
            </w:pPr>
            <w:r>
              <w:t>Savukārt, lai ieviestu Hāgas 2007. gada 23. </w:t>
            </w:r>
            <w:r w:rsidRPr="00FB650C">
              <w:t>novembra konvenciju, tika rīkotas sanāksmes, kurās bez Tieslietu ministrijas pārstāvjiem piedalījās arī Fonda administrācijas pārstāvji.</w:t>
            </w:r>
            <w:r w:rsidR="00795C81">
              <w:t xml:space="preserve"> </w:t>
            </w:r>
          </w:p>
          <w:p w:rsidR="00795C81" w:rsidRPr="007D058B" w:rsidRDefault="00795C81" w:rsidP="00FB650C">
            <w:pPr>
              <w:pStyle w:val="naiskr"/>
              <w:spacing w:before="0" w:after="120"/>
              <w:ind w:firstLine="552"/>
              <w:jc w:val="both"/>
            </w:pPr>
          </w:p>
        </w:tc>
      </w:tr>
      <w:tr w:rsidR="00846547" w:rsidRPr="007D058B" w:rsidTr="00FE5BA3">
        <w:trPr>
          <w:trHeight w:val="3412"/>
          <w:tblCellSpacing w:w="0" w:type="dxa"/>
        </w:trPr>
        <w:tc>
          <w:tcPr>
            <w:tcW w:w="310"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kr"/>
              <w:spacing w:before="0" w:after="120"/>
            </w:pPr>
            <w:r w:rsidRPr="007D058B">
              <w:t> 6.</w:t>
            </w:r>
          </w:p>
        </w:tc>
        <w:tc>
          <w:tcPr>
            <w:tcW w:w="2257"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kr"/>
              <w:spacing w:before="0" w:after="120"/>
            </w:pPr>
            <w:r w:rsidRPr="007D058B">
              <w:t> Iemesli, kādēļ netika nodrošināta sabiedrības līdzdalība</w:t>
            </w:r>
          </w:p>
        </w:tc>
        <w:tc>
          <w:tcPr>
            <w:tcW w:w="6520" w:type="dxa"/>
            <w:tcBorders>
              <w:top w:val="outset" w:sz="6" w:space="0" w:color="auto"/>
              <w:left w:val="outset" w:sz="6" w:space="0" w:color="auto"/>
              <w:bottom w:val="outset" w:sz="6" w:space="0" w:color="auto"/>
              <w:right w:val="outset" w:sz="6" w:space="0" w:color="auto"/>
            </w:tcBorders>
          </w:tcPr>
          <w:p w:rsidR="00744A58" w:rsidRDefault="00744A58" w:rsidP="00FB650C">
            <w:pPr>
              <w:pStyle w:val="naiskr"/>
              <w:spacing w:before="0" w:after="120"/>
              <w:ind w:firstLine="552"/>
              <w:jc w:val="both"/>
              <w:rPr>
                <w:bCs/>
              </w:rPr>
            </w:pPr>
            <w:r>
              <w:rPr>
                <w:bCs/>
              </w:rPr>
              <w:t>A</w:t>
            </w:r>
            <w:r w:rsidRPr="00744A58">
              <w:rPr>
                <w:bCs/>
              </w:rPr>
              <w:t>ttiecībā uz regulējumu saistībā ar Hāgas 2007. gada 23. novembra konvenciju norādāms, ka tās ieviešana Latvijā ir tehnisks process, lai brīdī, kad tā stāsies spēkā visā Eiropas Savienībā un attiecīgi arī Latvijā, būtu spēkā stājies atbilstošs regulējums nacionālajos normatīvajos aktos. Tādējādi Hāgas 2007. gada 23. novembra konvencijas ieviešanas procesā sabiedrības līdzdalība netika nodrošināta, jo Hāgas 2007. gada 23. novembra konvencijā noteiktās saistības ir jāuzņemas.</w:t>
            </w:r>
            <w:r>
              <w:rPr>
                <w:bCs/>
              </w:rPr>
              <w:t xml:space="preserve"> </w:t>
            </w:r>
          </w:p>
          <w:p w:rsidR="00DD6071" w:rsidRDefault="00DD6071" w:rsidP="00FB650C">
            <w:pPr>
              <w:pStyle w:val="naiskr"/>
              <w:spacing w:before="0" w:after="120"/>
              <w:ind w:firstLine="552"/>
              <w:jc w:val="both"/>
              <w:rPr>
                <w:bCs/>
              </w:rPr>
            </w:pPr>
            <w:r>
              <w:rPr>
                <w:bCs/>
              </w:rPr>
              <w:t xml:space="preserve">Attiecībā uz Projekta regulējumu </w:t>
            </w:r>
            <w:r w:rsidRPr="00DD6071">
              <w:rPr>
                <w:bCs/>
              </w:rPr>
              <w:t>par no Fonda nepamatoti izmaksāto uzturlīdzekļu un par tiem aprēķināto likumisko procentu atmaksas sadalīšanu termiņos</w:t>
            </w:r>
            <w:r>
              <w:rPr>
                <w:bCs/>
              </w:rPr>
              <w:t xml:space="preserve"> norādāms, ka sabiedrība netika iesaistīta tā izstrādē, ņem</w:t>
            </w:r>
            <w:r w:rsidR="006B60DD">
              <w:rPr>
                <w:bCs/>
              </w:rPr>
              <w:t xml:space="preserve">ot vērā to, ka ar Projektā ietverto regulējumu tiek paredzēta labvēlīgāka situācija personai, proti, tiek papildus paredzētas personai tiesības lūgt atmaksu sadalīt termiņos, tādējādi personai radot iespēju veikt nepamatoti saņemto uzturlīdzekļu un par tiem aprēķināto procentu atmaksu ilgākā laikposmā. Tātad netiek grozīts regulējums, kas paredz personas pienākumu atmaksāt nepamatoti no Fonda saņemto vai kādi ar to saistīti atmaksas nosacījumi, bet gan tiek tikai papildus paredzētas tiesības lūgt atmaksu veikt ilgākā laikposmā noteiktos termiņos. </w:t>
            </w:r>
          </w:p>
          <w:p w:rsidR="006401B4" w:rsidRDefault="00190165" w:rsidP="00744A58">
            <w:pPr>
              <w:pStyle w:val="naiskr"/>
              <w:spacing w:before="0" w:after="120"/>
              <w:ind w:firstLine="552"/>
              <w:jc w:val="both"/>
              <w:rPr>
                <w:bCs/>
              </w:rPr>
            </w:pPr>
            <w:r w:rsidRPr="00190165">
              <w:rPr>
                <w:bCs/>
              </w:rPr>
              <w:t xml:space="preserve">Attiecībā uz Projekta regulējumu par uzturlīdzekļu apmēru sabiedrība netika iesaistīta tā izstrādē, ņemot vērā to, ka Projekts paredz </w:t>
            </w:r>
            <w:r>
              <w:rPr>
                <w:bCs/>
              </w:rPr>
              <w:t xml:space="preserve">palielināt pašreiz, </w:t>
            </w:r>
            <w:proofErr w:type="spellStart"/>
            <w:r>
              <w:rPr>
                <w:bCs/>
              </w:rPr>
              <w:t>t.i</w:t>
            </w:r>
            <w:proofErr w:type="spellEnd"/>
            <w:r>
              <w:rPr>
                <w:bCs/>
              </w:rPr>
              <w:t>., 2012. </w:t>
            </w:r>
            <w:r w:rsidRPr="00190165">
              <w:rPr>
                <w:bCs/>
              </w:rPr>
              <w:t>gadā, maksājamo uzturlīdzekļu apmēru.</w:t>
            </w:r>
            <w:r>
              <w:rPr>
                <w:bCs/>
              </w:rPr>
              <w:t xml:space="preserve"> </w:t>
            </w:r>
          </w:p>
          <w:p w:rsidR="00795C81" w:rsidRPr="00744A58" w:rsidRDefault="00795C81" w:rsidP="00744A58">
            <w:pPr>
              <w:pStyle w:val="naiskr"/>
              <w:spacing w:before="0" w:after="120"/>
              <w:ind w:firstLine="552"/>
              <w:jc w:val="both"/>
              <w:rPr>
                <w:bCs/>
              </w:rPr>
            </w:pPr>
          </w:p>
        </w:tc>
      </w:tr>
      <w:tr w:rsidR="00846547" w:rsidRPr="007D058B" w:rsidTr="000A5AC8">
        <w:trPr>
          <w:tblCellSpacing w:w="0" w:type="dxa"/>
        </w:trPr>
        <w:tc>
          <w:tcPr>
            <w:tcW w:w="310"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kr"/>
              <w:spacing w:before="0" w:after="120"/>
            </w:pPr>
            <w:r w:rsidRPr="007D058B">
              <w:lastRenderedPageBreak/>
              <w:t> 7.</w:t>
            </w:r>
          </w:p>
        </w:tc>
        <w:tc>
          <w:tcPr>
            <w:tcW w:w="2257"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kr"/>
              <w:spacing w:before="0" w:after="120"/>
            </w:pPr>
            <w:r w:rsidRPr="007D058B">
              <w:t> Cita informācija</w:t>
            </w:r>
          </w:p>
        </w:tc>
        <w:tc>
          <w:tcPr>
            <w:tcW w:w="6520" w:type="dxa"/>
            <w:tcBorders>
              <w:top w:val="outset" w:sz="6" w:space="0" w:color="auto"/>
              <w:left w:val="outset" w:sz="6" w:space="0" w:color="auto"/>
              <w:bottom w:val="outset" w:sz="6" w:space="0" w:color="auto"/>
              <w:right w:val="outset" w:sz="6" w:space="0" w:color="auto"/>
            </w:tcBorders>
          </w:tcPr>
          <w:p w:rsidR="00846547" w:rsidRDefault="00846547" w:rsidP="004C4A7F">
            <w:pPr>
              <w:pStyle w:val="naiskr"/>
              <w:spacing w:before="0" w:after="120"/>
            </w:pPr>
            <w:r w:rsidRPr="007D058B">
              <w:t> Nav</w:t>
            </w:r>
            <w:r w:rsidR="00E40728" w:rsidRPr="007D058B">
              <w:t>.</w:t>
            </w:r>
          </w:p>
          <w:p w:rsidR="00795C81" w:rsidRPr="007D058B" w:rsidRDefault="00795C81" w:rsidP="004C4A7F">
            <w:pPr>
              <w:pStyle w:val="naiskr"/>
              <w:spacing w:before="0" w:after="120"/>
            </w:pPr>
          </w:p>
        </w:tc>
      </w:tr>
    </w:tbl>
    <w:p w:rsidR="00717984" w:rsidRPr="007D058B" w:rsidRDefault="00717984" w:rsidP="00E31239">
      <w:pPr>
        <w:pStyle w:val="naisf"/>
        <w:ind w:firstLine="0"/>
      </w:pPr>
    </w:p>
    <w:tbl>
      <w:tblPr>
        <w:tblpPr w:leftFromText="180" w:rightFromText="180" w:vertAnchor="text" w:horzAnchor="margin" w:tblpXSpec="center" w:tblpY="149"/>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1"/>
        <w:gridCol w:w="2693"/>
        <w:gridCol w:w="5812"/>
      </w:tblGrid>
      <w:tr w:rsidR="00717984" w:rsidRPr="007D058B" w:rsidTr="00FB650C">
        <w:tc>
          <w:tcPr>
            <w:tcW w:w="8936" w:type="dxa"/>
            <w:gridSpan w:val="3"/>
            <w:vAlign w:val="center"/>
          </w:tcPr>
          <w:p w:rsidR="00795C81" w:rsidRPr="007D058B" w:rsidRDefault="00717984" w:rsidP="00795C81">
            <w:pPr>
              <w:pStyle w:val="naisf"/>
              <w:ind w:right="-766"/>
              <w:rPr>
                <w:b/>
                <w:bCs/>
              </w:rPr>
            </w:pPr>
            <w:r w:rsidRPr="007D058B">
              <w:rPr>
                <w:b/>
                <w:bCs/>
              </w:rPr>
              <w:t>II. Tiesību akta projekta ietekme uz sabiedrību</w:t>
            </w:r>
            <w:r w:rsidR="00795C81">
              <w:rPr>
                <w:b/>
                <w:bCs/>
              </w:rPr>
              <w:t xml:space="preserve"> </w:t>
            </w:r>
          </w:p>
        </w:tc>
      </w:tr>
      <w:tr w:rsidR="00717984" w:rsidRPr="007D058B" w:rsidTr="00FB650C">
        <w:trPr>
          <w:trHeight w:val="467"/>
        </w:trPr>
        <w:tc>
          <w:tcPr>
            <w:tcW w:w="431" w:type="dxa"/>
          </w:tcPr>
          <w:p w:rsidR="00717984" w:rsidRPr="007D058B" w:rsidRDefault="00E31239" w:rsidP="00717984">
            <w:pPr>
              <w:pStyle w:val="naisf"/>
              <w:ind w:right="-425" w:firstLine="5"/>
            </w:pPr>
            <w:r>
              <w:t xml:space="preserve"> </w:t>
            </w:r>
            <w:r w:rsidR="00717984" w:rsidRPr="007D058B">
              <w:t>1.</w:t>
            </w:r>
          </w:p>
        </w:tc>
        <w:tc>
          <w:tcPr>
            <w:tcW w:w="2693" w:type="dxa"/>
          </w:tcPr>
          <w:p w:rsidR="00717984" w:rsidRPr="007D058B" w:rsidRDefault="00717984" w:rsidP="005910AB">
            <w:pPr>
              <w:pStyle w:val="naisf"/>
              <w:ind w:right="-766" w:firstLine="136"/>
            </w:pPr>
            <w:r w:rsidRPr="007D058B">
              <w:t>Sabiedrības mērķgrupa</w:t>
            </w:r>
          </w:p>
        </w:tc>
        <w:tc>
          <w:tcPr>
            <w:tcW w:w="5812" w:type="dxa"/>
          </w:tcPr>
          <w:p w:rsidR="00717984" w:rsidRDefault="00717984" w:rsidP="00FB650C">
            <w:pPr>
              <w:pStyle w:val="naisf"/>
              <w:ind w:right="141" w:firstLine="424"/>
              <w:rPr>
                <w:iCs/>
              </w:rPr>
            </w:pPr>
            <w:r w:rsidRPr="007D058B">
              <w:rPr>
                <w:iCs/>
              </w:rPr>
              <w:t> </w:t>
            </w:r>
            <w:r w:rsidR="00BC7EB5" w:rsidRPr="007D058B">
              <w:rPr>
                <w:iCs/>
              </w:rPr>
              <w:t xml:space="preserve">Projektā ietvertais regulējums </w:t>
            </w:r>
            <w:r w:rsidR="00FB650C">
              <w:rPr>
                <w:iCs/>
              </w:rPr>
              <w:t xml:space="preserve">par no Fonda maksājamo uzturlīdzekļu apmēru </w:t>
            </w:r>
            <w:r w:rsidR="00BC7EB5" w:rsidRPr="007D058B">
              <w:rPr>
                <w:iCs/>
              </w:rPr>
              <w:t xml:space="preserve">attiecas uz personām, kurām tiek izmaksāti uzturlīdzekļi no Fonda. Proti, pēc Fonda administrācijas sniegtajām ziņām, uzturlīdzekļi no Fonda par vienu vai vairākiem bērniem tiek izmaksāti </w:t>
            </w:r>
            <w:r w:rsidR="00BC7EB5" w:rsidRPr="001735DE">
              <w:rPr>
                <w:iCs/>
              </w:rPr>
              <w:t>apmēram 17500</w:t>
            </w:r>
            <w:r w:rsidR="00BC7EB5" w:rsidRPr="007D058B">
              <w:rPr>
                <w:iCs/>
              </w:rPr>
              <w:t> </w:t>
            </w:r>
            <w:r w:rsidR="001735DE">
              <w:rPr>
                <w:iCs/>
              </w:rPr>
              <w:t xml:space="preserve"> </w:t>
            </w:r>
            <w:r w:rsidR="00BC7EB5" w:rsidRPr="007D058B">
              <w:rPr>
                <w:iCs/>
              </w:rPr>
              <w:t>personām mēnesī (</w:t>
            </w:r>
            <w:r w:rsidR="008E2589" w:rsidRPr="00272AC6">
              <w:rPr>
                <w:iCs/>
              </w:rPr>
              <w:t>par kopumā 24354 bērniem, no kuriem 644 bērniem izmaksas tika izbeigtas, un mēneša beigās uzturlīdzekļi tika maksāti vidēji 23700 bērniem, ņemot vērā datus</w:t>
            </w:r>
            <w:r w:rsidR="008E2589" w:rsidRPr="007D058B">
              <w:rPr>
                <w:iCs/>
              </w:rPr>
              <w:t xml:space="preserve"> pa</w:t>
            </w:r>
            <w:r w:rsidR="008E2589">
              <w:rPr>
                <w:iCs/>
              </w:rPr>
              <w:t>r 2012. gada pirmajiem mēnešiem</w:t>
            </w:r>
            <w:r w:rsidR="00BC7EB5" w:rsidRPr="007D058B">
              <w:rPr>
                <w:iCs/>
              </w:rPr>
              <w:t xml:space="preserve">). </w:t>
            </w:r>
            <w:r w:rsidR="00A336AD">
              <w:rPr>
                <w:iCs/>
              </w:rPr>
              <w:t xml:space="preserve">Tāpat arī Projektā ietvertais regulējums par </w:t>
            </w:r>
            <w:r w:rsidR="00A336AD" w:rsidRPr="00A336AD">
              <w:rPr>
                <w:bCs/>
                <w:iCs/>
              </w:rPr>
              <w:t xml:space="preserve"> no Fonda nepamatoti izmaksāto uzturlīdzekļu un par tiem aprēķināto likumisko procentu atmaksas sadalīšanu termiņos</w:t>
            </w:r>
            <w:r w:rsidR="00A336AD">
              <w:rPr>
                <w:bCs/>
                <w:iCs/>
              </w:rPr>
              <w:t xml:space="preserve"> ir attiecināms uz </w:t>
            </w:r>
            <w:r w:rsidR="00A336AD" w:rsidRPr="00A336AD">
              <w:rPr>
                <w:bCs/>
                <w:iCs/>
              </w:rPr>
              <w:t xml:space="preserve">apmēram 17500  </w:t>
            </w:r>
            <w:r w:rsidR="00A336AD">
              <w:rPr>
                <w:bCs/>
                <w:iCs/>
              </w:rPr>
              <w:t xml:space="preserve">personām, kuras potenciāli varētu kļūt par personām, kurām jāatmaksā dažādu iemeslu dēļ nepamatoti izmaksātie uzturlīdzekļi no Fonda. </w:t>
            </w:r>
            <w:r w:rsidR="002D74F4">
              <w:rPr>
                <w:bCs/>
                <w:iCs/>
              </w:rPr>
              <w:t xml:space="preserve">Precīzs šādu personu skaits nav prognozējams. </w:t>
            </w:r>
          </w:p>
          <w:p w:rsidR="00FB650C" w:rsidRPr="00FB650C" w:rsidRDefault="00FB650C" w:rsidP="00FB650C">
            <w:pPr>
              <w:pStyle w:val="naisf"/>
              <w:spacing w:before="0" w:after="0"/>
              <w:ind w:right="142" w:firstLine="424"/>
              <w:rPr>
                <w:iCs/>
              </w:rPr>
            </w:pPr>
            <w:r>
              <w:rPr>
                <w:iCs/>
              </w:rPr>
              <w:t>Savukārt P</w:t>
            </w:r>
            <w:r w:rsidRPr="00FB650C">
              <w:rPr>
                <w:iCs/>
              </w:rPr>
              <w:t xml:space="preserve">rojekta un </w:t>
            </w:r>
            <w:r>
              <w:rPr>
                <w:iCs/>
              </w:rPr>
              <w:t>Hāgas 2007. </w:t>
            </w:r>
            <w:r w:rsidRPr="00FB650C">
              <w:rPr>
                <w:iCs/>
              </w:rPr>
              <w:t>gada 23.</w:t>
            </w:r>
            <w:r>
              <w:rPr>
                <w:iCs/>
              </w:rPr>
              <w:t> </w:t>
            </w:r>
            <w:r w:rsidRPr="00FB650C">
              <w:rPr>
                <w:iCs/>
              </w:rPr>
              <w:t xml:space="preserve">novembra konvencijas regulējums kopumā attiecināms: </w:t>
            </w:r>
          </w:p>
          <w:p w:rsidR="00FB650C" w:rsidRPr="00FB650C" w:rsidRDefault="00FB650C" w:rsidP="00FB650C">
            <w:pPr>
              <w:pStyle w:val="naisf"/>
              <w:numPr>
                <w:ilvl w:val="0"/>
                <w:numId w:val="15"/>
              </w:numPr>
              <w:spacing w:before="0" w:after="0"/>
              <w:ind w:right="142"/>
              <w:rPr>
                <w:iCs/>
              </w:rPr>
            </w:pPr>
            <w:r w:rsidRPr="00FB650C">
              <w:rPr>
                <w:iCs/>
              </w:rPr>
              <w:t xml:space="preserve">uz Latvijā dzīvojošiem uzturēšanas līdzekļu prasītājiem/piedzinējiem (uzturlīdzekļu bērnam prasītājiem, laulāto uztura vai iepriekšējā labklājības līmeņa nodrošināšanas prasītājiem), kas vēlēsies Latvijas tiesu nolēmumus par uzturēšanas līdzekļu piedziņu izpildīt ārvalstīs, vai arī vēlēsies, lai nolēmums par uzturēšanas līdzekļu piedziņu pret atbildētāju, kas dzīvo ārvalstī – trešajā valstī – tiktu pieņemts un izpildīts ārvalstī; </w:t>
            </w:r>
          </w:p>
          <w:p w:rsidR="00FB650C" w:rsidRPr="00FB650C" w:rsidRDefault="00FB650C" w:rsidP="00FB650C">
            <w:pPr>
              <w:pStyle w:val="naisf"/>
              <w:numPr>
                <w:ilvl w:val="0"/>
                <w:numId w:val="15"/>
              </w:numPr>
              <w:spacing w:before="0" w:after="0"/>
              <w:ind w:right="142"/>
              <w:rPr>
                <w:iCs/>
              </w:rPr>
            </w:pPr>
            <w:r w:rsidRPr="00FB650C">
              <w:rPr>
                <w:iCs/>
              </w:rPr>
              <w:t xml:space="preserve">uz trešajā valstī dzīvojošiem uzturēšanas līdzekļu prasītājiem/piedzinējiem, kas vēlēsies, lai ārvalsts tiesu nolēmums par uzturēšanas līdzekļu piedziņu tiktu izpildīts Latvijā, vai arī kas vēlēsies, lai nolēmums par uzturēšanas līdzekļu piedziņu pret atbildētāju, kas dzīvo Latvijā, tiktu pieņemts Latvijā; </w:t>
            </w:r>
          </w:p>
          <w:p w:rsidR="00FB650C" w:rsidRPr="00FB650C" w:rsidRDefault="00FB650C" w:rsidP="00FB650C">
            <w:pPr>
              <w:pStyle w:val="naisf"/>
              <w:numPr>
                <w:ilvl w:val="0"/>
                <w:numId w:val="15"/>
              </w:numPr>
              <w:spacing w:before="0" w:after="0"/>
              <w:ind w:right="142"/>
              <w:rPr>
                <w:iCs/>
              </w:rPr>
            </w:pPr>
            <w:r w:rsidRPr="00FB650C">
              <w:rPr>
                <w:iCs/>
              </w:rPr>
              <w:t>uz Latvijā vai trešajā valstī dzīvojošiem uzturēšanas līdzekļu parādniekiem/atbildētājiem.</w:t>
            </w:r>
          </w:p>
          <w:p w:rsidR="00FB650C" w:rsidRPr="00FB650C" w:rsidRDefault="00FB650C" w:rsidP="00FB650C">
            <w:pPr>
              <w:pStyle w:val="naisf"/>
              <w:spacing w:before="0" w:after="0"/>
              <w:ind w:right="142" w:firstLine="424"/>
              <w:rPr>
                <w:iCs/>
              </w:rPr>
            </w:pPr>
            <w:r w:rsidRPr="00FB650C">
              <w:rPr>
                <w:iCs/>
              </w:rPr>
              <w:t xml:space="preserve">Precīzu šo sabiedrības </w:t>
            </w:r>
            <w:proofErr w:type="spellStart"/>
            <w:r w:rsidRPr="00FB650C">
              <w:rPr>
                <w:iCs/>
              </w:rPr>
              <w:t>mērķgrupu</w:t>
            </w:r>
            <w:proofErr w:type="spellEnd"/>
            <w:r w:rsidRPr="00FB650C">
              <w:rPr>
                <w:iCs/>
              </w:rPr>
              <w:t xml:space="preserve"> skaitlisko lielumu nav iespējams noteikt. Latvijas tiesās pirmajā instancē 2011. gadā tika celtas 4216 prasības par līdzekļu piedziņu bērnu uzturēšanai. Statiska par to, cik no šajās lietās pieņemtajiem nolēmumiem bija nepieciešams izpildīt </w:t>
            </w:r>
            <w:r w:rsidRPr="00FB650C">
              <w:rPr>
                <w:iCs/>
              </w:rPr>
              <w:lastRenderedPageBreak/>
              <w:t xml:space="preserve">kādā trešajā valstī, netiek apkopota, jo šobrīd personas pašas vēršas attiecīgās nolēmuma izpildes ārvalsts kompetentajās institūcijās/tiesās, lai panāktu Latvijā pieņemta nolēmuma par uzturlīdzekļu bērnam piedziņu atzīšanu un izpildi.  </w:t>
            </w:r>
          </w:p>
          <w:p w:rsidR="00FB650C" w:rsidRPr="00FB650C" w:rsidRDefault="00FB650C" w:rsidP="00FB650C">
            <w:pPr>
              <w:pStyle w:val="naisf"/>
              <w:spacing w:before="0" w:after="0"/>
              <w:ind w:right="142" w:firstLine="424"/>
              <w:rPr>
                <w:iCs/>
              </w:rPr>
            </w:pPr>
            <w:r w:rsidRPr="00FB650C">
              <w:rPr>
                <w:iCs/>
              </w:rPr>
              <w:t xml:space="preserve">Tāpat nav pieejama statistika par to, cik Latvijas tiesās ir celtas prasības par laulāto uztura piedziņu vai iepriekšējā labklājības līmeņa nodrošināšanu. </w:t>
            </w:r>
          </w:p>
          <w:p w:rsidR="00D31FAB" w:rsidRDefault="00FB650C" w:rsidP="00FB650C">
            <w:pPr>
              <w:pStyle w:val="naisf"/>
              <w:spacing w:before="0" w:after="0"/>
              <w:ind w:right="142" w:firstLine="424"/>
              <w:rPr>
                <w:iCs/>
              </w:rPr>
            </w:pPr>
            <w:r w:rsidRPr="00FB650C">
              <w:rPr>
                <w:iCs/>
              </w:rPr>
              <w:t xml:space="preserve">Nav arī precīzas statistikas par to, cik ārvalstnieki vērsušies Latvijas tiesās, lai panāktu ārvalstīs pieņemta nolēmuma par uzturēšanas līdzekļu piedziņu atzīšanu un </w:t>
            </w:r>
            <w:proofErr w:type="spellStart"/>
            <w:r w:rsidRPr="00FB650C">
              <w:rPr>
                <w:iCs/>
              </w:rPr>
              <w:t>izpildāmības</w:t>
            </w:r>
            <w:proofErr w:type="spellEnd"/>
            <w:r w:rsidRPr="00FB650C">
              <w:rPr>
                <w:iCs/>
              </w:rPr>
              <w:t xml:space="preserve"> pasludināšanu. 2011. gadā Latvijas tiesās pirmajā instancē tika saņemti 52 pieteikumi par ārvalsts tiesu nolēmumu atzīšanu.</w:t>
            </w:r>
            <w:r>
              <w:rPr>
                <w:iCs/>
              </w:rPr>
              <w:t xml:space="preserve"> </w:t>
            </w:r>
          </w:p>
          <w:p w:rsidR="00795C81" w:rsidRPr="00FB650C" w:rsidRDefault="00795C81" w:rsidP="00FB650C">
            <w:pPr>
              <w:pStyle w:val="naisf"/>
              <w:spacing w:before="0" w:after="0"/>
              <w:ind w:right="142" w:firstLine="424"/>
              <w:rPr>
                <w:iCs/>
              </w:rPr>
            </w:pPr>
          </w:p>
        </w:tc>
      </w:tr>
      <w:tr w:rsidR="00717984" w:rsidRPr="007D058B" w:rsidTr="00FB650C">
        <w:trPr>
          <w:trHeight w:val="523"/>
        </w:trPr>
        <w:tc>
          <w:tcPr>
            <w:tcW w:w="431" w:type="dxa"/>
          </w:tcPr>
          <w:p w:rsidR="00717984" w:rsidRPr="007D058B" w:rsidRDefault="00E31239" w:rsidP="00717984">
            <w:pPr>
              <w:pStyle w:val="naisf"/>
              <w:ind w:right="-425" w:firstLine="5"/>
            </w:pPr>
            <w:r>
              <w:lastRenderedPageBreak/>
              <w:t xml:space="preserve"> </w:t>
            </w:r>
            <w:r w:rsidR="00717984" w:rsidRPr="007D058B">
              <w:t>2.</w:t>
            </w:r>
          </w:p>
        </w:tc>
        <w:tc>
          <w:tcPr>
            <w:tcW w:w="2693" w:type="dxa"/>
          </w:tcPr>
          <w:p w:rsidR="00717984" w:rsidRPr="007D058B" w:rsidRDefault="00717984" w:rsidP="005910AB">
            <w:pPr>
              <w:pStyle w:val="naisf"/>
              <w:spacing w:before="0" w:after="0"/>
              <w:ind w:left="136" w:right="91" w:firstLine="0"/>
            </w:pPr>
            <w:r w:rsidRPr="007D058B">
              <w:t>Citas sabiedrības grupas (bez mērķgrupas), kuras tiesiskais regulējums arī ietekmē vai varētu ietekmēt</w:t>
            </w:r>
          </w:p>
        </w:tc>
        <w:tc>
          <w:tcPr>
            <w:tcW w:w="5812" w:type="dxa"/>
          </w:tcPr>
          <w:p w:rsidR="005910AB" w:rsidRDefault="005910AB" w:rsidP="005910AB">
            <w:pPr>
              <w:pStyle w:val="naisf"/>
              <w:ind w:right="141"/>
            </w:pPr>
            <w:r>
              <w:t>Projekta regulējums par Hāgas 2007. gada 23. novembra konvenciju un šī konvencija ietekmēs personas tiesības uz sociālo nodrošinājumu, jo īpaši bērna tiesības uz sociālo nodrošinājumu.</w:t>
            </w:r>
          </w:p>
          <w:p w:rsidR="00717984" w:rsidRDefault="005910AB" w:rsidP="005910AB">
            <w:pPr>
              <w:pStyle w:val="naisf"/>
              <w:ind w:right="141"/>
            </w:pPr>
            <w:r w:rsidRPr="005910AB">
              <w:t>Proj</w:t>
            </w:r>
            <w:r>
              <w:t>ekta regulējums par Hāgas 2007. gada 23. </w:t>
            </w:r>
            <w:r w:rsidRPr="005910AB">
              <w:t xml:space="preserve">novembra konvenciju un šī konvencija </w:t>
            </w:r>
            <w:r>
              <w:t>būtiski veicina Latvijas tiesu nolēmumu atzīšanas un izpildes iespēju trešajās valstīs. Gadījumos, kad netiks panākta nolēmuma izpilde attiecīgajā ārvalstī, personām būs iespēja vērsties Fonda administrācijā, kas tā vecāka, kuram ar tiesas nolēmumu uzlikts pienākums materiāli atbalstīt bērna audzināšanu un aprūpi, bet kurš šādu tiesas uzliktu pienākumu nepilda, vietā maksās uzturlīdzekļus otram bērna vecākam bērna uzturēšanai likumā noteiktā apmērā. 2011. gada decembrī Fonda administrācija izmaksāja uzturlīdzekļus 17 242 vecākiem 23 577 bērnu uzturam.</w:t>
            </w:r>
            <w:r w:rsidR="00FC7CAD">
              <w:t xml:space="preserve"> </w:t>
            </w:r>
          </w:p>
          <w:p w:rsidR="00795C81" w:rsidRPr="007D058B" w:rsidRDefault="00795C81" w:rsidP="005910AB">
            <w:pPr>
              <w:pStyle w:val="naisf"/>
              <w:ind w:right="141"/>
            </w:pPr>
          </w:p>
        </w:tc>
      </w:tr>
      <w:tr w:rsidR="00717984" w:rsidRPr="007D058B" w:rsidTr="005910AB">
        <w:trPr>
          <w:trHeight w:val="517"/>
        </w:trPr>
        <w:tc>
          <w:tcPr>
            <w:tcW w:w="431" w:type="dxa"/>
          </w:tcPr>
          <w:p w:rsidR="00717984" w:rsidRPr="007D058B" w:rsidRDefault="00E31239" w:rsidP="00717984">
            <w:pPr>
              <w:pStyle w:val="naisf"/>
              <w:ind w:right="-425" w:firstLine="5"/>
            </w:pPr>
            <w:r>
              <w:t xml:space="preserve"> </w:t>
            </w:r>
            <w:r w:rsidR="00717984" w:rsidRPr="007D058B">
              <w:t>3.</w:t>
            </w:r>
          </w:p>
        </w:tc>
        <w:tc>
          <w:tcPr>
            <w:tcW w:w="2693" w:type="dxa"/>
          </w:tcPr>
          <w:p w:rsidR="005910AB" w:rsidRDefault="00717984" w:rsidP="005910AB">
            <w:pPr>
              <w:pStyle w:val="naisf"/>
              <w:spacing w:before="0" w:after="0"/>
              <w:ind w:right="-765" w:firstLine="136"/>
            </w:pPr>
            <w:r w:rsidRPr="007D058B">
              <w:t xml:space="preserve">Tiesiskā regulējuma </w:t>
            </w:r>
          </w:p>
          <w:p w:rsidR="00717984" w:rsidRPr="007D058B" w:rsidRDefault="00717984" w:rsidP="005910AB">
            <w:pPr>
              <w:pStyle w:val="naisf"/>
              <w:spacing w:before="0" w:after="0"/>
              <w:ind w:right="-765" w:firstLine="136"/>
            </w:pPr>
            <w:r w:rsidRPr="007D058B">
              <w:t>finansiālā ietekme</w:t>
            </w:r>
          </w:p>
        </w:tc>
        <w:tc>
          <w:tcPr>
            <w:tcW w:w="5812" w:type="dxa"/>
          </w:tcPr>
          <w:p w:rsidR="006401B4" w:rsidRPr="007D058B" w:rsidRDefault="000D14A7" w:rsidP="006401B4">
            <w:pPr>
              <w:pStyle w:val="naisf"/>
              <w:spacing w:before="0" w:after="0"/>
              <w:ind w:right="142" w:firstLine="374"/>
              <w:rPr>
                <w:iCs/>
              </w:rPr>
            </w:pPr>
            <w:r w:rsidRPr="007D058B">
              <w:rPr>
                <w:iCs/>
              </w:rPr>
              <w:t xml:space="preserve">Saskaņā ar Projektā ietverto regulējumu </w:t>
            </w:r>
            <w:r w:rsidR="005910AB">
              <w:rPr>
                <w:iCs/>
              </w:rPr>
              <w:t xml:space="preserve">par uzturlīdzekļu apmēru </w:t>
            </w:r>
            <w:r w:rsidRPr="007D058B">
              <w:rPr>
                <w:iCs/>
              </w:rPr>
              <w:t xml:space="preserve">2013. gadā, salīdzinājumā ar 2012. gadu, palielināsies no Fonda saņemto uzturlīdzekļu apmērs par 5 latiem šīs sadaļas 1. punktā norādītajām personām, kas par vienu vai vairākiem bērniem saņem uzturlīdzekļus no Fonda. </w:t>
            </w:r>
          </w:p>
          <w:p w:rsidR="005910AB" w:rsidRPr="005910AB" w:rsidRDefault="005910AB" w:rsidP="005910AB">
            <w:pPr>
              <w:pStyle w:val="naisf"/>
              <w:spacing w:before="120" w:after="0"/>
              <w:ind w:right="142" w:firstLine="374"/>
              <w:rPr>
                <w:iCs/>
              </w:rPr>
            </w:pPr>
            <w:r>
              <w:rPr>
                <w:iCs/>
              </w:rPr>
              <w:t>Savukārt P</w:t>
            </w:r>
            <w:r w:rsidRPr="005910AB">
              <w:rPr>
                <w:iCs/>
              </w:rPr>
              <w:t xml:space="preserve">rojekta </w:t>
            </w:r>
            <w:r>
              <w:rPr>
                <w:iCs/>
              </w:rPr>
              <w:t>regulējums saistībā ar Hāgas 2007. </w:t>
            </w:r>
            <w:r w:rsidRPr="005910AB">
              <w:rPr>
                <w:iCs/>
              </w:rPr>
              <w:t>gada 23.</w:t>
            </w:r>
            <w:r>
              <w:rPr>
                <w:iCs/>
              </w:rPr>
              <w:t> </w:t>
            </w:r>
            <w:r w:rsidRPr="005910AB">
              <w:rPr>
                <w:iCs/>
              </w:rPr>
              <w:t>novembra konvencij</w:t>
            </w:r>
            <w:r>
              <w:rPr>
                <w:iCs/>
              </w:rPr>
              <w:t>u un šīs konvencijas</w:t>
            </w:r>
            <w:r w:rsidRPr="005910AB">
              <w:rPr>
                <w:iCs/>
              </w:rPr>
              <w:t xml:space="preserve"> regulējum</w:t>
            </w:r>
            <w:r>
              <w:rPr>
                <w:iCs/>
              </w:rPr>
              <w:t>s</w:t>
            </w:r>
            <w:r w:rsidRPr="005910AB">
              <w:rPr>
                <w:iCs/>
              </w:rPr>
              <w:t xml:space="preserve"> samazinās personu izdevumus, lai panāktu Latvijas tiesā pieņemta nolēmuma par uzturēšanas līdzekļu piedziņu izpildi ārvalstīs, vai, ja persona vēlēsies, lai panāktu  nolēmuma par uzturēšanas līdzekļu piedziņu pieņemšanu ārvalstī – kādā trešajā valstī – ja atbildētājs dzīvo šajā valstī.</w:t>
            </w:r>
          </w:p>
          <w:p w:rsidR="005910AB" w:rsidRPr="005910AB" w:rsidRDefault="005910AB" w:rsidP="005910AB">
            <w:pPr>
              <w:pStyle w:val="naisf"/>
              <w:spacing w:before="0" w:after="0"/>
              <w:ind w:right="142" w:firstLine="374"/>
              <w:rPr>
                <w:iCs/>
              </w:rPr>
            </w:pPr>
            <w:r w:rsidRPr="005910AB">
              <w:rPr>
                <w:iCs/>
              </w:rPr>
              <w:t xml:space="preserve">Saskaņā ar pašreiz spēkā esošo tiesisko regulējumu, personām pašām ir pienākums vērsties attiecīgās </w:t>
            </w:r>
            <w:r w:rsidRPr="005910AB">
              <w:rPr>
                <w:iCs/>
              </w:rPr>
              <w:lastRenderedPageBreak/>
              <w:t>nolēmuma izpildes ārvalsts kompetentajās tiesās/institūcijās, lai panāktu Latvijas tiesas pieņemtā nolēmuma par uzturēšanas līdzekļu piedziņu atzīšanu un izpildi. Personām nepieciešami ievērojami finansiālie līdzekļi, lai ierastos uz tiesas sēdi ārvalstī vai algotu pārstāvi, kas personu pārstāv tiesvedībā ārvalstī vai Latvijas tiesas nolēmuma izpildes procesā ārvalstī. Saskaņā ar jauno tiesisko regulējumu, lai panāktu Latvijas tiesā pieņemta nolēmuma par uzturēšanas līdzekļu piedziņu izpildi ārvalstī, persona varēs vērsties Fonda administrācijā, kas veiks nepieciešamās formalitātes un pārsūtīs personas pieteikumu par Latvijas tiesas pieņemtā nolēmuma par uzturēšanas līdzekļu piedziņu izpildi attiecīgajai ārvalsts centrālajai iestādei, kas veiks nepieciešamās formalitātes attiecīgajā ārvalstī – Latvijas tiesu nolēmuma izpildes valstī.</w:t>
            </w:r>
          </w:p>
          <w:p w:rsidR="005910AB" w:rsidRPr="005910AB" w:rsidRDefault="005910AB" w:rsidP="005910AB">
            <w:pPr>
              <w:pStyle w:val="naisf"/>
              <w:spacing w:before="0" w:after="0"/>
              <w:ind w:right="142" w:firstLine="374"/>
              <w:rPr>
                <w:iCs/>
              </w:rPr>
            </w:pPr>
            <w:r w:rsidRPr="005910AB">
              <w:rPr>
                <w:iCs/>
              </w:rPr>
              <w:t xml:space="preserve">Ja persona vēlēsies panākt nolēmuma par uzturēšanas līdzekļu piedziņu pieņemšanu ārvalstī – kādā trešajā valstī – ja atbildētājs dzīvo šajā valstī, persona arī varēs vērsties Fonda administrācijā, kas veiks nepieciešamās formalitātes un pārsūtīs personas pieteikumu attiecīgajai ārvalsts centrālajai iestādei, kas veiks nepieciešamās formalitātes attiecīgajā ārvalstī – nolēmuma pieņemšanas valstī, lai tur pieņemtu nolēmumu par uzturēšanas līdzekļu piedziņu. </w:t>
            </w:r>
          </w:p>
          <w:p w:rsidR="005910AB" w:rsidRPr="005910AB" w:rsidRDefault="005910AB" w:rsidP="005910AB">
            <w:pPr>
              <w:pStyle w:val="naisf"/>
              <w:spacing w:before="0" w:after="0"/>
              <w:ind w:right="142" w:firstLine="374"/>
              <w:rPr>
                <w:iCs/>
              </w:rPr>
            </w:pPr>
            <w:r w:rsidRPr="005910AB">
              <w:rPr>
                <w:iCs/>
              </w:rPr>
              <w:t>Attiecībā uz pārstāvību</w:t>
            </w:r>
            <w:r>
              <w:rPr>
                <w:iCs/>
              </w:rPr>
              <w:t xml:space="preserve"> tiesā norādāms, ka Hāgas 2007. gada 23. </w:t>
            </w:r>
            <w:r w:rsidRPr="005910AB">
              <w:rPr>
                <w:iCs/>
              </w:rPr>
              <w:t xml:space="preserve">novembra konvencija paredz, ka uzturlīdzekļu bērnam piedziņas lietās valstīm ir pienākums sniegt bezmaksas, automātisku juridisko palīdzību par visiem kreditora pieteikumiem par uzturēšanas līdzekļiem bērnam, kas tiks saņemti no ārvalsts centrālās </w:t>
            </w:r>
            <w:r>
              <w:rPr>
                <w:iCs/>
              </w:rPr>
              <w:t>iestādes saskaņā ar Hāgas 2007. gada 23. </w:t>
            </w:r>
            <w:r w:rsidRPr="005910AB">
              <w:rPr>
                <w:iCs/>
              </w:rPr>
              <w:t>novembra konvenciju. Minētā juridiskā palīdzība nepieciešamības gadījumā ietver arī bezmaksas pārstāvību tiesā. Līdz ar to visiem Latvijas kreditoru pieteikumiem par uzturēšanas līdzekļiem bērnam, kas tiks saņemti ārvalsts centrālajā iestāde, tiks nodrošināta bezmaksas juridiskā palīdzība, kas ievērojami samazinās personu izdevumus.</w:t>
            </w:r>
          </w:p>
          <w:p w:rsidR="005910AB" w:rsidRPr="005910AB" w:rsidRDefault="005910AB" w:rsidP="005910AB">
            <w:pPr>
              <w:pStyle w:val="naisf"/>
              <w:spacing w:before="0" w:after="0"/>
              <w:ind w:right="142" w:firstLine="374"/>
              <w:rPr>
                <w:iCs/>
              </w:rPr>
            </w:pPr>
            <w:r w:rsidRPr="005910AB">
              <w:rPr>
                <w:iCs/>
              </w:rPr>
              <w:t>Kopumā attiecībā uz uzturēšanas līdzekļu lietām, kas nebūs saistītas ar uzturlīdzekļu bērnam piedziņu, bezmaksas juridiskā palīdzība personai tiks nodrošināta,  ja persona būs jau saņēmusi bezmaksas juridisko palīdzību savā mītnes zemē vai, ja, izvērtējot personas mantisko stāvokli, personai tiks atzītas tiesības uz bezmaksas juridisko palīdzību. Tā, personai, kas dzīvo Latvijā, ārvalstīs – kādā trešajā valstī – tiks nodrošināta bezmaksas juridiskā palīdzība, ja persona Latvijā šajā lietā būs jau saņēmusi bezmaksas juridisko palīdzību ar Juridiskās palīdzības administrācijas starpniecību.</w:t>
            </w:r>
          </w:p>
          <w:p w:rsidR="005910AB" w:rsidRPr="005910AB" w:rsidRDefault="005910AB" w:rsidP="005910AB">
            <w:pPr>
              <w:pStyle w:val="naisf"/>
              <w:spacing w:before="0" w:after="0"/>
              <w:ind w:right="142" w:firstLine="374"/>
              <w:rPr>
                <w:iCs/>
              </w:rPr>
            </w:pPr>
            <w:r w:rsidRPr="005910AB">
              <w:rPr>
                <w:iCs/>
              </w:rPr>
              <w:lastRenderedPageBreak/>
              <w:t>Balstoties uz reciprocitātes principu līdzīgas garantijas Latvijā būs jānodrošina uzturēšanas līdzekļu prasītājiem/piedzinējiem un dažos gadījumos parādniekiem no ārvalstīm – trešajām valstīm.</w:t>
            </w:r>
          </w:p>
          <w:p w:rsidR="00FC7CAD" w:rsidRDefault="005910AB" w:rsidP="00157556">
            <w:pPr>
              <w:pStyle w:val="naisf"/>
              <w:spacing w:before="0" w:after="0"/>
              <w:ind w:right="142" w:firstLine="374"/>
              <w:rPr>
                <w:iCs/>
              </w:rPr>
            </w:pPr>
            <w:r w:rsidRPr="005910AB">
              <w:rPr>
                <w:iCs/>
              </w:rPr>
              <w:t>Turklāt F</w:t>
            </w:r>
            <w:r>
              <w:rPr>
                <w:iCs/>
              </w:rPr>
              <w:t>onda administrācija Hāgas 2007. </w:t>
            </w:r>
            <w:r w:rsidRPr="005910AB">
              <w:rPr>
                <w:iCs/>
              </w:rPr>
              <w:t>gada 23.</w:t>
            </w:r>
            <w:r>
              <w:rPr>
                <w:iCs/>
              </w:rPr>
              <w:t> </w:t>
            </w:r>
            <w:r w:rsidRPr="005910AB">
              <w:rPr>
                <w:iCs/>
              </w:rPr>
              <w:t>novembra konvencijā noteiktās centrālās iestādes</w:t>
            </w:r>
            <w:r>
              <w:rPr>
                <w:iCs/>
              </w:rPr>
              <w:t xml:space="preserve"> funkcijas veiks un Hāgas 2007. gada 23. </w:t>
            </w:r>
            <w:r w:rsidRPr="005910AB">
              <w:rPr>
                <w:iCs/>
              </w:rPr>
              <w:t>novembra konvencijā noteikto juridisko palīdzību tajā noteiktajos gadījumos sniegs Fonda administrācijai piešķirto budžeta līdzekļu ietvaros.</w:t>
            </w:r>
            <w:r>
              <w:rPr>
                <w:iCs/>
              </w:rPr>
              <w:t xml:space="preserve"> </w:t>
            </w:r>
          </w:p>
          <w:p w:rsidR="00795C81" w:rsidRPr="007D058B" w:rsidRDefault="00795C81" w:rsidP="00157556">
            <w:pPr>
              <w:pStyle w:val="naisf"/>
              <w:spacing w:before="0" w:after="0"/>
              <w:ind w:right="142" w:firstLine="374"/>
              <w:rPr>
                <w:iCs/>
              </w:rPr>
            </w:pPr>
          </w:p>
        </w:tc>
      </w:tr>
      <w:tr w:rsidR="00717984" w:rsidRPr="007D058B" w:rsidTr="00FB650C">
        <w:trPr>
          <w:trHeight w:val="517"/>
        </w:trPr>
        <w:tc>
          <w:tcPr>
            <w:tcW w:w="431" w:type="dxa"/>
          </w:tcPr>
          <w:p w:rsidR="00717984" w:rsidRPr="007D058B" w:rsidRDefault="00E31239" w:rsidP="00717984">
            <w:pPr>
              <w:pStyle w:val="naisf"/>
              <w:ind w:right="-425" w:firstLine="5"/>
            </w:pPr>
            <w:r>
              <w:lastRenderedPageBreak/>
              <w:t xml:space="preserve"> </w:t>
            </w:r>
            <w:r w:rsidR="00717984" w:rsidRPr="007D058B">
              <w:t>4.</w:t>
            </w:r>
          </w:p>
        </w:tc>
        <w:tc>
          <w:tcPr>
            <w:tcW w:w="2693" w:type="dxa"/>
          </w:tcPr>
          <w:p w:rsidR="005910AB" w:rsidRDefault="00717984" w:rsidP="005910AB">
            <w:pPr>
              <w:pStyle w:val="naisf"/>
              <w:spacing w:before="0" w:after="0"/>
              <w:ind w:right="-765" w:firstLine="136"/>
              <w:jc w:val="left"/>
            </w:pPr>
            <w:r w:rsidRPr="007D058B">
              <w:t xml:space="preserve">Tiesiskā regulējuma </w:t>
            </w:r>
          </w:p>
          <w:p w:rsidR="00717984" w:rsidRPr="007D058B" w:rsidRDefault="00717984" w:rsidP="005910AB">
            <w:pPr>
              <w:pStyle w:val="naisf"/>
              <w:spacing w:before="0" w:after="0"/>
              <w:ind w:right="-765" w:firstLine="136"/>
              <w:jc w:val="left"/>
            </w:pPr>
            <w:r w:rsidRPr="007D058B">
              <w:t>nefinansiālā ietekme</w:t>
            </w:r>
          </w:p>
        </w:tc>
        <w:tc>
          <w:tcPr>
            <w:tcW w:w="5812" w:type="dxa"/>
          </w:tcPr>
          <w:p w:rsidR="00717984" w:rsidRDefault="00AD0FF7" w:rsidP="00717984">
            <w:pPr>
              <w:pStyle w:val="naisf"/>
              <w:ind w:right="141"/>
            </w:pPr>
            <w:r>
              <w:t>Likumprojekts un Hāgas 2007. gada 23. </w:t>
            </w:r>
            <w:r w:rsidRPr="00AD0FF7">
              <w:t>novembra konvencija atvieglos personu tiesību uz uzturēšanas līdzekļiem realizāciju.</w:t>
            </w:r>
            <w:r>
              <w:t xml:space="preserve"> </w:t>
            </w:r>
          </w:p>
          <w:p w:rsidR="00795C81" w:rsidRPr="007D058B" w:rsidRDefault="00795C81" w:rsidP="00717984">
            <w:pPr>
              <w:pStyle w:val="naisf"/>
              <w:ind w:right="141"/>
            </w:pPr>
          </w:p>
        </w:tc>
      </w:tr>
      <w:tr w:rsidR="00717984" w:rsidRPr="007D058B" w:rsidTr="00FB650C">
        <w:trPr>
          <w:trHeight w:val="531"/>
        </w:trPr>
        <w:tc>
          <w:tcPr>
            <w:tcW w:w="431" w:type="dxa"/>
          </w:tcPr>
          <w:p w:rsidR="00717984" w:rsidRPr="007D058B" w:rsidRDefault="00E31239" w:rsidP="00717984">
            <w:pPr>
              <w:pStyle w:val="naisf"/>
              <w:ind w:right="-425" w:firstLine="5"/>
            </w:pPr>
            <w:r>
              <w:t xml:space="preserve"> </w:t>
            </w:r>
            <w:r w:rsidR="00717984" w:rsidRPr="007D058B">
              <w:t>5.</w:t>
            </w:r>
          </w:p>
        </w:tc>
        <w:tc>
          <w:tcPr>
            <w:tcW w:w="2693" w:type="dxa"/>
          </w:tcPr>
          <w:p w:rsidR="00717984" w:rsidRPr="007D058B" w:rsidRDefault="00717984" w:rsidP="005910AB">
            <w:pPr>
              <w:pStyle w:val="naisf"/>
              <w:spacing w:before="0" w:after="0"/>
              <w:ind w:left="136" w:firstLine="0"/>
            </w:pPr>
            <w:r w:rsidRPr="007D058B">
              <w:t>Administratīvās procedūras raksturojums</w:t>
            </w:r>
          </w:p>
        </w:tc>
        <w:tc>
          <w:tcPr>
            <w:tcW w:w="5812" w:type="dxa"/>
          </w:tcPr>
          <w:p w:rsidR="00717984" w:rsidRPr="007D058B" w:rsidRDefault="00AD0FF7" w:rsidP="00717984">
            <w:pPr>
              <w:pStyle w:val="naisf"/>
              <w:ind w:right="141"/>
            </w:pPr>
            <w:r w:rsidRPr="00AD0FF7">
              <w:t>Skatīt šīs sadaļas 3. punktu.</w:t>
            </w:r>
            <w:r>
              <w:t xml:space="preserve"> </w:t>
            </w:r>
          </w:p>
        </w:tc>
      </w:tr>
      <w:tr w:rsidR="00717984" w:rsidRPr="007D058B" w:rsidTr="00FB650C">
        <w:trPr>
          <w:trHeight w:val="357"/>
        </w:trPr>
        <w:tc>
          <w:tcPr>
            <w:tcW w:w="431" w:type="dxa"/>
          </w:tcPr>
          <w:p w:rsidR="00717984" w:rsidRPr="007D058B" w:rsidRDefault="00E31239" w:rsidP="00717984">
            <w:pPr>
              <w:pStyle w:val="naisf"/>
              <w:ind w:right="-425" w:firstLine="5"/>
            </w:pPr>
            <w:r>
              <w:t xml:space="preserve"> </w:t>
            </w:r>
            <w:r w:rsidR="00717984" w:rsidRPr="007D058B">
              <w:t>6.</w:t>
            </w:r>
          </w:p>
        </w:tc>
        <w:tc>
          <w:tcPr>
            <w:tcW w:w="2693" w:type="dxa"/>
          </w:tcPr>
          <w:p w:rsidR="00717984" w:rsidRPr="007D058B" w:rsidRDefault="00717984" w:rsidP="005910AB">
            <w:pPr>
              <w:pStyle w:val="naisf"/>
              <w:spacing w:before="0" w:after="0"/>
              <w:ind w:left="136" w:firstLine="0"/>
            </w:pPr>
            <w:r w:rsidRPr="007D058B">
              <w:t>Administratīvo izmaksu monetārs novērtējums</w:t>
            </w:r>
          </w:p>
        </w:tc>
        <w:tc>
          <w:tcPr>
            <w:tcW w:w="5812" w:type="dxa"/>
          </w:tcPr>
          <w:p w:rsidR="00717984" w:rsidRPr="007D058B" w:rsidRDefault="00AD0FF7" w:rsidP="00717984">
            <w:pPr>
              <w:pStyle w:val="naisf"/>
              <w:ind w:right="141"/>
            </w:pPr>
            <w:r w:rsidRPr="00AD0FF7">
              <w:t>Skatīt šīs sadaļas 3. punktu.</w:t>
            </w:r>
            <w:r>
              <w:t xml:space="preserve"> </w:t>
            </w:r>
          </w:p>
        </w:tc>
      </w:tr>
      <w:tr w:rsidR="00717984" w:rsidRPr="007D058B" w:rsidTr="00FB650C">
        <w:tc>
          <w:tcPr>
            <w:tcW w:w="431" w:type="dxa"/>
          </w:tcPr>
          <w:p w:rsidR="00717984" w:rsidRPr="007D058B" w:rsidRDefault="00E31239" w:rsidP="00717984">
            <w:pPr>
              <w:pStyle w:val="naisf"/>
              <w:ind w:right="-425" w:firstLine="5"/>
            </w:pPr>
            <w:r>
              <w:t xml:space="preserve"> </w:t>
            </w:r>
            <w:r w:rsidR="00717984" w:rsidRPr="007D058B">
              <w:t>7.</w:t>
            </w:r>
          </w:p>
        </w:tc>
        <w:tc>
          <w:tcPr>
            <w:tcW w:w="2693" w:type="dxa"/>
          </w:tcPr>
          <w:p w:rsidR="00717984" w:rsidRPr="007D058B" w:rsidRDefault="00717984" w:rsidP="005910AB">
            <w:pPr>
              <w:pStyle w:val="naisf"/>
              <w:ind w:right="-766" w:firstLine="136"/>
            </w:pPr>
            <w:r w:rsidRPr="007D058B">
              <w:t>Cita informācija</w:t>
            </w:r>
          </w:p>
        </w:tc>
        <w:tc>
          <w:tcPr>
            <w:tcW w:w="5812" w:type="dxa"/>
          </w:tcPr>
          <w:p w:rsidR="00D31FAB" w:rsidRPr="007D058B" w:rsidRDefault="0008547F" w:rsidP="005910AB">
            <w:pPr>
              <w:pStyle w:val="naisf"/>
              <w:ind w:right="141"/>
            </w:pPr>
            <w:r w:rsidRPr="007D058B">
              <w:t xml:space="preserve">Nav </w:t>
            </w:r>
          </w:p>
        </w:tc>
      </w:tr>
    </w:tbl>
    <w:p w:rsidR="00D61A88" w:rsidRPr="00D61A88" w:rsidRDefault="00D61A88" w:rsidP="00D61A88">
      <w:pPr>
        <w:pStyle w:val="naisf"/>
      </w:pPr>
    </w:p>
    <w:tbl>
      <w:tblPr>
        <w:tblW w:w="8950"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284"/>
        <w:gridCol w:w="1279"/>
        <w:gridCol w:w="1333"/>
        <w:gridCol w:w="1351"/>
        <w:gridCol w:w="1393"/>
      </w:tblGrid>
      <w:tr w:rsidR="00D61A88" w:rsidRPr="00D61A88" w:rsidTr="008C5969">
        <w:trPr>
          <w:trHeight w:val="652"/>
          <w:jc w:val="center"/>
        </w:trPr>
        <w:tc>
          <w:tcPr>
            <w:tcW w:w="8950" w:type="dxa"/>
            <w:gridSpan w:val="6"/>
          </w:tcPr>
          <w:p w:rsidR="00D61A88" w:rsidRPr="00D61A88" w:rsidRDefault="00D61A88" w:rsidP="00BE7565">
            <w:pPr>
              <w:pStyle w:val="naisf"/>
              <w:spacing w:before="0" w:after="0"/>
              <w:ind w:firstLine="0"/>
              <w:rPr>
                <w:b/>
                <w:bCs/>
                <w:i/>
              </w:rPr>
            </w:pPr>
            <w:r w:rsidRPr="00D61A88">
              <w:rPr>
                <w:b/>
                <w:bCs/>
              </w:rPr>
              <w:br w:type="page"/>
              <w:t>III. Tiesību akta projekta ietekme uz valsts budžetu un pašvaldību budžetiem</w:t>
            </w:r>
            <w:r w:rsidR="00FC7CAD">
              <w:rPr>
                <w:b/>
                <w:bCs/>
              </w:rPr>
              <w:t xml:space="preserve"> </w:t>
            </w:r>
          </w:p>
        </w:tc>
      </w:tr>
      <w:tr w:rsidR="00D61A88" w:rsidRPr="00D61A88" w:rsidTr="008C5969">
        <w:trPr>
          <w:jc w:val="center"/>
        </w:trPr>
        <w:tc>
          <w:tcPr>
            <w:tcW w:w="2310" w:type="dxa"/>
            <w:vMerge w:val="restart"/>
            <w:vAlign w:val="center"/>
          </w:tcPr>
          <w:p w:rsidR="00D61A88" w:rsidRPr="00D61A88" w:rsidRDefault="00D61A88" w:rsidP="00BE7565">
            <w:pPr>
              <w:pStyle w:val="naisf"/>
              <w:spacing w:before="0" w:after="0"/>
              <w:ind w:firstLine="0"/>
              <w:rPr>
                <w:b/>
              </w:rPr>
            </w:pPr>
            <w:r w:rsidRPr="00D61A88">
              <w:rPr>
                <w:b/>
              </w:rPr>
              <w:t>Rādītāji</w:t>
            </w:r>
          </w:p>
        </w:tc>
        <w:tc>
          <w:tcPr>
            <w:tcW w:w="2563" w:type="dxa"/>
            <w:gridSpan w:val="2"/>
            <w:vMerge w:val="restart"/>
            <w:vAlign w:val="center"/>
          </w:tcPr>
          <w:p w:rsidR="00D61A88" w:rsidRPr="00D61A88" w:rsidRDefault="00D61A88" w:rsidP="00BE7565">
            <w:pPr>
              <w:pStyle w:val="naisf"/>
              <w:spacing w:before="0" w:after="0"/>
              <w:rPr>
                <w:b/>
              </w:rPr>
            </w:pPr>
            <w:r w:rsidRPr="00D61A88">
              <w:rPr>
                <w:b/>
              </w:rPr>
              <w:t>2012</w:t>
            </w:r>
          </w:p>
        </w:tc>
        <w:tc>
          <w:tcPr>
            <w:tcW w:w="4077" w:type="dxa"/>
            <w:gridSpan w:val="3"/>
            <w:vAlign w:val="center"/>
          </w:tcPr>
          <w:p w:rsidR="00D61A88" w:rsidRPr="00D61A88" w:rsidRDefault="00D61A88" w:rsidP="00BE7565">
            <w:pPr>
              <w:pStyle w:val="naisf"/>
              <w:spacing w:before="0" w:after="0"/>
              <w:ind w:firstLine="0"/>
              <w:rPr>
                <w:b/>
                <w:i/>
              </w:rPr>
            </w:pPr>
            <w:r w:rsidRPr="00D61A88">
              <w:t>Turpmākie trīs gadi (</w:t>
            </w:r>
            <w:proofErr w:type="spellStart"/>
            <w:r w:rsidRPr="00D61A88">
              <w:t>tūkst</w:t>
            </w:r>
            <w:proofErr w:type="spellEnd"/>
            <w:smartTag w:uri="schemas-tilde-lv/tildestengine" w:element="currency2">
              <w:smartTagPr>
                <w:attr w:name="currency_id" w:val="48"/>
                <w:attr w:name="currency_key" w:val="LVL"/>
                <w:attr w:name="currency_value" w:val="."/>
                <w:attr w:name="currency_text" w:val="latu"/>
              </w:smartTagPr>
              <w:r w:rsidRPr="00D61A88">
                <w:t>. latu</w:t>
              </w:r>
            </w:smartTag>
            <w:r w:rsidRPr="00D61A88">
              <w:t>)</w:t>
            </w:r>
          </w:p>
        </w:tc>
      </w:tr>
      <w:tr w:rsidR="00D61A88" w:rsidRPr="00D61A88" w:rsidTr="008C5969">
        <w:trPr>
          <w:jc w:val="center"/>
        </w:trPr>
        <w:tc>
          <w:tcPr>
            <w:tcW w:w="2310" w:type="dxa"/>
            <w:vMerge/>
            <w:vAlign w:val="center"/>
          </w:tcPr>
          <w:p w:rsidR="00D61A88" w:rsidRPr="00D61A88" w:rsidRDefault="00D61A88" w:rsidP="00BE7565">
            <w:pPr>
              <w:pStyle w:val="naisf"/>
              <w:spacing w:before="0" w:after="0"/>
              <w:ind w:firstLine="0"/>
              <w:rPr>
                <w:b/>
                <w:i/>
              </w:rPr>
            </w:pPr>
          </w:p>
        </w:tc>
        <w:tc>
          <w:tcPr>
            <w:tcW w:w="2563" w:type="dxa"/>
            <w:gridSpan w:val="2"/>
            <w:vMerge/>
            <w:vAlign w:val="center"/>
          </w:tcPr>
          <w:p w:rsidR="00D61A88" w:rsidRPr="00D61A88" w:rsidRDefault="00D61A88" w:rsidP="00BE7565">
            <w:pPr>
              <w:pStyle w:val="naisf"/>
              <w:spacing w:before="0" w:after="0"/>
              <w:ind w:firstLine="0"/>
              <w:rPr>
                <w:b/>
                <w:i/>
              </w:rPr>
            </w:pPr>
          </w:p>
        </w:tc>
        <w:tc>
          <w:tcPr>
            <w:tcW w:w="1333" w:type="dxa"/>
            <w:vAlign w:val="center"/>
          </w:tcPr>
          <w:p w:rsidR="00D61A88" w:rsidRPr="00D61A88" w:rsidRDefault="00D61A88" w:rsidP="00BE7565">
            <w:pPr>
              <w:pStyle w:val="naisf"/>
              <w:spacing w:before="0" w:after="0"/>
              <w:ind w:firstLine="0"/>
              <w:rPr>
                <w:b/>
                <w:i/>
              </w:rPr>
            </w:pPr>
            <w:r w:rsidRPr="00D61A88">
              <w:rPr>
                <w:b/>
                <w:bCs/>
              </w:rPr>
              <w:t>2013</w:t>
            </w:r>
          </w:p>
        </w:tc>
        <w:tc>
          <w:tcPr>
            <w:tcW w:w="1351" w:type="dxa"/>
            <w:vAlign w:val="center"/>
          </w:tcPr>
          <w:p w:rsidR="00D61A88" w:rsidRPr="00D61A88" w:rsidRDefault="00D61A88" w:rsidP="00BE7565">
            <w:pPr>
              <w:pStyle w:val="naisf"/>
              <w:spacing w:before="0" w:after="0"/>
              <w:ind w:firstLine="0"/>
              <w:rPr>
                <w:b/>
                <w:i/>
              </w:rPr>
            </w:pPr>
            <w:r w:rsidRPr="00D61A88">
              <w:rPr>
                <w:b/>
                <w:bCs/>
              </w:rPr>
              <w:t>2014</w:t>
            </w:r>
          </w:p>
        </w:tc>
        <w:tc>
          <w:tcPr>
            <w:tcW w:w="1393" w:type="dxa"/>
            <w:vAlign w:val="center"/>
          </w:tcPr>
          <w:p w:rsidR="00D61A88" w:rsidRPr="00D61A88" w:rsidRDefault="00D61A88" w:rsidP="00BE7565">
            <w:pPr>
              <w:pStyle w:val="naisf"/>
              <w:spacing w:before="0" w:after="0"/>
              <w:ind w:firstLine="0"/>
              <w:rPr>
                <w:b/>
                <w:i/>
              </w:rPr>
            </w:pPr>
            <w:r w:rsidRPr="00D61A88">
              <w:rPr>
                <w:b/>
                <w:bCs/>
              </w:rPr>
              <w:t>2015</w:t>
            </w:r>
          </w:p>
        </w:tc>
      </w:tr>
      <w:tr w:rsidR="00D61A88" w:rsidRPr="00D61A88" w:rsidTr="008C5969">
        <w:trPr>
          <w:jc w:val="center"/>
        </w:trPr>
        <w:tc>
          <w:tcPr>
            <w:tcW w:w="2310" w:type="dxa"/>
            <w:vMerge/>
            <w:vAlign w:val="center"/>
          </w:tcPr>
          <w:p w:rsidR="00D61A88" w:rsidRPr="00D61A88" w:rsidRDefault="00D61A88" w:rsidP="00BE7565">
            <w:pPr>
              <w:pStyle w:val="naisf"/>
              <w:spacing w:before="0" w:after="0"/>
              <w:ind w:firstLine="0"/>
              <w:rPr>
                <w:b/>
                <w:i/>
              </w:rPr>
            </w:pPr>
          </w:p>
        </w:tc>
        <w:tc>
          <w:tcPr>
            <w:tcW w:w="1284" w:type="dxa"/>
            <w:vAlign w:val="center"/>
          </w:tcPr>
          <w:p w:rsidR="00D61A88" w:rsidRPr="00D61A88" w:rsidRDefault="00D61A88" w:rsidP="00BE7565">
            <w:pPr>
              <w:pStyle w:val="naisf"/>
              <w:spacing w:before="0" w:after="0"/>
              <w:rPr>
                <w:b/>
                <w:i/>
              </w:rPr>
            </w:pPr>
            <w:r w:rsidRPr="00D61A88">
              <w:t>Saskaņā ar valsts budžetu kārtējam gadam</w:t>
            </w:r>
          </w:p>
        </w:tc>
        <w:tc>
          <w:tcPr>
            <w:tcW w:w="1279" w:type="dxa"/>
            <w:vAlign w:val="center"/>
          </w:tcPr>
          <w:p w:rsidR="00D61A88" w:rsidRPr="00D61A88" w:rsidRDefault="00D61A88" w:rsidP="00BE7565">
            <w:pPr>
              <w:pStyle w:val="naisf"/>
              <w:spacing w:before="0" w:after="0"/>
              <w:rPr>
                <w:b/>
                <w:i/>
              </w:rPr>
            </w:pPr>
            <w:r w:rsidRPr="00D61A88">
              <w:t>Izmaiņas kārtējā gadā, salīdzinot ar budžetu kārtējam gadam</w:t>
            </w:r>
          </w:p>
        </w:tc>
        <w:tc>
          <w:tcPr>
            <w:tcW w:w="1333" w:type="dxa"/>
            <w:vAlign w:val="center"/>
          </w:tcPr>
          <w:p w:rsidR="00D61A88" w:rsidRPr="00D61A88" w:rsidRDefault="00D61A88" w:rsidP="00BE7565">
            <w:pPr>
              <w:pStyle w:val="naisf"/>
              <w:spacing w:before="0" w:after="0"/>
              <w:rPr>
                <w:b/>
                <w:i/>
              </w:rPr>
            </w:pPr>
            <w:r w:rsidRPr="00D61A88">
              <w:t>Izmaiņas, salīdzinot ar kārtējo gadu</w:t>
            </w:r>
          </w:p>
        </w:tc>
        <w:tc>
          <w:tcPr>
            <w:tcW w:w="1351" w:type="dxa"/>
            <w:vAlign w:val="center"/>
          </w:tcPr>
          <w:p w:rsidR="00D61A88" w:rsidRPr="00D61A88" w:rsidRDefault="00D61A88" w:rsidP="00BE7565">
            <w:pPr>
              <w:pStyle w:val="naisf"/>
              <w:spacing w:before="0" w:after="0"/>
              <w:rPr>
                <w:b/>
                <w:i/>
              </w:rPr>
            </w:pPr>
            <w:r w:rsidRPr="00D61A88">
              <w:t>Izmaiņas, salīdzinot ar kārtējo gadu</w:t>
            </w:r>
          </w:p>
        </w:tc>
        <w:tc>
          <w:tcPr>
            <w:tcW w:w="1393" w:type="dxa"/>
            <w:vAlign w:val="center"/>
          </w:tcPr>
          <w:p w:rsidR="00D61A88" w:rsidRPr="00D61A88" w:rsidRDefault="00D61A88" w:rsidP="00BE7565">
            <w:pPr>
              <w:pStyle w:val="naisf"/>
              <w:spacing w:before="0" w:after="0"/>
              <w:rPr>
                <w:b/>
                <w:i/>
              </w:rPr>
            </w:pPr>
            <w:r w:rsidRPr="00D61A88">
              <w:t>Izmaiņas, salīdzinot ar kārtējo gadu</w:t>
            </w:r>
          </w:p>
        </w:tc>
      </w:tr>
      <w:tr w:rsidR="00D61A88" w:rsidRPr="00D61A88" w:rsidTr="008C5969">
        <w:trPr>
          <w:jc w:val="center"/>
        </w:trPr>
        <w:tc>
          <w:tcPr>
            <w:tcW w:w="2310" w:type="dxa"/>
            <w:vAlign w:val="center"/>
          </w:tcPr>
          <w:p w:rsidR="00D61A88" w:rsidRPr="00D61A88" w:rsidRDefault="00D61A88" w:rsidP="00BE7565">
            <w:pPr>
              <w:pStyle w:val="naisf"/>
              <w:spacing w:before="0" w:after="0"/>
              <w:ind w:firstLine="0"/>
              <w:rPr>
                <w:bCs/>
              </w:rPr>
            </w:pPr>
            <w:r w:rsidRPr="00D61A88">
              <w:rPr>
                <w:bCs/>
              </w:rPr>
              <w:t>1</w:t>
            </w:r>
          </w:p>
        </w:tc>
        <w:tc>
          <w:tcPr>
            <w:tcW w:w="1284" w:type="dxa"/>
            <w:vAlign w:val="center"/>
          </w:tcPr>
          <w:p w:rsidR="00D61A88" w:rsidRPr="00D61A88" w:rsidRDefault="00D61A88" w:rsidP="00BE7565">
            <w:pPr>
              <w:pStyle w:val="naisf"/>
              <w:spacing w:before="0" w:after="0"/>
              <w:rPr>
                <w:bCs/>
              </w:rPr>
            </w:pPr>
            <w:r w:rsidRPr="00D61A88">
              <w:rPr>
                <w:bCs/>
              </w:rPr>
              <w:t>2</w:t>
            </w:r>
          </w:p>
        </w:tc>
        <w:tc>
          <w:tcPr>
            <w:tcW w:w="1279" w:type="dxa"/>
            <w:vAlign w:val="center"/>
          </w:tcPr>
          <w:p w:rsidR="00D61A88" w:rsidRPr="00D61A88" w:rsidRDefault="00D61A88" w:rsidP="00BE7565">
            <w:pPr>
              <w:pStyle w:val="naisf"/>
              <w:spacing w:before="0" w:after="0"/>
              <w:rPr>
                <w:bCs/>
              </w:rPr>
            </w:pPr>
            <w:r w:rsidRPr="00D61A88">
              <w:rPr>
                <w:bCs/>
              </w:rPr>
              <w:t>3</w:t>
            </w:r>
          </w:p>
        </w:tc>
        <w:tc>
          <w:tcPr>
            <w:tcW w:w="1333" w:type="dxa"/>
            <w:vAlign w:val="center"/>
          </w:tcPr>
          <w:p w:rsidR="00D61A88" w:rsidRPr="00D61A88" w:rsidRDefault="00D61A88" w:rsidP="00BE7565">
            <w:pPr>
              <w:pStyle w:val="naisf"/>
              <w:spacing w:before="0" w:after="0"/>
              <w:rPr>
                <w:bCs/>
              </w:rPr>
            </w:pPr>
            <w:r w:rsidRPr="00D61A88">
              <w:rPr>
                <w:bCs/>
              </w:rPr>
              <w:t>4</w:t>
            </w:r>
          </w:p>
        </w:tc>
        <w:tc>
          <w:tcPr>
            <w:tcW w:w="1351" w:type="dxa"/>
            <w:vAlign w:val="center"/>
          </w:tcPr>
          <w:p w:rsidR="00D61A88" w:rsidRPr="00D61A88" w:rsidRDefault="00D61A88" w:rsidP="00BE7565">
            <w:pPr>
              <w:pStyle w:val="naisf"/>
              <w:spacing w:before="0" w:after="0"/>
              <w:rPr>
                <w:bCs/>
              </w:rPr>
            </w:pPr>
            <w:r w:rsidRPr="00D61A88">
              <w:rPr>
                <w:bCs/>
              </w:rPr>
              <w:t>5</w:t>
            </w:r>
          </w:p>
        </w:tc>
        <w:tc>
          <w:tcPr>
            <w:tcW w:w="1393" w:type="dxa"/>
            <w:vAlign w:val="center"/>
          </w:tcPr>
          <w:p w:rsidR="00D61A88" w:rsidRPr="00D61A88" w:rsidRDefault="00D61A88" w:rsidP="00FE5BA3">
            <w:pPr>
              <w:pStyle w:val="naisf"/>
              <w:spacing w:before="0" w:after="0"/>
              <w:ind w:firstLine="357"/>
              <w:rPr>
                <w:bCs/>
              </w:rPr>
            </w:pPr>
            <w:r w:rsidRPr="00D61A88">
              <w:rPr>
                <w:bCs/>
              </w:rPr>
              <w:t>6</w:t>
            </w:r>
          </w:p>
        </w:tc>
      </w:tr>
      <w:tr w:rsidR="00D61A88" w:rsidRPr="00D61A88" w:rsidTr="008C5969">
        <w:trPr>
          <w:jc w:val="center"/>
        </w:trPr>
        <w:tc>
          <w:tcPr>
            <w:tcW w:w="2310" w:type="dxa"/>
          </w:tcPr>
          <w:p w:rsidR="00D61A88" w:rsidRPr="00D61A88" w:rsidRDefault="00D61A88" w:rsidP="00BE7565">
            <w:pPr>
              <w:pStyle w:val="naisf"/>
              <w:spacing w:before="0" w:after="0"/>
              <w:rPr>
                <w:i/>
              </w:rPr>
            </w:pPr>
            <w:r w:rsidRPr="00D61A88">
              <w:t>1. Budžeta ieņēmumi:</w:t>
            </w:r>
          </w:p>
        </w:tc>
        <w:tc>
          <w:tcPr>
            <w:tcW w:w="1284" w:type="dxa"/>
          </w:tcPr>
          <w:p w:rsidR="00D61A88" w:rsidRPr="00D61A88" w:rsidRDefault="00D61A88" w:rsidP="00BE7565">
            <w:pPr>
              <w:pStyle w:val="naisf"/>
              <w:spacing w:before="0" w:after="0"/>
            </w:pPr>
            <w:r w:rsidRPr="00D61A88">
              <w:t>9557,0</w:t>
            </w:r>
          </w:p>
        </w:tc>
        <w:tc>
          <w:tcPr>
            <w:tcW w:w="1279" w:type="dxa"/>
          </w:tcPr>
          <w:p w:rsidR="00D61A88" w:rsidRPr="00D61A88" w:rsidRDefault="00D61A88" w:rsidP="00BE7565">
            <w:pPr>
              <w:pStyle w:val="naisf"/>
              <w:spacing w:before="0" w:after="0"/>
            </w:pPr>
            <w:r w:rsidRPr="00D61A88">
              <w:t>0</w:t>
            </w:r>
          </w:p>
        </w:tc>
        <w:tc>
          <w:tcPr>
            <w:tcW w:w="1333" w:type="dxa"/>
          </w:tcPr>
          <w:p w:rsidR="00D61A88" w:rsidRPr="00D61A88" w:rsidRDefault="00D61A88" w:rsidP="00BE7565">
            <w:pPr>
              <w:pStyle w:val="naisf"/>
              <w:spacing w:before="0" w:after="0"/>
            </w:pPr>
            <w:r w:rsidRPr="00D61A88">
              <w:t>0</w:t>
            </w:r>
          </w:p>
        </w:tc>
        <w:tc>
          <w:tcPr>
            <w:tcW w:w="1351" w:type="dxa"/>
          </w:tcPr>
          <w:p w:rsidR="00D61A88" w:rsidRPr="00D61A88" w:rsidRDefault="00D61A88" w:rsidP="00BE7565">
            <w:pPr>
              <w:pStyle w:val="naisf"/>
              <w:spacing w:before="0" w:after="0"/>
            </w:pPr>
            <w:r w:rsidRPr="00D61A88">
              <w:t>0</w:t>
            </w:r>
          </w:p>
        </w:tc>
        <w:tc>
          <w:tcPr>
            <w:tcW w:w="1393" w:type="dxa"/>
          </w:tcPr>
          <w:p w:rsidR="00D61A88" w:rsidRPr="00D61A88" w:rsidRDefault="00D61A88" w:rsidP="00BE7565">
            <w:pPr>
              <w:pStyle w:val="naisf"/>
              <w:spacing w:before="0" w:after="0"/>
            </w:pPr>
            <w:r w:rsidRPr="00D61A88">
              <w:t>0</w:t>
            </w:r>
          </w:p>
        </w:tc>
      </w:tr>
      <w:tr w:rsidR="00D61A88" w:rsidRPr="00D61A88" w:rsidTr="008C5969">
        <w:trPr>
          <w:jc w:val="center"/>
        </w:trPr>
        <w:tc>
          <w:tcPr>
            <w:tcW w:w="2310" w:type="dxa"/>
          </w:tcPr>
          <w:p w:rsidR="00D61A88" w:rsidRPr="00D61A88" w:rsidRDefault="00D61A88" w:rsidP="00BE7565">
            <w:pPr>
              <w:pStyle w:val="naisf"/>
              <w:spacing w:before="0" w:after="0"/>
              <w:rPr>
                <w:i/>
              </w:rPr>
            </w:pPr>
            <w:r w:rsidRPr="00D61A88">
              <w:t>1.1. valsts pamatbudžets, tai skaitā ieņēmumi no maksas pakalpojumiem un citi pašu ieņēmumi</w:t>
            </w:r>
          </w:p>
        </w:tc>
        <w:tc>
          <w:tcPr>
            <w:tcW w:w="1284" w:type="dxa"/>
          </w:tcPr>
          <w:p w:rsidR="00D61A88" w:rsidRPr="00D61A88" w:rsidRDefault="00D61A88" w:rsidP="00BE7565">
            <w:pPr>
              <w:pStyle w:val="naisf"/>
              <w:spacing w:before="0" w:after="0"/>
            </w:pPr>
            <w:r w:rsidRPr="00D61A88">
              <w:t>9557,0</w:t>
            </w:r>
          </w:p>
        </w:tc>
        <w:tc>
          <w:tcPr>
            <w:tcW w:w="1279" w:type="dxa"/>
          </w:tcPr>
          <w:p w:rsidR="00D61A88" w:rsidRPr="00D61A88" w:rsidRDefault="00D61A88" w:rsidP="00BE7565">
            <w:pPr>
              <w:pStyle w:val="naisf"/>
              <w:spacing w:before="0" w:after="0"/>
            </w:pPr>
            <w:r w:rsidRPr="00D61A88">
              <w:t>0</w:t>
            </w:r>
          </w:p>
        </w:tc>
        <w:tc>
          <w:tcPr>
            <w:tcW w:w="1333" w:type="dxa"/>
          </w:tcPr>
          <w:p w:rsidR="00D61A88" w:rsidRPr="00D61A88" w:rsidRDefault="00D61A88" w:rsidP="00BE7565">
            <w:pPr>
              <w:pStyle w:val="naisf"/>
              <w:spacing w:before="0" w:after="0"/>
            </w:pPr>
            <w:r w:rsidRPr="00D61A88">
              <w:t>0</w:t>
            </w:r>
          </w:p>
        </w:tc>
        <w:tc>
          <w:tcPr>
            <w:tcW w:w="1351" w:type="dxa"/>
          </w:tcPr>
          <w:p w:rsidR="00D61A88" w:rsidRPr="00D61A88" w:rsidRDefault="00D61A88" w:rsidP="00BE7565">
            <w:pPr>
              <w:pStyle w:val="naisf"/>
              <w:spacing w:before="0" w:after="0"/>
            </w:pPr>
            <w:r w:rsidRPr="00D61A88">
              <w:t>0</w:t>
            </w:r>
          </w:p>
        </w:tc>
        <w:tc>
          <w:tcPr>
            <w:tcW w:w="1393" w:type="dxa"/>
          </w:tcPr>
          <w:p w:rsidR="00D61A88" w:rsidRPr="00D61A88" w:rsidRDefault="00D61A88" w:rsidP="00BE7565">
            <w:pPr>
              <w:pStyle w:val="naisf"/>
              <w:spacing w:before="0" w:after="0"/>
            </w:pPr>
            <w:r w:rsidRPr="00D61A88">
              <w:t>0</w:t>
            </w:r>
          </w:p>
        </w:tc>
      </w:tr>
      <w:tr w:rsidR="00D61A88" w:rsidRPr="00D61A88" w:rsidTr="008C5969">
        <w:trPr>
          <w:jc w:val="center"/>
        </w:trPr>
        <w:tc>
          <w:tcPr>
            <w:tcW w:w="2310" w:type="dxa"/>
          </w:tcPr>
          <w:p w:rsidR="00D61A88" w:rsidRPr="00D61A88" w:rsidRDefault="00D61A88" w:rsidP="00BE7565">
            <w:pPr>
              <w:pStyle w:val="naisf"/>
              <w:spacing w:before="0" w:after="0"/>
              <w:rPr>
                <w:i/>
              </w:rPr>
            </w:pPr>
            <w:r w:rsidRPr="00D61A88">
              <w:t>1.2. valsts speciālais budžets</w:t>
            </w:r>
          </w:p>
        </w:tc>
        <w:tc>
          <w:tcPr>
            <w:tcW w:w="1284" w:type="dxa"/>
          </w:tcPr>
          <w:p w:rsidR="00D61A88" w:rsidRPr="00D61A88" w:rsidRDefault="00D61A88" w:rsidP="00BE7565">
            <w:pPr>
              <w:pStyle w:val="naisf"/>
              <w:spacing w:before="0" w:after="0"/>
            </w:pPr>
          </w:p>
        </w:tc>
        <w:tc>
          <w:tcPr>
            <w:tcW w:w="1279" w:type="dxa"/>
          </w:tcPr>
          <w:p w:rsidR="00D61A88" w:rsidRPr="00D61A88" w:rsidRDefault="00D61A88" w:rsidP="00BE7565">
            <w:pPr>
              <w:pStyle w:val="naisf"/>
              <w:spacing w:before="0" w:after="0"/>
            </w:pPr>
          </w:p>
        </w:tc>
        <w:tc>
          <w:tcPr>
            <w:tcW w:w="1333" w:type="dxa"/>
          </w:tcPr>
          <w:p w:rsidR="00D61A88" w:rsidRPr="00D61A88" w:rsidRDefault="00D61A88" w:rsidP="00BE7565">
            <w:pPr>
              <w:pStyle w:val="naisf"/>
              <w:spacing w:before="0" w:after="0"/>
              <w:rPr>
                <w:b/>
                <w:i/>
              </w:rPr>
            </w:pPr>
          </w:p>
        </w:tc>
        <w:tc>
          <w:tcPr>
            <w:tcW w:w="1351" w:type="dxa"/>
          </w:tcPr>
          <w:p w:rsidR="00D61A88" w:rsidRPr="00D61A88" w:rsidRDefault="00D61A88" w:rsidP="00BE7565">
            <w:pPr>
              <w:pStyle w:val="naisf"/>
              <w:spacing w:before="0" w:after="0"/>
              <w:rPr>
                <w:b/>
                <w:i/>
              </w:rPr>
            </w:pPr>
          </w:p>
        </w:tc>
        <w:tc>
          <w:tcPr>
            <w:tcW w:w="1393" w:type="dxa"/>
          </w:tcPr>
          <w:p w:rsidR="00D61A88" w:rsidRPr="00D61A88" w:rsidRDefault="00D61A88" w:rsidP="00BE7565">
            <w:pPr>
              <w:pStyle w:val="naisf"/>
              <w:spacing w:before="0" w:after="0"/>
              <w:ind w:firstLine="0"/>
              <w:rPr>
                <w:b/>
                <w:i/>
              </w:rPr>
            </w:pPr>
          </w:p>
        </w:tc>
      </w:tr>
      <w:tr w:rsidR="00D61A88" w:rsidRPr="00D61A88" w:rsidTr="008C5969">
        <w:trPr>
          <w:jc w:val="center"/>
        </w:trPr>
        <w:tc>
          <w:tcPr>
            <w:tcW w:w="2310" w:type="dxa"/>
          </w:tcPr>
          <w:p w:rsidR="00D61A88" w:rsidRPr="00D61A88" w:rsidRDefault="00D61A88" w:rsidP="00BE7565">
            <w:pPr>
              <w:pStyle w:val="naisf"/>
              <w:spacing w:before="0" w:after="0"/>
              <w:rPr>
                <w:i/>
              </w:rPr>
            </w:pPr>
            <w:r w:rsidRPr="00D61A88">
              <w:t>1.3. pašvaldību budžets</w:t>
            </w:r>
          </w:p>
        </w:tc>
        <w:tc>
          <w:tcPr>
            <w:tcW w:w="1284" w:type="dxa"/>
          </w:tcPr>
          <w:p w:rsidR="00D61A88" w:rsidRPr="00D61A88" w:rsidRDefault="00D61A88" w:rsidP="00BE7565">
            <w:pPr>
              <w:pStyle w:val="naisf"/>
              <w:spacing w:before="0" w:after="0"/>
            </w:pPr>
          </w:p>
        </w:tc>
        <w:tc>
          <w:tcPr>
            <w:tcW w:w="1279" w:type="dxa"/>
          </w:tcPr>
          <w:p w:rsidR="00D61A88" w:rsidRPr="00D61A88" w:rsidRDefault="00D61A88" w:rsidP="00BE7565">
            <w:pPr>
              <w:pStyle w:val="naisf"/>
              <w:spacing w:before="0" w:after="0"/>
            </w:pPr>
          </w:p>
        </w:tc>
        <w:tc>
          <w:tcPr>
            <w:tcW w:w="1333" w:type="dxa"/>
          </w:tcPr>
          <w:p w:rsidR="00D61A88" w:rsidRPr="00D61A88" w:rsidRDefault="00D61A88" w:rsidP="00BE7565">
            <w:pPr>
              <w:pStyle w:val="naisf"/>
              <w:spacing w:before="0" w:after="0"/>
              <w:rPr>
                <w:b/>
                <w:i/>
              </w:rPr>
            </w:pPr>
          </w:p>
        </w:tc>
        <w:tc>
          <w:tcPr>
            <w:tcW w:w="1351" w:type="dxa"/>
          </w:tcPr>
          <w:p w:rsidR="00D61A88" w:rsidRPr="00D61A88" w:rsidRDefault="00D61A88" w:rsidP="00BE7565">
            <w:pPr>
              <w:pStyle w:val="naisf"/>
              <w:spacing w:before="0" w:after="0"/>
              <w:rPr>
                <w:b/>
                <w:i/>
              </w:rPr>
            </w:pPr>
          </w:p>
        </w:tc>
        <w:tc>
          <w:tcPr>
            <w:tcW w:w="1393" w:type="dxa"/>
          </w:tcPr>
          <w:p w:rsidR="00D61A88" w:rsidRPr="00D61A88" w:rsidRDefault="00D61A88" w:rsidP="00BE7565">
            <w:pPr>
              <w:pStyle w:val="naisf"/>
              <w:spacing w:before="0" w:after="0"/>
              <w:ind w:firstLine="0"/>
              <w:rPr>
                <w:b/>
                <w:i/>
              </w:rPr>
            </w:pPr>
          </w:p>
        </w:tc>
      </w:tr>
      <w:tr w:rsidR="00D61A88" w:rsidRPr="00D61A88" w:rsidTr="008C5969">
        <w:trPr>
          <w:jc w:val="center"/>
        </w:trPr>
        <w:tc>
          <w:tcPr>
            <w:tcW w:w="2310" w:type="dxa"/>
          </w:tcPr>
          <w:p w:rsidR="00D61A88" w:rsidRPr="00D61A88" w:rsidRDefault="00D61A88" w:rsidP="00BE7565">
            <w:pPr>
              <w:pStyle w:val="naisf"/>
              <w:spacing w:before="0" w:after="0"/>
            </w:pPr>
            <w:r w:rsidRPr="00D61A88">
              <w:t xml:space="preserve">2. Budžeta </w:t>
            </w:r>
            <w:r w:rsidRPr="00D61A88">
              <w:lastRenderedPageBreak/>
              <w:t>izdevumi:</w:t>
            </w:r>
          </w:p>
        </w:tc>
        <w:tc>
          <w:tcPr>
            <w:tcW w:w="1284" w:type="dxa"/>
          </w:tcPr>
          <w:p w:rsidR="00D61A88" w:rsidRPr="00D61A88" w:rsidRDefault="00D61A88" w:rsidP="00BE7565">
            <w:pPr>
              <w:pStyle w:val="naisf"/>
              <w:spacing w:before="0" w:after="0"/>
            </w:pPr>
            <w:r w:rsidRPr="00D61A88">
              <w:lastRenderedPageBreak/>
              <w:t>9557,0</w:t>
            </w:r>
          </w:p>
        </w:tc>
        <w:tc>
          <w:tcPr>
            <w:tcW w:w="1279" w:type="dxa"/>
          </w:tcPr>
          <w:p w:rsidR="00D61A88" w:rsidRPr="00D61A88" w:rsidRDefault="00D61A88" w:rsidP="00BE7565">
            <w:pPr>
              <w:pStyle w:val="naisf"/>
              <w:spacing w:before="0" w:after="0"/>
            </w:pPr>
            <w:r w:rsidRPr="00D61A88">
              <w:t>246,3</w:t>
            </w:r>
          </w:p>
        </w:tc>
        <w:tc>
          <w:tcPr>
            <w:tcW w:w="1333" w:type="dxa"/>
          </w:tcPr>
          <w:p w:rsidR="00D61A88" w:rsidRPr="00D61A88" w:rsidRDefault="00D61A88" w:rsidP="00BE7565">
            <w:pPr>
              <w:pStyle w:val="naisf"/>
              <w:spacing w:before="0" w:after="0"/>
            </w:pPr>
            <w:r w:rsidRPr="00D61A88">
              <w:t>2626,4</w:t>
            </w:r>
          </w:p>
        </w:tc>
        <w:tc>
          <w:tcPr>
            <w:tcW w:w="1351" w:type="dxa"/>
          </w:tcPr>
          <w:p w:rsidR="00D61A88" w:rsidRPr="00D61A88" w:rsidRDefault="00D61A88" w:rsidP="00BE7565">
            <w:pPr>
              <w:pStyle w:val="naisf"/>
              <w:spacing w:before="0" w:after="0"/>
            </w:pPr>
            <w:r w:rsidRPr="00D61A88">
              <w:t>4349,4</w:t>
            </w:r>
          </w:p>
        </w:tc>
        <w:tc>
          <w:tcPr>
            <w:tcW w:w="1393" w:type="dxa"/>
          </w:tcPr>
          <w:p w:rsidR="00D61A88" w:rsidRPr="00D61A88" w:rsidRDefault="00D61A88" w:rsidP="00BE7565">
            <w:pPr>
              <w:pStyle w:val="naisf"/>
              <w:spacing w:before="0" w:after="0"/>
            </w:pPr>
            <w:r w:rsidRPr="00D61A88">
              <w:t>6694,5</w:t>
            </w:r>
          </w:p>
        </w:tc>
      </w:tr>
      <w:tr w:rsidR="00D61A88" w:rsidRPr="00D61A88" w:rsidTr="008C5969">
        <w:trPr>
          <w:jc w:val="center"/>
        </w:trPr>
        <w:tc>
          <w:tcPr>
            <w:tcW w:w="2310" w:type="dxa"/>
          </w:tcPr>
          <w:p w:rsidR="00D61A88" w:rsidRPr="00D61A88" w:rsidRDefault="00D61A88" w:rsidP="00BE7565">
            <w:pPr>
              <w:pStyle w:val="naisf"/>
              <w:spacing w:before="0" w:after="0"/>
            </w:pPr>
            <w:r w:rsidRPr="00D61A88">
              <w:lastRenderedPageBreak/>
              <w:t>2.1. valsts pamatbudžets</w:t>
            </w:r>
          </w:p>
        </w:tc>
        <w:tc>
          <w:tcPr>
            <w:tcW w:w="1284" w:type="dxa"/>
          </w:tcPr>
          <w:p w:rsidR="00D61A88" w:rsidRPr="00D61A88" w:rsidRDefault="00D61A88" w:rsidP="00BE7565">
            <w:pPr>
              <w:pStyle w:val="naisf"/>
              <w:spacing w:before="0" w:after="0"/>
            </w:pPr>
            <w:r w:rsidRPr="00D61A88">
              <w:t>9557,0</w:t>
            </w:r>
          </w:p>
        </w:tc>
        <w:tc>
          <w:tcPr>
            <w:tcW w:w="1279" w:type="dxa"/>
          </w:tcPr>
          <w:p w:rsidR="00D61A88" w:rsidRPr="00D61A88" w:rsidRDefault="00D61A88" w:rsidP="00BE7565">
            <w:pPr>
              <w:pStyle w:val="naisf"/>
              <w:spacing w:before="0" w:after="0"/>
            </w:pPr>
            <w:r w:rsidRPr="00D61A88">
              <w:t>246,3</w:t>
            </w:r>
          </w:p>
        </w:tc>
        <w:tc>
          <w:tcPr>
            <w:tcW w:w="1333" w:type="dxa"/>
          </w:tcPr>
          <w:p w:rsidR="00D61A88" w:rsidRPr="00D61A88" w:rsidRDefault="00D61A88" w:rsidP="00BE7565">
            <w:pPr>
              <w:pStyle w:val="naisf"/>
              <w:spacing w:before="0" w:after="0"/>
            </w:pPr>
            <w:r w:rsidRPr="00D61A88">
              <w:t>2626,4</w:t>
            </w:r>
          </w:p>
        </w:tc>
        <w:tc>
          <w:tcPr>
            <w:tcW w:w="1351" w:type="dxa"/>
          </w:tcPr>
          <w:p w:rsidR="00D61A88" w:rsidRPr="00D61A88" w:rsidRDefault="00D61A88" w:rsidP="00BE7565">
            <w:pPr>
              <w:pStyle w:val="naisf"/>
              <w:spacing w:before="0" w:after="0"/>
              <w:rPr>
                <w:b/>
                <w:i/>
              </w:rPr>
            </w:pPr>
            <w:r w:rsidRPr="00D61A88">
              <w:t>4349,4</w:t>
            </w:r>
          </w:p>
        </w:tc>
        <w:tc>
          <w:tcPr>
            <w:tcW w:w="1393" w:type="dxa"/>
          </w:tcPr>
          <w:p w:rsidR="00D61A88" w:rsidRPr="00D61A88" w:rsidRDefault="00D61A88" w:rsidP="00BE7565">
            <w:pPr>
              <w:pStyle w:val="naisf"/>
              <w:spacing w:before="0" w:after="0"/>
            </w:pPr>
            <w:r w:rsidRPr="00D61A88">
              <w:t>6694,5</w:t>
            </w:r>
          </w:p>
        </w:tc>
      </w:tr>
      <w:tr w:rsidR="00D61A88" w:rsidRPr="00D61A88" w:rsidTr="008C5969">
        <w:trPr>
          <w:jc w:val="center"/>
        </w:trPr>
        <w:tc>
          <w:tcPr>
            <w:tcW w:w="2310" w:type="dxa"/>
          </w:tcPr>
          <w:p w:rsidR="00D61A88" w:rsidRPr="00D61A88" w:rsidRDefault="00D61A88" w:rsidP="00BE7565">
            <w:pPr>
              <w:pStyle w:val="naisf"/>
              <w:spacing w:before="0" w:after="0"/>
            </w:pPr>
            <w:r w:rsidRPr="00D61A88">
              <w:t>2.2. valsts speciālais budžets</w:t>
            </w:r>
          </w:p>
        </w:tc>
        <w:tc>
          <w:tcPr>
            <w:tcW w:w="1284" w:type="dxa"/>
          </w:tcPr>
          <w:p w:rsidR="00D61A88" w:rsidRPr="00D61A88" w:rsidRDefault="00D61A88" w:rsidP="00BE7565">
            <w:pPr>
              <w:pStyle w:val="naisf"/>
              <w:spacing w:before="0" w:after="0"/>
              <w:ind w:firstLine="0"/>
            </w:pPr>
          </w:p>
        </w:tc>
        <w:tc>
          <w:tcPr>
            <w:tcW w:w="1279" w:type="dxa"/>
          </w:tcPr>
          <w:p w:rsidR="00D61A88" w:rsidRPr="00D61A88" w:rsidRDefault="00D61A88" w:rsidP="00BE7565">
            <w:pPr>
              <w:pStyle w:val="naisf"/>
              <w:spacing w:before="0" w:after="0"/>
            </w:pPr>
          </w:p>
        </w:tc>
        <w:tc>
          <w:tcPr>
            <w:tcW w:w="1333" w:type="dxa"/>
          </w:tcPr>
          <w:p w:rsidR="00D61A88" w:rsidRPr="00D61A88" w:rsidRDefault="00D61A88" w:rsidP="00BE7565">
            <w:pPr>
              <w:pStyle w:val="naisf"/>
              <w:spacing w:before="0" w:after="0"/>
            </w:pPr>
          </w:p>
        </w:tc>
        <w:tc>
          <w:tcPr>
            <w:tcW w:w="1351" w:type="dxa"/>
          </w:tcPr>
          <w:p w:rsidR="00D61A88" w:rsidRPr="00D61A88" w:rsidRDefault="00D61A88" w:rsidP="00BE7565">
            <w:pPr>
              <w:pStyle w:val="naisf"/>
              <w:spacing w:before="0" w:after="0"/>
              <w:rPr>
                <w:b/>
                <w:i/>
              </w:rPr>
            </w:pPr>
          </w:p>
        </w:tc>
        <w:tc>
          <w:tcPr>
            <w:tcW w:w="1393" w:type="dxa"/>
          </w:tcPr>
          <w:p w:rsidR="00D61A88" w:rsidRPr="00D61A88" w:rsidRDefault="00D61A88" w:rsidP="00BE7565">
            <w:pPr>
              <w:pStyle w:val="naisf"/>
              <w:spacing w:before="0" w:after="0"/>
              <w:ind w:firstLine="0"/>
              <w:rPr>
                <w:b/>
                <w:i/>
              </w:rPr>
            </w:pPr>
          </w:p>
        </w:tc>
      </w:tr>
      <w:tr w:rsidR="00D61A88" w:rsidRPr="00D61A88" w:rsidTr="008C5969">
        <w:trPr>
          <w:jc w:val="center"/>
        </w:trPr>
        <w:tc>
          <w:tcPr>
            <w:tcW w:w="2310" w:type="dxa"/>
          </w:tcPr>
          <w:p w:rsidR="00D61A88" w:rsidRPr="00D61A88" w:rsidRDefault="00D61A88" w:rsidP="00BE7565">
            <w:pPr>
              <w:pStyle w:val="naisf"/>
              <w:spacing w:before="0" w:after="0"/>
            </w:pPr>
            <w:r w:rsidRPr="00D61A88">
              <w:t xml:space="preserve">2.3. pašvaldību budžets </w:t>
            </w:r>
          </w:p>
        </w:tc>
        <w:tc>
          <w:tcPr>
            <w:tcW w:w="1284" w:type="dxa"/>
          </w:tcPr>
          <w:p w:rsidR="00D61A88" w:rsidRPr="00D61A88" w:rsidRDefault="00D61A88" w:rsidP="00BE7565">
            <w:pPr>
              <w:pStyle w:val="naisf"/>
              <w:spacing w:before="0" w:after="0"/>
              <w:ind w:firstLine="0"/>
            </w:pPr>
          </w:p>
        </w:tc>
        <w:tc>
          <w:tcPr>
            <w:tcW w:w="1279" w:type="dxa"/>
          </w:tcPr>
          <w:p w:rsidR="00D61A88" w:rsidRPr="00D61A88" w:rsidRDefault="00D61A88" w:rsidP="00BE7565">
            <w:pPr>
              <w:pStyle w:val="naisf"/>
              <w:spacing w:before="0" w:after="0"/>
            </w:pPr>
          </w:p>
        </w:tc>
        <w:tc>
          <w:tcPr>
            <w:tcW w:w="1333" w:type="dxa"/>
          </w:tcPr>
          <w:p w:rsidR="00D61A88" w:rsidRPr="00D61A88" w:rsidRDefault="00D61A88" w:rsidP="00BE7565">
            <w:pPr>
              <w:pStyle w:val="naisf"/>
              <w:spacing w:before="0" w:after="0"/>
            </w:pPr>
          </w:p>
        </w:tc>
        <w:tc>
          <w:tcPr>
            <w:tcW w:w="1351" w:type="dxa"/>
          </w:tcPr>
          <w:p w:rsidR="00D61A88" w:rsidRPr="00D61A88" w:rsidRDefault="00D61A88" w:rsidP="00BE7565">
            <w:pPr>
              <w:pStyle w:val="naisf"/>
              <w:spacing w:before="0" w:after="0"/>
              <w:rPr>
                <w:b/>
                <w:i/>
              </w:rPr>
            </w:pPr>
          </w:p>
        </w:tc>
        <w:tc>
          <w:tcPr>
            <w:tcW w:w="1393" w:type="dxa"/>
          </w:tcPr>
          <w:p w:rsidR="00D61A88" w:rsidRPr="00D61A88" w:rsidRDefault="00D61A88" w:rsidP="00BE7565">
            <w:pPr>
              <w:pStyle w:val="naisf"/>
              <w:spacing w:before="0" w:after="0"/>
              <w:ind w:firstLine="0"/>
              <w:rPr>
                <w:b/>
                <w:i/>
              </w:rPr>
            </w:pPr>
          </w:p>
        </w:tc>
      </w:tr>
      <w:tr w:rsidR="00D61A88" w:rsidRPr="00D61A88" w:rsidTr="008C5969">
        <w:trPr>
          <w:jc w:val="center"/>
        </w:trPr>
        <w:tc>
          <w:tcPr>
            <w:tcW w:w="2310" w:type="dxa"/>
          </w:tcPr>
          <w:p w:rsidR="00D61A88" w:rsidRPr="00D61A88" w:rsidRDefault="00D61A88" w:rsidP="00BE7565">
            <w:pPr>
              <w:pStyle w:val="naisf"/>
              <w:spacing w:before="0" w:after="0"/>
            </w:pPr>
            <w:r w:rsidRPr="00D61A88">
              <w:t>3. Finansiālā ietekme:</w:t>
            </w:r>
          </w:p>
        </w:tc>
        <w:tc>
          <w:tcPr>
            <w:tcW w:w="1284" w:type="dxa"/>
            <w:shd w:val="clear" w:color="auto" w:fill="auto"/>
            <w:vAlign w:val="center"/>
          </w:tcPr>
          <w:p w:rsidR="00D61A88" w:rsidRPr="00D61A88" w:rsidRDefault="00D61A88" w:rsidP="00BE7565">
            <w:pPr>
              <w:pStyle w:val="naisf"/>
              <w:spacing w:before="0" w:after="0"/>
            </w:pPr>
            <w:r w:rsidRPr="00D61A88">
              <w:t>0</w:t>
            </w:r>
          </w:p>
        </w:tc>
        <w:tc>
          <w:tcPr>
            <w:tcW w:w="1279" w:type="dxa"/>
          </w:tcPr>
          <w:p w:rsidR="00D61A88" w:rsidRPr="00D61A88" w:rsidRDefault="00D61A88" w:rsidP="00BE7565">
            <w:pPr>
              <w:pStyle w:val="naisf"/>
              <w:spacing w:before="0" w:after="0"/>
            </w:pPr>
            <w:r w:rsidRPr="00D61A88">
              <w:t>-246,3</w:t>
            </w:r>
          </w:p>
        </w:tc>
        <w:tc>
          <w:tcPr>
            <w:tcW w:w="1333" w:type="dxa"/>
          </w:tcPr>
          <w:p w:rsidR="00D61A88" w:rsidRPr="00D61A88" w:rsidRDefault="00D61A88" w:rsidP="00BE7565">
            <w:pPr>
              <w:pStyle w:val="naisf"/>
              <w:spacing w:before="0" w:after="0"/>
            </w:pPr>
            <w:r w:rsidRPr="00D61A88">
              <w:t>-2626,4</w:t>
            </w:r>
          </w:p>
        </w:tc>
        <w:tc>
          <w:tcPr>
            <w:tcW w:w="1351" w:type="dxa"/>
          </w:tcPr>
          <w:p w:rsidR="00D61A88" w:rsidRPr="00D61A88" w:rsidRDefault="00D61A88" w:rsidP="00BE7565">
            <w:pPr>
              <w:pStyle w:val="naisf"/>
              <w:spacing w:before="0" w:after="0"/>
            </w:pPr>
            <w:r w:rsidRPr="00D61A88">
              <w:t>-4349,4</w:t>
            </w:r>
          </w:p>
        </w:tc>
        <w:tc>
          <w:tcPr>
            <w:tcW w:w="1393" w:type="dxa"/>
          </w:tcPr>
          <w:p w:rsidR="00D61A88" w:rsidRPr="00D61A88" w:rsidRDefault="00D61A88" w:rsidP="00BE7565">
            <w:pPr>
              <w:pStyle w:val="naisf"/>
              <w:spacing w:before="0" w:after="0"/>
            </w:pPr>
            <w:r w:rsidRPr="00D61A88">
              <w:t>-6694,5</w:t>
            </w:r>
          </w:p>
        </w:tc>
      </w:tr>
      <w:tr w:rsidR="00D61A88" w:rsidRPr="00D61A88" w:rsidTr="008C5969">
        <w:trPr>
          <w:jc w:val="center"/>
        </w:trPr>
        <w:tc>
          <w:tcPr>
            <w:tcW w:w="2310" w:type="dxa"/>
          </w:tcPr>
          <w:p w:rsidR="00D61A88" w:rsidRPr="00D61A88" w:rsidRDefault="00D61A88" w:rsidP="00BE7565">
            <w:pPr>
              <w:pStyle w:val="naisf"/>
              <w:spacing w:before="0" w:after="0"/>
            </w:pPr>
            <w:r w:rsidRPr="00D61A88">
              <w:t>3.1. valsts pamatbudžets</w:t>
            </w:r>
          </w:p>
        </w:tc>
        <w:tc>
          <w:tcPr>
            <w:tcW w:w="1284" w:type="dxa"/>
            <w:shd w:val="clear" w:color="auto" w:fill="auto"/>
          </w:tcPr>
          <w:p w:rsidR="00D61A88" w:rsidRPr="00D61A88" w:rsidRDefault="00D61A88" w:rsidP="00BE7565">
            <w:pPr>
              <w:pStyle w:val="naisf"/>
              <w:spacing w:before="0" w:after="0"/>
            </w:pPr>
            <w:r w:rsidRPr="00D61A88">
              <w:t>0</w:t>
            </w:r>
          </w:p>
        </w:tc>
        <w:tc>
          <w:tcPr>
            <w:tcW w:w="1279" w:type="dxa"/>
          </w:tcPr>
          <w:p w:rsidR="00D61A88" w:rsidRPr="00D61A88" w:rsidRDefault="00D61A88" w:rsidP="00BE7565">
            <w:pPr>
              <w:pStyle w:val="naisf"/>
              <w:spacing w:before="0" w:after="0"/>
            </w:pPr>
            <w:r w:rsidRPr="00D61A88">
              <w:t>-246,3</w:t>
            </w:r>
          </w:p>
        </w:tc>
        <w:tc>
          <w:tcPr>
            <w:tcW w:w="1333" w:type="dxa"/>
          </w:tcPr>
          <w:p w:rsidR="00D61A88" w:rsidRPr="00D61A88" w:rsidRDefault="00D61A88" w:rsidP="00BE7565">
            <w:pPr>
              <w:pStyle w:val="naisf"/>
              <w:spacing w:before="0" w:after="0"/>
            </w:pPr>
            <w:r w:rsidRPr="00D61A88">
              <w:t>-2626,4</w:t>
            </w:r>
          </w:p>
        </w:tc>
        <w:tc>
          <w:tcPr>
            <w:tcW w:w="1351" w:type="dxa"/>
          </w:tcPr>
          <w:p w:rsidR="00D61A88" w:rsidRPr="00D61A88" w:rsidRDefault="00D61A88" w:rsidP="00BE7565">
            <w:pPr>
              <w:pStyle w:val="naisf"/>
              <w:spacing w:before="0" w:after="0"/>
              <w:rPr>
                <w:b/>
                <w:i/>
              </w:rPr>
            </w:pPr>
            <w:r w:rsidRPr="00D61A88">
              <w:t>-4349,4</w:t>
            </w:r>
          </w:p>
        </w:tc>
        <w:tc>
          <w:tcPr>
            <w:tcW w:w="1393" w:type="dxa"/>
          </w:tcPr>
          <w:p w:rsidR="00D61A88" w:rsidRPr="00D61A88" w:rsidRDefault="00D61A88" w:rsidP="00BE7565">
            <w:pPr>
              <w:pStyle w:val="naisf"/>
              <w:spacing w:before="0" w:after="0"/>
            </w:pPr>
            <w:r w:rsidRPr="00D61A88">
              <w:t>-6694,5</w:t>
            </w:r>
          </w:p>
        </w:tc>
      </w:tr>
      <w:tr w:rsidR="00D61A88" w:rsidRPr="00D61A88" w:rsidTr="008C5969">
        <w:trPr>
          <w:jc w:val="center"/>
        </w:trPr>
        <w:tc>
          <w:tcPr>
            <w:tcW w:w="2310" w:type="dxa"/>
          </w:tcPr>
          <w:p w:rsidR="00D61A88" w:rsidRPr="00D61A88" w:rsidRDefault="00D61A88" w:rsidP="00BE7565">
            <w:pPr>
              <w:pStyle w:val="naisf"/>
              <w:spacing w:before="0" w:after="0"/>
            </w:pPr>
            <w:r w:rsidRPr="00D61A88">
              <w:t>3.2. speciālais budžets</w:t>
            </w:r>
          </w:p>
        </w:tc>
        <w:tc>
          <w:tcPr>
            <w:tcW w:w="1284" w:type="dxa"/>
            <w:shd w:val="clear" w:color="auto" w:fill="auto"/>
          </w:tcPr>
          <w:p w:rsidR="00D61A88" w:rsidRPr="00D61A88" w:rsidRDefault="00D61A88" w:rsidP="00BE7565">
            <w:pPr>
              <w:pStyle w:val="naisf"/>
              <w:spacing w:before="0" w:after="0"/>
              <w:ind w:firstLine="0"/>
              <w:rPr>
                <w:b/>
                <w:i/>
              </w:rPr>
            </w:pPr>
          </w:p>
        </w:tc>
        <w:tc>
          <w:tcPr>
            <w:tcW w:w="1279" w:type="dxa"/>
          </w:tcPr>
          <w:p w:rsidR="00D61A88" w:rsidRPr="00D61A88" w:rsidRDefault="00D61A88" w:rsidP="00BE7565">
            <w:pPr>
              <w:pStyle w:val="naisf"/>
              <w:spacing w:before="0" w:after="0"/>
              <w:rPr>
                <w:b/>
                <w:i/>
              </w:rPr>
            </w:pPr>
          </w:p>
        </w:tc>
        <w:tc>
          <w:tcPr>
            <w:tcW w:w="1333" w:type="dxa"/>
          </w:tcPr>
          <w:p w:rsidR="00D61A88" w:rsidRPr="00D61A88" w:rsidRDefault="00D61A88" w:rsidP="00BE7565">
            <w:pPr>
              <w:pStyle w:val="naisf"/>
              <w:spacing w:before="0" w:after="0"/>
              <w:rPr>
                <w:b/>
                <w:i/>
              </w:rPr>
            </w:pPr>
          </w:p>
        </w:tc>
        <w:tc>
          <w:tcPr>
            <w:tcW w:w="1351" w:type="dxa"/>
          </w:tcPr>
          <w:p w:rsidR="00D61A88" w:rsidRPr="00D61A88" w:rsidRDefault="00D61A88" w:rsidP="00BE7565">
            <w:pPr>
              <w:pStyle w:val="naisf"/>
              <w:spacing w:before="0" w:after="0"/>
              <w:rPr>
                <w:b/>
                <w:i/>
              </w:rPr>
            </w:pPr>
          </w:p>
        </w:tc>
        <w:tc>
          <w:tcPr>
            <w:tcW w:w="1393" w:type="dxa"/>
          </w:tcPr>
          <w:p w:rsidR="00D61A88" w:rsidRPr="00D61A88" w:rsidRDefault="00D61A88" w:rsidP="00BE7565">
            <w:pPr>
              <w:pStyle w:val="naisf"/>
              <w:spacing w:before="0" w:after="0"/>
              <w:ind w:firstLine="0"/>
              <w:rPr>
                <w:b/>
                <w:i/>
              </w:rPr>
            </w:pPr>
          </w:p>
        </w:tc>
      </w:tr>
      <w:tr w:rsidR="00D61A88" w:rsidRPr="00D61A88" w:rsidTr="008C5969">
        <w:trPr>
          <w:jc w:val="center"/>
        </w:trPr>
        <w:tc>
          <w:tcPr>
            <w:tcW w:w="2310" w:type="dxa"/>
          </w:tcPr>
          <w:p w:rsidR="00D61A88" w:rsidRPr="00D61A88" w:rsidRDefault="00D61A88" w:rsidP="00BE7565">
            <w:pPr>
              <w:pStyle w:val="naisf"/>
              <w:spacing w:before="0" w:after="0"/>
            </w:pPr>
            <w:r w:rsidRPr="00D61A88">
              <w:t xml:space="preserve">3.3. pašvaldību budžets </w:t>
            </w:r>
          </w:p>
        </w:tc>
        <w:tc>
          <w:tcPr>
            <w:tcW w:w="1284" w:type="dxa"/>
            <w:shd w:val="clear" w:color="auto" w:fill="auto"/>
          </w:tcPr>
          <w:p w:rsidR="00D61A88" w:rsidRPr="00D61A88" w:rsidRDefault="00D61A88" w:rsidP="00BE7565">
            <w:pPr>
              <w:pStyle w:val="naisf"/>
              <w:spacing w:before="0" w:after="0"/>
              <w:ind w:firstLine="0"/>
              <w:rPr>
                <w:i/>
              </w:rPr>
            </w:pPr>
          </w:p>
        </w:tc>
        <w:tc>
          <w:tcPr>
            <w:tcW w:w="1279" w:type="dxa"/>
          </w:tcPr>
          <w:p w:rsidR="00D61A88" w:rsidRPr="00D61A88" w:rsidRDefault="00D61A88" w:rsidP="00BE7565">
            <w:pPr>
              <w:pStyle w:val="naisf"/>
              <w:spacing w:before="0" w:after="0"/>
            </w:pPr>
          </w:p>
        </w:tc>
        <w:tc>
          <w:tcPr>
            <w:tcW w:w="1333" w:type="dxa"/>
          </w:tcPr>
          <w:p w:rsidR="00D61A88" w:rsidRPr="00D61A88" w:rsidRDefault="00D61A88" w:rsidP="00BE7565">
            <w:pPr>
              <w:pStyle w:val="naisf"/>
              <w:spacing w:before="0" w:after="0"/>
            </w:pPr>
          </w:p>
        </w:tc>
        <w:tc>
          <w:tcPr>
            <w:tcW w:w="1351" w:type="dxa"/>
          </w:tcPr>
          <w:p w:rsidR="00D61A88" w:rsidRPr="00D61A88" w:rsidRDefault="00D61A88" w:rsidP="00BE7565">
            <w:pPr>
              <w:pStyle w:val="naisf"/>
              <w:spacing w:before="0" w:after="0"/>
            </w:pPr>
          </w:p>
        </w:tc>
        <w:tc>
          <w:tcPr>
            <w:tcW w:w="1393" w:type="dxa"/>
          </w:tcPr>
          <w:p w:rsidR="00D61A88" w:rsidRPr="00D61A88" w:rsidRDefault="00D61A88" w:rsidP="00BE7565">
            <w:pPr>
              <w:pStyle w:val="naisf"/>
              <w:spacing w:before="0" w:after="0"/>
            </w:pPr>
          </w:p>
        </w:tc>
      </w:tr>
      <w:tr w:rsidR="00D61A88" w:rsidRPr="00D61A88" w:rsidTr="008C5969">
        <w:trPr>
          <w:jc w:val="center"/>
        </w:trPr>
        <w:tc>
          <w:tcPr>
            <w:tcW w:w="2310" w:type="dxa"/>
            <w:vMerge w:val="restart"/>
          </w:tcPr>
          <w:p w:rsidR="00D61A88" w:rsidRPr="00D61A88" w:rsidRDefault="00D61A88" w:rsidP="00BE7565">
            <w:pPr>
              <w:pStyle w:val="naisf"/>
              <w:spacing w:before="0" w:after="0"/>
            </w:pPr>
            <w:r w:rsidRPr="00D61A88">
              <w:t>4. Finanšu līdzekļi papildu izde</w:t>
            </w:r>
            <w:r w:rsidRPr="00D61A88">
              <w:softHyphen/>
              <w:t xml:space="preserve">vumu finansēšanai </w:t>
            </w:r>
          </w:p>
          <w:p w:rsidR="00D61A88" w:rsidRPr="00D61A88" w:rsidRDefault="00D61A88" w:rsidP="00BE7565">
            <w:pPr>
              <w:pStyle w:val="naisf"/>
              <w:spacing w:before="0" w:after="0"/>
            </w:pPr>
            <w:r w:rsidRPr="00D61A88">
              <w:t>Papildus izdevumi tiks segti no uzturlīdzekļu fonda atlikuma (uzkrājuma)</w:t>
            </w:r>
          </w:p>
        </w:tc>
        <w:tc>
          <w:tcPr>
            <w:tcW w:w="1284" w:type="dxa"/>
            <w:vMerge w:val="restart"/>
          </w:tcPr>
          <w:p w:rsidR="00D61A88" w:rsidRPr="00D61A88" w:rsidRDefault="00D61A88" w:rsidP="00BE7565">
            <w:pPr>
              <w:pStyle w:val="naisf"/>
              <w:spacing w:before="0" w:after="0"/>
              <w:rPr>
                <w:i/>
              </w:rPr>
            </w:pPr>
            <w:r w:rsidRPr="00D61A88">
              <w:t>X</w:t>
            </w:r>
          </w:p>
        </w:tc>
        <w:tc>
          <w:tcPr>
            <w:tcW w:w="1279" w:type="dxa"/>
          </w:tcPr>
          <w:p w:rsidR="00D61A88" w:rsidRPr="00D61A88" w:rsidRDefault="00D61A88" w:rsidP="00BE7565">
            <w:pPr>
              <w:pStyle w:val="naisf"/>
              <w:spacing w:before="0" w:after="0"/>
            </w:pPr>
            <w:r w:rsidRPr="00D61A88">
              <w:t>246,3</w:t>
            </w:r>
          </w:p>
        </w:tc>
        <w:tc>
          <w:tcPr>
            <w:tcW w:w="1333" w:type="dxa"/>
          </w:tcPr>
          <w:p w:rsidR="00D61A88" w:rsidRPr="00D61A88" w:rsidRDefault="00D61A88" w:rsidP="00BE7565">
            <w:pPr>
              <w:pStyle w:val="naisf"/>
              <w:spacing w:before="0" w:after="0"/>
            </w:pPr>
            <w:r w:rsidRPr="00D61A88">
              <w:t>1683,0</w:t>
            </w:r>
          </w:p>
        </w:tc>
        <w:tc>
          <w:tcPr>
            <w:tcW w:w="1351" w:type="dxa"/>
          </w:tcPr>
          <w:p w:rsidR="00D61A88" w:rsidRPr="00D61A88" w:rsidRDefault="00D61A88" w:rsidP="00BE7565">
            <w:pPr>
              <w:pStyle w:val="naisf"/>
              <w:spacing w:before="0" w:after="0"/>
            </w:pPr>
            <w:r w:rsidRPr="00D61A88">
              <w:t>0</w:t>
            </w:r>
          </w:p>
        </w:tc>
        <w:tc>
          <w:tcPr>
            <w:tcW w:w="1393" w:type="dxa"/>
          </w:tcPr>
          <w:p w:rsidR="00D61A88" w:rsidRPr="00D61A88" w:rsidRDefault="00D61A88" w:rsidP="00BE7565">
            <w:pPr>
              <w:pStyle w:val="naisf"/>
              <w:spacing w:before="0" w:after="0"/>
            </w:pPr>
            <w:r w:rsidRPr="00D61A88">
              <w:t>0</w:t>
            </w:r>
          </w:p>
        </w:tc>
      </w:tr>
      <w:tr w:rsidR="00D61A88" w:rsidRPr="00D61A88" w:rsidTr="008C5969">
        <w:trPr>
          <w:jc w:val="center"/>
        </w:trPr>
        <w:tc>
          <w:tcPr>
            <w:tcW w:w="2310" w:type="dxa"/>
            <w:vMerge/>
          </w:tcPr>
          <w:p w:rsidR="00D61A88" w:rsidRPr="00D61A88" w:rsidRDefault="00D61A88" w:rsidP="00BE7565">
            <w:pPr>
              <w:pStyle w:val="naisf"/>
              <w:spacing w:before="0" w:after="0"/>
            </w:pPr>
          </w:p>
        </w:tc>
        <w:tc>
          <w:tcPr>
            <w:tcW w:w="1284" w:type="dxa"/>
            <w:vMerge/>
          </w:tcPr>
          <w:p w:rsidR="00D61A88" w:rsidRPr="00D61A88" w:rsidRDefault="00D61A88" w:rsidP="00BE7565">
            <w:pPr>
              <w:pStyle w:val="naisf"/>
              <w:spacing w:before="0" w:after="0"/>
              <w:ind w:firstLine="0"/>
              <w:rPr>
                <w:i/>
              </w:rPr>
            </w:pPr>
          </w:p>
        </w:tc>
        <w:tc>
          <w:tcPr>
            <w:tcW w:w="1279" w:type="dxa"/>
          </w:tcPr>
          <w:p w:rsidR="00D61A88" w:rsidRPr="00D61A88" w:rsidRDefault="00D61A88" w:rsidP="00BE7565">
            <w:pPr>
              <w:pStyle w:val="naisf"/>
              <w:spacing w:before="0" w:after="0"/>
            </w:pPr>
          </w:p>
        </w:tc>
        <w:tc>
          <w:tcPr>
            <w:tcW w:w="1333" w:type="dxa"/>
          </w:tcPr>
          <w:p w:rsidR="00D61A88" w:rsidRPr="00D61A88" w:rsidRDefault="00D61A88" w:rsidP="00BE7565">
            <w:pPr>
              <w:pStyle w:val="naisf"/>
              <w:spacing w:before="0" w:after="0"/>
            </w:pPr>
          </w:p>
        </w:tc>
        <w:tc>
          <w:tcPr>
            <w:tcW w:w="1351" w:type="dxa"/>
          </w:tcPr>
          <w:p w:rsidR="00D61A88" w:rsidRPr="00D61A88" w:rsidRDefault="00D61A88" w:rsidP="00BE7565">
            <w:pPr>
              <w:pStyle w:val="naisf"/>
              <w:spacing w:before="0" w:after="0"/>
            </w:pPr>
          </w:p>
        </w:tc>
        <w:tc>
          <w:tcPr>
            <w:tcW w:w="1393" w:type="dxa"/>
          </w:tcPr>
          <w:p w:rsidR="00D61A88" w:rsidRPr="00D61A88" w:rsidRDefault="00D61A88" w:rsidP="00BE7565">
            <w:pPr>
              <w:pStyle w:val="naisf"/>
              <w:spacing w:before="0" w:after="0"/>
            </w:pPr>
          </w:p>
        </w:tc>
      </w:tr>
      <w:tr w:rsidR="00D61A88" w:rsidRPr="00D61A88" w:rsidTr="008C5969">
        <w:trPr>
          <w:jc w:val="center"/>
        </w:trPr>
        <w:tc>
          <w:tcPr>
            <w:tcW w:w="2310" w:type="dxa"/>
            <w:vMerge/>
          </w:tcPr>
          <w:p w:rsidR="00D61A88" w:rsidRPr="00D61A88" w:rsidRDefault="00D61A88" w:rsidP="00BE7565">
            <w:pPr>
              <w:pStyle w:val="naisf"/>
              <w:spacing w:before="0" w:after="0"/>
            </w:pPr>
          </w:p>
        </w:tc>
        <w:tc>
          <w:tcPr>
            <w:tcW w:w="1284" w:type="dxa"/>
            <w:vMerge/>
          </w:tcPr>
          <w:p w:rsidR="00D61A88" w:rsidRPr="00D61A88" w:rsidRDefault="00D61A88" w:rsidP="00BE7565">
            <w:pPr>
              <w:pStyle w:val="naisf"/>
              <w:spacing w:before="0" w:after="0"/>
              <w:ind w:firstLine="0"/>
              <w:rPr>
                <w:i/>
              </w:rPr>
            </w:pPr>
          </w:p>
        </w:tc>
        <w:tc>
          <w:tcPr>
            <w:tcW w:w="1279" w:type="dxa"/>
          </w:tcPr>
          <w:p w:rsidR="00D61A88" w:rsidRPr="00D61A88" w:rsidRDefault="00D61A88" w:rsidP="00BE7565">
            <w:pPr>
              <w:pStyle w:val="naisf"/>
              <w:spacing w:before="0" w:after="0"/>
            </w:pPr>
          </w:p>
        </w:tc>
        <w:tc>
          <w:tcPr>
            <w:tcW w:w="1333" w:type="dxa"/>
          </w:tcPr>
          <w:p w:rsidR="00D61A88" w:rsidRPr="00D61A88" w:rsidRDefault="00D61A88" w:rsidP="00BE7565">
            <w:pPr>
              <w:pStyle w:val="naisf"/>
              <w:spacing w:before="0" w:after="0"/>
            </w:pPr>
          </w:p>
        </w:tc>
        <w:tc>
          <w:tcPr>
            <w:tcW w:w="1351" w:type="dxa"/>
          </w:tcPr>
          <w:p w:rsidR="00D61A88" w:rsidRPr="00D61A88" w:rsidRDefault="00D61A88" w:rsidP="00BE7565">
            <w:pPr>
              <w:pStyle w:val="naisf"/>
              <w:spacing w:before="0" w:after="0"/>
            </w:pPr>
          </w:p>
        </w:tc>
        <w:tc>
          <w:tcPr>
            <w:tcW w:w="1393" w:type="dxa"/>
          </w:tcPr>
          <w:p w:rsidR="00D61A88" w:rsidRPr="00D61A88" w:rsidRDefault="00D61A88" w:rsidP="00BE7565">
            <w:pPr>
              <w:pStyle w:val="naisf"/>
              <w:spacing w:before="0" w:after="0"/>
            </w:pPr>
          </w:p>
        </w:tc>
      </w:tr>
      <w:tr w:rsidR="00D61A88" w:rsidRPr="00D61A88" w:rsidTr="008C5969">
        <w:trPr>
          <w:jc w:val="center"/>
        </w:trPr>
        <w:tc>
          <w:tcPr>
            <w:tcW w:w="2310" w:type="dxa"/>
          </w:tcPr>
          <w:p w:rsidR="00D61A88" w:rsidRPr="00D61A88" w:rsidRDefault="00D61A88" w:rsidP="00BE7565">
            <w:pPr>
              <w:pStyle w:val="naisf"/>
              <w:spacing w:before="0" w:after="0"/>
            </w:pPr>
            <w:r w:rsidRPr="00D61A88">
              <w:t>5. Precizēta finansiālā ietekme:</w:t>
            </w:r>
          </w:p>
        </w:tc>
        <w:tc>
          <w:tcPr>
            <w:tcW w:w="1284" w:type="dxa"/>
            <w:vMerge w:val="restart"/>
          </w:tcPr>
          <w:p w:rsidR="00D61A88" w:rsidRPr="00D61A88" w:rsidRDefault="00D61A88" w:rsidP="00BE7565">
            <w:pPr>
              <w:pStyle w:val="naisf"/>
              <w:spacing w:before="0" w:after="0"/>
              <w:rPr>
                <w:i/>
              </w:rPr>
            </w:pPr>
            <w:r w:rsidRPr="00D61A88">
              <w:t>X</w:t>
            </w:r>
          </w:p>
        </w:tc>
        <w:tc>
          <w:tcPr>
            <w:tcW w:w="1279" w:type="dxa"/>
          </w:tcPr>
          <w:p w:rsidR="00D61A88" w:rsidRPr="00D61A88" w:rsidRDefault="00D61A88" w:rsidP="00BE7565">
            <w:pPr>
              <w:pStyle w:val="naisf"/>
              <w:spacing w:before="0" w:after="0"/>
            </w:pPr>
            <w:r w:rsidRPr="00D61A88">
              <w:t>0</w:t>
            </w:r>
          </w:p>
        </w:tc>
        <w:tc>
          <w:tcPr>
            <w:tcW w:w="1333" w:type="dxa"/>
          </w:tcPr>
          <w:p w:rsidR="00D61A88" w:rsidRPr="00D61A88" w:rsidRDefault="00D61A88" w:rsidP="00BE7565">
            <w:pPr>
              <w:pStyle w:val="naisf"/>
              <w:spacing w:before="0" w:after="0"/>
            </w:pPr>
            <w:r w:rsidRPr="00D61A88">
              <w:t>-943,4</w:t>
            </w:r>
          </w:p>
        </w:tc>
        <w:tc>
          <w:tcPr>
            <w:tcW w:w="1351" w:type="dxa"/>
          </w:tcPr>
          <w:p w:rsidR="00D61A88" w:rsidRPr="00D61A88" w:rsidRDefault="00D61A88" w:rsidP="00BE7565">
            <w:pPr>
              <w:pStyle w:val="naisf"/>
              <w:spacing w:before="0" w:after="0"/>
            </w:pPr>
            <w:r w:rsidRPr="00D61A88">
              <w:t>-4349,4</w:t>
            </w:r>
          </w:p>
        </w:tc>
        <w:tc>
          <w:tcPr>
            <w:tcW w:w="1393" w:type="dxa"/>
          </w:tcPr>
          <w:p w:rsidR="00D61A88" w:rsidRPr="00D61A88" w:rsidRDefault="00D61A88" w:rsidP="00BE7565">
            <w:pPr>
              <w:pStyle w:val="naisf"/>
              <w:spacing w:before="0" w:after="0"/>
            </w:pPr>
            <w:r w:rsidRPr="00D61A88">
              <w:t>-6694,5</w:t>
            </w:r>
          </w:p>
        </w:tc>
      </w:tr>
      <w:tr w:rsidR="00D61A88" w:rsidRPr="00D61A88" w:rsidTr="008C5969">
        <w:trPr>
          <w:jc w:val="center"/>
        </w:trPr>
        <w:tc>
          <w:tcPr>
            <w:tcW w:w="2310" w:type="dxa"/>
          </w:tcPr>
          <w:p w:rsidR="00D61A88" w:rsidRPr="00D61A88" w:rsidRDefault="00D61A88" w:rsidP="00BE7565">
            <w:pPr>
              <w:pStyle w:val="naisf"/>
              <w:spacing w:before="0" w:after="0"/>
            </w:pPr>
            <w:r w:rsidRPr="00D61A88">
              <w:t>5.1. valsts pamatbudžets</w:t>
            </w:r>
          </w:p>
        </w:tc>
        <w:tc>
          <w:tcPr>
            <w:tcW w:w="1284" w:type="dxa"/>
            <w:vMerge/>
            <w:vAlign w:val="center"/>
          </w:tcPr>
          <w:p w:rsidR="00D61A88" w:rsidRPr="00D61A88" w:rsidRDefault="00D61A88" w:rsidP="00BE7565">
            <w:pPr>
              <w:pStyle w:val="naisf"/>
              <w:spacing w:before="0" w:after="0"/>
              <w:ind w:firstLine="0"/>
              <w:rPr>
                <w:i/>
              </w:rPr>
            </w:pPr>
          </w:p>
        </w:tc>
        <w:tc>
          <w:tcPr>
            <w:tcW w:w="1279" w:type="dxa"/>
          </w:tcPr>
          <w:p w:rsidR="00D61A88" w:rsidRPr="00D61A88" w:rsidRDefault="00D61A88" w:rsidP="00BE7565">
            <w:pPr>
              <w:pStyle w:val="naisf"/>
              <w:spacing w:before="0" w:after="0"/>
            </w:pPr>
          </w:p>
        </w:tc>
        <w:tc>
          <w:tcPr>
            <w:tcW w:w="1333" w:type="dxa"/>
          </w:tcPr>
          <w:p w:rsidR="00D61A88" w:rsidRPr="00D61A88" w:rsidRDefault="00D61A88" w:rsidP="00BE7565">
            <w:pPr>
              <w:pStyle w:val="naisf"/>
              <w:spacing w:before="0" w:after="0"/>
            </w:pPr>
            <w:r w:rsidRPr="00D61A88">
              <w:t>-943,4</w:t>
            </w:r>
          </w:p>
        </w:tc>
        <w:tc>
          <w:tcPr>
            <w:tcW w:w="1351" w:type="dxa"/>
          </w:tcPr>
          <w:p w:rsidR="00D61A88" w:rsidRPr="00D61A88" w:rsidRDefault="00D61A88" w:rsidP="00BE7565">
            <w:pPr>
              <w:pStyle w:val="naisf"/>
              <w:spacing w:before="0" w:after="0"/>
              <w:rPr>
                <w:b/>
                <w:i/>
              </w:rPr>
            </w:pPr>
            <w:r w:rsidRPr="00D61A88">
              <w:t>-4349,4</w:t>
            </w:r>
          </w:p>
        </w:tc>
        <w:tc>
          <w:tcPr>
            <w:tcW w:w="1393" w:type="dxa"/>
          </w:tcPr>
          <w:p w:rsidR="00D61A88" w:rsidRPr="00D61A88" w:rsidRDefault="00D61A88" w:rsidP="00BE7565">
            <w:pPr>
              <w:pStyle w:val="naisf"/>
              <w:spacing w:before="0" w:after="0"/>
            </w:pPr>
            <w:r w:rsidRPr="00D61A88">
              <w:t>-6694,5</w:t>
            </w:r>
          </w:p>
        </w:tc>
      </w:tr>
      <w:tr w:rsidR="00D61A88" w:rsidRPr="00D61A88" w:rsidTr="008C5969">
        <w:trPr>
          <w:jc w:val="center"/>
        </w:trPr>
        <w:tc>
          <w:tcPr>
            <w:tcW w:w="2310" w:type="dxa"/>
          </w:tcPr>
          <w:p w:rsidR="00D61A88" w:rsidRPr="00D61A88" w:rsidRDefault="00D61A88" w:rsidP="00BE7565">
            <w:pPr>
              <w:pStyle w:val="naisf"/>
              <w:spacing w:before="0" w:after="0"/>
            </w:pPr>
            <w:r w:rsidRPr="00D61A88">
              <w:t>5.2. speciālais budžets</w:t>
            </w:r>
          </w:p>
        </w:tc>
        <w:tc>
          <w:tcPr>
            <w:tcW w:w="1284" w:type="dxa"/>
            <w:vMerge/>
            <w:vAlign w:val="center"/>
          </w:tcPr>
          <w:p w:rsidR="00D61A88" w:rsidRPr="00D61A88" w:rsidRDefault="00D61A88" w:rsidP="00BE7565">
            <w:pPr>
              <w:pStyle w:val="naisf"/>
              <w:spacing w:before="0" w:after="0"/>
              <w:ind w:firstLine="0"/>
              <w:rPr>
                <w:i/>
              </w:rPr>
            </w:pPr>
          </w:p>
        </w:tc>
        <w:tc>
          <w:tcPr>
            <w:tcW w:w="1279" w:type="dxa"/>
          </w:tcPr>
          <w:p w:rsidR="00D61A88" w:rsidRPr="00D61A88" w:rsidRDefault="00D61A88" w:rsidP="00BE7565">
            <w:pPr>
              <w:pStyle w:val="naisf"/>
              <w:spacing w:before="0" w:after="0"/>
            </w:pPr>
          </w:p>
        </w:tc>
        <w:tc>
          <w:tcPr>
            <w:tcW w:w="1333" w:type="dxa"/>
          </w:tcPr>
          <w:p w:rsidR="00D61A88" w:rsidRPr="00D61A88" w:rsidRDefault="00D61A88" w:rsidP="00BE7565">
            <w:pPr>
              <w:pStyle w:val="naisf"/>
              <w:spacing w:before="0" w:after="0"/>
            </w:pPr>
          </w:p>
        </w:tc>
        <w:tc>
          <w:tcPr>
            <w:tcW w:w="1351" w:type="dxa"/>
          </w:tcPr>
          <w:p w:rsidR="00D61A88" w:rsidRPr="00D61A88" w:rsidRDefault="00D61A88" w:rsidP="00BE7565">
            <w:pPr>
              <w:pStyle w:val="naisf"/>
              <w:spacing w:before="0" w:after="0"/>
            </w:pPr>
          </w:p>
        </w:tc>
        <w:tc>
          <w:tcPr>
            <w:tcW w:w="1393" w:type="dxa"/>
          </w:tcPr>
          <w:p w:rsidR="00D61A88" w:rsidRPr="00D61A88" w:rsidRDefault="00D61A88" w:rsidP="00BE7565">
            <w:pPr>
              <w:pStyle w:val="naisf"/>
              <w:spacing w:before="0" w:after="0"/>
            </w:pPr>
          </w:p>
        </w:tc>
      </w:tr>
      <w:tr w:rsidR="00D61A88" w:rsidRPr="00D61A88" w:rsidTr="008C5969">
        <w:trPr>
          <w:jc w:val="center"/>
        </w:trPr>
        <w:tc>
          <w:tcPr>
            <w:tcW w:w="2310" w:type="dxa"/>
          </w:tcPr>
          <w:p w:rsidR="00D61A88" w:rsidRPr="00D61A88" w:rsidRDefault="00D61A88" w:rsidP="00BE7565">
            <w:pPr>
              <w:pStyle w:val="naisf"/>
              <w:spacing w:before="0" w:after="0"/>
            </w:pPr>
            <w:r w:rsidRPr="00D61A88">
              <w:t xml:space="preserve">5.3. pašvaldību budžets </w:t>
            </w:r>
          </w:p>
        </w:tc>
        <w:tc>
          <w:tcPr>
            <w:tcW w:w="1284" w:type="dxa"/>
            <w:vMerge/>
            <w:vAlign w:val="center"/>
          </w:tcPr>
          <w:p w:rsidR="00D61A88" w:rsidRPr="00D61A88" w:rsidRDefault="00D61A88" w:rsidP="00BE7565">
            <w:pPr>
              <w:pStyle w:val="naisf"/>
              <w:spacing w:before="0" w:after="0"/>
              <w:ind w:firstLine="0"/>
              <w:rPr>
                <w:i/>
              </w:rPr>
            </w:pPr>
          </w:p>
        </w:tc>
        <w:tc>
          <w:tcPr>
            <w:tcW w:w="1279" w:type="dxa"/>
          </w:tcPr>
          <w:p w:rsidR="00D61A88" w:rsidRPr="00D61A88" w:rsidRDefault="00D61A88" w:rsidP="00BE7565">
            <w:pPr>
              <w:pStyle w:val="naisf"/>
              <w:spacing w:before="0" w:after="0"/>
            </w:pPr>
          </w:p>
        </w:tc>
        <w:tc>
          <w:tcPr>
            <w:tcW w:w="1333" w:type="dxa"/>
          </w:tcPr>
          <w:p w:rsidR="00D61A88" w:rsidRPr="00D61A88" w:rsidRDefault="00D61A88" w:rsidP="00BE7565">
            <w:pPr>
              <w:pStyle w:val="naisf"/>
              <w:spacing w:before="0" w:after="0"/>
            </w:pPr>
          </w:p>
        </w:tc>
        <w:tc>
          <w:tcPr>
            <w:tcW w:w="1351" w:type="dxa"/>
          </w:tcPr>
          <w:p w:rsidR="00D61A88" w:rsidRPr="00D61A88" w:rsidRDefault="00D61A88" w:rsidP="00BE7565">
            <w:pPr>
              <w:pStyle w:val="naisf"/>
              <w:spacing w:before="0" w:after="0"/>
            </w:pPr>
          </w:p>
        </w:tc>
        <w:tc>
          <w:tcPr>
            <w:tcW w:w="1393" w:type="dxa"/>
          </w:tcPr>
          <w:p w:rsidR="00D61A88" w:rsidRPr="00D61A88" w:rsidRDefault="00D61A88" w:rsidP="00BE7565">
            <w:pPr>
              <w:pStyle w:val="naisf"/>
              <w:spacing w:before="0" w:after="0"/>
            </w:pPr>
          </w:p>
        </w:tc>
      </w:tr>
      <w:tr w:rsidR="00D61A88" w:rsidRPr="00D61A88" w:rsidTr="008C5969">
        <w:trPr>
          <w:trHeight w:val="2608"/>
          <w:jc w:val="center"/>
        </w:trPr>
        <w:tc>
          <w:tcPr>
            <w:tcW w:w="2310" w:type="dxa"/>
          </w:tcPr>
          <w:p w:rsidR="00D61A88" w:rsidRPr="00D61A88" w:rsidRDefault="00D61A88" w:rsidP="00BE7565">
            <w:pPr>
              <w:pStyle w:val="naisf"/>
              <w:spacing w:before="0" w:after="0"/>
            </w:pPr>
            <w:r w:rsidRPr="00D61A88">
              <w:t>6. Detalizēts ieņēmumu un izdevu</w:t>
            </w:r>
            <w:r w:rsidRPr="00D61A88">
              <w:softHyphen/>
              <w:t>mu aprēķins (ja nepieciešams, detalizētu ieņēmumu un izdevumu aprēķinu var pievienot anotācijas pielikumā):</w:t>
            </w:r>
          </w:p>
        </w:tc>
        <w:tc>
          <w:tcPr>
            <w:tcW w:w="6640" w:type="dxa"/>
            <w:gridSpan w:val="5"/>
            <w:vMerge w:val="restart"/>
          </w:tcPr>
          <w:p w:rsidR="00D61A88" w:rsidRPr="00D61A88" w:rsidRDefault="00D61A88" w:rsidP="00BE7565">
            <w:pPr>
              <w:pStyle w:val="naisf"/>
              <w:spacing w:before="0" w:after="0"/>
              <w:ind w:firstLine="0"/>
            </w:pPr>
            <w:r w:rsidRPr="00D61A88">
              <w:rPr>
                <w:b/>
              </w:rPr>
              <w:t>2012. gads:</w:t>
            </w:r>
            <w:r w:rsidRPr="00D61A88">
              <w:t xml:space="preserve"> </w:t>
            </w:r>
          </w:p>
          <w:p w:rsidR="00D61A88" w:rsidRPr="00D61A88" w:rsidRDefault="00D61A88" w:rsidP="00BE7565">
            <w:pPr>
              <w:pStyle w:val="naisf"/>
              <w:spacing w:before="0" w:after="0"/>
              <w:ind w:firstLine="0"/>
            </w:pPr>
            <w:r w:rsidRPr="00D61A88">
              <w:t xml:space="preserve">Saskaņā ar likumu „Par valsts budžetu 2012.gadam” Tieslietu ministrijas apakšprogrammā 54.02.00 „Uzturlīdzekļu fonds” uzturlīdzekļu izmaksai paredzēti 9 556 975 lati. Uzturlīdzekļu fonda uzkrājums ir 1 929 290 lati. </w:t>
            </w:r>
          </w:p>
          <w:p w:rsidR="00D61A88" w:rsidRPr="00D61A88" w:rsidRDefault="00D61A88" w:rsidP="00BE7565">
            <w:pPr>
              <w:pStyle w:val="naisf"/>
              <w:spacing w:before="0" w:after="0"/>
              <w:ind w:firstLine="0"/>
            </w:pPr>
            <w:r w:rsidRPr="00D61A88">
              <w:t xml:space="preserve">2012.gadā uzturlīdzekļus no Fonda par bērniem no viņu piedzimšanas līdz 7 gadu vecuma sasniegšanai izmaksā 30 latu apmērā, par bērniem no 7 līdz 18 gadiem - 35 latu apmērā. </w:t>
            </w:r>
          </w:p>
          <w:p w:rsidR="00D61A88" w:rsidRPr="00D61A88" w:rsidRDefault="00D61A88" w:rsidP="00BE7565">
            <w:pPr>
              <w:pStyle w:val="naisf"/>
              <w:spacing w:before="0" w:after="0"/>
              <w:ind w:firstLine="0"/>
            </w:pPr>
            <w:r w:rsidRPr="00D61A88">
              <w:t xml:space="preserve">Kopumā uzturlīdzekļus plānots izmaksāt par 27 840 bērniem, no kuriem 5 511 bērniem no viņu piedzimšanas līdz 7 gadu vecuma sasniegšanai (kopā 1 641 455 latu) un 22 329 vecumā no 7 līdz 18 gadiem (kopā 8 161 793 latu). Kopējā plānotā uzturlīdzekļu izmaksu summa 9 803 248 lati. Prognozes izpildes gadījumā nepieciešamie papildus izdevumi (246 273 lati) tiks segti no fonda uzkrājuma.  </w:t>
            </w:r>
          </w:p>
          <w:p w:rsidR="00D61A88" w:rsidRPr="00D61A88" w:rsidRDefault="00D61A88" w:rsidP="00BE7565">
            <w:pPr>
              <w:pStyle w:val="naisf"/>
              <w:spacing w:before="0" w:after="0"/>
            </w:pPr>
          </w:p>
          <w:p w:rsidR="00D61A88" w:rsidRPr="00D61A88" w:rsidRDefault="00D61A88" w:rsidP="00BE7565">
            <w:pPr>
              <w:pStyle w:val="naisf"/>
              <w:spacing w:before="0" w:after="0"/>
              <w:ind w:firstLine="0"/>
              <w:rPr>
                <w:b/>
              </w:rPr>
            </w:pPr>
            <w:r w:rsidRPr="00D61A88">
              <w:rPr>
                <w:b/>
              </w:rPr>
              <w:t xml:space="preserve">2013. gads: </w:t>
            </w:r>
          </w:p>
          <w:p w:rsidR="00D61A88" w:rsidRPr="00D61A88" w:rsidRDefault="00D61A88" w:rsidP="00BE7565">
            <w:pPr>
              <w:pStyle w:val="naisf"/>
              <w:spacing w:before="0" w:after="0"/>
              <w:ind w:firstLine="0"/>
            </w:pPr>
            <w:r w:rsidRPr="00D61A88">
              <w:t>Tieslietu ministrijas apakšprogrammā 54.02.00 „Uzturlīdzekļu fonds” uzturlīdzek</w:t>
            </w:r>
            <w:r w:rsidR="00AD0FF7">
              <w:t>ļu izmaksai paredzēti 9 556 975 </w:t>
            </w:r>
            <w:r w:rsidRPr="00D61A88">
              <w:t xml:space="preserve">lati. </w:t>
            </w:r>
            <w:r w:rsidRPr="00D61A88">
              <w:lastRenderedPageBreak/>
              <w:t>Uzturlīdzek</w:t>
            </w:r>
            <w:r w:rsidR="00AD0FF7">
              <w:t>ļu fonda uzkrājums ir 1 683 017 </w:t>
            </w:r>
            <w:r w:rsidRPr="00D61A88">
              <w:t xml:space="preserve">lati. Kopējie pieejamie valsts budžeta līdzekļi 11 239 992 lati. </w:t>
            </w:r>
          </w:p>
          <w:p w:rsidR="00D61A88" w:rsidRPr="00D61A88" w:rsidRDefault="00D61A88" w:rsidP="00BE7565">
            <w:pPr>
              <w:pStyle w:val="naisf"/>
              <w:spacing w:before="0" w:after="0"/>
              <w:ind w:firstLine="0"/>
            </w:pPr>
            <w:r w:rsidRPr="00D61A88">
              <w:t>2013.</w:t>
            </w:r>
            <w:r w:rsidR="00082FA8">
              <w:t> </w:t>
            </w:r>
            <w:r w:rsidRPr="00D61A88">
              <w:t xml:space="preserve">gadā uzturlīdzekļus no Fonda par bērniem no viņu piedzimšanas līdz 7 gadu vecuma sasniegšanai izmaksā 35 latu apmērā, par bērniem no 7 līdz 18 gadiem - 40 latu apmērā. </w:t>
            </w:r>
          </w:p>
          <w:p w:rsidR="00D61A88" w:rsidRPr="00D61A88" w:rsidRDefault="00D61A88" w:rsidP="00BE7565">
            <w:pPr>
              <w:pStyle w:val="naisf"/>
              <w:spacing w:before="0" w:after="0"/>
              <w:ind w:firstLine="0"/>
            </w:pPr>
            <w:r w:rsidRPr="00D61A88">
              <w:t xml:space="preserve">Kopumā uzturlīdzekļus plānots izmaksāt par 29 276 bērniem, no kuriem 5663 bērniem no viņu piedzimšanas līdz 7 gadu vecuma sasniegšanai (kopā 2 091 065 latu) un 23 613 vecumā no 7 līdz 18 gadiem (kopā 10 092 294 latu). Kopējā plānotā uzturlīdzekļu izmaksu summa </w:t>
            </w:r>
            <w:r w:rsidRPr="00D61A88">
              <w:rPr>
                <w:u w:val="single"/>
              </w:rPr>
              <w:t>12 183 359 latu.</w:t>
            </w:r>
            <w:r w:rsidRPr="00D61A88">
              <w:t xml:space="preserve"> </w:t>
            </w:r>
          </w:p>
          <w:p w:rsidR="00D61A88" w:rsidRPr="00D61A88" w:rsidRDefault="00D61A88" w:rsidP="00BE7565">
            <w:pPr>
              <w:pStyle w:val="naisf"/>
              <w:spacing w:before="0" w:after="0"/>
              <w:ind w:firstLine="0"/>
            </w:pPr>
            <w:r w:rsidRPr="00D61A88">
              <w:rPr>
                <w:u w:val="single"/>
              </w:rPr>
              <w:t>Papildus nepieciešamais finansējums 943 367 lati</w:t>
            </w:r>
            <w:r w:rsidRPr="00D61A88">
              <w:t xml:space="preserve"> (12 183 359 – 9 556 975 – 1 683 017).</w:t>
            </w:r>
          </w:p>
          <w:p w:rsidR="00D61A88" w:rsidRPr="00D61A88" w:rsidRDefault="00D61A88" w:rsidP="00BE7565">
            <w:pPr>
              <w:pStyle w:val="naisf"/>
              <w:spacing w:before="0" w:after="0"/>
              <w:ind w:firstLine="0"/>
            </w:pPr>
          </w:p>
          <w:p w:rsidR="00D61A88" w:rsidRPr="00D61A88" w:rsidRDefault="00D61A88" w:rsidP="00BE7565">
            <w:pPr>
              <w:pStyle w:val="naisf"/>
              <w:spacing w:before="0" w:after="0"/>
              <w:ind w:firstLine="0"/>
              <w:rPr>
                <w:b/>
              </w:rPr>
            </w:pPr>
            <w:r w:rsidRPr="00D61A88">
              <w:rPr>
                <w:b/>
              </w:rPr>
              <w:t>2014. gads:</w:t>
            </w:r>
          </w:p>
          <w:p w:rsidR="00D61A88" w:rsidRPr="00D61A88" w:rsidRDefault="00D61A88" w:rsidP="00BE7565">
            <w:pPr>
              <w:pStyle w:val="naisf"/>
              <w:spacing w:before="0" w:after="0"/>
              <w:ind w:firstLine="0"/>
              <w:rPr>
                <w:b/>
              </w:rPr>
            </w:pPr>
            <w:r w:rsidRPr="00D61A88">
              <w:t xml:space="preserve">Tieslietu ministrijas apakšprogrammā 54.02.00 „Uzturlīdzekļu fonds” uzturlīdzekļu izmaksai paredzēti 9 556 975 lati. </w:t>
            </w:r>
          </w:p>
          <w:p w:rsidR="00D61A88" w:rsidRPr="00D61A88" w:rsidRDefault="00D61A88" w:rsidP="00BE7565">
            <w:pPr>
              <w:pStyle w:val="naisf"/>
              <w:spacing w:before="0" w:after="0"/>
              <w:ind w:firstLine="0"/>
            </w:pPr>
            <w:r w:rsidRPr="00D61A88">
              <w:t>2014.</w:t>
            </w:r>
            <w:r w:rsidR="00082FA8">
              <w:t> </w:t>
            </w:r>
            <w:r w:rsidRPr="00D61A88">
              <w:t xml:space="preserve">gadā uzturlīdzekļus no Fonda par bērniem no viņu piedzimšanas līdz 7 gadu vecuma sasniegšanai izmaksā 40 latu apmērā, par bērniem no 7 līdz 18 gadiem - 45 latu apmērā. </w:t>
            </w:r>
          </w:p>
          <w:p w:rsidR="00D61A88" w:rsidRPr="00D61A88" w:rsidRDefault="00D61A88" w:rsidP="00BE7565">
            <w:pPr>
              <w:pStyle w:val="naisf"/>
              <w:spacing w:before="0" w:after="0"/>
              <w:ind w:firstLine="0"/>
            </w:pPr>
            <w:r w:rsidRPr="00D61A88">
              <w:t xml:space="preserve">Kopumā uzturlīdzekļus plānots izmaksāt par 30 431 bērniem, no kuriem 6 068 bērniem no viņu piedzimšanas līdz 7 gadu vecuma sasniegšanai (kopā 2 437 613 latu) un 24 363 vecumā no 7 līdz 18 gadiem (kopā 11 468 745 latu). Kopējā uzturlīdzekļu izmaksu summa </w:t>
            </w:r>
            <w:r w:rsidRPr="00D61A88">
              <w:rPr>
                <w:u w:val="single"/>
              </w:rPr>
              <w:t>13 906 358 latu</w:t>
            </w:r>
            <w:r w:rsidRPr="00D61A88">
              <w:t>.</w:t>
            </w:r>
          </w:p>
          <w:p w:rsidR="00D61A88" w:rsidRPr="00D61A88" w:rsidRDefault="00D61A88" w:rsidP="00BE7565">
            <w:pPr>
              <w:pStyle w:val="naisf"/>
              <w:spacing w:before="0" w:after="0"/>
              <w:ind w:firstLine="0"/>
            </w:pPr>
            <w:r w:rsidRPr="00D61A88">
              <w:rPr>
                <w:u w:val="single"/>
              </w:rPr>
              <w:t xml:space="preserve">Papildus nepieciešamais finansējums 4 349 383 lati </w:t>
            </w:r>
            <w:r w:rsidRPr="00D61A88">
              <w:t>( 13 906 358 – 9 556 975).</w:t>
            </w:r>
          </w:p>
          <w:p w:rsidR="00D61A88" w:rsidRPr="00D61A88" w:rsidRDefault="00D61A88" w:rsidP="00BE7565">
            <w:pPr>
              <w:pStyle w:val="naisf"/>
              <w:spacing w:before="0" w:after="0"/>
              <w:ind w:firstLine="0"/>
            </w:pPr>
          </w:p>
          <w:p w:rsidR="00D61A88" w:rsidRPr="00D61A88" w:rsidRDefault="00D61A88" w:rsidP="00BE7565">
            <w:pPr>
              <w:pStyle w:val="naisf"/>
              <w:spacing w:before="0" w:after="0"/>
              <w:ind w:firstLine="0"/>
            </w:pPr>
            <w:r w:rsidRPr="00D61A88">
              <w:rPr>
                <w:b/>
              </w:rPr>
              <w:t>2015. gadā:</w:t>
            </w:r>
            <w:r w:rsidRPr="00D61A88">
              <w:t xml:space="preserve"> </w:t>
            </w:r>
          </w:p>
          <w:p w:rsidR="00D61A88" w:rsidRPr="00D61A88" w:rsidRDefault="00D61A88" w:rsidP="00BE7565">
            <w:pPr>
              <w:pStyle w:val="naisf"/>
              <w:spacing w:before="0" w:after="0"/>
              <w:ind w:firstLine="0"/>
              <w:rPr>
                <w:b/>
              </w:rPr>
            </w:pPr>
            <w:r w:rsidRPr="00D61A88">
              <w:t xml:space="preserve">Tieslietu ministrijas apakšprogrammā 54.02.00 „Uzturlīdzekļu fonds” uzturlīdzekļu izmaksai paredzēti 9 556 975 lati. </w:t>
            </w:r>
          </w:p>
          <w:p w:rsidR="00D61A88" w:rsidRPr="00D61A88" w:rsidRDefault="00D61A88" w:rsidP="00BE7565">
            <w:pPr>
              <w:pStyle w:val="naisf"/>
              <w:spacing w:before="0" w:after="0"/>
              <w:ind w:firstLine="0"/>
            </w:pPr>
            <w:r w:rsidRPr="00D61A88">
              <w:t>2015.</w:t>
            </w:r>
            <w:r w:rsidR="00082FA8">
              <w:t> </w:t>
            </w:r>
            <w:r w:rsidRPr="00D61A88">
              <w:t xml:space="preserve">gadā uzturlīdzekļus no Fonda par bērniem no viņu piedzimšanas līdz 7 gadu sasniegšanai izmaksā 45 latu apmērā, par bērniem no 7 līdz 18 gadiem - 50 latu apmērā. </w:t>
            </w:r>
          </w:p>
          <w:p w:rsidR="00D61A88" w:rsidRPr="00D61A88" w:rsidRDefault="00D61A88" w:rsidP="00BE7565">
            <w:pPr>
              <w:pStyle w:val="naisf"/>
              <w:spacing w:before="0" w:after="0"/>
              <w:ind w:firstLine="0"/>
            </w:pPr>
            <w:r w:rsidRPr="00D61A88">
              <w:t xml:space="preserve">Kopumā uzturlīdzekļus plānots izmaksāt par 31 735 bērniem, no kuriem 6 663 bērniem no viņu piedzimšanas līdz 7 gadu vecuma sasniegšanai (kopā 3 059 728 latu) un 25 072 vecumā no 7 līdz 18 gadiem (kopā 13 191 749 latu). Kopējā uzturlīdzekļu izmaksu summa </w:t>
            </w:r>
            <w:r w:rsidRPr="00D61A88">
              <w:rPr>
                <w:u w:val="single"/>
              </w:rPr>
              <w:t>16251477 latu</w:t>
            </w:r>
            <w:r w:rsidRPr="00D61A88">
              <w:t>.</w:t>
            </w:r>
          </w:p>
          <w:p w:rsidR="00D61A88" w:rsidRPr="00D61A88" w:rsidRDefault="00D61A88" w:rsidP="00BE7565">
            <w:pPr>
              <w:pStyle w:val="naisf"/>
              <w:spacing w:before="0" w:after="0"/>
              <w:ind w:firstLine="0"/>
            </w:pPr>
            <w:r w:rsidRPr="00D61A88">
              <w:rPr>
                <w:u w:val="single"/>
              </w:rPr>
              <w:t xml:space="preserve">Papildus nepieciešamais finansējums 6 694 502 lati </w:t>
            </w:r>
            <w:r w:rsidRPr="00D61A88">
              <w:t>( 16 251 477 – 9 556 975).</w:t>
            </w:r>
          </w:p>
          <w:p w:rsidR="00D61A88" w:rsidRPr="00D61A88" w:rsidRDefault="00D61A88" w:rsidP="00BE7565">
            <w:pPr>
              <w:pStyle w:val="naisf"/>
              <w:spacing w:before="0" w:after="0"/>
              <w:ind w:firstLine="0"/>
              <w:rPr>
                <w:b/>
              </w:rPr>
            </w:pPr>
          </w:p>
          <w:p w:rsidR="00D61A88" w:rsidRDefault="00D61A88" w:rsidP="00BE7565">
            <w:pPr>
              <w:pStyle w:val="naisf"/>
              <w:spacing w:before="0" w:after="0"/>
              <w:ind w:firstLine="0"/>
            </w:pPr>
            <w:r w:rsidRPr="00D61A88">
              <w:t>2016.</w:t>
            </w:r>
            <w:r w:rsidR="00AD0FF7">
              <w:t> </w:t>
            </w:r>
            <w:r w:rsidRPr="00D61A88">
              <w:t>gadā un turpmākajos gados piešķiramo valsts budžeta līdzekļu plānotā uzturlīdzekļu izmaksu summa tiks noteikta atbilstoši veicamajām uzturlīdzekļu izmaksām un saņemtajiem iesniegumiem.</w:t>
            </w:r>
          </w:p>
          <w:p w:rsidR="00D31FAB" w:rsidRPr="00D61A88" w:rsidRDefault="00D31FAB" w:rsidP="00BE7565">
            <w:pPr>
              <w:pStyle w:val="naisf"/>
              <w:spacing w:before="0" w:after="0"/>
              <w:ind w:firstLine="0"/>
            </w:pPr>
          </w:p>
        </w:tc>
      </w:tr>
      <w:tr w:rsidR="00D61A88" w:rsidRPr="00D61A88" w:rsidTr="008C5969">
        <w:trPr>
          <w:jc w:val="center"/>
        </w:trPr>
        <w:tc>
          <w:tcPr>
            <w:tcW w:w="2310" w:type="dxa"/>
          </w:tcPr>
          <w:p w:rsidR="00D61A88" w:rsidRPr="00D61A88" w:rsidRDefault="00D61A88" w:rsidP="00BE7565">
            <w:pPr>
              <w:pStyle w:val="naisf"/>
              <w:spacing w:before="0" w:after="0"/>
            </w:pPr>
            <w:r w:rsidRPr="00D61A88">
              <w:t>6.1. detalizēts ieņēmumu aprēķins</w:t>
            </w:r>
          </w:p>
        </w:tc>
        <w:tc>
          <w:tcPr>
            <w:tcW w:w="6640" w:type="dxa"/>
            <w:gridSpan w:val="5"/>
            <w:vMerge/>
          </w:tcPr>
          <w:p w:rsidR="00D61A88" w:rsidRPr="00D61A88" w:rsidRDefault="00D61A88" w:rsidP="00BE7565">
            <w:pPr>
              <w:pStyle w:val="naisf"/>
              <w:spacing w:before="0" w:after="0"/>
              <w:ind w:firstLine="0"/>
              <w:rPr>
                <w:b/>
                <w:i/>
              </w:rPr>
            </w:pPr>
          </w:p>
        </w:tc>
      </w:tr>
      <w:tr w:rsidR="00D61A88" w:rsidRPr="00D61A88" w:rsidTr="008C5969">
        <w:trPr>
          <w:jc w:val="center"/>
        </w:trPr>
        <w:tc>
          <w:tcPr>
            <w:tcW w:w="2310" w:type="dxa"/>
          </w:tcPr>
          <w:p w:rsidR="00D61A88" w:rsidRPr="00D61A88" w:rsidRDefault="00D61A88" w:rsidP="00BE7565">
            <w:pPr>
              <w:pStyle w:val="naisf"/>
              <w:spacing w:before="0" w:after="0"/>
            </w:pPr>
            <w:r w:rsidRPr="00D61A88">
              <w:t>6.2. detalizēts izdevumu aprēķins</w:t>
            </w:r>
          </w:p>
        </w:tc>
        <w:tc>
          <w:tcPr>
            <w:tcW w:w="6640" w:type="dxa"/>
            <w:gridSpan w:val="5"/>
            <w:vMerge/>
          </w:tcPr>
          <w:p w:rsidR="00D61A88" w:rsidRPr="00D61A88" w:rsidRDefault="00D61A88" w:rsidP="00BE7565">
            <w:pPr>
              <w:pStyle w:val="naisf"/>
              <w:spacing w:before="0" w:after="0"/>
              <w:ind w:firstLine="0"/>
              <w:rPr>
                <w:b/>
                <w:i/>
              </w:rPr>
            </w:pPr>
          </w:p>
        </w:tc>
      </w:tr>
      <w:tr w:rsidR="00D61A88" w:rsidRPr="00D61A88" w:rsidTr="008C5969">
        <w:trPr>
          <w:jc w:val="center"/>
        </w:trPr>
        <w:tc>
          <w:tcPr>
            <w:tcW w:w="2310" w:type="dxa"/>
          </w:tcPr>
          <w:p w:rsidR="00D61A88" w:rsidRPr="00D61A88" w:rsidRDefault="00D61A88" w:rsidP="00BE7565">
            <w:pPr>
              <w:pStyle w:val="naisf"/>
              <w:spacing w:before="0" w:after="0"/>
              <w:ind w:firstLine="0"/>
            </w:pPr>
            <w:r w:rsidRPr="00D61A88">
              <w:lastRenderedPageBreak/>
              <w:t>7. Cita informācija</w:t>
            </w:r>
          </w:p>
        </w:tc>
        <w:tc>
          <w:tcPr>
            <w:tcW w:w="6640" w:type="dxa"/>
            <w:gridSpan w:val="5"/>
          </w:tcPr>
          <w:p w:rsidR="00114611" w:rsidRDefault="00114611" w:rsidP="008741C0">
            <w:pPr>
              <w:pStyle w:val="naisf"/>
              <w:spacing w:before="0" w:after="0"/>
              <w:ind w:firstLine="461"/>
            </w:pPr>
            <w:r w:rsidRPr="00114611">
              <w:t>Š</w:t>
            </w:r>
            <w:r>
              <w:t>īs sadaļas 6.</w:t>
            </w:r>
            <w:r w:rsidR="008741C0">
              <w:t> </w:t>
            </w:r>
            <w:r>
              <w:t>punktā norādītais</w:t>
            </w:r>
            <w:r w:rsidRPr="00114611">
              <w:t xml:space="preserve"> uzturlīdzekļu fonda uzkrājums ir izveidojies kā </w:t>
            </w:r>
            <w:r>
              <w:t>pašu ieņēmumu atlikums uz 2012. </w:t>
            </w:r>
            <w:r w:rsidRPr="00114611">
              <w:t>gada 1.</w:t>
            </w:r>
            <w:r>
              <w:t> </w:t>
            </w:r>
            <w:r w:rsidRPr="00114611">
              <w:t>janvāri, ko plānots izlietot uzturlīdzekļu izmaksu nodrošināšanai, atbilstoši Likuma par budžetu un finan</w:t>
            </w:r>
            <w:r>
              <w:t xml:space="preserve">šu vadību </w:t>
            </w:r>
            <w:r>
              <w:lastRenderedPageBreak/>
              <w:t>9. panta 14. daļas 1. </w:t>
            </w:r>
            <w:r w:rsidRPr="00114611">
              <w:t>punktam iesniedzot Finanšu ministrijā priekšlikumu par apropriācijas palielināšanu.</w:t>
            </w:r>
            <w:r>
              <w:t xml:space="preserve"> </w:t>
            </w:r>
          </w:p>
          <w:p w:rsidR="003C13F0" w:rsidRDefault="003C13F0" w:rsidP="008741C0">
            <w:pPr>
              <w:pStyle w:val="naisf"/>
              <w:spacing w:before="0" w:after="0"/>
              <w:ind w:firstLine="461"/>
            </w:pPr>
          </w:p>
          <w:p w:rsidR="00795C81" w:rsidRPr="00D61A88" w:rsidRDefault="003C13F0" w:rsidP="008741C0">
            <w:pPr>
              <w:pStyle w:val="naisf"/>
              <w:spacing w:before="0" w:after="0"/>
              <w:ind w:firstLine="461"/>
            </w:pPr>
            <w:r w:rsidRPr="003C13F0">
              <w:rPr>
                <w:bCs/>
                <w:iCs/>
              </w:rPr>
              <w:t>Attiecībā uz Projektā ietverto regulējumu saistībā ar Hāgas 2007. gada 23. novembra konvenciju norādāms</w:t>
            </w:r>
            <w:r>
              <w:t xml:space="preserve">, ka tajā paredzēto Juridiskās palīdzības administrācija nodrošinās piešķirto valsts budžeta līdzekļu ietvaros. </w:t>
            </w:r>
          </w:p>
        </w:tc>
      </w:tr>
    </w:tbl>
    <w:p w:rsidR="00D61A88" w:rsidRPr="00D61A88" w:rsidRDefault="00D61A88" w:rsidP="00D61A88">
      <w:pPr>
        <w:pStyle w:val="naisf"/>
        <w:ind w:firstLine="0"/>
        <w:rPr>
          <w:i/>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678"/>
        <w:gridCol w:w="5686"/>
      </w:tblGrid>
      <w:tr w:rsidR="00717984" w:rsidRPr="007D058B" w:rsidTr="00AD0FF7">
        <w:tc>
          <w:tcPr>
            <w:tcW w:w="8789" w:type="dxa"/>
            <w:gridSpan w:val="3"/>
          </w:tcPr>
          <w:p w:rsidR="00717984" w:rsidRPr="007D058B" w:rsidRDefault="00717984" w:rsidP="00421900">
            <w:pPr>
              <w:pStyle w:val="naisf"/>
              <w:ind w:right="176"/>
              <w:rPr>
                <w:b/>
                <w:bCs/>
              </w:rPr>
            </w:pPr>
            <w:r w:rsidRPr="007D058B">
              <w:rPr>
                <w:b/>
                <w:bCs/>
              </w:rPr>
              <w:t>IV. Tiesību akta projekta ietekme uz spēkā esošo tiesību normu sistēmu</w:t>
            </w:r>
            <w:r w:rsidR="00AD0FF7">
              <w:rPr>
                <w:b/>
                <w:bCs/>
              </w:rPr>
              <w:t xml:space="preserve"> </w:t>
            </w:r>
          </w:p>
        </w:tc>
      </w:tr>
      <w:tr w:rsidR="00717984" w:rsidRPr="007D058B" w:rsidTr="00AD0FF7">
        <w:tc>
          <w:tcPr>
            <w:tcW w:w="425" w:type="dxa"/>
          </w:tcPr>
          <w:p w:rsidR="00717984" w:rsidRPr="007D058B" w:rsidRDefault="00717984" w:rsidP="00BE3475">
            <w:pPr>
              <w:pStyle w:val="naisf"/>
              <w:ind w:right="-534" w:firstLine="0"/>
              <w:rPr>
                <w:iCs/>
              </w:rPr>
            </w:pPr>
            <w:r w:rsidRPr="007D058B">
              <w:rPr>
                <w:iCs/>
              </w:rPr>
              <w:t>1.</w:t>
            </w:r>
          </w:p>
        </w:tc>
        <w:tc>
          <w:tcPr>
            <w:tcW w:w="2678" w:type="dxa"/>
          </w:tcPr>
          <w:p w:rsidR="00717984" w:rsidRPr="007D058B" w:rsidRDefault="00717984" w:rsidP="00717984">
            <w:pPr>
              <w:pStyle w:val="naisf"/>
              <w:ind w:right="188"/>
              <w:rPr>
                <w:iCs/>
              </w:rPr>
            </w:pPr>
            <w:r w:rsidRPr="007D058B">
              <w:t>Nepieciešamie saistītie tiesību aktu projekti</w:t>
            </w:r>
          </w:p>
        </w:tc>
        <w:tc>
          <w:tcPr>
            <w:tcW w:w="5686" w:type="dxa"/>
          </w:tcPr>
          <w:p w:rsidR="008A7DEA" w:rsidRPr="008A7DEA" w:rsidRDefault="00795C81" w:rsidP="00AD0FF7">
            <w:pPr>
              <w:pStyle w:val="naisf"/>
              <w:tabs>
                <w:tab w:val="left" w:pos="5470"/>
              </w:tabs>
              <w:spacing w:before="120" w:after="0"/>
              <w:ind w:firstLine="374"/>
              <w:rPr>
                <w:bCs/>
                <w:iCs/>
              </w:rPr>
            </w:pPr>
            <w:r>
              <w:rPr>
                <w:bCs/>
                <w:iCs/>
              </w:rPr>
              <w:t>A</w:t>
            </w:r>
            <w:r w:rsidR="00082FA8">
              <w:rPr>
                <w:bCs/>
                <w:iCs/>
              </w:rPr>
              <w:t>ttiecī</w:t>
            </w:r>
            <w:r w:rsidR="008A7DEA">
              <w:rPr>
                <w:bCs/>
                <w:iCs/>
              </w:rPr>
              <w:t>bā uz</w:t>
            </w:r>
            <w:r w:rsidR="00082FA8">
              <w:rPr>
                <w:bCs/>
                <w:iCs/>
              </w:rPr>
              <w:t xml:space="preserve"> Projektā ietverto regulējumu saistībā ar Hāgas 2007. </w:t>
            </w:r>
            <w:r w:rsidR="00082FA8" w:rsidRPr="00082FA8">
              <w:rPr>
                <w:bCs/>
                <w:iCs/>
              </w:rPr>
              <w:t>gada 23.</w:t>
            </w:r>
            <w:r w:rsidR="00082FA8">
              <w:rPr>
                <w:bCs/>
                <w:iCs/>
              </w:rPr>
              <w:t> </w:t>
            </w:r>
            <w:r w:rsidR="00082FA8" w:rsidRPr="00082FA8">
              <w:rPr>
                <w:bCs/>
                <w:iCs/>
              </w:rPr>
              <w:t xml:space="preserve">novembra konvenciju </w:t>
            </w:r>
            <w:r w:rsidR="00D31FAB">
              <w:rPr>
                <w:bCs/>
                <w:iCs/>
              </w:rPr>
              <w:t>norādāms, ka saistībā ar Projektā ietverto regulējumu ir nepieciešami grozījumi</w:t>
            </w:r>
            <w:r w:rsidR="003C13F0">
              <w:rPr>
                <w:bCs/>
                <w:iCs/>
              </w:rPr>
              <w:t xml:space="preserve"> arī Civilprocesa likumā, kas ir izstrādāti un tiks</w:t>
            </w:r>
            <w:r w:rsidR="00D31FAB">
              <w:rPr>
                <w:bCs/>
                <w:iCs/>
              </w:rPr>
              <w:t xml:space="preserve"> i</w:t>
            </w:r>
            <w:r w:rsidR="003C13F0">
              <w:rPr>
                <w:bCs/>
                <w:iCs/>
              </w:rPr>
              <w:t xml:space="preserve">esniegti Saeimā kā priekšlikumi, un </w:t>
            </w:r>
            <w:r w:rsidR="00D31FAB">
              <w:rPr>
                <w:bCs/>
                <w:iCs/>
              </w:rPr>
              <w:t xml:space="preserve"> </w:t>
            </w:r>
            <w:r w:rsidR="003C13F0">
              <w:rPr>
                <w:bCs/>
                <w:iCs/>
              </w:rPr>
              <w:t>grozījumi V</w:t>
            </w:r>
            <w:r w:rsidR="003C13F0" w:rsidRPr="003C13F0">
              <w:rPr>
                <w:bCs/>
                <w:iCs/>
              </w:rPr>
              <w:t>alsts nodrošinātās juridiskās palīdzības likumā</w:t>
            </w:r>
            <w:r w:rsidR="003C13F0">
              <w:rPr>
                <w:bCs/>
                <w:iCs/>
              </w:rPr>
              <w:t xml:space="preserve">, kas pieņemti Saeimā trešajā lasījumā </w:t>
            </w:r>
            <w:proofErr w:type="spellStart"/>
            <w:r w:rsidR="003C13F0">
              <w:rPr>
                <w:bCs/>
                <w:iCs/>
              </w:rPr>
              <w:t>š.g</w:t>
            </w:r>
            <w:proofErr w:type="spellEnd"/>
            <w:r w:rsidR="003C13F0">
              <w:rPr>
                <w:bCs/>
                <w:iCs/>
              </w:rPr>
              <w:t xml:space="preserve">. 3. maijā un izsludināti š.g.16. maijā. </w:t>
            </w:r>
          </w:p>
          <w:p w:rsidR="008A7DEA" w:rsidRPr="008A7DEA" w:rsidRDefault="008A7DEA" w:rsidP="00AD0FF7">
            <w:pPr>
              <w:pStyle w:val="naisf"/>
              <w:tabs>
                <w:tab w:val="left" w:pos="5470"/>
              </w:tabs>
              <w:spacing w:before="0" w:after="0"/>
              <w:ind w:firstLine="374"/>
              <w:rPr>
                <w:bCs/>
                <w:iCs/>
              </w:rPr>
            </w:pPr>
            <w:r w:rsidRPr="008A7DEA">
              <w:rPr>
                <w:bCs/>
                <w:iCs/>
              </w:rPr>
              <w:t xml:space="preserve">Bez tam vienlaikus ar </w:t>
            </w:r>
            <w:r w:rsidR="00D31FAB">
              <w:rPr>
                <w:bCs/>
                <w:iCs/>
              </w:rPr>
              <w:t>P</w:t>
            </w:r>
            <w:r w:rsidRPr="008A7DEA">
              <w:rPr>
                <w:bCs/>
                <w:iCs/>
              </w:rPr>
              <w:t>rojekt</w:t>
            </w:r>
            <w:r w:rsidR="00D31FAB">
              <w:rPr>
                <w:bCs/>
                <w:iCs/>
              </w:rPr>
              <w:t>a</w:t>
            </w:r>
            <w:r w:rsidRPr="008A7DEA">
              <w:rPr>
                <w:bCs/>
                <w:iCs/>
              </w:rPr>
              <w:t xml:space="preserve"> spēkā stāšanos nepieciešams nodrošināt grozījumu izdarīšanu Ministru kabineta 2004.</w:t>
            </w:r>
            <w:r w:rsidR="00FB650C">
              <w:rPr>
                <w:bCs/>
                <w:iCs/>
              </w:rPr>
              <w:t> </w:t>
            </w:r>
            <w:r w:rsidR="00D31FAB">
              <w:rPr>
                <w:bCs/>
                <w:iCs/>
              </w:rPr>
              <w:t>gada 20.</w:t>
            </w:r>
            <w:r w:rsidR="00FB650C">
              <w:rPr>
                <w:bCs/>
                <w:iCs/>
              </w:rPr>
              <w:t> </w:t>
            </w:r>
            <w:r w:rsidR="00D31FAB">
              <w:rPr>
                <w:bCs/>
                <w:iCs/>
              </w:rPr>
              <w:t xml:space="preserve">jūlija noteikumos </w:t>
            </w:r>
            <w:proofErr w:type="spellStart"/>
            <w:r w:rsidR="00D31FAB">
              <w:rPr>
                <w:bCs/>
                <w:iCs/>
              </w:rPr>
              <w:t>Nr</w:t>
            </w:r>
            <w:proofErr w:type="spellEnd"/>
            <w:r w:rsidR="00D31FAB">
              <w:rPr>
                <w:bCs/>
                <w:iCs/>
              </w:rPr>
              <w:t>. </w:t>
            </w:r>
            <w:r w:rsidRPr="008A7DEA">
              <w:rPr>
                <w:bCs/>
                <w:iCs/>
              </w:rPr>
              <w:t>614 „Uzturlīdzekļu garantiju fonda administrācijas nolikums”, kā arī Ministru kabineta 2011.</w:t>
            </w:r>
            <w:r w:rsidR="00D31FAB">
              <w:rPr>
                <w:bCs/>
                <w:iCs/>
              </w:rPr>
              <w:t> </w:t>
            </w:r>
            <w:r w:rsidRPr="008A7DEA">
              <w:rPr>
                <w:bCs/>
                <w:iCs/>
              </w:rPr>
              <w:t>gada 19.</w:t>
            </w:r>
            <w:r w:rsidR="00D31FAB">
              <w:rPr>
                <w:bCs/>
                <w:iCs/>
              </w:rPr>
              <w:t> </w:t>
            </w:r>
            <w:r w:rsidRPr="008A7DEA">
              <w:rPr>
                <w:bCs/>
                <w:iCs/>
              </w:rPr>
              <w:t xml:space="preserve">jūlija noteikumos </w:t>
            </w:r>
            <w:proofErr w:type="spellStart"/>
            <w:r w:rsidRPr="008A7DEA">
              <w:rPr>
                <w:bCs/>
                <w:iCs/>
              </w:rPr>
              <w:t>Nr</w:t>
            </w:r>
            <w:proofErr w:type="spellEnd"/>
            <w:r w:rsidRPr="008A7DEA">
              <w:rPr>
                <w:bCs/>
                <w:iCs/>
              </w:rPr>
              <w:t>.</w:t>
            </w:r>
            <w:r w:rsidR="00D31FAB">
              <w:rPr>
                <w:bCs/>
                <w:iCs/>
              </w:rPr>
              <w:t> </w:t>
            </w:r>
            <w:r w:rsidRPr="008A7DEA">
              <w:rPr>
                <w:bCs/>
                <w:iCs/>
              </w:rPr>
              <w:t xml:space="preserve">571 „Kārtība, kādā Uzturlīdzekļu garantiju fonda administrācija īsteno centrālās iestādes funkcijas pārrobežu uzturlīdzekļu lietās”. Ministru kabineta noteikumu projekti tiks izstrādāti pēc minēto likumprojektu pieņemšanas Saeimā </w:t>
            </w:r>
            <w:r w:rsidR="00D31FAB">
              <w:rPr>
                <w:bCs/>
                <w:iCs/>
              </w:rPr>
              <w:t>otrajā</w:t>
            </w:r>
            <w:r w:rsidRPr="008A7DEA">
              <w:rPr>
                <w:bCs/>
                <w:iCs/>
              </w:rPr>
              <w:t xml:space="preserve"> lasījumā.  </w:t>
            </w:r>
          </w:p>
          <w:p w:rsidR="00795C81" w:rsidRDefault="008A7DEA" w:rsidP="00795C81">
            <w:pPr>
              <w:pStyle w:val="naisf"/>
              <w:tabs>
                <w:tab w:val="left" w:pos="5470"/>
              </w:tabs>
              <w:rPr>
                <w:bCs/>
                <w:iCs/>
              </w:rPr>
            </w:pPr>
            <w:r w:rsidRPr="008A7DEA">
              <w:rPr>
                <w:bCs/>
                <w:iCs/>
              </w:rPr>
              <w:t>Par minēto projektu izstrādi atbildīgā ir Tieslietu ministrija.</w:t>
            </w:r>
            <w:r w:rsidR="00FC7CAD">
              <w:rPr>
                <w:bCs/>
                <w:iCs/>
              </w:rPr>
              <w:t xml:space="preserve"> </w:t>
            </w:r>
          </w:p>
          <w:p w:rsidR="00795C81" w:rsidRPr="007D058B" w:rsidRDefault="00795C81" w:rsidP="00795C81">
            <w:pPr>
              <w:pStyle w:val="naisf"/>
              <w:tabs>
                <w:tab w:val="left" w:pos="5470"/>
              </w:tabs>
              <w:rPr>
                <w:bCs/>
                <w:iCs/>
              </w:rPr>
            </w:pPr>
          </w:p>
        </w:tc>
      </w:tr>
      <w:tr w:rsidR="00717984" w:rsidRPr="007D058B" w:rsidTr="00AD0FF7">
        <w:tc>
          <w:tcPr>
            <w:tcW w:w="425" w:type="dxa"/>
          </w:tcPr>
          <w:p w:rsidR="00717984" w:rsidRPr="007D058B" w:rsidRDefault="00717984" w:rsidP="00BE3475">
            <w:pPr>
              <w:pStyle w:val="naisf"/>
              <w:ind w:left="-65" w:right="-766" w:firstLine="65"/>
              <w:rPr>
                <w:iCs/>
              </w:rPr>
            </w:pPr>
            <w:r w:rsidRPr="007D058B">
              <w:rPr>
                <w:iCs/>
              </w:rPr>
              <w:t>2.</w:t>
            </w:r>
          </w:p>
        </w:tc>
        <w:tc>
          <w:tcPr>
            <w:tcW w:w="2678" w:type="dxa"/>
          </w:tcPr>
          <w:p w:rsidR="00717984" w:rsidRPr="007D058B" w:rsidRDefault="00717984" w:rsidP="00717984">
            <w:pPr>
              <w:pStyle w:val="naisf"/>
              <w:ind w:right="188"/>
              <w:rPr>
                <w:iCs/>
              </w:rPr>
            </w:pPr>
            <w:r w:rsidRPr="007D058B">
              <w:t>Cita informācija</w:t>
            </w:r>
          </w:p>
        </w:tc>
        <w:tc>
          <w:tcPr>
            <w:tcW w:w="5686" w:type="dxa"/>
          </w:tcPr>
          <w:p w:rsidR="00D31FAB" w:rsidRPr="00FE5BA3" w:rsidRDefault="00093F15" w:rsidP="00FE5BA3">
            <w:pPr>
              <w:pStyle w:val="naisf"/>
              <w:ind w:right="303"/>
            </w:pPr>
            <w:r w:rsidRPr="007D058B">
              <w:t xml:space="preserve">Nav </w:t>
            </w:r>
          </w:p>
        </w:tc>
      </w:tr>
    </w:tbl>
    <w:p w:rsidR="00AD0FF7" w:rsidRPr="00AD0FF7" w:rsidRDefault="00AD0FF7" w:rsidP="00AD0FF7">
      <w:pPr>
        <w:pStyle w:val="naisf"/>
        <w:ind w:right="-766" w:firstLine="0"/>
      </w:pPr>
    </w:p>
    <w:tbl>
      <w:tblPr>
        <w:tblW w:w="8789" w:type="dxa"/>
        <w:tblInd w:w="17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25"/>
        <w:gridCol w:w="1560"/>
        <w:gridCol w:w="567"/>
        <w:gridCol w:w="1417"/>
        <w:gridCol w:w="436"/>
        <w:gridCol w:w="1407"/>
        <w:gridCol w:w="567"/>
        <w:gridCol w:w="2410"/>
      </w:tblGrid>
      <w:tr w:rsidR="00AD0FF7" w:rsidRPr="00AD0FF7" w:rsidTr="00FE5BA3">
        <w:trPr>
          <w:trHeight w:val="660"/>
        </w:trPr>
        <w:tc>
          <w:tcPr>
            <w:tcW w:w="8789" w:type="dxa"/>
            <w:gridSpan w:val="8"/>
            <w:tcBorders>
              <w:top w:val="outset" w:sz="6" w:space="0" w:color="auto"/>
              <w:left w:val="outset" w:sz="6" w:space="0" w:color="auto"/>
              <w:bottom w:val="outset" w:sz="6" w:space="0" w:color="auto"/>
              <w:right w:val="outset" w:sz="6" w:space="0" w:color="auto"/>
            </w:tcBorders>
            <w:vAlign w:val="center"/>
            <w:hideMark/>
          </w:tcPr>
          <w:p w:rsidR="00AD0FF7" w:rsidRPr="00AD0FF7" w:rsidRDefault="00AD0FF7" w:rsidP="00AD0FF7">
            <w:pPr>
              <w:pStyle w:val="naisf"/>
              <w:ind w:right="114"/>
              <w:rPr>
                <w:b/>
              </w:rPr>
            </w:pPr>
            <w:r w:rsidRPr="00AD0FF7">
              <w:rPr>
                <w:b/>
              </w:rPr>
              <w:t>V. Tiesību akta projekta atbilstība Latvijas Republikas starptautiskajām saistībām</w:t>
            </w:r>
            <w:r w:rsidR="00FE5BA3">
              <w:rPr>
                <w:b/>
              </w:rPr>
              <w:t xml:space="preserve"> </w:t>
            </w:r>
          </w:p>
        </w:tc>
      </w:tr>
      <w:tr w:rsidR="00AD0FF7" w:rsidRPr="00AD0FF7" w:rsidTr="00AD0FF7">
        <w:tc>
          <w:tcPr>
            <w:tcW w:w="425" w:type="dxa"/>
            <w:tcBorders>
              <w:top w:val="outset" w:sz="6" w:space="0" w:color="auto"/>
              <w:left w:val="outset" w:sz="6" w:space="0" w:color="auto"/>
              <w:bottom w:val="outset" w:sz="6" w:space="0" w:color="auto"/>
              <w:right w:val="outset" w:sz="6" w:space="0" w:color="auto"/>
            </w:tcBorders>
            <w:hideMark/>
          </w:tcPr>
          <w:p w:rsidR="00AD0FF7" w:rsidRPr="00AD0FF7" w:rsidRDefault="00AD0FF7" w:rsidP="00AD0FF7">
            <w:pPr>
              <w:pStyle w:val="naisf"/>
              <w:ind w:right="-766" w:firstLine="114"/>
            </w:pPr>
            <w:r w:rsidRPr="00AD0FF7">
              <w:t>1.</w:t>
            </w:r>
          </w:p>
        </w:tc>
        <w:tc>
          <w:tcPr>
            <w:tcW w:w="3980" w:type="dxa"/>
            <w:gridSpan w:val="4"/>
            <w:tcBorders>
              <w:top w:val="outset" w:sz="6" w:space="0" w:color="auto"/>
              <w:left w:val="outset" w:sz="6" w:space="0" w:color="auto"/>
              <w:bottom w:val="outset" w:sz="6" w:space="0" w:color="auto"/>
              <w:right w:val="outset" w:sz="6" w:space="0" w:color="auto"/>
            </w:tcBorders>
            <w:hideMark/>
          </w:tcPr>
          <w:p w:rsidR="00AD0FF7" w:rsidRPr="00AD0FF7" w:rsidRDefault="00AD0FF7" w:rsidP="00AD0FF7">
            <w:pPr>
              <w:pStyle w:val="naisf"/>
              <w:ind w:right="-766"/>
            </w:pPr>
            <w:r w:rsidRPr="00AD0FF7">
              <w:t>Saistības pret Eiropas Savienību</w:t>
            </w:r>
          </w:p>
        </w:tc>
        <w:tc>
          <w:tcPr>
            <w:tcW w:w="4384" w:type="dxa"/>
            <w:gridSpan w:val="3"/>
            <w:tcBorders>
              <w:top w:val="outset" w:sz="6" w:space="0" w:color="auto"/>
              <w:left w:val="outset" w:sz="6" w:space="0" w:color="auto"/>
              <w:bottom w:val="outset" w:sz="6" w:space="0" w:color="auto"/>
              <w:right w:val="outset" w:sz="6" w:space="0" w:color="auto"/>
            </w:tcBorders>
            <w:hideMark/>
          </w:tcPr>
          <w:p w:rsidR="00AD0FF7" w:rsidRPr="00AD0FF7" w:rsidRDefault="00AD0FF7" w:rsidP="00AD0FF7">
            <w:pPr>
              <w:pStyle w:val="naisf"/>
              <w:ind w:right="114"/>
            </w:pPr>
            <w:r w:rsidRPr="00AD0FF7">
              <w:t>E</w:t>
            </w:r>
            <w:r>
              <w:t>iropas Savienības Padomes 2011. </w:t>
            </w:r>
            <w:r w:rsidRPr="00AD0FF7">
              <w:t>gada 9.</w:t>
            </w:r>
            <w:r>
              <w:t> </w:t>
            </w:r>
            <w:r w:rsidRPr="00AD0FF7">
              <w:t>jūnija lēmums par to, lai Eiropas Savienības</w:t>
            </w:r>
            <w:r>
              <w:t xml:space="preserve"> vārdā apstiprinātu Hāgas 2007. </w:t>
            </w:r>
            <w:r w:rsidRPr="00AD0FF7">
              <w:t>gada 23.</w:t>
            </w:r>
            <w:r>
              <w:t> </w:t>
            </w:r>
            <w:r w:rsidR="00FE5BA3">
              <w:t xml:space="preserve">novembra konvenciju. </w:t>
            </w:r>
          </w:p>
        </w:tc>
      </w:tr>
      <w:tr w:rsidR="00AD0FF7" w:rsidRPr="00AD0FF7" w:rsidTr="00FE5BA3">
        <w:trPr>
          <w:trHeight w:val="551"/>
        </w:trPr>
        <w:tc>
          <w:tcPr>
            <w:tcW w:w="425" w:type="dxa"/>
            <w:tcBorders>
              <w:top w:val="outset" w:sz="6" w:space="0" w:color="auto"/>
              <w:left w:val="outset" w:sz="6" w:space="0" w:color="auto"/>
              <w:bottom w:val="outset" w:sz="6" w:space="0" w:color="auto"/>
              <w:right w:val="outset" w:sz="6" w:space="0" w:color="auto"/>
            </w:tcBorders>
            <w:hideMark/>
          </w:tcPr>
          <w:p w:rsidR="00AD0FF7" w:rsidRPr="00AD0FF7" w:rsidRDefault="00AD0FF7" w:rsidP="00AD0FF7">
            <w:pPr>
              <w:pStyle w:val="naisf"/>
              <w:ind w:right="-766" w:firstLine="114"/>
            </w:pPr>
            <w:r w:rsidRPr="00AD0FF7">
              <w:t>2.</w:t>
            </w:r>
          </w:p>
        </w:tc>
        <w:tc>
          <w:tcPr>
            <w:tcW w:w="3980" w:type="dxa"/>
            <w:gridSpan w:val="4"/>
            <w:tcBorders>
              <w:top w:val="outset" w:sz="6" w:space="0" w:color="auto"/>
              <w:left w:val="outset" w:sz="6" w:space="0" w:color="auto"/>
              <w:bottom w:val="outset" w:sz="6" w:space="0" w:color="auto"/>
              <w:right w:val="outset" w:sz="6" w:space="0" w:color="auto"/>
            </w:tcBorders>
            <w:hideMark/>
          </w:tcPr>
          <w:p w:rsidR="00AD0FF7" w:rsidRPr="00AD0FF7" w:rsidRDefault="00AD0FF7" w:rsidP="00AD0FF7">
            <w:pPr>
              <w:pStyle w:val="naisf"/>
              <w:ind w:right="-766"/>
            </w:pPr>
            <w:r w:rsidRPr="00AD0FF7">
              <w:t>Citas starptautiskās saistības</w:t>
            </w:r>
          </w:p>
        </w:tc>
        <w:tc>
          <w:tcPr>
            <w:tcW w:w="4384" w:type="dxa"/>
            <w:gridSpan w:val="3"/>
            <w:tcBorders>
              <w:top w:val="outset" w:sz="6" w:space="0" w:color="auto"/>
              <w:left w:val="outset" w:sz="6" w:space="0" w:color="auto"/>
              <w:bottom w:val="outset" w:sz="6" w:space="0" w:color="auto"/>
              <w:right w:val="outset" w:sz="6" w:space="0" w:color="auto"/>
            </w:tcBorders>
            <w:hideMark/>
          </w:tcPr>
          <w:p w:rsidR="00AD0FF7" w:rsidRPr="00AD0FF7" w:rsidRDefault="00AD0FF7" w:rsidP="00AD0FF7">
            <w:pPr>
              <w:pStyle w:val="naisf"/>
              <w:ind w:right="114"/>
            </w:pPr>
            <w:r w:rsidRPr="00AD0FF7">
              <w:t>Hāgas 2007. gada 23. novembra konvencija</w:t>
            </w:r>
          </w:p>
        </w:tc>
      </w:tr>
      <w:tr w:rsidR="00AD0FF7" w:rsidRPr="00AD0FF7" w:rsidTr="00FE5BA3">
        <w:trPr>
          <w:trHeight w:val="506"/>
        </w:trPr>
        <w:tc>
          <w:tcPr>
            <w:tcW w:w="425" w:type="dxa"/>
            <w:tcBorders>
              <w:top w:val="outset" w:sz="6" w:space="0" w:color="auto"/>
              <w:left w:val="outset" w:sz="6" w:space="0" w:color="auto"/>
              <w:bottom w:val="outset" w:sz="6" w:space="0" w:color="auto"/>
              <w:right w:val="outset" w:sz="6" w:space="0" w:color="auto"/>
            </w:tcBorders>
            <w:hideMark/>
          </w:tcPr>
          <w:p w:rsidR="00AD0FF7" w:rsidRPr="00AD0FF7" w:rsidRDefault="00AD0FF7" w:rsidP="00AD0FF7">
            <w:pPr>
              <w:pStyle w:val="naisf"/>
              <w:ind w:right="-766" w:firstLine="114"/>
            </w:pPr>
            <w:r w:rsidRPr="00AD0FF7">
              <w:t>3.</w:t>
            </w:r>
          </w:p>
        </w:tc>
        <w:tc>
          <w:tcPr>
            <w:tcW w:w="3980" w:type="dxa"/>
            <w:gridSpan w:val="4"/>
            <w:tcBorders>
              <w:top w:val="outset" w:sz="6" w:space="0" w:color="auto"/>
              <w:left w:val="outset" w:sz="6" w:space="0" w:color="auto"/>
              <w:bottom w:val="outset" w:sz="6" w:space="0" w:color="auto"/>
              <w:right w:val="outset" w:sz="6" w:space="0" w:color="auto"/>
            </w:tcBorders>
            <w:hideMark/>
          </w:tcPr>
          <w:p w:rsidR="00AD0FF7" w:rsidRPr="00AD0FF7" w:rsidRDefault="00AD0FF7" w:rsidP="00AD0FF7">
            <w:pPr>
              <w:pStyle w:val="naisf"/>
              <w:ind w:right="-766"/>
            </w:pPr>
            <w:r w:rsidRPr="00AD0FF7">
              <w:t>Cita informācija</w:t>
            </w:r>
          </w:p>
        </w:tc>
        <w:tc>
          <w:tcPr>
            <w:tcW w:w="4384" w:type="dxa"/>
            <w:gridSpan w:val="3"/>
            <w:tcBorders>
              <w:top w:val="outset" w:sz="6" w:space="0" w:color="auto"/>
              <w:left w:val="outset" w:sz="6" w:space="0" w:color="auto"/>
              <w:bottom w:val="outset" w:sz="6" w:space="0" w:color="auto"/>
              <w:right w:val="outset" w:sz="6" w:space="0" w:color="auto"/>
            </w:tcBorders>
            <w:hideMark/>
          </w:tcPr>
          <w:p w:rsidR="00AD0FF7" w:rsidRPr="00AD0FF7" w:rsidRDefault="00AD0FF7" w:rsidP="00AD0FF7">
            <w:pPr>
              <w:pStyle w:val="naisf"/>
              <w:ind w:right="-766"/>
            </w:pPr>
            <w:r w:rsidRPr="00AD0FF7">
              <w:t>Nav</w:t>
            </w:r>
          </w:p>
        </w:tc>
      </w:tr>
      <w:tr w:rsidR="00AD0FF7" w:rsidRPr="00AD0FF7" w:rsidTr="00FE5BA3">
        <w:trPr>
          <w:trHeight w:val="626"/>
        </w:trPr>
        <w:tc>
          <w:tcPr>
            <w:tcW w:w="8789" w:type="dxa"/>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AD0FF7" w:rsidRDefault="00AD0FF7" w:rsidP="00FE5BA3">
            <w:pPr>
              <w:pStyle w:val="naisf"/>
              <w:spacing w:before="0" w:after="0"/>
              <w:ind w:right="-765" w:firstLine="374"/>
              <w:rPr>
                <w:b/>
              </w:rPr>
            </w:pPr>
            <w:r w:rsidRPr="00AD0FF7">
              <w:rPr>
                <w:b/>
              </w:rPr>
              <w:lastRenderedPageBreak/>
              <w:t>1.tabula</w:t>
            </w:r>
          </w:p>
          <w:p w:rsidR="00AD0FF7" w:rsidRPr="00AD0FF7" w:rsidRDefault="00AD0FF7" w:rsidP="00FE5BA3">
            <w:pPr>
              <w:pStyle w:val="naisf"/>
              <w:spacing w:before="0" w:after="0"/>
              <w:ind w:right="-765" w:firstLine="374"/>
              <w:rPr>
                <w:b/>
                <w:bCs/>
              </w:rPr>
            </w:pPr>
            <w:r w:rsidRPr="00AD0FF7">
              <w:rPr>
                <w:b/>
              </w:rPr>
              <w:t>Tiesību akta projekta atbilstība ES tiesību aktiem</w:t>
            </w:r>
          </w:p>
        </w:tc>
      </w:tr>
      <w:tr w:rsidR="00AD0FF7" w:rsidRPr="00AD0FF7" w:rsidTr="00FE5BA3">
        <w:trPr>
          <w:trHeight w:val="1189"/>
        </w:trPr>
        <w:tc>
          <w:tcPr>
            <w:tcW w:w="3969"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AD0FF7" w:rsidRDefault="00AD0FF7" w:rsidP="00AD0FF7">
            <w:pPr>
              <w:pStyle w:val="naisf"/>
              <w:ind w:right="147"/>
              <w:rPr>
                <w:b/>
                <w:bCs/>
              </w:rPr>
            </w:pPr>
            <w:r w:rsidRPr="00AD0FF7">
              <w:t>Attiecīgā ES tiesību akta datums, numurs un nosaukums</w:t>
            </w:r>
          </w:p>
        </w:tc>
        <w:tc>
          <w:tcPr>
            <w:tcW w:w="4820"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AD0FF7" w:rsidRDefault="00AD0FF7" w:rsidP="00FE5BA3">
            <w:pPr>
              <w:pStyle w:val="naisf"/>
              <w:ind w:right="113" w:firstLine="374"/>
              <w:rPr>
                <w:b/>
                <w:bCs/>
              </w:rPr>
            </w:pPr>
            <w:r w:rsidRPr="00AD0FF7">
              <w:t>Eiropas S</w:t>
            </w:r>
            <w:r>
              <w:t>avienības Padomes 2011. gada 9. </w:t>
            </w:r>
            <w:r w:rsidRPr="00AD0FF7">
              <w:t xml:space="preserve">jūnija lēmums </w:t>
            </w:r>
            <w:proofErr w:type="spellStart"/>
            <w:r w:rsidRPr="00AD0FF7">
              <w:t>Nr</w:t>
            </w:r>
            <w:proofErr w:type="spellEnd"/>
            <w:r w:rsidRPr="00AD0FF7">
              <w:t>. 432 par to, lai Eiropas Savienības vārdā ap</w:t>
            </w:r>
            <w:r>
              <w:t>stiprinātu Hāgas 2007. gada 23. </w:t>
            </w:r>
            <w:r w:rsidRPr="00AD0FF7">
              <w:t>novembra konvenciju</w:t>
            </w:r>
            <w:r w:rsidR="00FE5BA3">
              <w:t>.</w:t>
            </w:r>
            <w:r w:rsidRPr="00AD0FF7">
              <w:t xml:space="preserve"> </w:t>
            </w:r>
          </w:p>
        </w:tc>
      </w:tr>
      <w:tr w:rsidR="00AD0FF7" w:rsidRPr="00AD0FF7" w:rsidTr="00AD0FF7">
        <w:trPr>
          <w:trHeight w:val="210"/>
        </w:trPr>
        <w:tc>
          <w:tcPr>
            <w:tcW w:w="198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AD0FF7" w:rsidRDefault="00AD0FF7" w:rsidP="00AD0FF7">
            <w:pPr>
              <w:pStyle w:val="naisf"/>
              <w:ind w:right="-766"/>
              <w:rPr>
                <w:bCs/>
              </w:rPr>
            </w:pPr>
            <w:r w:rsidRPr="00AD0FF7">
              <w:rPr>
                <w:bCs/>
              </w:rPr>
              <w:t>A</w:t>
            </w:r>
          </w:p>
        </w:tc>
        <w:tc>
          <w:tcPr>
            <w:tcW w:w="198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AD0FF7" w:rsidRDefault="00AD0FF7" w:rsidP="00AD0FF7">
            <w:pPr>
              <w:pStyle w:val="naisf"/>
              <w:ind w:right="-766"/>
              <w:rPr>
                <w:bCs/>
              </w:rPr>
            </w:pPr>
            <w:r w:rsidRPr="00AD0FF7">
              <w:rPr>
                <w:bCs/>
              </w:rPr>
              <w:t>B</w:t>
            </w:r>
          </w:p>
        </w:tc>
        <w:tc>
          <w:tcPr>
            <w:tcW w:w="2410"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AD0FF7" w:rsidRDefault="00AD0FF7" w:rsidP="00AD0FF7">
            <w:pPr>
              <w:pStyle w:val="naisf"/>
              <w:ind w:right="-766"/>
              <w:rPr>
                <w:bCs/>
              </w:rPr>
            </w:pPr>
            <w:r w:rsidRPr="00AD0FF7">
              <w:rPr>
                <w:bCs/>
              </w:rPr>
              <w:t>C</w:t>
            </w:r>
          </w:p>
        </w:tc>
        <w:tc>
          <w:tcPr>
            <w:tcW w:w="2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AD0FF7" w:rsidRDefault="00AD0FF7" w:rsidP="00AD0FF7">
            <w:pPr>
              <w:pStyle w:val="naisf"/>
              <w:ind w:right="-766"/>
              <w:rPr>
                <w:bCs/>
              </w:rPr>
            </w:pPr>
            <w:r w:rsidRPr="00AD0FF7">
              <w:rPr>
                <w:bCs/>
              </w:rPr>
              <w:t>D</w:t>
            </w:r>
          </w:p>
        </w:tc>
      </w:tr>
      <w:tr w:rsidR="00AD0FF7" w:rsidRPr="00AD0FF7" w:rsidTr="00AD0FF7">
        <w:trPr>
          <w:trHeight w:val="210"/>
        </w:trPr>
        <w:tc>
          <w:tcPr>
            <w:tcW w:w="198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AD0FF7" w:rsidRDefault="00AD0FF7" w:rsidP="00AD0FF7">
            <w:pPr>
              <w:pStyle w:val="naisf"/>
              <w:ind w:right="-766"/>
              <w:rPr>
                <w:bCs/>
              </w:rPr>
            </w:pPr>
            <w:r w:rsidRPr="00AD0FF7">
              <w:rPr>
                <w:bCs/>
              </w:rPr>
              <w:t>Nav attiecināms</w:t>
            </w:r>
          </w:p>
        </w:tc>
        <w:tc>
          <w:tcPr>
            <w:tcW w:w="198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AD0FF7" w:rsidRDefault="00AD0FF7" w:rsidP="00AD0FF7">
            <w:pPr>
              <w:pStyle w:val="naisf"/>
              <w:ind w:right="-766"/>
              <w:rPr>
                <w:bCs/>
              </w:rPr>
            </w:pPr>
            <w:r w:rsidRPr="00AD0FF7">
              <w:rPr>
                <w:bCs/>
              </w:rPr>
              <w:t>Nav attiecināms</w:t>
            </w:r>
          </w:p>
        </w:tc>
        <w:tc>
          <w:tcPr>
            <w:tcW w:w="2410"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AD0FF7" w:rsidRDefault="00AD0FF7" w:rsidP="00AD0FF7">
            <w:pPr>
              <w:pStyle w:val="naisf"/>
              <w:ind w:right="-766"/>
              <w:rPr>
                <w:bCs/>
              </w:rPr>
            </w:pPr>
            <w:r w:rsidRPr="00AD0FF7">
              <w:rPr>
                <w:bCs/>
              </w:rPr>
              <w:t>Nav attiecināms</w:t>
            </w:r>
          </w:p>
        </w:tc>
        <w:tc>
          <w:tcPr>
            <w:tcW w:w="2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AD0FF7" w:rsidRDefault="00AD0FF7" w:rsidP="00AD0FF7">
            <w:pPr>
              <w:pStyle w:val="naisf"/>
              <w:ind w:right="112"/>
              <w:rPr>
                <w:bCs/>
              </w:rPr>
            </w:pPr>
            <w:r w:rsidRPr="00AD0FF7">
              <w:rPr>
                <w:bCs/>
              </w:rPr>
              <w:t>Nav attiecināms</w:t>
            </w:r>
          </w:p>
        </w:tc>
      </w:tr>
      <w:tr w:rsidR="00AD0FF7" w:rsidRPr="00AD0FF7" w:rsidTr="00FE5BA3">
        <w:trPr>
          <w:trHeight w:val="1987"/>
        </w:trPr>
        <w:tc>
          <w:tcPr>
            <w:tcW w:w="2552"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AD0FF7" w:rsidRDefault="00AD0FF7" w:rsidP="00AD0FF7">
            <w:pPr>
              <w:pStyle w:val="naisf"/>
              <w:ind w:right="112"/>
              <w:rPr>
                <w:b/>
                <w:bCs/>
              </w:rPr>
            </w:pPr>
            <w:r w:rsidRPr="00AD0FF7">
              <w:t>Kā ir izmantota ES tiesību aktā paredzētā rīcības brīvība dalībvalstij pārņemt vai ieviest noteiktas ES tiesību akta normas. Kādēļ?</w:t>
            </w:r>
          </w:p>
        </w:tc>
        <w:tc>
          <w:tcPr>
            <w:tcW w:w="6237"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AD0FF7" w:rsidRDefault="00AD0FF7" w:rsidP="00AD0FF7">
            <w:pPr>
              <w:pStyle w:val="naisf"/>
              <w:ind w:right="-766"/>
              <w:rPr>
                <w:b/>
                <w:bCs/>
              </w:rPr>
            </w:pPr>
            <w:r w:rsidRPr="00AD0FF7">
              <w:t>Nav attiecināms</w:t>
            </w:r>
          </w:p>
        </w:tc>
      </w:tr>
      <w:tr w:rsidR="00AD0FF7" w:rsidRPr="00AD0FF7" w:rsidTr="00AD0FF7">
        <w:trPr>
          <w:trHeight w:val="419"/>
        </w:trPr>
        <w:tc>
          <w:tcPr>
            <w:tcW w:w="2552"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AD0FF7" w:rsidRDefault="00AD0FF7" w:rsidP="00FE5BA3">
            <w:pPr>
              <w:pStyle w:val="naisf"/>
              <w:ind w:right="113" w:firstLine="374"/>
              <w:rPr>
                <w:b/>
                <w:bCs/>
              </w:rPr>
            </w:pPr>
            <w:r w:rsidRPr="00AD0FF7">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237"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AD0FF7" w:rsidRDefault="00AD0FF7" w:rsidP="00AD0FF7">
            <w:pPr>
              <w:pStyle w:val="naisf"/>
              <w:ind w:right="-766"/>
              <w:rPr>
                <w:b/>
                <w:bCs/>
              </w:rPr>
            </w:pPr>
            <w:r w:rsidRPr="00AD0FF7">
              <w:t>Nav</w:t>
            </w:r>
          </w:p>
        </w:tc>
      </w:tr>
      <w:tr w:rsidR="00AD0FF7" w:rsidRPr="00AD0FF7" w:rsidTr="00FE5BA3">
        <w:trPr>
          <w:trHeight w:val="410"/>
        </w:trPr>
        <w:tc>
          <w:tcPr>
            <w:tcW w:w="2552"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AD0FF7" w:rsidRDefault="00AD0FF7" w:rsidP="00AD0FF7">
            <w:pPr>
              <w:pStyle w:val="naisf"/>
              <w:ind w:right="112"/>
              <w:rPr>
                <w:b/>
                <w:bCs/>
              </w:rPr>
            </w:pPr>
            <w:r w:rsidRPr="00AD0FF7">
              <w:t>Cita informācija</w:t>
            </w:r>
          </w:p>
        </w:tc>
        <w:tc>
          <w:tcPr>
            <w:tcW w:w="6237"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AD0FF7" w:rsidRDefault="00AD0FF7" w:rsidP="00AD0FF7">
            <w:pPr>
              <w:pStyle w:val="naisf"/>
              <w:ind w:right="-766"/>
              <w:rPr>
                <w:b/>
                <w:bCs/>
              </w:rPr>
            </w:pPr>
            <w:r w:rsidRPr="00AD0FF7">
              <w:t>Nav</w:t>
            </w:r>
          </w:p>
        </w:tc>
      </w:tr>
      <w:tr w:rsidR="00AD0FF7" w:rsidRPr="00AD0FF7" w:rsidTr="00AD0FF7">
        <w:trPr>
          <w:trHeight w:val="15"/>
        </w:trPr>
        <w:tc>
          <w:tcPr>
            <w:tcW w:w="8789" w:type="dxa"/>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AD0FF7" w:rsidRDefault="00AD0FF7" w:rsidP="00FE5BA3">
            <w:pPr>
              <w:pStyle w:val="naisf"/>
              <w:ind w:left="397" w:right="113" w:firstLine="0"/>
            </w:pPr>
            <w:r w:rsidRPr="00AD0FF7">
              <w:rPr>
                <w:b/>
                <w:bCs/>
              </w:rPr>
              <w:t>2.tabula</w:t>
            </w:r>
            <w:r w:rsidRPr="00AD0FF7">
              <w:rPr>
                <w:b/>
                <w:bCs/>
              </w:rPr>
              <w:br/>
              <w:t>Ar tiesību akta projektu izpildītās vai uzņemtās saistības, kas izriet no starptautiskajiem tiesību aktiem vai starptautiskas institūcijas vai organizācijas dokumentiem.</w:t>
            </w:r>
            <w:r w:rsidRPr="00AD0FF7">
              <w:rPr>
                <w:b/>
                <w:bCs/>
              </w:rPr>
              <w:br/>
              <w:t>Pasākumi šo saistību izpildei</w:t>
            </w:r>
            <w:r w:rsidR="00FE5BA3">
              <w:rPr>
                <w:b/>
                <w:bCs/>
              </w:rPr>
              <w:t xml:space="preserve"> </w:t>
            </w:r>
          </w:p>
        </w:tc>
      </w:tr>
      <w:tr w:rsidR="00AD0FF7" w:rsidRPr="00AD0FF7" w:rsidTr="00AD0FF7">
        <w:trPr>
          <w:trHeight w:val="15"/>
        </w:trPr>
        <w:tc>
          <w:tcPr>
            <w:tcW w:w="2552"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AD0FF7" w:rsidRDefault="00AD0FF7" w:rsidP="00AD0FF7">
            <w:pPr>
              <w:pStyle w:val="naisf"/>
              <w:ind w:right="118"/>
            </w:pPr>
            <w:r w:rsidRPr="00AD0FF7">
              <w:t>Attiecīgā starptautiskā tiesību akta vai starptautiskas institūcijas vai organizācijas dokumenta (turpmāk – starptautiskais dokuments) datums, numurs un nosaukums</w:t>
            </w:r>
          </w:p>
        </w:tc>
        <w:tc>
          <w:tcPr>
            <w:tcW w:w="6237"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0FF7" w:rsidRPr="00AD0FF7" w:rsidRDefault="00AD0FF7" w:rsidP="00AD0FF7">
            <w:pPr>
              <w:pStyle w:val="naisf"/>
              <w:ind w:right="-766"/>
            </w:pPr>
            <w:r w:rsidRPr="00AD0FF7">
              <w:t>Hāgas 2007. gada 23. novembra konvencija</w:t>
            </w:r>
          </w:p>
        </w:tc>
      </w:tr>
      <w:tr w:rsidR="00AD0FF7" w:rsidRPr="00AD0FF7" w:rsidTr="00AD0FF7">
        <w:trPr>
          <w:trHeight w:val="15"/>
        </w:trPr>
        <w:tc>
          <w:tcPr>
            <w:tcW w:w="2552"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AD0FF7" w:rsidRDefault="00AD0FF7" w:rsidP="00AD0FF7">
            <w:pPr>
              <w:pStyle w:val="naisf"/>
              <w:ind w:right="-766"/>
            </w:pPr>
            <w:r w:rsidRPr="00AD0FF7">
              <w:lastRenderedPageBreak/>
              <w:t>A</w:t>
            </w:r>
          </w:p>
        </w:tc>
        <w:tc>
          <w:tcPr>
            <w:tcW w:w="3260"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AD0FF7" w:rsidRDefault="00AD0FF7" w:rsidP="00AD0FF7">
            <w:pPr>
              <w:pStyle w:val="naisf"/>
              <w:ind w:right="-766"/>
            </w:pPr>
            <w:r w:rsidRPr="00AD0FF7">
              <w:t>B</w:t>
            </w:r>
          </w:p>
        </w:tc>
        <w:tc>
          <w:tcPr>
            <w:tcW w:w="297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AD0FF7" w:rsidRDefault="00AD0FF7" w:rsidP="00AD0FF7">
            <w:pPr>
              <w:pStyle w:val="naisf"/>
              <w:ind w:right="-766"/>
            </w:pPr>
            <w:r w:rsidRPr="00AD0FF7">
              <w:t>C</w:t>
            </w:r>
          </w:p>
        </w:tc>
      </w:tr>
      <w:tr w:rsidR="00AD0FF7" w:rsidRPr="00AD0FF7" w:rsidTr="00AD0FF7">
        <w:trPr>
          <w:trHeight w:val="15"/>
        </w:trPr>
        <w:tc>
          <w:tcPr>
            <w:tcW w:w="2552"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D0FF7" w:rsidRPr="00AD0FF7" w:rsidRDefault="00AD0FF7" w:rsidP="00AD0FF7">
            <w:pPr>
              <w:pStyle w:val="naisf"/>
              <w:ind w:right="118"/>
            </w:pPr>
            <w:r w:rsidRPr="00AD0FF7">
              <w:t>Hāgas 2007. gada 23. novembra konvencijas vispārējs mērķis ir nodrošināt uzturlīdzekļu un cita veida ģimenes uzturēšanas līdzekļu efektīvu pārrobežu piedziņu, jo īpaši, izveidojot līgumslēdzēju valstu iestāžu visaptverošu sadarbības sistēmu, nodrošinot iespēju iesniegt pieteikumus uzturēšanas nolēmumu pieņemšanai, paredzot uzturēšanas nolēmumu atzīšanu un izpildi, kā arī pieprasot efektīvus pasākumus uzturēšanas nolēmumu tūlītējai izpildei. Tādējādi tas ļaus uztura kreditoriem viegli, ātri un lielākoties bez maksas iegūt izpildes dokumentu, kas būtu brīvi un bez šķēršļiem izpildāms Hāgas 2007. gada 23. novembra konvencijas dalībvalstu, tajā skaitā, trešo valstu tiesiskajā telpā.</w:t>
            </w:r>
          </w:p>
          <w:p w:rsidR="00AD0FF7" w:rsidRPr="00AD0FF7" w:rsidRDefault="00AD0FF7" w:rsidP="00AD0FF7">
            <w:pPr>
              <w:pStyle w:val="naisf"/>
              <w:ind w:right="118"/>
            </w:pPr>
            <w:r w:rsidRPr="00AD0FF7">
              <w:t xml:space="preserve"> </w:t>
            </w:r>
            <w:r w:rsidRPr="00AD0FF7">
              <w:rPr>
                <w:u w:val="single"/>
              </w:rPr>
              <w:t>4. panta 1. punkts</w:t>
            </w:r>
            <w:r w:rsidRPr="00AD0FF7">
              <w:t xml:space="preserve"> - Līgumslēdzēja valsts izraugās centrālo iestādi to pienākumu pildīšanai, kurus šādai iestādei uzliek Konvencija.</w:t>
            </w:r>
          </w:p>
          <w:p w:rsidR="00AD0FF7" w:rsidRPr="00AD0FF7" w:rsidRDefault="00AD0FF7" w:rsidP="00AD0FF7">
            <w:pPr>
              <w:pStyle w:val="naisf"/>
              <w:ind w:right="118"/>
            </w:pPr>
            <w:r w:rsidRPr="00AD0FF7">
              <w:t xml:space="preserve">Tādējādi nepieciešams izdarīt attiecīgus grozījumus normatīvajos aktos, lai atbilstoši  Hāgas 2007. gada 23. novembra </w:t>
            </w:r>
            <w:r w:rsidRPr="00AD0FF7">
              <w:lastRenderedPageBreak/>
              <w:t>konvencijā noteiktajam ieceltu centrālo iestādi  Hāgas 2007. gada 23. novembra konvencijas kontekstā, kā arī, lai noteiktu kārtību un apjomu, kādā centrālā iestāde veiks savas funkcijas.</w:t>
            </w:r>
            <w:r w:rsidR="003E066B">
              <w:t xml:space="preserve"> </w:t>
            </w:r>
          </w:p>
          <w:p w:rsidR="00AD0FF7" w:rsidRPr="00AD0FF7" w:rsidRDefault="00AD0FF7" w:rsidP="00AD0FF7">
            <w:pPr>
              <w:pStyle w:val="naisf"/>
              <w:ind w:right="-766"/>
            </w:pPr>
          </w:p>
        </w:tc>
        <w:tc>
          <w:tcPr>
            <w:tcW w:w="3260"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0FF7" w:rsidRPr="00AD0FF7" w:rsidRDefault="00AD0FF7" w:rsidP="00AD0FF7">
            <w:pPr>
              <w:pStyle w:val="naisf"/>
              <w:ind w:right="144"/>
            </w:pPr>
            <w:r w:rsidRPr="00AD0FF7">
              <w:rPr>
                <w:bCs/>
                <w:u w:val="single"/>
              </w:rPr>
              <w:lastRenderedPageBreak/>
              <w:t>4. panta otrā daļa</w:t>
            </w:r>
            <w:r w:rsidRPr="00AD0FF7">
              <w:rPr>
                <w:bCs/>
              </w:rPr>
              <w:t xml:space="preserve"> - </w:t>
            </w:r>
            <w:r w:rsidRPr="00AD0FF7">
              <w:t xml:space="preserve">Padomes 2008. gada 18. decembra regulā (EK) </w:t>
            </w:r>
            <w:proofErr w:type="spellStart"/>
            <w:r w:rsidRPr="00AD0FF7">
              <w:t>Nr</w:t>
            </w:r>
            <w:proofErr w:type="spellEnd"/>
            <w:r w:rsidRPr="00AD0FF7">
              <w:t xml:space="preserve">. </w:t>
            </w:r>
            <w:r w:rsidRPr="00042328">
              <w:t>4/2009</w:t>
            </w:r>
            <w:r w:rsidRPr="00AD0FF7">
              <w:t xml:space="preserve"> par jurisdikciju, piemērojamiem tiesību aktiem, nolēmumu atzīšanu un izpildi un sadarbību uzturēšanas saistību lietās (turpmāk — Padomes regula </w:t>
            </w:r>
            <w:proofErr w:type="spellStart"/>
            <w:r w:rsidRPr="00AD0FF7">
              <w:t>Nr</w:t>
            </w:r>
            <w:proofErr w:type="spellEnd"/>
            <w:r w:rsidRPr="00AD0FF7">
              <w:t xml:space="preserve">. </w:t>
            </w:r>
            <w:r w:rsidRPr="00042328">
              <w:t>4/2009</w:t>
            </w:r>
            <w:r w:rsidRPr="00AD0FF7">
              <w:t xml:space="preserve">) un Hāgas 2007. gada 23. novembra Konvencijā par uzturlīdzekļu bērniem un cita veida ģimenes uzturēšanas līdzekļu pārrobežu piedziņu (turpmāk – Hāgas 2007. gada 23. novembra konvencija) noteiktos centrālās iestādes pienākumus veic Fonda administrācija. Kārtību un apjomu, kādā Fonda administrācija Padomes regulā </w:t>
            </w:r>
            <w:proofErr w:type="spellStart"/>
            <w:r w:rsidRPr="00AD0FF7">
              <w:t>Nr</w:t>
            </w:r>
            <w:proofErr w:type="spellEnd"/>
            <w:r w:rsidRPr="00AD0FF7">
              <w:t xml:space="preserve">. </w:t>
            </w:r>
            <w:r w:rsidRPr="00042328">
              <w:t>4/2009</w:t>
            </w:r>
            <w:r w:rsidRPr="00AD0FF7">
              <w:t xml:space="preserve"> un Hāgas 2007. gada 23. novembra konvencijā noteiktajos gadījumos sniedz personām juridisko palīdzību, īsteno noteiktās tiesības un centrālās iestādes funkcijas, kā arī pilda minētajā regulā un konvencijā noteiktos centrālās iestādes uzdevumus, nosaka Ministru kabinets.</w:t>
            </w:r>
          </w:p>
          <w:p w:rsidR="00AD0FF7" w:rsidRPr="00AD0FF7" w:rsidRDefault="00AD0FF7" w:rsidP="00AD0FF7">
            <w:pPr>
              <w:pStyle w:val="naisf"/>
              <w:ind w:right="144"/>
              <w:rPr>
                <w:bCs/>
              </w:rPr>
            </w:pPr>
            <w:r w:rsidRPr="00AD0FF7">
              <w:rPr>
                <w:bCs/>
              </w:rPr>
              <w:t xml:space="preserve"> </w:t>
            </w:r>
          </w:p>
          <w:p w:rsidR="00AD0FF7" w:rsidRDefault="00AD0FF7" w:rsidP="00AD0FF7">
            <w:pPr>
              <w:pStyle w:val="naisf"/>
              <w:ind w:right="144"/>
            </w:pPr>
            <w:r w:rsidRPr="00AD0FF7">
              <w:rPr>
                <w:bCs/>
                <w:u w:val="single"/>
              </w:rPr>
              <w:t>5. panta otrās daļas 4. punkts</w:t>
            </w:r>
            <w:r w:rsidRPr="00AD0FF7">
              <w:rPr>
                <w:bCs/>
              </w:rPr>
              <w:t xml:space="preserve"> - </w:t>
            </w:r>
            <w:r w:rsidRPr="00AD0FF7">
              <w:t xml:space="preserve">ja nepieciešams, bez īpaša pilnvarojuma pārstāvēt tiesā un citās valsts un pašvaldību iestādēs personas, kurām saskaņā ar Padomes regulu </w:t>
            </w:r>
            <w:proofErr w:type="spellStart"/>
            <w:r w:rsidRPr="00AD0FF7">
              <w:t>Nr</w:t>
            </w:r>
            <w:proofErr w:type="spellEnd"/>
            <w:r w:rsidRPr="00AD0FF7">
              <w:t>. </w:t>
            </w:r>
            <w:hyperlink r:id="rId12" w:tgtFrame="_blank" w:tooltip="Atvērt regulu latviešu valodā" w:history="1">
              <w:r w:rsidRPr="00FE5BA3">
                <w:rPr>
                  <w:rStyle w:val="Hipersaite"/>
                  <w:color w:val="auto"/>
                  <w:u w:val="none"/>
                </w:rPr>
                <w:t>4/2009</w:t>
              </w:r>
            </w:hyperlink>
            <w:r w:rsidRPr="00FE5BA3">
              <w:t xml:space="preserve"> vai Hāgas 2007. gada 23. novembra konvenciju ir tiesības uz juridisko palīdzību, tas ir, ārvalsts prasītājus pārrobežu uzturlīdzekļu piedziņas lietās bērnam vai citām personām (saskaņā ar Padomes regulu </w:t>
            </w:r>
            <w:proofErr w:type="spellStart"/>
            <w:r w:rsidRPr="00FE5BA3">
              <w:t>Nr</w:t>
            </w:r>
            <w:proofErr w:type="spellEnd"/>
            <w:r w:rsidRPr="00FE5BA3">
              <w:t xml:space="preserve">. </w:t>
            </w:r>
            <w:hyperlink r:id="rId13" w:tgtFrame="_blank" w:tooltip="Atvērt regulu latviešu valodā" w:history="1">
              <w:r w:rsidRPr="00FE5BA3">
                <w:rPr>
                  <w:rStyle w:val="Hipersaite"/>
                  <w:color w:val="auto"/>
                  <w:u w:val="none"/>
                </w:rPr>
                <w:t>4/2009</w:t>
              </w:r>
            </w:hyperlink>
            <w:r w:rsidRPr="00FE5BA3">
              <w:t xml:space="preserve"> vai Hāgas 2007. gada 23. novembra konvenciju), ārvalsts prasītājus pārrobežu paternitātes noteikšanas lietās, ja prasība saskaņā ar Padomes regulu </w:t>
            </w:r>
            <w:proofErr w:type="spellStart"/>
            <w:r w:rsidRPr="00FE5BA3">
              <w:t>Nr</w:t>
            </w:r>
            <w:proofErr w:type="spellEnd"/>
            <w:r w:rsidRPr="00FE5BA3">
              <w:t xml:space="preserve">. </w:t>
            </w:r>
            <w:hyperlink r:id="rId14" w:tgtFrame="_blank" w:tooltip="Atvērt regulu latviešu valodā" w:history="1">
              <w:r w:rsidRPr="00FE5BA3">
                <w:rPr>
                  <w:rStyle w:val="Hipersaite"/>
                  <w:color w:val="auto"/>
                  <w:u w:val="none"/>
                </w:rPr>
                <w:t>4/2009</w:t>
              </w:r>
            </w:hyperlink>
            <w:r w:rsidRPr="00FE5BA3">
              <w:t xml:space="preserve"> vai Hāgas 2007. gada 23. novembra konvenciju celta vienlaikus ar prasību par uzturlīdzekļu piedziņu bērnam, kā arī ārvalsts pieteikuma iesniedzējus lietās par ārvalsts tiesu nolēmumu par uzturlīdzekļu piedziņu bērnam vai citām personām atzīšanu vai izpildes pasludināšanu Padomes regulā </w:t>
            </w:r>
            <w:proofErr w:type="spellStart"/>
            <w:r w:rsidRPr="00FE5BA3">
              <w:t>Nr</w:t>
            </w:r>
            <w:proofErr w:type="spellEnd"/>
            <w:r w:rsidRPr="00FE5BA3">
              <w:t xml:space="preserve">. </w:t>
            </w:r>
            <w:hyperlink r:id="rId15" w:tgtFrame="_blank" w:tooltip="Atvērt regulu latviešu valodā" w:history="1">
              <w:r w:rsidRPr="00FE5BA3">
                <w:rPr>
                  <w:rStyle w:val="Hipersaite"/>
                  <w:color w:val="auto"/>
                  <w:u w:val="none"/>
                </w:rPr>
                <w:t>4/2009</w:t>
              </w:r>
            </w:hyperlink>
            <w:r w:rsidRPr="00FE5BA3">
              <w:t xml:space="preserve"> vai </w:t>
            </w:r>
            <w:r w:rsidRPr="00AD0FF7">
              <w:t>Hāgas 2007. gada 23. novembra konvencijā paredzētajos gadījumos.</w:t>
            </w:r>
          </w:p>
          <w:p w:rsidR="00795C81" w:rsidRPr="00AD0FF7" w:rsidRDefault="00795C81" w:rsidP="00AD0FF7">
            <w:pPr>
              <w:pStyle w:val="naisf"/>
              <w:ind w:right="144"/>
            </w:pPr>
          </w:p>
        </w:tc>
        <w:tc>
          <w:tcPr>
            <w:tcW w:w="297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D0FF7" w:rsidRPr="00AD0FF7" w:rsidRDefault="00AD0FF7" w:rsidP="00AD0FF7">
            <w:pPr>
              <w:pStyle w:val="naisf"/>
              <w:ind w:right="112"/>
            </w:pPr>
            <w:r w:rsidRPr="00AD0FF7">
              <w:lastRenderedPageBreak/>
              <w:t xml:space="preserve">Ņemot vērā to, ka Hāgas 2007. gada 23. novembra konvencija ir attiecināma uz Fonda administrāciju tikai tajā noteiktās centrālās iestādes un juridiskās palīdzības sniedzēja kontekstā, tad arī tikai šajā daļā tā tiek pārņemta. </w:t>
            </w:r>
          </w:p>
          <w:p w:rsidR="00AD0FF7" w:rsidRPr="00AD0FF7" w:rsidRDefault="00AD0FF7" w:rsidP="00AD0FF7">
            <w:pPr>
              <w:pStyle w:val="naisf"/>
              <w:ind w:right="112"/>
            </w:pPr>
            <w:r w:rsidRPr="00AD0FF7">
              <w:t>Likumprojektā ietvertais regulējums neparedz stingrākas prasības nekā to paredz Hāgas 2007. gada 23. novembra konvencija.</w:t>
            </w:r>
            <w:r w:rsidR="00FE5BA3">
              <w:t xml:space="preserve"> </w:t>
            </w:r>
          </w:p>
          <w:p w:rsidR="00AD0FF7" w:rsidRPr="00AD0FF7" w:rsidRDefault="00AD0FF7" w:rsidP="00AD0FF7">
            <w:pPr>
              <w:pStyle w:val="naisf"/>
              <w:ind w:right="-766"/>
            </w:pPr>
          </w:p>
        </w:tc>
      </w:tr>
      <w:tr w:rsidR="00AD0FF7" w:rsidRPr="00AD0FF7" w:rsidTr="00AD0FF7">
        <w:trPr>
          <w:trHeight w:val="15"/>
        </w:trPr>
        <w:tc>
          <w:tcPr>
            <w:tcW w:w="2552"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0FF7" w:rsidRPr="00AD0FF7" w:rsidRDefault="00AD0FF7" w:rsidP="00AD0FF7">
            <w:pPr>
              <w:pStyle w:val="naisf"/>
              <w:ind w:right="118" w:firstLine="112"/>
            </w:pPr>
            <w:r w:rsidRPr="00AD0FF7">
              <w:lastRenderedPageBreak/>
              <w:t>Vai starptautiskajā dokumentā paredzētās saistības nav pretrunā ar jau esošajām Latvijas Republikas starptautiskajām saistībām</w:t>
            </w:r>
            <w:r w:rsidR="009F2BEC">
              <w:t xml:space="preserve"> </w:t>
            </w:r>
          </w:p>
        </w:tc>
        <w:tc>
          <w:tcPr>
            <w:tcW w:w="6237"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0FF7" w:rsidRPr="00AD0FF7" w:rsidRDefault="00AD0FF7" w:rsidP="00AD0FF7">
            <w:pPr>
              <w:pStyle w:val="naisf"/>
              <w:ind w:left="106" w:right="112" w:firstLine="0"/>
            </w:pPr>
            <w:r w:rsidRPr="00AD0FF7">
              <w:t>Hāgas 2007. gada 23. novembra konvencijā paredzētās saistības nav pretrunā ar jau esošajām Latvijas Republikas starptautiskajām saistībām.</w:t>
            </w:r>
          </w:p>
        </w:tc>
      </w:tr>
      <w:tr w:rsidR="00AD0FF7" w:rsidRPr="00AD0FF7" w:rsidTr="00AD0FF7">
        <w:trPr>
          <w:trHeight w:val="15"/>
        </w:trPr>
        <w:tc>
          <w:tcPr>
            <w:tcW w:w="2552"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0FF7" w:rsidRPr="00AD0FF7" w:rsidRDefault="00AD0FF7" w:rsidP="00AD0FF7">
            <w:pPr>
              <w:pStyle w:val="naisf"/>
              <w:ind w:right="-766"/>
            </w:pPr>
            <w:r w:rsidRPr="00AD0FF7">
              <w:t>Cita informācija</w:t>
            </w:r>
          </w:p>
        </w:tc>
        <w:tc>
          <w:tcPr>
            <w:tcW w:w="6237"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0FF7" w:rsidRDefault="00AD0FF7" w:rsidP="00AD0FF7">
            <w:pPr>
              <w:pStyle w:val="naisf"/>
              <w:ind w:right="-766" w:firstLine="0"/>
            </w:pPr>
            <w:r w:rsidRPr="00AD0FF7">
              <w:t>Nav</w:t>
            </w:r>
            <w:r w:rsidR="00795C81">
              <w:t xml:space="preserve"> </w:t>
            </w:r>
          </w:p>
          <w:p w:rsidR="00795C81" w:rsidRPr="00AD0FF7" w:rsidRDefault="00795C81" w:rsidP="00AD0FF7">
            <w:pPr>
              <w:pStyle w:val="naisf"/>
              <w:ind w:right="-766" w:firstLine="0"/>
            </w:pPr>
          </w:p>
        </w:tc>
      </w:tr>
    </w:tbl>
    <w:p w:rsidR="00AD0FF7" w:rsidRPr="00AD0FF7" w:rsidRDefault="00AD0FF7" w:rsidP="00AD0FF7">
      <w:pPr>
        <w:pStyle w:val="naisf"/>
        <w:ind w:right="-766"/>
      </w:pPr>
    </w:p>
    <w:tbl>
      <w:tblPr>
        <w:tblW w:w="8828"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7"/>
        <w:gridCol w:w="2986"/>
        <w:gridCol w:w="5405"/>
      </w:tblGrid>
      <w:tr w:rsidR="00AD0FF7" w:rsidRPr="00AD0FF7" w:rsidTr="00FE5BA3">
        <w:trPr>
          <w:jc w:val="center"/>
        </w:trPr>
        <w:tc>
          <w:tcPr>
            <w:tcW w:w="8828" w:type="dxa"/>
            <w:gridSpan w:val="3"/>
            <w:tcBorders>
              <w:top w:val="single" w:sz="4" w:space="0" w:color="auto"/>
              <w:left w:val="single" w:sz="4" w:space="0" w:color="auto"/>
              <w:bottom w:val="single" w:sz="4" w:space="0" w:color="auto"/>
              <w:right w:val="single" w:sz="4" w:space="0" w:color="auto"/>
            </w:tcBorders>
            <w:hideMark/>
          </w:tcPr>
          <w:p w:rsidR="002445C9" w:rsidRPr="00AD0FF7" w:rsidRDefault="00AD0FF7" w:rsidP="00795C81">
            <w:pPr>
              <w:pStyle w:val="naisf"/>
              <w:ind w:firstLine="374"/>
              <w:jc w:val="center"/>
              <w:rPr>
                <w:b/>
                <w:bCs/>
              </w:rPr>
            </w:pPr>
            <w:r w:rsidRPr="00AD0FF7">
              <w:rPr>
                <w:b/>
                <w:bCs/>
              </w:rPr>
              <w:t>VI. Sabiedrības līdzdalība un šīs līdzdalības rezultāti</w:t>
            </w:r>
          </w:p>
        </w:tc>
      </w:tr>
      <w:tr w:rsidR="00AD0FF7" w:rsidRPr="00AD0FF7" w:rsidTr="00157556">
        <w:trPr>
          <w:trHeight w:val="553"/>
          <w:jc w:val="center"/>
        </w:trPr>
        <w:tc>
          <w:tcPr>
            <w:tcW w:w="437"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firstLine="147"/>
              <w:rPr>
                <w:bCs/>
              </w:rPr>
            </w:pPr>
            <w:r w:rsidRPr="00AD0FF7">
              <w:rPr>
                <w:bCs/>
              </w:rPr>
              <w:t>1.</w:t>
            </w:r>
          </w:p>
        </w:tc>
        <w:tc>
          <w:tcPr>
            <w:tcW w:w="2986"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left="135" w:right="125" w:firstLine="239"/>
            </w:pPr>
            <w:r w:rsidRPr="00AD0FF7">
              <w:t>Sabiedrības informēšana par projekta izstrādes uzsākšanu</w:t>
            </w:r>
          </w:p>
        </w:tc>
        <w:tc>
          <w:tcPr>
            <w:tcW w:w="5405"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left="159" w:right="286" w:firstLine="215"/>
            </w:pPr>
            <w:r w:rsidRPr="00AD0FF7">
              <w:t>Projekts šo jomu neskar</w:t>
            </w:r>
          </w:p>
        </w:tc>
      </w:tr>
      <w:tr w:rsidR="00AD0FF7" w:rsidRPr="00AD0FF7" w:rsidTr="00157556">
        <w:trPr>
          <w:trHeight w:val="339"/>
          <w:jc w:val="center"/>
        </w:trPr>
        <w:tc>
          <w:tcPr>
            <w:tcW w:w="437"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firstLine="147"/>
              <w:rPr>
                <w:bCs/>
              </w:rPr>
            </w:pPr>
            <w:r w:rsidRPr="00AD0FF7">
              <w:rPr>
                <w:bCs/>
              </w:rPr>
              <w:t>2.</w:t>
            </w:r>
          </w:p>
        </w:tc>
        <w:tc>
          <w:tcPr>
            <w:tcW w:w="2986"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left="135" w:right="125" w:firstLine="239"/>
            </w:pPr>
            <w:r w:rsidRPr="00AD0FF7">
              <w:t xml:space="preserve">Sabiedrības līdzdalība projekta izstrādē </w:t>
            </w:r>
          </w:p>
        </w:tc>
        <w:tc>
          <w:tcPr>
            <w:tcW w:w="5405"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left="159" w:right="286" w:firstLine="215"/>
            </w:pPr>
            <w:r w:rsidRPr="00AD0FF7">
              <w:t>Projekts šo jomu neskar</w:t>
            </w:r>
          </w:p>
        </w:tc>
      </w:tr>
      <w:tr w:rsidR="00AD0FF7" w:rsidRPr="00AD0FF7" w:rsidTr="00157556">
        <w:trPr>
          <w:trHeight w:val="375"/>
          <w:jc w:val="center"/>
        </w:trPr>
        <w:tc>
          <w:tcPr>
            <w:tcW w:w="437"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firstLine="147"/>
              <w:rPr>
                <w:bCs/>
              </w:rPr>
            </w:pPr>
            <w:r w:rsidRPr="00AD0FF7">
              <w:rPr>
                <w:bCs/>
              </w:rPr>
              <w:t>3.</w:t>
            </w:r>
          </w:p>
        </w:tc>
        <w:tc>
          <w:tcPr>
            <w:tcW w:w="2986"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left="135" w:right="125" w:firstLine="239"/>
            </w:pPr>
            <w:r w:rsidRPr="00AD0FF7">
              <w:t xml:space="preserve">Sabiedrības līdzdalības rezultāti </w:t>
            </w:r>
          </w:p>
        </w:tc>
        <w:tc>
          <w:tcPr>
            <w:tcW w:w="5405"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left="159" w:right="286" w:firstLine="215"/>
            </w:pPr>
            <w:r w:rsidRPr="00AD0FF7">
              <w:t>Projekts šo jomu neskar</w:t>
            </w:r>
          </w:p>
        </w:tc>
      </w:tr>
      <w:tr w:rsidR="00AD0FF7" w:rsidRPr="00AD0FF7" w:rsidTr="00157556">
        <w:trPr>
          <w:trHeight w:val="397"/>
          <w:jc w:val="center"/>
        </w:trPr>
        <w:tc>
          <w:tcPr>
            <w:tcW w:w="437"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firstLine="147"/>
              <w:rPr>
                <w:bCs/>
              </w:rPr>
            </w:pPr>
            <w:r w:rsidRPr="00AD0FF7">
              <w:rPr>
                <w:bCs/>
              </w:rPr>
              <w:t>4.</w:t>
            </w:r>
          </w:p>
        </w:tc>
        <w:tc>
          <w:tcPr>
            <w:tcW w:w="2986"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left="135" w:right="125" w:firstLine="239"/>
            </w:pPr>
            <w:r w:rsidRPr="00AD0FF7">
              <w:t>Saeimas un ekspertu līdzdalība</w:t>
            </w:r>
          </w:p>
        </w:tc>
        <w:tc>
          <w:tcPr>
            <w:tcW w:w="5405" w:type="dxa"/>
            <w:tcBorders>
              <w:top w:val="single" w:sz="4" w:space="0" w:color="auto"/>
              <w:left w:val="single" w:sz="4" w:space="0" w:color="auto"/>
              <w:bottom w:val="single" w:sz="4" w:space="0" w:color="auto"/>
              <w:right w:val="single" w:sz="4" w:space="0" w:color="auto"/>
            </w:tcBorders>
            <w:hideMark/>
          </w:tcPr>
          <w:p w:rsidR="00AD0FF7" w:rsidRPr="00AD0FF7" w:rsidRDefault="00AD0FF7" w:rsidP="00AD0FF7">
            <w:pPr>
              <w:pStyle w:val="naisf"/>
              <w:ind w:left="159" w:right="214" w:firstLine="215"/>
            </w:pPr>
            <w:r w:rsidRPr="00AD0FF7">
              <w:t>Lai ieviestu Hāgas 2007. gada 23. novembra konvenciju,</w:t>
            </w:r>
            <w:r w:rsidRPr="00AD0FF7">
              <w:rPr>
                <w:iCs/>
              </w:rPr>
              <w:t xml:space="preserve"> tika rīkotas sanāksmes, kurās bez Tieslietu ministrijas pārstāvjiem piedalījās arī </w:t>
            </w:r>
            <w:r w:rsidRPr="00AD0FF7">
              <w:t>Fonda administrācijas</w:t>
            </w:r>
            <w:r w:rsidRPr="00AD0FF7">
              <w:rPr>
                <w:iCs/>
              </w:rPr>
              <w:t xml:space="preserve"> pārstāvji. </w:t>
            </w:r>
          </w:p>
        </w:tc>
      </w:tr>
      <w:tr w:rsidR="00AD0FF7" w:rsidRPr="00AD0FF7" w:rsidTr="00157556">
        <w:trPr>
          <w:trHeight w:val="578"/>
          <w:jc w:val="center"/>
        </w:trPr>
        <w:tc>
          <w:tcPr>
            <w:tcW w:w="437"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firstLine="147"/>
              <w:rPr>
                <w:bCs/>
              </w:rPr>
            </w:pPr>
            <w:r w:rsidRPr="00AD0FF7">
              <w:rPr>
                <w:bCs/>
              </w:rPr>
              <w:lastRenderedPageBreak/>
              <w:t>5.</w:t>
            </w:r>
          </w:p>
        </w:tc>
        <w:tc>
          <w:tcPr>
            <w:tcW w:w="2986" w:type="dxa"/>
            <w:tcBorders>
              <w:top w:val="single" w:sz="4" w:space="0" w:color="auto"/>
              <w:left w:val="single" w:sz="4" w:space="0" w:color="auto"/>
              <w:bottom w:val="single" w:sz="4" w:space="0" w:color="auto"/>
              <w:right w:val="single" w:sz="4" w:space="0" w:color="auto"/>
            </w:tcBorders>
          </w:tcPr>
          <w:p w:rsidR="00AD0FF7" w:rsidRPr="00AD0FF7" w:rsidRDefault="00AD0FF7" w:rsidP="00AD0FF7">
            <w:pPr>
              <w:pStyle w:val="naisf"/>
              <w:ind w:left="135" w:right="125" w:firstLine="239"/>
            </w:pPr>
            <w:r w:rsidRPr="00AD0FF7">
              <w:t>Cita informācija</w:t>
            </w:r>
          </w:p>
          <w:p w:rsidR="002445C9" w:rsidRPr="00AD0FF7" w:rsidRDefault="002445C9" w:rsidP="00AD0FF7">
            <w:pPr>
              <w:pStyle w:val="naisf"/>
              <w:ind w:left="135" w:right="125" w:firstLine="239"/>
            </w:pPr>
          </w:p>
        </w:tc>
        <w:tc>
          <w:tcPr>
            <w:tcW w:w="5405"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left="159" w:right="286" w:firstLine="215"/>
            </w:pPr>
            <w:r w:rsidRPr="00AD0FF7">
              <w:t>Nav</w:t>
            </w:r>
          </w:p>
        </w:tc>
      </w:tr>
    </w:tbl>
    <w:p w:rsidR="00AD0FF7" w:rsidRPr="00AD0FF7" w:rsidRDefault="00AD0FF7" w:rsidP="00AD0FF7">
      <w:pPr>
        <w:pStyle w:val="naisf"/>
        <w:ind w:firstLine="374"/>
        <w:rPr>
          <w:sz w:val="28"/>
          <w:szCs w:val="28"/>
        </w:rPr>
      </w:pPr>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5"/>
        <w:gridCol w:w="3969"/>
        <w:gridCol w:w="4395"/>
      </w:tblGrid>
      <w:tr w:rsidR="00AD0FF7" w:rsidRPr="00AD0FF7" w:rsidTr="00FE5BA3">
        <w:tc>
          <w:tcPr>
            <w:tcW w:w="8789" w:type="dxa"/>
            <w:gridSpan w:val="3"/>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firstLine="374"/>
              <w:rPr>
                <w:b/>
                <w:bCs/>
              </w:rPr>
            </w:pPr>
            <w:r w:rsidRPr="00AD0FF7">
              <w:rPr>
                <w:b/>
                <w:bCs/>
              </w:rPr>
              <w:t>VII. Tiesību akta projekta izpildes nodrošināšana un tās ietekme uz institūcijām</w:t>
            </w:r>
          </w:p>
        </w:tc>
      </w:tr>
      <w:tr w:rsidR="00AD0FF7" w:rsidRPr="00AD0FF7" w:rsidTr="00157556">
        <w:trPr>
          <w:trHeight w:val="427"/>
        </w:trPr>
        <w:tc>
          <w:tcPr>
            <w:tcW w:w="425"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firstLine="114"/>
              <w:rPr>
                <w:bCs/>
              </w:rPr>
            </w:pPr>
            <w:r w:rsidRPr="00AD0FF7">
              <w:rPr>
                <w:bCs/>
              </w:rPr>
              <w:t>1.</w:t>
            </w:r>
          </w:p>
        </w:tc>
        <w:tc>
          <w:tcPr>
            <w:tcW w:w="3969"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right="159" w:firstLine="374"/>
            </w:pPr>
            <w:r w:rsidRPr="00AD0FF7">
              <w:t xml:space="preserve">Projekta izpildē iesaistītās institūcijas </w:t>
            </w:r>
          </w:p>
        </w:tc>
        <w:tc>
          <w:tcPr>
            <w:tcW w:w="4395"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firstLine="374"/>
              <w:rPr>
                <w:bCs/>
              </w:rPr>
            </w:pPr>
            <w:r w:rsidRPr="00AD0FF7">
              <w:rPr>
                <w:bCs/>
              </w:rPr>
              <w:t>Fonda administrācija</w:t>
            </w:r>
          </w:p>
        </w:tc>
      </w:tr>
      <w:tr w:rsidR="00AD0FF7" w:rsidRPr="00AD0FF7" w:rsidTr="00157556">
        <w:trPr>
          <w:trHeight w:val="463"/>
        </w:trPr>
        <w:tc>
          <w:tcPr>
            <w:tcW w:w="425"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firstLine="114"/>
              <w:rPr>
                <w:bCs/>
              </w:rPr>
            </w:pPr>
            <w:r w:rsidRPr="00AD0FF7">
              <w:rPr>
                <w:bCs/>
              </w:rPr>
              <w:t>2.</w:t>
            </w:r>
          </w:p>
        </w:tc>
        <w:tc>
          <w:tcPr>
            <w:tcW w:w="3969"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right="159" w:firstLine="374"/>
            </w:pPr>
            <w:r w:rsidRPr="00AD0FF7">
              <w:t xml:space="preserve">Projekta izpildes ietekme uz pārvaldes funkcijām </w:t>
            </w:r>
          </w:p>
        </w:tc>
        <w:tc>
          <w:tcPr>
            <w:tcW w:w="4395" w:type="dxa"/>
            <w:tcBorders>
              <w:top w:val="single" w:sz="4" w:space="0" w:color="auto"/>
              <w:left w:val="single" w:sz="4" w:space="0" w:color="auto"/>
              <w:bottom w:val="single" w:sz="4" w:space="0" w:color="auto"/>
              <w:right w:val="single" w:sz="4" w:space="0" w:color="auto"/>
            </w:tcBorders>
            <w:hideMark/>
          </w:tcPr>
          <w:p w:rsidR="002445C9" w:rsidRDefault="00AD0FF7" w:rsidP="00AD0FF7">
            <w:pPr>
              <w:pStyle w:val="naisf"/>
              <w:ind w:right="114" w:firstLine="374"/>
              <w:rPr>
                <w:bCs/>
                <w:iCs/>
              </w:rPr>
            </w:pPr>
            <w:r w:rsidRPr="00AD0FF7">
              <w:rPr>
                <w:bCs/>
              </w:rPr>
              <w:t xml:space="preserve">Likumprojekts </w:t>
            </w:r>
            <w:r w:rsidRPr="00AD0FF7">
              <w:rPr>
                <w:bCs/>
                <w:iCs/>
              </w:rPr>
              <w:t xml:space="preserve">paplašinās Fonda administrācijas funkcijas, jo Fonda administrācija veiks </w:t>
            </w:r>
            <w:r w:rsidRPr="00AD0FF7">
              <w:rPr>
                <w:bCs/>
              </w:rPr>
              <w:t>Hāgas 2007. gada 23. novembra konvencijā</w:t>
            </w:r>
            <w:r w:rsidRPr="00AD0FF7">
              <w:rPr>
                <w:bCs/>
                <w:iCs/>
              </w:rPr>
              <w:t xml:space="preserve"> noteiktās Latvijas centrālās iestādes funkcijas un </w:t>
            </w:r>
            <w:r w:rsidRPr="00AD0FF7">
              <w:rPr>
                <w:bCs/>
              </w:rPr>
              <w:t>Hāgas 2007. gada 23. novembra konvencijā</w:t>
            </w:r>
            <w:r w:rsidRPr="00AD0FF7">
              <w:rPr>
                <w:bCs/>
                <w:iCs/>
              </w:rPr>
              <w:t xml:space="preserve"> paredzētajos gadījumos nodrošinās personām bezmaksas juridiskās palīdzības sniegšanu, kas ietver arī pārstāvību tiesā un iestādēs.  </w:t>
            </w:r>
          </w:p>
          <w:p w:rsidR="00795C81" w:rsidRPr="00AD0FF7" w:rsidRDefault="00795C81" w:rsidP="00AD0FF7">
            <w:pPr>
              <w:pStyle w:val="naisf"/>
              <w:ind w:right="114" w:firstLine="374"/>
              <w:rPr>
                <w:bCs/>
              </w:rPr>
            </w:pPr>
          </w:p>
        </w:tc>
      </w:tr>
      <w:tr w:rsidR="00AD0FF7" w:rsidRPr="00AD0FF7" w:rsidTr="00157556">
        <w:trPr>
          <w:trHeight w:val="725"/>
        </w:trPr>
        <w:tc>
          <w:tcPr>
            <w:tcW w:w="425"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firstLine="114"/>
              <w:rPr>
                <w:bCs/>
              </w:rPr>
            </w:pPr>
            <w:r w:rsidRPr="00AD0FF7">
              <w:rPr>
                <w:bCs/>
              </w:rPr>
              <w:t>3.</w:t>
            </w:r>
          </w:p>
        </w:tc>
        <w:tc>
          <w:tcPr>
            <w:tcW w:w="3969" w:type="dxa"/>
            <w:tcBorders>
              <w:top w:val="single" w:sz="4" w:space="0" w:color="auto"/>
              <w:left w:val="single" w:sz="4" w:space="0" w:color="auto"/>
              <w:bottom w:val="single" w:sz="4" w:space="0" w:color="auto"/>
              <w:right w:val="single" w:sz="4" w:space="0" w:color="auto"/>
            </w:tcBorders>
            <w:hideMark/>
          </w:tcPr>
          <w:p w:rsidR="00AD0FF7" w:rsidRPr="00AD0FF7" w:rsidRDefault="00AD0FF7" w:rsidP="00AD0FF7">
            <w:pPr>
              <w:pStyle w:val="naisf"/>
              <w:ind w:right="159" w:firstLine="374"/>
            </w:pPr>
            <w:r w:rsidRPr="00AD0FF7">
              <w:t>Projekta izpildes ietekme uz pārvaldes institucionālo struktūru.</w:t>
            </w:r>
          </w:p>
          <w:p w:rsidR="002445C9" w:rsidRPr="00AD0FF7" w:rsidRDefault="00AD0FF7" w:rsidP="00AD0FF7">
            <w:pPr>
              <w:pStyle w:val="naisf"/>
              <w:ind w:right="159" w:firstLine="374"/>
            </w:pPr>
            <w:r w:rsidRPr="00AD0FF7">
              <w:t>Jaunu institūciju izveide</w:t>
            </w:r>
          </w:p>
        </w:tc>
        <w:tc>
          <w:tcPr>
            <w:tcW w:w="4395"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right="114" w:firstLine="374"/>
              <w:rPr>
                <w:bCs/>
              </w:rPr>
            </w:pPr>
            <w:r w:rsidRPr="00AD0FF7">
              <w:rPr>
                <w:bCs/>
              </w:rPr>
              <w:t>Projekts šo jomu neskar</w:t>
            </w:r>
          </w:p>
        </w:tc>
      </w:tr>
      <w:tr w:rsidR="00AD0FF7" w:rsidRPr="00AD0FF7" w:rsidTr="00157556">
        <w:trPr>
          <w:trHeight w:val="780"/>
        </w:trPr>
        <w:tc>
          <w:tcPr>
            <w:tcW w:w="425"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left="-342" w:firstLine="374"/>
              <w:rPr>
                <w:bCs/>
              </w:rPr>
            </w:pPr>
            <w:r>
              <w:rPr>
                <w:bCs/>
              </w:rPr>
              <w:t xml:space="preserve">  4.</w:t>
            </w:r>
          </w:p>
        </w:tc>
        <w:tc>
          <w:tcPr>
            <w:tcW w:w="3969" w:type="dxa"/>
            <w:tcBorders>
              <w:top w:val="single" w:sz="4" w:space="0" w:color="auto"/>
              <w:left w:val="single" w:sz="4" w:space="0" w:color="auto"/>
              <w:bottom w:val="single" w:sz="4" w:space="0" w:color="auto"/>
              <w:right w:val="single" w:sz="4" w:space="0" w:color="auto"/>
            </w:tcBorders>
            <w:hideMark/>
          </w:tcPr>
          <w:p w:rsidR="00AD0FF7" w:rsidRPr="00AD0FF7" w:rsidRDefault="00AD0FF7" w:rsidP="00AD0FF7">
            <w:pPr>
              <w:pStyle w:val="naisf"/>
              <w:ind w:right="18" w:firstLine="397"/>
            </w:pPr>
            <w:r w:rsidRPr="00AD0FF7">
              <w:t>Projekta izpildes ietekme uz pārvaldes institucionālo struktūru.</w:t>
            </w:r>
          </w:p>
          <w:p w:rsidR="002445C9" w:rsidRPr="00AD0FF7" w:rsidRDefault="00AD0FF7" w:rsidP="00AD0FF7">
            <w:pPr>
              <w:pStyle w:val="naisf"/>
              <w:ind w:right="18" w:firstLine="397"/>
            </w:pPr>
            <w:r w:rsidRPr="00AD0FF7">
              <w:t>Esošu institūciju likvidācija</w:t>
            </w:r>
          </w:p>
        </w:tc>
        <w:tc>
          <w:tcPr>
            <w:tcW w:w="4395"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right="114" w:firstLine="374"/>
              <w:rPr>
                <w:bCs/>
              </w:rPr>
            </w:pPr>
            <w:r w:rsidRPr="00AD0FF7">
              <w:rPr>
                <w:bCs/>
              </w:rPr>
              <w:t>Projekts šo jomu neskar</w:t>
            </w:r>
          </w:p>
        </w:tc>
      </w:tr>
      <w:tr w:rsidR="00AD0FF7" w:rsidRPr="00AD0FF7" w:rsidTr="00157556">
        <w:trPr>
          <w:trHeight w:val="703"/>
        </w:trPr>
        <w:tc>
          <w:tcPr>
            <w:tcW w:w="425"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right="-28" w:firstLine="114"/>
              <w:rPr>
                <w:bCs/>
              </w:rPr>
            </w:pPr>
            <w:r>
              <w:rPr>
                <w:bCs/>
              </w:rPr>
              <w:t>5.</w:t>
            </w:r>
          </w:p>
        </w:tc>
        <w:tc>
          <w:tcPr>
            <w:tcW w:w="3969" w:type="dxa"/>
            <w:tcBorders>
              <w:top w:val="single" w:sz="4" w:space="0" w:color="auto"/>
              <w:left w:val="single" w:sz="4" w:space="0" w:color="auto"/>
              <w:bottom w:val="single" w:sz="4" w:space="0" w:color="auto"/>
              <w:right w:val="single" w:sz="4" w:space="0" w:color="auto"/>
            </w:tcBorders>
            <w:hideMark/>
          </w:tcPr>
          <w:p w:rsidR="00AD0FF7" w:rsidRPr="00AD0FF7" w:rsidRDefault="00AD0FF7" w:rsidP="00AD0FF7">
            <w:pPr>
              <w:pStyle w:val="naisf"/>
              <w:ind w:right="18" w:firstLine="397"/>
            </w:pPr>
            <w:r w:rsidRPr="00AD0FF7">
              <w:t>Projekta izpildes ietekme uz pārvaldes institucionālo struktūru.</w:t>
            </w:r>
          </w:p>
          <w:p w:rsidR="002445C9" w:rsidRPr="00AD0FF7" w:rsidRDefault="00AD0FF7" w:rsidP="00AD0FF7">
            <w:pPr>
              <w:pStyle w:val="naisf"/>
              <w:ind w:right="18" w:firstLine="397"/>
            </w:pPr>
            <w:r w:rsidRPr="00AD0FF7">
              <w:t>Esošu institūciju reorganizācija</w:t>
            </w:r>
          </w:p>
        </w:tc>
        <w:tc>
          <w:tcPr>
            <w:tcW w:w="4395"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right="114" w:firstLine="374"/>
              <w:rPr>
                <w:bCs/>
              </w:rPr>
            </w:pPr>
            <w:r w:rsidRPr="00AD0FF7">
              <w:rPr>
                <w:bCs/>
              </w:rPr>
              <w:t>Projekts šo jomu neskar</w:t>
            </w:r>
          </w:p>
        </w:tc>
      </w:tr>
      <w:tr w:rsidR="00AD0FF7" w:rsidRPr="00AD0FF7" w:rsidTr="00157556">
        <w:trPr>
          <w:trHeight w:val="476"/>
        </w:trPr>
        <w:tc>
          <w:tcPr>
            <w:tcW w:w="425"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left="-357" w:firstLine="374"/>
            </w:pPr>
            <w:r>
              <w:t xml:space="preserve">6. </w:t>
            </w:r>
          </w:p>
        </w:tc>
        <w:tc>
          <w:tcPr>
            <w:tcW w:w="3969"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right="18" w:firstLine="397"/>
            </w:pPr>
            <w:r w:rsidRPr="00AD0FF7">
              <w:t>Cita informācija</w:t>
            </w:r>
          </w:p>
        </w:tc>
        <w:tc>
          <w:tcPr>
            <w:tcW w:w="4395" w:type="dxa"/>
            <w:tcBorders>
              <w:top w:val="single" w:sz="4" w:space="0" w:color="auto"/>
              <w:left w:val="single" w:sz="4" w:space="0" w:color="auto"/>
              <w:bottom w:val="single" w:sz="4" w:space="0" w:color="auto"/>
              <w:right w:val="single" w:sz="4" w:space="0" w:color="auto"/>
            </w:tcBorders>
            <w:hideMark/>
          </w:tcPr>
          <w:p w:rsidR="002445C9" w:rsidRPr="00AD0FF7" w:rsidRDefault="00AD0FF7" w:rsidP="00AD0FF7">
            <w:pPr>
              <w:pStyle w:val="naisf"/>
              <w:ind w:right="114" w:firstLine="374"/>
            </w:pPr>
            <w:r w:rsidRPr="00AD0FF7">
              <w:t>Nav</w:t>
            </w:r>
          </w:p>
        </w:tc>
      </w:tr>
    </w:tbl>
    <w:p w:rsidR="00AD0FF7" w:rsidRPr="00AD0FF7" w:rsidRDefault="00AD0FF7" w:rsidP="00AD0FF7">
      <w:pPr>
        <w:pStyle w:val="naisf"/>
        <w:ind w:firstLine="374"/>
        <w:rPr>
          <w:sz w:val="28"/>
          <w:szCs w:val="28"/>
        </w:rPr>
      </w:pPr>
    </w:p>
    <w:p w:rsidR="00CF21E1" w:rsidRPr="007D058B" w:rsidRDefault="00B46855" w:rsidP="009A1E78">
      <w:pPr>
        <w:pStyle w:val="naisf"/>
        <w:spacing w:before="0" w:after="0"/>
        <w:ind w:right="-766" w:firstLine="0"/>
      </w:pPr>
      <w:r w:rsidRPr="007D058B">
        <w:t>Tieslietu</w:t>
      </w:r>
      <w:r w:rsidR="007515F6" w:rsidRPr="007D058B">
        <w:t xml:space="preserve"> ministr</w:t>
      </w:r>
      <w:r w:rsidR="00E40728" w:rsidRPr="007D058B">
        <w:t>s</w:t>
      </w:r>
      <w:r w:rsidR="007515F6" w:rsidRPr="007D058B">
        <w:tab/>
      </w:r>
      <w:r w:rsidR="007515F6" w:rsidRPr="007D058B">
        <w:tab/>
      </w:r>
      <w:r w:rsidR="007515F6" w:rsidRPr="007D058B">
        <w:tab/>
      </w:r>
      <w:r w:rsidR="007515F6" w:rsidRPr="007D058B">
        <w:tab/>
      </w:r>
      <w:r w:rsidR="007515F6" w:rsidRPr="007D058B">
        <w:tab/>
      </w:r>
      <w:r w:rsidR="007515F6" w:rsidRPr="007D058B">
        <w:tab/>
      </w:r>
      <w:r w:rsidR="00C221C4" w:rsidRPr="007D058B">
        <w:tab/>
      </w:r>
      <w:r w:rsidR="00DF1DF1" w:rsidRPr="007D058B">
        <w:tab/>
      </w:r>
      <w:r w:rsidRPr="007D058B">
        <w:t xml:space="preserve">     G. Bērziņš </w:t>
      </w:r>
    </w:p>
    <w:p w:rsidR="009A4B32" w:rsidRDefault="009A4B32" w:rsidP="009A1E78">
      <w:pPr>
        <w:pStyle w:val="naisf"/>
        <w:spacing w:before="0" w:after="0"/>
        <w:ind w:right="-766" w:firstLine="0"/>
      </w:pPr>
    </w:p>
    <w:p w:rsidR="003C13F0" w:rsidRPr="00E85905" w:rsidRDefault="003C13F0" w:rsidP="00B46855"/>
    <w:p w:rsidR="00B46855" w:rsidRPr="007D058B" w:rsidRDefault="00433297" w:rsidP="00B46855">
      <w:pPr>
        <w:rPr>
          <w:sz w:val="20"/>
        </w:rPr>
      </w:pPr>
      <w:r>
        <w:rPr>
          <w:sz w:val="20"/>
        </w:rPr>
        <w:t>13.06</w:t>
      </w:r>
      <w:r w:rsidR="00B46855" w:rsidRPr="007D058B">
        <w:rPr>
          <w:sz w:val="20"/>
        </w:rPr>
        <w:t xml:space="preserve">.2012. </w:t>
      </w:r>
      <w:r w:rsidR="003C13F0">
        <w:rPr>
          <w:sz w:val="20"/>
        </w:rPr>
        <w:t>16</w:t>
      </w:r>
      <w:r w:rsidR="0081246E">
        <w:rPr>
          <w:sz w:val="20"/>
        </w:rPr>
        <w:t>:</w:t>
      </w:r>
      <w:r w:rsidR="00795C81">
        <w:rPr>
          <w:sz w:val="20"/>
        </w:rPr>
        <w:t>4</w:t>
      </w:r>
      <w:r>
        <w:rPr>
          <w:sz w:val="20"/>
        </w:rPr>
        <w:t>5</w:t>
      </w:r>
    </w:p>
    <w:p w:rsidR="00B46855" w:rsidRPr="007D058B" w:rsidRDefault="00AD0FF7" w:rsidP="00B46855">
      <w:pPr>
        <w:rPr>
          <w:sz w:val="20"/>
        </w:rPr>
      </w:pPr>
      <w:r>
        <w:rPr>
          <w:sz w:val="20"/>
        </w:rPr>
        <w:t>7</w:t>
      </w:r>
      <w:r w:rsidR="00433297">
        <w:rPr>
          <w:sz w:val="20"/>
        </w:rPr>
        <w:t>798</w:t>
      </w:r>
      <w:bookmarkStart w:id="2" w:name="_GoBack"/>
      <w:bookmarkEnd w:id="2"/>
    </w:p>
    <w:p w:rsidR="00B46855" w:rsidRPr="007D058B" w:rsidRDefault="00B46855" w:rsidP="00B46855">
      <w:pPr>
        <w:rPr>
          <w:sz w:val="20"/>
        </w:rPr>
      </w:pPr>
      <w:r w:rsidRPr="007D058B">
        <w:rPr>
          <w:sz w:val="20"/>
        </w:rPr>
        <w:t>D. </w:t>
      </w:r>
      <w:proofErr w:type="spellStart"/>
      <w:r w:rsidRPr="007D058B">
        <w:rPr>
          <w:sz w:val="20"/>
        </w:rPr>
        <w:t>Baha</w:t>
      </w:r>
      <w:proofErr w:type="spellEnd"/>
      <w:r w:rsidRPr="007D058B">
        <w:rPr>
          <w:sz w:val="20"/>
        </w:rPr>
        <w:t xml:space="preserve"> </w:t>
      </w:r>
    </w:p>
    <w:p w:rsidR="00825969" w:rsidRDefault="00B46855" w:rsidP="008A03BB">
      <w:pPr>
        <w:rPr>
          <w:sz w:val="20"/>
        </w:rPr>
      </w:pPr>
      <w:bookmarkStart w:id="3" w:name="OLE_LINK3"/>
      <w:bookmarkStart w:id="4" w:name="OLE_LINK4"/>
      <w:r w:rsidRPr="007D058B">
        <w:rPr>
          <w:sz w:val="20"/>
        </w:rPr>
        <w:t xml:space="preserve">67036838, </w:t>
      </w:r>
      <w:hyperlink r:id="rId16" w:history="1">
        <w:r w:rsidRPr="007D058B">
          <w:rPr>
            <w:rStyle w:val="Hipersaite"/>
            <w:sz w:val="20"/>
          </w:rPr>
          <w:t>Daina.Baha@tm.gov.lv</w:t>
        </w:r>
      </w:hyperlink>
      <w:r w:rsidRPr="007D058B">
        <w:rPr>
          <w:sz w:val="20"/>
        </w:rPr>
        <w:t xml:space="preserve"> </w:t>
      </w:r>
      <w:bookmarkEnd w:id="3"/>
      <w:bookmarkEnd w:id="4"/>
      <w:r w:rsidR="00795C81">
        <w:rPr>
          <w:sz w:val="20"/>
        </w:rPr>
        <w:t xml:space="preserve"> </w:t>
      </w:r>
    </w:p>
    <w:p w:rsidR="00795C81" w:rsidRDefault="00795C81" w:rsidP="008A03BB">
      <w:pPr>
        <w:rPr>
          <w:sz w:val="20"/>
        </w:rPr>
      </w:pPr>
    </w:p>
    <w:p w:rsidR="00795C81" w:rsidRDefault="00795C81" w:rsidP="008A03BB">
      <w:pPr>
        <w:rPr>
          <w:sz w:val="20"/>
        </w:rPr>
      </w:pPr>
      <w:r>
        <w:rPr>
          <w:sz w:val="20"/>
        </w:rPr>
        <w:t xml:space="preserve">K. Veidenbauma </w:t>
      </w:r>
    </w:p>
    <w:p w:rsidR="00795C81" w:rsidRPr="007D058B" w:rsidRDefault="00795C81" w:rsidP="008A03BB">
      <w:r>
        <w:rPr>
          <w:sz w:val="20"/>
        </w:rPr>
        <w:t xml:space="preserve">67036835, </w:t>
      </w:r>
      <w:hyperlink r:id="rId17" w:history="1">
        <w:r w:rsidRPr="00A80680">
          <w:rPr>
            <w:rStyle w:val="Hipersaite"/>
            <w:sz w:val="20"/>
          </w:rPr>
          <w:t>Kristine.Veidenbauma@tm.gov.lv</w:t>
        </w:r>
      </w:hyperlink>
      <w:r>
        <w:rPr>
          <w:sz w:val="20"/>
        </w:rPr>
        <w:t xml:space="preserve"> </w:t>
      </w:r>
    </w:p>
    <w:sectPr w:rsidR="00795C81" w:rsidRPr="007D058B" w:rsidSect="00E31239">
      <w:headerReference w:type="even" r:id="rId18"/>
      <w:headerReference w:type="default" r:id="rId19"/>
      <w:footerReference w:type="default" r:id="rId20"/>
      <w:footerReference w:type="first" r:id="rId21"/>
      <w:pgSz w:w="11906" w:h="16838"/>
      <w:pgMar w:top="1418" w:right="1134" w:bottom="1134" w:left="1701" w:header="709" w:footer="7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E5" w:rsidRDefault="00C05FE5" w:rsidP="001C4131">
      <w:r>
        <w:separator/>
      </w:r>
    </w:p>
  </w:endnote>
  <w:endnote w:type="continuationSeparator" w:id="0">
    <w:p w:rsidR="00C05FE5" w:rsidRDefault="00C05FE5" w:rsidP="001C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FE5" w:rsidRPr="007D7074" w:rsidRDefault="00C05FE5" w:rsidP="00966799">
    <w:pPr>
      <w:pStyle w:val="Kjene"/>
      <w:jc w:val="both"/>
      <w:rPr>
        <w:noProof/>
        <w:sz w:val="20"/>
        <w:szCs w:val="20"/>
      </w:rPr>
    </w:pPr>
    <w:r>
      <w:rPr>
        <w:sz w:val="20"/>
        <w:szCs w:val="20"/>
      </w:rPr>
      <w:t>TM</w:t>
    </w:r>
    <w:r w:rsidRPr="00BE3475">
      <w:rPr>
        <w:sz w:val="20"/>
        <w:szCs w:val="20"/>
      </w:rPr>
      <w:t>Anot_</w:t>
    </w:r>
    <w:r w:rsidR="00433297">
      <w:rPr>
        <w:sz w:val="20"/>
        <w:szCs w:val="20"/>
      </w:rPr>
      <w:t>1306</w:t>
    </w:r>
    <w:r>
      <w:rPr>
        <w:sz w:val="20"/>
        <w:szCs w:val="20"/>
      </w:rPr>
      <w:t>12</w:t>
    </w:r>
    <w:r w:rsidRPr="00BE3475">
      <w:rPr>
        <w:sz w:val="20"/>
        <w:szCs w:val="20"/>
      </w:rPr>
      <w:t>_</w:t>
    </w:r>
    <w:r w:rsidR="00BA6F6F">
      <w:rPr>
        <w:sz w:val="20"/>
        <w:szCs w:val="20"/>
      </w:rPr>
      <w:t>uzturli</w:t>
    </w:r>
    <w:r>
      <w:rPr>
        <w:sz w:val="20"/>
        <w:szCs w:val="20"/>
      </w:rPr>
      <w:t>dz</w:t>
    </w:r>
    <w:r w:rsidRPr="00BE3475">
      <w:rPr>
        <w:sz w:val="20"/>
        <w:szCs w:val="20"/>
      </w:rPr>
      <w:t xml:space="preserve">; </w:t>
    </w:r>
    <w:r>
      <w:rPr>
        <w:sz w:val="20"/>
        <w:szCs w:val="20"/>
      </w:rPr>
      <w:t>Likumprojekta „Grozījumi Uzturlīdzekļu garantiju fonda likumā</w:t>
    </w:r>
    <w:r w:rsidRPr="00BE3475">
      <w:rPr>
        <w:sz w:val="20"/>
        <w:szCs w:val="20"/>
      </w:rPr>
      <w:t>” sākotnējās ietekmes novērtējuma ziņojums</w:t>
    </w:r>
    <w:r>
      <w:rPr>
        <w:sz w:val="20"/>
        <w:szCs w:val="20"/>
      </w:rPr>
      <w:t xml:space="preserve"> (anotācija) </w:t>
    </w:r>
  </w:p>
  <w:p w:rsidR="00C05FE5" w:rsidRPr="00BE3475" w:rsidRDefault="00C05FE5" w:rsidP="00BE3475">
    <w:pPr>
      <w:pStyle w:val="Kjene"/>
      <w:jc w:val="both"/>
      <w:rPr>
        <w:noProof/>
        <w:sz w:val="20"/>
        <w:szCs w:val="20"/>
      </w:rPr>
    </w:pP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FE5" w:rsidRPr="007D7074" w:rsidRDefault="00C05FE5" w:rsidP="007D7074">
    <w:pPr>
      <w:pStyle w:val="Kjene"/>
      <w:jc w:val="both"/>
      <w:rPr>
        <w:noProof/>
        <w:sz w:val="20"/>
        <w:szCs w:val="20"/>
      </w:rPr>
    </w:pPr>
    <w:r>
      <w:rPr>
        <w:sz w:val="20"/>
        <w:szCs w:val="20"/>
      </w:rPr>
      <w:t>TM</w:t>
    </w:r>
    <w:r w:rsidRPr="00BE3475">
      <w:rPr>
        <w:sz w:val="20"/>
        <w:szCs w:val="20"/>
      </w:rPr>
      <w:t>Anot_</w:t>
    </w:r>
    <w:r w:rsidR="00433297">
      <w:rPr>
        <w:sz w:val="20"/>
        <w:szCs w:val="20"/>
      </w:rPr>
      <w:t>1306</w:t>
    </w:r>
    <w:r>
      <w:rPr>
        <w:sz w:val="20"/>
        <w:szCs w:val="20"/>
      </w:rPr>
      <w:t>12</w:t>
    </w:r>
    <w:r w:rsidRPr="00BE3475">
      <w:rPr>
        <w:sz w:val="20"/>
        <w:szCs w:val="20"/>
      </w:rPr>
      <w:t>_</w:t>
    </w:r>
    <w:r w:rsidR="00835B75">
      <w:rPr>
        <w:sz w:val="20"/>
        <w:szCs w:val="20"/>
      </w:rPr>
      <w:t>uzturli</w:t>
    </w:r>
    <w:r>
      <w:rPr>
        <w:sz w:val="20"/>
        <w:szCs w:val="20"/>
      </w:rPr>
      <w:t>dz</w:t>
    </w:r>
    <w:r w:rsidRPr="00BE3475">
      <w:rPr>
        <w:sz w:val="20"/>
        <w:szCs w:val="20"/>
      </w:rPr>
      <w:t xml:space="preserve">; </w:t>
    </w:r>
    <w:r>
      <w:rPr>
        <w:sz w:val="20"/>
        <w:szCs w:val="20"/>
      </w:rPr>
      <w:t>Likumprojekta „Grozījumi Uzturlīdzekļu garantiju fonda likumā</w:t>
    </w:r>
    <w:r w:rsidRPr="00BE3475">
      <w:rPr>
        <w:sz w:val="20"/>
        <w:szCs w:val="20"/>
      </w:rPr>
      <w:t>” sākotnējās ietekmes novērtējuma ziņojums</w:t>
    </w:r>
    <w:r>
      <w:rPr>
        <w:sz w:val="20"/>
        <w:szCs w:val="20"/>
      </w:rPr>
      <w:t xml:space="preserve">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E5" w:rsidRDefault="00C05FE5" w:rsidP="001C4131">
      <w:r>
        <w:separator/>
      </w:r>
    </w:p>
  </w:footnote>
  <w:footnote w:type="continuationSeparator" w:id="0">
    <w:p w:rsidR="00C05FE5" w:rsidRDefault="00C05FE5" w:rsidP="001C4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FE5" w:rsidRDefault="00F812C6" w:rsidP="00011BD6">
    <w:pPr>
      <w:pStyle w:val="Galvene"/>
      <w:rPr>
        <w:rStyle w:val="Lappusesnumurs"/>
      </w:rPr>
    </w:pPr>
    <w:r>
      <w:rPr>
        <w:rStyle w:val="Lappusesnumurs"/>
      </w:rPr>
      <w:fldChar w:fldCharType="begin"/>
    </w:r>
    <w:r w:rsidR="00C05FE5">
      <w:rPr>
        <w:rStyle w:val="Lappusesnumurs"/>
      </w:rPr>
      <w:instrText xml:space="preserve">PAGE  </w:instrText>
    </w:r>
    <w:r>
      <w:rPr>
        <w:rStyle w:val="Lappusesnumurs"/>
      </w:rPr>
      <w:fldChar w:fldCharType="end"/>
    </w:r>
  </w:p>
  <w:p w:rsidR="00C05FE5" w:rsidRDefault="00C05FE5" w:rsidP="00011BD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FE5" w:rsidRDefault="00F812C6" w:rsidP="00EE381E">
    <w:pPr>
      <w:pStyle w:val="Galvene"/>
      <w:jc w:val="center"/>
      <w:rPr>
        <w:rStyle w:val="Lappusesnumurs"/>
      </w:rPr>
    </w:pPr>
    <w:r>
      <w:rPr>
        <w:rStyle w:val="Lappusesnumurs"/>
      </w:rPr>
      <w:fldChar w:fldCharType="begin"/>
    </w:r>
    <w:r w:rsidR="00C05FE5">
      <w:rPr>
        <w:rStyle w:val="Lappusesnumurs"/>
      </w:rPr>
      <w:instrText xml:space="preserve">PAGE  </w:instrText>
    </w:r>
    <w:r>
      <w:rPr>
        <w:rStyle w:val="Lappusesnumurs"/>
      </w:rPr>
      <w:fldChar w:fldCharType="separate"/>
    </w:r>
    <w:r w:rsidR="00433297">
      <w:rPr>
        <w:rStyle w:val="Lappusesnumurs"/>
        <w:noProof/>
      </w:rPr>
      <w:t>24</w:t>
    </w:r>
    <w:r>
      <w:rPr>
        <w:rStyle w:val="Lappusesnumurs"/>
      </w:rPr>
      <w:fldChar w:fldCharType="end"/>
    </w:r>
  </w:p>
  <w:p w:rsidR="00C05FE5" w:rsidRPr="00011BD6" w:rsidRDefault="00C05FE5" w:rsidP="00011BD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032F0"/>
    <w:lvl w:ilvl="0">
      <w:start w:val="1"/>
      <w:numFmt w:val="decimal"/>
      <w:lvlText w:val="%1."/>
      <w:lvlJc w:val="left"/>
      <w:pPr>
        <w:tabs>
          <w:tab w:val="num" w:pos="1492"/>
        </w:tabs>
        <w:ind w:left="1492" w:hanging="360"/>
      </w:pPr>
    </w:lvl>
  </w:abstractNum>
  <w:abstractNum w:abstractNumId="1">
    <w:nsid w:val="FFFFFF7D"/>
    <w:multiLevelType w:val="singleLevel"/>
    <w:tmpl w:val="D752DE94"/>
    <w:lvl w:ilvl="0">
      <w:start w:val="1"/>
      <w:numFmt w:val="decimal"/>
      <w:lvlText w:val="%1."/>
      <w:lvlJc w:val="left"/>
      <w:pPr>
        <w:tabs>
          <w:tab w:val="num" w:pos="1209"/>
        </w:tabs>
        <w:ind w:left="1209" w:hanging="360"/>
      </w:pPr>
    </w:lvl>
  </w:abstractNum>
  <w:abstractNum w:abstractNumId="2">
    <w:nsid w:val="FFFFFF7E"/>
    <w:multiLevelType w:val="singleLevel"/>
    <w:tmpl w:val="C3984072"/>
    <w:lvl w:ilvl="0">
      <w:start w:val="1"/>
      <w:numFmt w:val="decimal"/>
      <w:lvlText w:val="%1."/>
      <w:lvlJc w:val="left"/>
      <w:pPr>
        <w:tabs>
          <w:tab w:val="num" w:pos="926"/>
        </w:tabs>
        <w:ind w:left="926" w:hanging="360"/>
      </w:pPr>
    </w:lvl>
  </w:abstractNum>
  <w:abstractNum w:abstractNumId="3">
    <w:nsid w:val="FFFFFF7F"/>
    <w:multiLevelType w:val="singleLevel"/>
    <w:tmpl w:val="68585942"/>
    <w:lvl w:ilvl="0">
      <w:start w:val="1"/>
      <w:numFmt w:val="decimal"/>
      <w:lvlText w:val="%1."/>
      <w:lvlJc w:val="left"/>
      <w:pPr>
        <w:tabs>
          <w:tab w:val="num" w:pos="643"/>
        </w:tabs>
        <w:ind w:left="643" w:hanging="360"/>
      </w:pPr>
    </w:lvl>
  </w:abstractNum>
  <w:abstractNum w:abstractNumId="4">
    <w:nsid w:val="FFFFFF80"/>
    <w:multiLevelType w:val="singleLevel"/>
    <w:tmpl w:val="5066D2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E0B5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9CE3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C8B6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489B5A"/>
    <w:lvl w:ilvl="0">
      <w:start w:val="1"/>
      <w:numFmt w:val="decimal"/>
      <w:lvlText w:val="%1."/>
      <w:lvlJc w:val="left"/>
      <w:pPr>
        <w:tabs>
          <w:tab w:val="num" w:pos="360"/>
        </w:tabs>
        <w:ind w:left="360" w:hanging="360"/>
      </w:pPr>
    </w:lvl>
  </w:abstractNum>
  <w:abstractNum w:abstractNumId="9">
    <w:nsid w:val="FFFFFF89"/>
    <w:multiLevelType w:val="singleLevel"/>
    <w:tmpl w:val="6A12BE26"/>
    <w:lvl w:ilvl="0">
      <w:start w:val="1"/>
      <w:numFmt w:val="bullet"/>
      <w:lvlText w:val=""/>
      <w:lvlJc w:val="left"/>
      <w:pPr>
        <w:tabs>
          <w:tab w:val="num" w:pos="360"/>
        </w:tabs>
        <w:ind w:left="360" w:hanging="360"/>
      </w:pPr>
      <w:rPr>
        <w:rFonts w:ascii="Symbol" w:hAnsi="Symbol" w:hint="default"/>
      </w:rPr>
    </w:lvl>
  </w:abstractNum>
  <w:abstractNum w:abstractNumId="10">
    <w:nsid w:val="06885064"/>
    <w:multiLevelType w:val="hybridMultilevel"/>
    <w:tmpl w:val="1A34ABC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CAE01B5"/>
    <w:multiLevelType w:val="hybridMultilevel"/>
    <w:tmpl w:val="88000690"/>
    <w:lvl w:ilvl="0" w:tplc="E6D4E06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1BC592B"/>
    <w:multiLevelType w:val="hybridMultilevel"/>
    <w:tmpl w:val="E4B47F1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6F5C7F2C"/>
    <w:multiLevelType w:val="hybridMultilevel"/>
    <w:tmpl w:val="911A0E20"/>
    <w:lvl w:ilvl="0" w:tplc="386E49D2">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14">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E1"/>
    <w:rsid w:val="00000CA0"/>
    <w:rsid w:val="00000FF2"/>
    <w:rsid w:val="000016E9"/>
    <w:rsid w:val="0001047A"/>
    <w:rsid w:val="00011BD6"/>
    <w:rsid w:val="000134D2"/>
    <w:rsid w:val="0001445C"/>
    <w:rsid w:val="000223E1"/>
    <w:rsid w:val="00022AA0"/>
    <w:rsid w:val="00027BBB"/>
    <w:rsid w:val="000321AA"/>
    <w:rsid w:val="000338F4"/>
    <w:rsid w:val="000346E7"/>
    <w:rsid w:val="00042328"/>
    <w:rsid w:val="00045B70"/>
    <w:rsid w:val="00046916"/>
    <w:rsid w:val="000469FC"/>
    <w:rsid w:val="00047431"/>
    <w:rsid w:val="00050ECF"/>
    <w:rsid w:val="0005170B"/>
    <w:rsid w:val="00056CC6"/>
    <w:rsid w:val="00061169"/>
    <w:rsid w:val="000673DB"/>
    <w:rsid w:val="0006790A"/>
    <w:rsid w:val="0007146C"/>
    <w:rsid w:val="000747BF"/>
    <w:rsid w:val="0008115E"/>
    <w:rsid w:val="00081443"/>
    <w:rsid w:val="000825EC"/>
    <w:rsid w:val="00082FA8"/>
    <w:rsid w:val="000832F5"/>
    <w:rsid w:val="0008547F"/>
    <w:rsid w:val="0008744B"/>
    <w:rsid w:val="00093F15"/>
    <w:rsid w:val="000967F0"/>
    <w:rsid w:val="000A0E11"/>
    <w:rsid w:val="000A33C1"/>
    <w:rsid w:val="000A519E"/>
    <w:rsid w:val="000A5551"/>
    <w:rsid w:val="000A5AC8"/>
    <w:rsid w:val="000A71F0"/>
    <w:rsid w:val="000B5862"/>
    <w:rsid w:val="000C0ED2"/>
    <w:rsid w:val="000C45EA"/>
    <w:rsid w:val="000C7D76"/>
    <w:rsid w:val="000D00BE"/>
    <w:rsid w:val="000D14A7"/>
    <w:rsid w:val="000E6EDF"/>
    <w:rsid w:val="000F1486"/>
    <w:rsid w:val="000F324D"/>
    <w:rsid w:val="000F3C34"/>
    <w:rsid w:val="000F3E44"/>
    <w:rsid w:val="000F5882"/>
    <w:rsid w:val="000F6CCE"/>
    <w:rsid w:val="000F73D6"/>
    <w:rsid w:val="00102A9D"/>
    <w:rsid w:val="0010557E"/>
    <w:rsid w:val="00110321"/>
    <w:rsid w:val="00111CDC"/>
    <w:rsid w:val="00112879"/>
    <w:rsid w:val="00113E19"/>
    <w:rsid w:val="00114611"/>
    <w:rsid w:val="00114870"/>
    <w:rsid w:val="00121B03"/>
    <w:rsid w:val="001227B9"/>
    <w:rsid w:val="00123008"/>
    <w:rsid w:val="00124C0D"/>
    <w:rsid w:val="0012729F"/>
    <w:rsid w:val="00142415"/>
    <w:rsid w:val="00155B28"/>
    <w:rsid w:val="00155DB8"/>
    <w:rsid w:val="0015708B"/>
    <w:rsid w:val="001571E8"/>
    <w:rsid w:val="00157556"/>
    <w:rsid w:val="00161C0B"/>
    <w:rsid w:val="001630F3"/>
    <w:rsid w:val="0016371B"/>
    <w:rsid w:val="00164144"/>
    <w:rsid w:val="0016665F"/>
    <w:rsid w:val="001727C8"/>
    <w:rsid w:val="00172E52"/>
    <w:rsid w:val="001735DE"/>
    <w:rsid w:val="00175A5C"/>
    <w:rsid w:val="00180694"/>
    <w:rsid w:val="001810BF"/>
    <w:rsid w:val="001839AF"/>
    <w:rsid w:val="00184A73"/>
    <w:rsid w:val="0018522C"/>
    <w:rsid w:val="001863F5"/>
    <w:rsid w:val="00187AAF"/>
    <w:rsid w:val="00190165"/>
    <w:rsid w:val="00195C16"/>
    <w:rsid w:val="001968C6"/>
    <w:rsid w:val="001979FD"/>
    <w:rsid w:val="001A150A"/>
    <w:rsid w:val="001A4600"/>
    <w:rsid w:val="001A4943"/>
    <w:rsid w:val="001A50C7"/>
    <w:rsid w:val="001A7BCF"/>
    <w:rsid w:val="001B032B"/>
    <w:rsid w:val="001B1100"/>
    <w:rsid w:val="001B27EB"/>
    <w:rsid w:val="001B5C51"/>
    <w:rsid w:val="001B638E"/>
    <w:rsid w:val="001C07DB"/>
    <w:rsid w:val="001C18D6"/>
    <w:rsid w:val="001C4131"/>
    <w:rsid w:val="001C5B2F"/>
    <w:rsid w:val="001D0142"/>
    <w:rsid w:val="001D25A4"/>
    <w:rsid w:val="001D29B8"/>
    <w:rsid w:val="001D4AC8"/>
    <w:rsid w:val="001D4EF6"/>
    <w:rsid w:val="001E61F5"/>
    <w:rsid w:val="001F3448"/>
    <w:rsid w:val="001F3739"/>
    <w:rsid w:val="001F5C23"/>
    <w:rsid w:val="001F7BA2"/>
    <w:rsid w:val="00200D22"/>
    <w:rsid w:val="0020440A"/>
    <w:rsid w:val="00207EB7"/>
    <w:rsid w:val="00211012"/>
    <w:rsid w:val="00212933"/>
    <w:rsid w:val="00212BAC"/>
    <w:rsid w:val="002143F4"/>
    <w:rsid w:val="00216639"/>
    <w:rsid w:val="002200F8"/>
    <w:rsid w:val="00220F19"/>
    <w:rsid w:val="00224D6F"/>
    <w:rsid w:val="00231E57"/>
    <w:rsid w:val="00232017"/>
    <w:rsid w:val="002348E5"/>
    <w:rsid w:val="00235282"/>
    <w:rsid w:val="00235BC5"/>
    <w:rsid w:val="0024133F"/>
    <w:rsid w:val="0024155C"/>
    <w:rsid w:val="002445C9"/>
    <w:rsid w:val="00246F60"/>
    <w:rsid w:val="0025059D"/>
    <w:rsid w:val="002602F7"/>
    <w:rsid w:val="0026305D"/>
    <w:rsid w:val="0026350C"/>
    <w:rsid w:val="0027177C"/>
    <w:rsid w:val="00272AC6"/>
    <w:rsid w:val="0028056D"/>
    <w:rsid w:val="00281074"/>
    <w:rsid w:val="00283E1B"/>
    <w:rsid w:val="00291033"/>
    <w:rsid w:val="00292E71"/>
    <w:rsid w:val="0029430D"/>
    <w:rsid w:val="002953B4"/>
    <w:rsid w:val="00296607"/>
    <w:rsid w:val="002A1CE9"/>
    <w:rsid w:val="002A3D13"/>
    <w:rsid w:val="002A4F17"/>
    <w:rsid w:val="002A5117"/>
    <w:rsid w:val="002A7221"/>
    <w:rsid w:val="002B03BA"/>
    <w:rsid w:val="002B6D79"/>
    <w:rsid w:val="002C5B4B"/>
    <w:rsid w:val="002D74F4"/>
    <w:rsid w:val="002D7D7C"/>
    <w:rsid w:val="002E380E"/>
    <w:rsid w:val="002E4AEF"/>
    <w:rsid w:val="002F0DC5"/>
    <w:rsid w:val="002F2129"/>
    <w:rsid w:val="002F362F"/>
    <w:rsid w:val="002F4701"/>
    <w:rsid w:val="002F587B"/>
    <w:rsid w:val="002F59D1"/>
    <w:rsid w:val="002F6678"/>
    <w:rsid w:val="0030030C"/>
    <w:rsid w:val="00304266"/>
    <w:rsid w:val="00312C20"/>
    <w:rsid w:val="00316285"/>
    <w:rsid w:val="003201AF"/>
    <w:rsid w:val="00323C99"/>
    <w:rsid w:val="003307B8"/>
    <w:rsid w:val="00331107"/>
    <w:rsid w:val="00332EC5"/>
    <w:rsid w:val="003355D3"/>
    <w:rsid w:val="00337AF1"/>
    <w:rsid w:val="00341BB5"/>
    <w:rsid w:val="00341E42"/>
    <w:rsid w:val="00342B5D"/>
    <w:rsid w:val="00343368"/>
    <w:rsid w:val="00344C7E"/>
    <w:rsid w:val="00345A01"/>
    <w:rsid w:val="0034650D"/>
    <w:rsid w:val="00361A4C"/>
    <w:rsid w:val="0036409C"/>
    <w:rsid w:val="00371A00"/>
    <w:rsid w:val="00372836"/>
    <w:rsid w:val="00374844"/>
    <w:rsid w:val="00376D7A"/>
    <w:rsid w:val="003822FD"/>
    <w:rsid w:val="00384E62"/>
    <w:rsid w:val="0038697C"/>
    <w:rsid w:val="00387AC5"/>
    <w:rsid w:val="0039027B"/>
    <w:rsid w:val="003939FD"/>
    <w:rsid w:val="00395DA8"/>
    <w:rsid w:val="003A6C24"/>
    <w:rsid w:val="003B1954"/>
    <w:rsid w:val="003B386C"/>
    <w:rsid w:val="003B4A8B"/>
    <w:rsid w:val="003C13F0"/>
    <w:rsid w:val="003C2FCB"/>
    <w:rsid w:val="003C43AE"/>
    <w:rsid w:val="003C5AED"/>
    <w:rsid w:val="003D14A4"/>
    <w:rsid w:val="003D3405"/>
    <w:rsid w:val="003D457B"/>
    <w:rsid w:val="003D7EEC"/>
    <w:rsid w:val="003E066B"/>
    <w:rsid w:val="003E246C"/>
    <w:rsid w:val="003E4D2D"/>
    <w:rsid w:val="003E535F"/>
    <w:rsid w:val="003F103B"/>
    <w:rsid w:val="003F19E9"/>
    <w:rsid w:val="003F3137"/>
    <w:rsid w:val="003F387D"/>
    <w:rsid w:val="003F42BA"/>
    <w:rsid w:val="003F5384"/>
    <w:rsid w:val="003F58D0"/>
    <w:rsid w:val="004001BD"/>
    <w:rsid w:val="0040781D"/>
    <w:rsid w:val="00411BB6"/>
    <w:rsid w:val="004151F1"/>
    <w:rsid w:val="00421900"/>
    <w:rsid w:val="00421D28"/>
    <w:rsid w:val="00424613"/>
    <w:rsid w:val="004273A3"/>
    <w:rsid w:val="00427810"/>
    <w:rsid w:val="00430E7C"/>
    <w:rsid w:val="004316BC"/>
    <w:rsid w:val="0043281A"/>
    <w:rsid w:val="00433297"/>
    <w:rsid w:val="0043465F"/>
    <w:rsid w:val="004357C3"/>
    <w:rsid w:val="00435C49"/>
    <w:rsid w:val="00441CF0"/>
    <w:rsid w:val="0044561B"/>
    <w:rsid w:val="0044609E"/>
    <w:rsid w:val="0045189E"/>
    <w:rsid w:val="00452638"/>
    <w:rsid w:val="0045272C"/>
    <w:rsid w:val="0045361D"/>
    <w:rsid w:val="0046007A"/>
    <w:rsid w:val="00461E8B"/>
    <w:rsid w:val="00470DA2"/>
    <w:rsid w:val="004778AF"/>
    <w:rsid w:val="00480113"/>
    <w:rsid w:val="0048488C"/>
    <w:rsid w:val="004875E3"/>
    <w:rsid w:val="004929D5"/>
    <w:rsid w:val="00494283"/>
    <w:rsid w:val="00495AC8"/>
    <w:rsid w:val="00496E07"/>
    <w:rsid w:val="004A7E5F"/>
    <w:rsid w:val="004B052B"/>
    <w:rsid w:val="004B07BF"/>
    <w:rsid w:val="004B1162"/>
    <w:rsid w:val="004C0FDE"/>
    <w:rsid w:val="004C4A7F"/>
    <w:rsid w:val="004C5FD3"/>
    <w:rsid w:val="004C72CD"/>
    <w:rsid w:val="004C79C6"/>
    <w:rsid w:val="004D3040"/>
    <w:rsid w:val="004D4571"/>
    <w:rsid w:val="004D6C9A"/>
    <w:rsid w:val="004E39CC"/>
    <w:rsid w:val="004E3E00"/>
    <w:rsid w:val="004E52CE"/>
    <w:rsid w:val="004E5759"/>
    <w:rsid w:val="004E7A42"/>
    <w:rsid w:val="004F5FB9"/>
    <w:rsid w:val="004F7463"/>
    <w:rsid w:val="004F7AE2"/>
    <w:rsid w:val="0050389D"/>
    <w:rsid w:val="00505276"/>
    <w:rsid w:val="00510D79"/>
    <w:rsid w:val="00511B01"/>
    <w:rsid w:val="00513138"/>
    <w:rsid w:val="00514568"/>
    <w:rsid w:val="005149CF"/>
    <w:rsid w:val="005155A9"/>
    <w:rsid w:val="00524067"/>
    <w:rsid w:val="0052538C"/>
    <w:rsid w:val="005264AE"/>
    <w:rsid w:val="00527C39"/>
    <w:rsid w:val="00530C35"/>
    <w:rsid w:val="00540A69"/>
    <w:rsid w:val="005419B8"/>
    <w:rsid w:val="00544551"/>
    <w:rsid w:val="00544BBD"/>
    <w:rsid w:val="00545F79"/>
    <w:rsid w:val="00546467"/>
    <w:rsid w:val="00552BA4"/>
    <w:rsid w:val="00554D90"/>
    <w:rsid w:val="00557E3B"/>
    <w:rsid w:val="005724FE"/>
    <w:rsid w:val="00574DD0"/>
    <w:rsid w:val="00575D66"/>
    <w:rsid w:val="00575EE1"/>
    <w:rsid w:val="00577A5F"/>
    <w:rsid w:val="0058062A"/>
    <w:rsid w:val="0058219D"/>
    <w:rsid w:val="005824A8"/>
    <w:rsid w:val="005842BA"/>
    <w:rsid w:val="005849EC"/>
    <w:rsid w:val="00591041"/>
    <w:rsid w:val="005910AB"/>
    <w:rsid w:val="0059117E"/>
    <w:rsid w:val="005932BF"/>
    <w:rsid w:val="00594484"/>
    <w:rsid w:val="0059477D"/>
    <w:rsid w:val="005A39D6"/>
    <w:rsid w:val="005A3EB3"/>
    <w:rsid w:val="005C2CDD"/>
    <w:rsid w:val="005C3F91"/>
    <w:rsid w:val="005C46B7"/>
    <w:rsid w:val="005C519D"/>
    <w:rsid w:val="005C6A52"/>
    <w:rsid w:val="005C6E57"/>
    <w:rsid w:val="005D0BA5"/>
    <w:rsid w:val="005D2233"/>
    <w:rsid w:val="005D2608"/>
    <w:rsid w:val="005D4B1D"/>
    <w:rsid w:val="005E0233"/>
    <w:rsid w:val="005E0513"/>
    <w:rsid w:val="005E0982"/>
    <w:rsid w:val="005E7E2F"/>
    <w:rsid w:val="005F23B2"/>
    <w:rsid w:val="005F2B84"/>
    <w:rsid w:val="00602E3E"/>
    <w:rsid w:val="00612C8C"/>
    <w:rsid w:val="00612E87"/>
    <w:rsid w:val="0061386F"/>
    <w:rsid w:val="0061724B"/>
    <w:rsid w:val="00620DDC"/>
    <w:rsid w:val="00626E00"/>
    <w:rsid w:val="006275B8"/>
    <w:rsid w:val="00627BF7"/>
    <w:rsid w:val="00632FDF"/>
    <w:rsid w:val="00633BF6"/>
    <w:rsid w:val="00634A55"/>
    <w:rsid w:val="006401B4"/>
    <w:rsid w:val="00640BD8"/>
    <w:rsid w:val="0064429E"/>
    <w:rsid w:val="006447F4"/>
    <w:rsid w:val="0064552E"/>
    <w:rsid w:val="00651450"/>
    <w:rsid w:val="006539E1"/>
    <w:rsid w:val="00653FCB"/>
    <w:rsid w:val="00656300"/>
    <w:rsid w:val="00662D11"/>
    <w:rsid w:val="00670E6B"/>
    <w:rsid w:val="00674BCD"/>
    <w:rsid w:val="006751F8"/>
    <w:rsid w:val="006766DC"/>
    <w:rsid w:val="00676835"/>
    <w:rsid w:val="00677F24"/>
    <w:rsid w:val="006801A4"/>
    <w:rsid w:val="006809D2"/>
    <w:rsid w:val="00682F91"/>
    <w:rsid w:val="00683387"/>
    <w:rsid w:val="00687472"/>
    <w:rsid w:val="00687F78"/>
    <w:rsid w:val="0069518C"/>
    <w:rsid w:val="00695284"/>
    <w:rsid w:val="006958D5"/>
    <w:rsid w:val="006A283C"/>
    <w:rsid w:val="006B0514"/>
    <w:rsid w:val="006B05F2"/>
    <w:rsid w:val="006B2D8B"/>
    <w:rsid w:val="006B3964"/>
    <w:rsid w:val="006B60DD"/>
    <w:rsid w:val="006B7B0A"/>
    <w:rsid w:val="006C2D14"/>
    <w:rsid w:val="006C4DE3"/>
    <w:rsid w:val="006D2E2A"/>
    <w:rsid w:val="006D6F71"/>
    <w:rsid w:val="006E02A1"/>
    <w:rsid w:val="006E185A"/>
    <w:rsid w:val="006E3299"/>
    <w:rsid w:val="006E41F4"/>
    <w:rsid w:val="006F3B81"/>
    <w:rsid w:val="006F463D"/>
    <w:rsid w:val="00703F05"/>
    <w:rsid w:val="0070416B"/>
    <w:rsid w:val="0070770F"/>
    <w:rsid w:val="00711D02"/>
    <w:rsid w:val="00714621"/>
    <w:rsid w:val="0071499E"/>
    <w:rsid w:val="00714D94"/>
    <w:rsid w:val="007170EC"/>
    <w:rsid w:val="0071790F"/>
    <w:rsid w:val="00717984"/>
    <w:rsid w:val="00717E88"/>
    <w:rsid w:val="00721A01"/>
    <w:rsid w:val="00721F48"/>
    <w:rsid w:val="0072523C"/>
    <w:rsid w:val="00725EBF"/>
    <w:rsid w:val="00726B0E"/>
    <w:rsid w:val="00726CC0"/>
    <w:rsid w:val="0073752B"/>
    <w:rsid w:val="00737588"/>
    <w:rsid w:val="007377C5"/>
    <w:rsid w:val="00744A58"/>
    <w:rsid w:val="00744E22"/>
    <w:rsid w:val="007515F6"/>
    <w:rsid w:val="0075227A"/>
    <w:rsid w:val="00771BBE"/>
    <w:rsid w:val="0077287F"/>
    <w:rsid w:val="00772CD9"/>
    <w:rsid w:val="00775DEE"/>
    <w:rsid w:val="00782D26"/>
    <w:rsid w:val="007856E4"/>
    <w:rsid w:val="007872BB"/>
    <w:rsid w:val="00787B6F"/>
    <w:rsid w:val="0079461B"/>
    <w:rsid w:val="00795C81"/>
    <w:rsid w:val="007A0F10"/>
    <w:rsid w:val="007A183C"/>
    <w:rsid w:val="007B49B0"/>
    <w:rsid w:val="007B69DA"/>
    <w:rsid w:val="007C1248"/>
    <w:rsid w:val="007C1628"/>
    <w:rsid w:val="007C1637"/>
    <w:rsid w:val="007C17B6"/>
    <w:rsid w:val="007C2DFB"/>
    <w:rsid w:val="007C5923"/>
    <w:rsid w:val="007C6038"/>
    <w:rsid w:val="007D058B"/>
    <w:rsid w:val="007D3D9E"/>
    <w:rsid w:val="007D7074"/>
    <w:rsid w:val="007D74D4"/>
    <w:rsid w:val="007E2FD8"/>
    <w:rsid w:val="007E5B6B"/>
    <w:rsid w:val="007E752F"/>
    <w:rsid w:val="007F014A"/>
    <w:rsid w:val="007F28D5"/>
    <w:rsid w:val="007F6161"/>
    <w:rsid w:val="008076E1"/>
    <w:rsid w:val="008106F7"/>
    <w:rsid w:val="0081159E"/>
    <w:rsid w:val="0081246E"/>
    <w:rsid w:val="00814B94"/>
    <w:rsid w:val="00815771"/>
    <w:rsid w:val="0081622C"/>
    <w:rsid w:val="00822702"/>
    <w:rsid w:val="00824191"/>
    <w:rsid w:val="00824B8C"/>
    <w:rsid w:val="00825969"/>
    <w:rsid w:val="0082700B"/>
    <w:rsid w:val="00832B38"/>
    <w:rsid w:val="00834999"/>
    <w:rsid w:val="00835B75"/>
    <w:rsid w:val="00836536"/>
    <w:rsid w:val="008430AD"/>
    <w:rsid w:val="00843D77"/>
    <w:rsid w:val="00844325"/>
    <w:rsid w:val="00845D52"/>
    <w:rsid w:val="00846547"/>
    <w:rsid w:val="008515EB"/>
    <w:rsid w:val="00851A87"/>
    <w:rsid w:val="008538A9"/>
    <w:rsid w:val="00853925"/>
    <w:rsid w:val="00856B30"/>
    <w:rsid w:val="00865869"/>
    <w:rsid w:val="00870B87"/>
    <w:rsid w:val="008716E3"/>
    <w:rsid w:val="008737BE"/>
    <w:rsid w:val="00873BFF"/>
    <w:rsid w:val="00874164"/>
    <w:rsid w:val="008741C0"/>
    <w:rsid w:val="0087632F"/>
    <w:rsid w:val="0088255C"/>
    <w:rsid w:val="00883A2E"/>
    <w:rsid w:val="00893061"/>
    <w:rsid w:val="00897889"/>
    <w:rsid w:val="008A03BB"/>
    <w:rsid w:val="008A2758"/>
    <w:rsid w:val="008A7DEA"/>
    <w:rsid w:val="008B22F4"/>
    <w:rsid w:val="008B28E8"/>
    <w:rsid w:val="008B5934"/>
    <w:rsid w:val="008C1DD3"/>
    <w:rsid w:val="008C1E3E"/>
    <w:rsid w:val="008C4112"/>
    <w:rsid w:val="008C444C"/>
    <w:rsid w:val="008C5969"/>
    <w:rsid w:val="008D10DE"/>
    <w:rsid w:val="008D56D1"/>
    <w:rsid w:val="008D5ED5"/>
    <w:rsid w:val="008D6AFB"/>
    <w:rsid w:val="008E026F"/>
    <w:rsid w:val="008E0D9E"/>
    <w:rsid w:val="008E2589"/>
    <w:rsid w:val="008E3DAE"/>
    <w:rsid w:val="008E57A6"/>
    <w:rsid w:val="008E6C58"/>
    <w:rsid w:val="008E7EAE"/>
    <w:rsid w:val="008F538D"/>
    <w:rsid w:val="0090117E"/>
    <w:rsid w:val="00910143"/>
    <w:rsid w:val="00926A17"/>
    <w:rsid w:val="009305B5"/>
    <w:rsid w:val="009348A6"/>
    <w:rsid w:val="0093501A"/>
    <w:rsid w:val="00937037"/>
    <w:rsid w:val="009414F8"/>
    <w:rsid w:val="00944164"/>
    <w:rsid w:val="0095313E"/>
    <w:rsid w:val="00956868"/>
    <w:rsid w:val="0095746A"/>
    <w:rsid w:val="00965198"/>
    <w:rsid w:val="009664A4"/>
    <w:rsid w:val="00966799"/>
    <w:rsid w:val="00966914"/>
    <w:rsid w:val="00966BEC"/>
    <w:rsid w:val="009672DA"/>
    <w:rsid w:val="00972B2E"/>
    <w:rsid w:val="009813C7"/>
    <w:rsid w:val="009813EC"/>
    <w:rsid w:val="00984340"/>
    <w:rsid w:val="009843AD"/>
    <w:rsid w:val="009845D1"/>
    <w:rsid w:val="00984959"/>
    <w:rsid w:val="0098543E"/>
    <w:rsid w:val="0099121E"/>
    <w:rsid w:val="0099146B"/>
    <w:rsid w:val="00991C58"/>
    <w:rsid w:val="00992F5F"/>
    <w:rsid w:val="009969B6"/>
    <w:rsid w:val="00997EB1"/>
    <w:rsid w:val="009A0278"/>
    <w:rsid w:val="009A1509"/>
    <w:rsid w:val="009A1E78"/>
    <w:rsid w:val="009A45ED"/>
    <w:rsid w:val="009A4B32"/>
    <w:rsid w:val="009A7411"/>
    <w:rsid w:val="009B1134"/>
    <w:rsid w:val="009B7B64"/>
    <w:rsid w:val="009C0998"/>
    <w:rsid w:val="009C433D"/>
    <w:rsid w:val="009C4987"/>
    <w:rsid w:val="009D1A12"/>
    <w:rsid w:val="009D2295"/>
    <w:rsid w:val="009D6A7B"/>
    <w:rsid w:val="009E61FF"/>
    <w:rsid w:val="009E6882"/>
    <w:rsid w:val="009E7335"/>
    <w:rsid w:val="009F2295"/>
    <w:rsid w:val="009F2BEC"/>
    <w:rsid w:val="009F5083"/>
    <w:rsid w:val="009F7157"/>
    <w:rsid w:val="009F725C"/>
    <w:rsid w:val="00A0250F"/>
    <w:rsid w:val="00A03BA3"/>
    <w:rsid w:val="00A05591"/>
    <w:rsid w:val="00A060DB"/>
    <w:rsid w:val="00A10AD0"/>
    <w:rsid w:val="00A127C0"/>
    <w:rsid w:val="00A128BA"/>
    <w:rsid w:val="00A216EC"/>
    <w:rsid w:val="00A25896"/>
    <w:rsid w:val="00A336AD"/>
    <w:rsid w:val="00A443FF"/>
    <w:rsid w:val="00A46612"/>
    <w:rsid w:val="00A473C6"/>
    <w:rsid w:val="00A50EAA"/>
    <w:rsid w:val="00A55086"/>
    <w:rsid w:val="00A601BE"/>
    <w:rsid w:val="00A60304"/>
    <w:rsid w:val="00A605EA"/>
    <w:rsid w:val="00A67257"/>
    <w:rsid w:val="00A745E3"/>
    <w:rsid w:val="00A82904"/>
    <w:rsid w:val="00A842A1"/>
    <w:rsid w:val="00A86BA1"/>
    <w:rsid w:val="00A87B17"/>
    <w:rsid w:val="00A928C0"/>
    <w:rsid w:val="00A93347"/>
    <w:rsid w:val="00A94809"/>
    <w:rsid w:val="00A96CC8"/>
    <w:rsid w:val="00AA0862"/>
    <w:rsid w:val="00AA7417"/>
    <w:rsid w:val="00AB3E19"/>
    <w:rsid w:val="00AB5D9A"/>
    <w:rsid w:val="00AC317F"/>
    <w:rsid w:val="00AD0FF7"/>
    <w:rsid w:val="00AD1856"/>
    <w:rsid w:val="00AD4AD1"/>
    <w:rsid w:val="00AD59D0"/>
    <w:rsid w:val="00AD5BF3"/>
    <w:rsid w:val="00AE002C"/>
    <w:rsid w:val="00AE1B73"/>
    <w:rsid w:val="00AE2473"/>
    <w:rsid w:val="00AE2BF6"/>
    <w:rsid w:val="00AE61B8"/>
    <w:rsid w:val="00AF12BC"/>
    <w:rsid w:val="00AF302C"/>
    <w:rsid w:val="00AF61A9"/>
    <w:rsid w:val="00AF71B0"/>
    <w:rsid w:val="00B00256"/>
    <w:rsid w:val="00B02489"/>
    <w:rsid w:val="00B04AF8"/>
    <w:rsid w:val="00B05CC9"/>
    <w:rsid w:val="00B11D70"/>
    <w:rsid w:val="00B16203"/>
    <w:rsid w:val="00B2031E"/>
    <w:rsid w:val="00B2264B"/>
    <w:rsid w:val="00B2277E"/>
    <w:rsid w:val="00B24DA4"/>
    <w:rsid w:val="00B253CF"/>
    <w:rsid w:val="00B27853"/>
    <w:rsid w:val="00B33513"/>
    <w:rsid w:val="00B424CC"/>
    <w:rsid w:val="00B429E7"/>
    <w:rsid w:val="00B44C1B"/>
    <w:rsid w:val="00B45C37"/>
    <w:rsid w:val="00B4672A"/>
    <w:rsid w:val="00B46855"/>
    <w:rsid w:val="00B46914"/>
    <w:rsid w:val="00B50354"/>
    <w:rsid w:val="00B511FD"/>
    <w:rsid w:val="00B53699"/>
    <w:rsid w:val="00B57D56"/>
    <w:rsid w:val="00B6123A"/>
    <w:rsid w:val="00B627FA"/>
    <w:rsid w:val="00B705A0"/>
    <w:rsid w:val="00B715BA"/>
    <w:rsid w:val="00B72C12"/>
    <w:rsid w:val="00B75471"/>
    <w:rsid w:val="00B75C42"/>
    <w:rsid w:val="00B82F76"/>
    <w:rsid w:val="00B83C0F"/>
    <w:rsid w:val="00B8741C"/>
    <w:rsid w:val="00B8743C"/>
    <w:rsid w:val="00B91372"/>
    <w:rsid w:val="00B92E9E"/>
    <w:rsid w:val="00B9454D"/>
    <w:rsid w:val="00B94CE9"/>
    <w:rsid w:val="00B96D0B"/>
    <w:rsid w:val="00BA16A7"/>
    <w:rsid w:val="00BA1A1E"/>
    <w:rsid w:val="00BA22F6"/>
    <w:rsid w:val="00BA36C7"/>
    <w:rsid w:val="00BA43CF"/>
    <w:rsid w:val="00BA5E88"/>
    <w:rsid w:val="00BA6F6F"/>
    <w:rsid w:val="00BB3BA8"/>
    <w:rsid w:val="00BB701B"/>
    <w:rsid w:val="00BC129D"/>
    <w:rsid w:val="00BC33D2"/>
    <w:rsid w:val="00BC7EB5"/>
    <w:rsid w:val="00BD1F29"/>
    <w:rsid w:val="00BD21A0"/>
    <w:rsid w:val="00BD27DF"/>
    <w:rsid w:val="00BD452F"/>
    <w:rsid w:val="00BD5143"/>
    <w:rsid w:val="00BD67B2"/>
    <w:rsid w:val="00BE16EC"/>
    <w:rsid w:val="00BE1995"/>
    <w:rsid w:val="00BE2F8E"/>
    <w:rsid w:val="00BE3475"/>
    <w:rsid w:val="00BE664C"/>
    <w:rsid w:val="00BE7565"/>
    <w:rsid w:val="00BF19A7"/>
    <w:rsid w:val="00BF724F"/>
    <w:rsid w:val="00C0461D"/>
    <w:rsid w:val="00C04CAF"/>
    <w:rsid w:val="00C05FE5"/>
    <w:rsid w:val="00C068A3"/>
    <w:rsid w:val="00C078FE"/>
    <w:rsid w:val="00C11A03"/>
    <w:rsid w:val="00C120CE"/>
    <w:rsid w:val="00C16E82"/>
    <w:rsid w:val="00C17669"/>
    <w:rsid w:val="00C221C4"/>
    <w:rsid w:val="00C252AA"/>
    <w:rsid w:val="00C257BC"/>
    <w:rsid w:val="00C3159B"/>
    <w:rsid w:val="00C32CFF"/>
    <w:rsid w:val="00C350D2"/>
    <w:rsid w:val="00C40BA7"/>
    <w:rsid w:val="00C41802"/>
    <w:rsid w:val="00C437B2"/>
    <w:rsid w:val="00C43802"/>
    <w:rsid w:val="00C46A61"/>
    <w:rsid w:val="00C53FA2"/>
    <w:rsid w:val="00C6420F"/>
    <w:rsid w:val="00C64E47"/>
    <w:rsid w:val="00C65AD2"/>
    <w:rsid w:val="00C70A63"/>
    <w:rsid w:val="00C730F6"/>
    <w:rsid w:val="00C73B37"/>
    <w:rsid w:val="00C73DBB"/>
    <w:rsid w:val="00C74123"/>
    <w:rsid w:val="00C7526B"/>
    <w:rsid w:val="00C7790B"/>
    <w:rsid w:val="00C81DBE"/>
    <w:rsid w:val="00C82FE3"/>
    <w:rsid w:val="00C83430"/>
    <w:rsid w:val="00C85852"/>
    <w:rsid w:val="00C85AE7"/>
    <w:rsid w:val="00C85B41"/>
    <w:rsid w:val="00C87AA3"/>
    <w:rsid w:val="00C94DB1"/>
    <w:rsid w:val="00C97BC4"/>
    <w:rsid w:val="00C97EF6"/>
    <w:rsid w:val="00C97F28"/>
    <w:rsid w:val="00CA136E"/>
    <w:rsid w:val="00CA1477"/>
    <w:rsid w:val="00CA182E"/>
    <w:rsid w:val="00CA2364"/>
    <w:rsid w:val="00CA5221"/>
    <w:rsid w:val="00CA56BD"/>
    <w:rsid w:val="00CA609C"/>
    <w:rsid w:val="00CA74CC"/>
    <w:rsid w:val="00CB2C55"/>
    <w:rsid w:val="00CB7C64"/>
    <w:rsid w:val="00CC0388"/>
    <w:rsid w:val="00CC0F74"/>
    <w:rsid w:val="00CC1729"/>
    <w:rsid w:val="00CC47F4"/>
    <w:rsid w:val="00CC512E"/>
    <w:rsid w:val="00CC58DF"/>
    <w:rsid w:val="00CD08F5"/>
    <w:rsid w:val="00CD6170"/>
    <w:rsid w:val="00CD6B71"/>
    <w:rsid w:val="00CE1615"/>
    <w:rsid w:val="00CE306F"/>
    <w:rsid w:val="00CE69ED"/>
    <w:rsid w:val="00CF115D"/>
    <w:rsid w:val="00CF21E1"/>
    <w:rsid w:val="00CF46B9"/>
    <w:rsid w:val="00CF4A2F"/>
    <w:rsid w:val="00D03E09"/>
    <w:rsid w:val="00D108FC"/>
    <w:rsid w:val="00D10CA1"/>
    <w:rsid w:val="00D111AB"/>
    <w:rsid w:val="00D11D39"/>
    <w:rsid w:val="00D161D7"/>
    <w:rsid w:val="00D16529"/>
    <w:rsid w:val="00D21FD7"/>
    <w:rsid w:val="00D24D15"/>
    <w:rsid w:val="00D258CA"/>
    <w:rsid w:val="00D30F50"/>
    <w:rsid w:val="00D31FAB"/>
    <w:rsid w:val="00D3255D"/>
    <w:rsid w:val="00D33C0F"/>
    <w:rsid w:val="00D36260"/>
    <w:rsid w:val="00D37BEE"/>
    <w:rsid w:val="00D4202F"/>
    <w:rsid w:val="00D44537"/>
    <w:rsid w:val="00D47DBD"/>
    <w:rsid w:val="00D51DE9"/>
    <w:rsid w:val="00D61A88"/>
    <w:rsid w:val="00D61B79"/>
    <w:rsid w:val="00D6385E"/>
    <w:rsid w:val="00D66EA8"/>
    <w:rsid w:val="00D71DF7"/>
    <w:rsid w:val="00D77346"/>
    <w:rsid w:val="00D80BBC"/>
    <w:rsid w:val="00D85572"/>
    <w:rsid w:val="00D863EC"/>
    <w:rsid w:val="00D900AC"/>
    <w:rsid w:val="00D9412A"/>
    <w:rsid w:val="00D9714A"/>
    <w:rsid w:val="00DA3005"/>
    <w:rsid w:val="00DA7405"/>
    <w:rsid w:val="00DB7F49"/>
    <w:rsid w:val="00DC77ED"/>
    <w:rsid w:val="00DD288F"/>
    <w:rsid w:val="00DD4832"/>
    <w:rsid w:val="00DD6071"/>
    <w:rsid w:val="00DD7F58"/>
    <w:rsid w:val="00DE1BB4"/>
    <w:rsid w:val="00DE1F6E"/>
    <w:rsid w:val="00DE51A7"/>
    <w:rsid w:val="00DE5C70"/>
    <w:rsid w:val="00DF163F"/>
    <w:rsid w:val="00DF1DF1"/>
    <w:rsid w:val="00DF6CC5"/>
    <w:rsid w:val="00DF70B6"/>
    <w:rsid w:val="00E00B03"/>
    <w:rsid w:val="00E0216A"/>
    <w:rsid w:val="00E02FCE"/>
    <w:rsid w:val="00E0748D"/>
    <w:rsid w:val="00E104BA"/>
    <w:rsid w:val="00E10E2F"/>
    <w:rsid w:val="00E12442"/>
    <w:rsid w:val="00E14BD4"/>
    <w:rsid w:val="00E21EFE"/>
    <w:rsid w:val="00E26BD2"/>
    <w:rsid w:val="00E27C47"/>
    <w:rsid w:val="00E31239"/>
    <w:rsid w:val="00E33136"/>
    <w:rsid w:val="00E37392"/>
    <w:rsid w:val="00E40728"/>
    <w:rsid w:val="00E415F9"/>
    <w:rsid w:val="00E4198E"/>
    <w:rsid w:val="00E500BC"/>
    <w:rsid w:val="00E51F6A"/>
    <w:rsid w:val="00E546F4"/>
    <w:rsid w:val="00E55136"/>
    <w:rsid w:val="00E55556"/>
    <w:rsid w:val="00E5676D"/>
    <w:rsid w:val="00E57386"/>
    <w:rsid w:val="00E6397A"/>
    <w:rsid w:val="00E64263"/>
    <w:rsid w:val="00E73ED4"/>
    <w:rsid w:val="00E80BF1"/>
    <w:rsid w:val="00E81F9D"/>
    <w:rsid w:val="00E848D3"/>
    <w:rsid w:val="00E85905"/>
    <w:rsid w:val="00E872B4"/>
    <w:rsid w:val="00E90F53"/>
    <w:rsid w:val="00E9290D"/>
    <w:rsid w:val="00E94043"/>
    <w:rsid w:val="00E9424B"/>
    <w:rsid w:val="00E95B16"/>
    <w:rsid w:val="00E96CEA"/>
    <w:rsid w:val="00EA4BA0"/>
    <w:rsid w:val="00EB2B46"/>
    <w:rsid w:val="00EB3C1D"/>
    <w:rsid w:val="00EC1E91"/>
    <w:rsid w:val="00EC22B2"/>
    <w:rsid w:val="00EC3865"/>
    <w:rsid w:val="00ED21C1"/>
    <w:rsid w:val="00ED3B3F"/>
    <w:rsid w:val="00ED3C72"/>
    <w:rsid w:val="00EE381E"/>
    <w:rsid w:val="00EE3A03"/>
    <w:rsid w:val="00EE4003"/>
    <w:rsid w:val="00EE61E0"/>
    <w:rsid w:val="00EE71C2"/>
    <w:rsid w:val="00EF2FE1"/>
    <w:rsid w:val="00EF4682"/>
    <w:rsid w:val="00EF4A17"/>
    <w:rsid w:val="00EF78D9"/>
    <w:rsid w:val="00EF7E9A"/>
    <w:rsid w:val="00F0195F"/>
    <w:rsid w:val="00F02F21"/>
    <w:rsid w:val="00F04FC4"/>
    <w:rsid w:val="00F10149"/>
    <w:rsid w:val="00F11377"/>
    <w:rsid w:val="00F12AA0"/>
    <w:rsid w:val="00F15C80"/>
    <w:rsid w:val="00F24C9C"/>
    <w:rsid w:val="00F25408"/>
    <w:rsid w:val="00F34FB8"/>
    <w:rsid w:val="00F45E21"/>
    <w:rsid w:val="00F47938"/>
    <w:rsid w:val="00F51464"/>
    <w:rsid w:val="00F528B4"/>
    <w:rsid w:val="00F559B3"/>
    <w:rsid w:val="00F55C5D"/>
    <w:rsid w:val="00F56A18"/>
    <w:rsid w:val="00F576B6"/>
    <w:rsid w:val="00F57778"/>
    <w:rsid w:val="00F62736"/>
    <w:rsid w:val="00F65582"/>
    <w:rsid w:val="00F67E7F"/>
    <w:rsid w:val="00F7188C"/>
    <w:rsid w:val="00F7477F"/>
    <w:rsid w:val="00F755C8"/>
    <w:rsid w:val="00F80DF0"/>
    <w:rsid w:val="00F812C6"/>
    <w:rsid w:val="00F81A82"/>
    <w:rsid w:val="00F933DD"/>
    <w:rsid w:val="00F95A19"/>
    <w:rsid w:val="00F95D86"/>
    <w:rsid w:val="00F96F5D"/>
    <w:rsid w:val="00FA421F"/>
    <w:rsid w:val="00FA6DE3"/>
    <w:rsid w:val="00FB3183"/>
    <w:rsid w:val="00FB650C"/>
    <w:rsid w:val="00FC0F19"/>
    <w:rsid w:val="00FC102B"/>
    <w:rsid w:val="00FC239C"/>
    <w:rsid w:val="00FC23A8"/>
    <w:rsid w:val="00FC4489"/>
    <w:rsid w:val="00FC4E08"/>
    <w:rsid w:val="00FC6BD1"/>
    <w:rsid w:val="00FC7CAD"/>
    <w:rsid w:val="00FD01BA"/>
    <w:rsid w:val="00FD1373"/>
    <w:rsid w:val="00FD142D"/>
    <w:rsid w:val="00FD2A0E"/>
    <w:rsid w:val="00FE4CD1"/>
    <w:rsid w:val="00FE5BA3"/>
    <w:rsid w:val="00FE67A7"/>
    <w:rsid w:val="00FF3E1C"/>
    <w:rsid w:val="00FF5579"/>
    <w:rsid w:val="00FF67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F21E1"/>
    <w:rPr>
      <w:rFonts w:ascii="Times New Roman" w:eastAsia="Times New Roman" w:hAnsi="Times New Roman"/>
      <w:sz w:val="24"/>
      <w:szCs w:val="24"/>
    </w:rPr>
  </w:style>
  <w:style w:type="paragraph" w:styleId="Virsraksts3">
    <w:name w:val="heading 3"/>
    <w:basedOn w:val="Parasts"/>
    <w:link w:val="Virsraksts3Rakstz"/>
    <w:qFormat/>
    <w:rsid w:val="00FC239C"/>
    <w:pPr>
      <w:spacing w:before="100" w:beforeAutospacing="1" w:after="100" w:afterAutospacing="1"/>
      <w:outlineLvl w:val="2"/>
    </w:pPr>
    <w:rPr>
      <w:b/>
      <w:bCs/>
      <w:sz w:val="27"/>
      <w:szCs w:val="27"/>
    </w:rPr>
  </w:style>
  <w:style w:type="paragraph" w:styleId="Virsraksts4">
    <w:name w:val="heading 4"/>
    <w:basedOn w:val="Parasts"/>
    <w:next w:val="Parasts"/>
    <w:qFormat/>
    <w:rsid w:val="00000FF2"/>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CF21E1"/>
    <w:pPr>
      <w:spacing w:before="75" w:after="75"/>
      <w:ind w:firstLine="375"/>
      <w:jc w:val="both"/>
    </w:pPr>
  </w:style>
  <w:style w:type="paragraph" w:customStyle="1" w:styleId="naisnod">
    <w:name w:val="naisnod"/>
    <w:basedOn w:val="Parasts"/>
    <w:rsid w:val="00CF21E1"/>
    <w:pPr>
      <w:spacing w:before="150" w:after="150"/>
      <w:jc w:val="center"/>
    </w:pPr>
    <w:rPr>
      <w:b/>
      <w:bCs/>
    </w:rPr>
  </w:style>
  <w:style w:type="paragraph" w:customStyle="1" w:styleId="naislab">
    <w:name w:val="naislab"/>
    <w:basedOn w:val="Parasts"/>
    <w:rsid w:val="00CF21E1"/>
    <w:pPr>
      <w:spacing w:before="75" w:after="75"/>
      <w:jc w:val="right"/>
    </w:pPr>
  </w:style>
  <w:style w:type="paragraph" w:customStyle="1" w:styleId="naiskr">
    <w:name w:val="naiskr"/>
    <w:basedOn w:val="Parasts"/>
    <w:rsid w:val="00CF21E1"/>
    <w:pPr>
      <w:spacing w:before="75" w:after="75"/>
    </w:pPr>
  </w:style>
  <w:style w:type="paragraph" w:customStyle="1" w:styleId="naisc">
    <w:name w:val="naisc"/>
    <w:basedOn w:val="Parasts"/>
    <w:uiPriority w:val="99"/>
    <w:rsid w:val="00CF21E1"/>
    <w:pPr>
      <w:spacing w:before="75" w:after="75"/>
      <w:jc w:val="center"/>
    </w:pPr>
  </w:style>
  <w:style w:type="paragraph" w:styleId="Paraststmeklis">
    <w:name w:val="Normal (Web)"/>
    <w:basedOn w:val="Parasts"/>
    <w:uiPriority w:val="99"/>
    <w:rsid w:val="00CF21E1"/>
    <w:pPr>
      <w:spacing w:before="100" w:beforeAutospacing="1" w:after="100" w:afterAutospacing="1"/>
    </w:pPr>
  </w:style>
  <w:style w:type="paragraph" w:styleId="Kjene">
    <w:name w:val="footer"/>
    <w:basedOn w:val="Parasts"/>
    <w:link w:val="KjeneRakstz"/>
    <w:uiPriority w:val="99"/>
    <w:rsid w:val="00CF21E1"/>
    <w:pPr>
      <w:tabs>
        <w:tab w:val="center" w:pos="4153"/>
        <w:tab w:val="right" w:pos="8306"/>
      </w:tabs>
    </w:pPr>
  </w:style>
  <w:style w:type="character" w:customStyle="1" w:styleId="KjeneRakstz">
    <w:name w:val="Kājene Rakstz."/>
    <w:link w:val="Kjene"/>
    <w:uiPriority w:val="99"/>
    <w:rsid w:val="00CF21E1"/>
    <w:rPr>
      <w:rFonts w:ascii="Times New Roman" w:eastAsia="Times New Roman" w:hAnsi="Times New Roman" w:cs="Times New Roman"/>
      <w:sz w:val="24"/>
      <w:szCs w:val="24"/>
      <w:lang w:eastAsia="lv-LV"/>
    </w:rPr>
  </w:style>
  <w:style w:type="paragraph" w:styleId="Galvene">
    <w:name w:val="header"/>
    <w:basedOn w:val="Parasts"/>
    <w:link w:val="GalveneRakstz"/>
    <w:rsid w:val="00011BD6"/>
    <w:pPr>
      <w:tabs>
        <w:tab w:val="center" w:pos="4153"/>
        <w:tab w:val="right" w:pos="8306"/>
      </w:tabs>
    </w:pPr>
  </w:style>
  <w:style w:type="character" w:customStyle="1" w:styleId="GalveneRakstz">
    <w:name w:val="Galvene Rakstz."/>
    <w:link w:val="Galvene"/>
    <w:rsid w:val="00011BD6"/>
    <w:rPr>
      <w:rFonts w:ascii="Times New Roman" w:eastAsia="Times New Roman" w:hAnsi="Times New Roman"/>
      <w:sz w:val="24"/>
      <w:szCs w:val="24"/>
    </w:rPr>
  </w:style>
  <w:style w:type="character" w:styleId="Lappusesnumurs">
    <w:name w:val="page number"/>
    <w:basedOn w:val="Noklusjumarindkopasfonts"/>
    <w:rsid w:val="00CF21E1"/>
  </w:style>
  <w:style w:type="character" w:styleId="Hipersaite">
    <w:name w:val="Hyperlink"/>
    <w:uiPriority w:val="99"/>
    <w:rsid w:val="00CF21E1"/>
    <w:rPr>
      <w:color w:val="0000FF"/>
      <w:u w:val="single"/>
    </w:rPr>
  </w:style>
  <w:style w:type="paragraph" w:styleId="Pamatteksts">
    <w:name w:val="Body Text"/>
    <w:basedOn w:val="Parasts"/>
    <w:link w:val="PamattekstsRakstz"/>
    <w:uiPriority w:val="99"/>
    <w:semiHidden/>
    <w:unhideWhenUsed/>
    <w:rsid w:val="00612C8C"/>
    <w:pPr>
      <w:spacing w:before="100" w:beforeAutospacing="1" w:after="100" w:afterAutospacing="1"/>
    </w:pPr>
  </w:style>
  <w:style w:type="character" w:customStyle="1" w:styleId="PamattekstsRakstz">
    <w:name w:val="Pamatteksts Rakstz."/>
    <w:link w:val="Pamatteksts"/>
    <w:uiPriority w:val="99"/>
    <w:semiHidden/>
    <w:rsid w:val="00612C8C"/>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C129D"/>
    <w:pPr>
      <w:ind w:left="720"/>
      <w:contextualSpacing/>
    </w:pPr>
  </w:style>
  <w:style w:type="paragraph" w:styleId="Balonteksts">
    <w:name w:val="Balloon Text"/>
    <w:basedOn w:val="Parasts"/>
    <w:link w:val="BalontekstsRakstz"/>
    <w:uiPriority w:val="99"/>
    <w:semiHidden/>
    <w:unhideWhenUsed/>
    <w:rsid w:val="006E41F4"/>
    <w:rPr>
      <w:rFonts w:ascii="Tahoma" w:hAnsi="Tahoma" w:cs="Tahoma"/>
      <w:sz w:val="16"/>
      <w:szCs w:val="16"/>
    </w:rPr>
  </w:style>
  <w:style w:type="character" w:customStyle="1" w:styleId="BalontekstsRakstz">
    <w:name w:val="Balonteksts Rakstz."/>
    <w:link w:val="Balonteksts"/>
    <w:uiPriority w:val="99"/>
    <w:semiHidden/>
    <w:rsid w:val="006E41F4"/>
    <w:rPr>
      <w:rFonts w:ascii="Tahoma" w:eastAsia="Times New Roman" w:hAnsi="Tahoma" w:cs="Tahoma"/>
      <w:sz w:val="16"/>
      <w:szCs w:val="16"/>
    </w:rPr>
  </w:style>
  <w:style w:type="character" w:styleId="Izteiksmgs">
    <w:name w:val="Strong"/>
    <w:qFormat/>
    <w:rsid w:val="00FC239C"/>
    <w:rPr>
      <w:b/>
      <w:bCs/>
    </w:rPr>
  </w:style>
  <w:style w:type="paragraph" w:customStyle="1" w:styleId="naisvisr">
    <w:name w:val="naisvisr"/>
    <w:basedOn w:val="Parasts"/>
    <w:rsid w:val="00000FF2"/>
    <w:pPr>
      <w:spacing w:before="150" w:after="150"/>
      <w:jc w:val="center"/>
    </w:pPr>
    <w:rPr>
      <w:b/>
      <w:bCs/>
      <w:sz w:val="28"/>
      <w:szCs w:val="28"/>
    </w:rPr>
  </w:style>
  <w:style w:type="character" w:customStyle="1" w:styleId="Virsraksts3Rakstz">
    <w:name w:val="Virsraksts 3 Rakstz."/>
    <w:link w:val="Virsraksts3"/>
    <w:rsid w:val="00846547"/>
    <w:rPr>
      <w:rFonts w:ascii="Times New Roman" w:eastAsia="Times New Roman" w:hAnsi="Times New Roman"/>
      <w:b/>
      <w:bCs/>
      <w:sz w:val="27"/>
      <w:szCs w:val="27"/>
    </w:rPr>
  </w:style>
  <w:style w:type="character" w:styleId="Komentraatsauce">
    <w:name w:val="annotation reference"/>
    <w:uiPriority w:val="99"/>
    <w:semiHidden/>
    <w:unhideWhenUsed/>
    <w:rsid w:val="00EF2FE1"/>
    <w:rPr>
      <w:sz w:val="16"/>
      <w:szCs w:val="16"/>
    </w:rPr>
  </w:style>
  <w:style w:type="paragraph" w:styleId="Komentrateksts">
    <w:name w:val="annotation text"/>
    <w:basedOn w:val="Parasts"/>
    <w:link w:val="KomentratekstsRakstz"/>
    <w:uiPriority w:val="99"/>
    <w:semiHidden/>
    <w:unhideWhenUsed/>
    <w:rsid w:val="00EF2FE1"/>
    <w:rPr>
      <w:sz w:val="20"/>
      <w:szCs w:val="20"/>
    </w:rPr>
  </w:style>
  <w:style w:type="character" w:customStyle="1" w:styleId="KomentratekstsRakstz">
    <w:name w:val="Komentāra teksts Rakstz."/>
    <w:link w:val="Komentrateksts"/>
    <w:uiPriority w:val="99"/>
    <w:semiHidden/>
    <w:rsid w:val="00EF2FE1"/>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EF2FE1"/>
    <w:rPr>
      <w:b/>
      <w:bCs/>
    </w:rPr>
  </w:style>
  <w:style w:type="character" w:customStyle="1" w:styleId="KomentratmaRakstz">
    <w:name w:val="Komentāra tēma Rakstz."/>
    <w:link w:val="Komentratma"/>
    <w:uiPriority w:val="99"/>
    <w:semiHidden/>
    <w:rsid w:val="00EF2FE1"/>
    <w:rPr>
      <w:rFonts w:ascii="Times New Roman" w:eastAsia="Times New Roman" w:hAnsi="Times New Roman"/>
      <w:b/>
      <w:bCs/>
    </w:rPr>
  </w:style>
  <w:style w:type="paragraph" w:styleId="Vresteksts">
    <w:name w:val="footnote text"/>
    <w:basedOn w:val="Parasts"/>
    <w:link w:val="VrestekstsRakstz"/>
    <w:uiPriority w:val="99"/>
    <w:semiHidden/>
    <w:unhideWhenUsed/>
    <w:rsid w:val="007377C5"/>
    <w:rPr>
      <w:sz w:val="20"/>
      <w:szCs w:val="20"/>
    </w:rPr>
  </w:style>
  <w:style w:type="character" w:customStyle="1" w:styleId="VrestekstsRakstz">
    <w:name w:val="Vēres teksts Rakstz."/>
    <w:link w:val="Vresteksts"/>
    <w:uiPriority w:val="99"/>
    <w:semiHidden/>
    <w:rsid w:val="007377C5"/>
    <w:rPr>
      <w:rFonts w:ascii="Times New Roman" w:eastAsia="Times New Roman" w:hAnsi="Times New Roman"/>
    </w:rPr>
  </w:style>
  <w:style w:type="character" w:styleId="Vresatsauce">
    <w:name w:val="footnote reference"/>
    <w:uiPriority w:val="99"/>
    <w:semiHidden/>
    <w:unhideWhenUsed/>
    <w:rsid w:val="007377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F21E1"/>
    <w:rPr>
      <w:rFonts w:ascii="Times New Roman" w:eastAsia="Times New Roman" w:hAnsi="Times New Roman"/>
      <w:sz w:val="24"/>
      <w:szCs w:val="24"/>
    </w:rPr>
  </w:style>
  <w:style w:type="paragraph" w:styleId="Virsraksts3">
    <w:name w:val="heading 3"/>
    <w:basedOn w:val="Parasts"/>
    <w:link w:val="Virsraksts3Rakstz"/>
    <w:qFormat/>
    <w:rsid w:val="00FC239C"/>
    <w:pPr>
      <w:spacing w:before="100" w:beforeAutospacing="1" w:after="100" w:afterAutospacing="1"/>
      <w:outlineLvl w:val="2"/>
    </w:pPr>
    <w:rPr>
      <w:b/>
      <w:bCs/>
      <w:sz w:val="27"/>
      <w:szCs w:val="27"/>
    </w:rPr>
  </w:style>
  <w:style w:type="paragraph" w:styleId="Virsraksts4">
    <w:name w:val="heading 4"/>
    <w:basedOn w:val="Parasts"/>
    <w:next w:val="Parasts"/>
    <w:qFormat/>
    <w:rsid w:val="00000FF2"/>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CF21E1"/>
    <w:pPr>
      <w:spacing w:before="75" w:after="75"/>
      <w:ind w:firstLine="375"/>
      <w:jc w:val="both"/>
    </w:pPr>
  </w:style>
  <w:style w:type="paragraph" w:customStyle="1" w:styleId="naisnod">
    <w:name w:val="naisnod"/>
    <w:basedOn w:val="Parasts"/>
    <w:rsid w:val="00CF21E1"/>
    <w:pPr>
      <w:spacing w:before="150" w:after="150"/>
      <w:jc w:val="center"/>
    </w:pPr>
    <w:rPr>
      <w:b/>
      <w:bCs/>
    </w:rPr>
  </w:style>
  <w:style w:type="paragraph" w:customStyle="1" w:styleId="naislab">
    <w:name w:val="naislab"/>
    <w:basedOn w:val="Parasts"/>
    <w:rsid w:val="00CF21E1"/>
    <w:pPr>
      <w:spacing w:before="75" w:after="75"/>
      <w:jc w:val="right"/>
    </w:pPr>
  </w:style>
  <w:style w:type="paragraph" w:customStyle="1" w:styleId="naiskr">
    <w:name w:val="naiskr"/>
    <w:basedOn w:val="Parasts"/>
    <w:rsid w:val="00CF21E1"/>
    <w:pPr>
      <w:spacing w:before="75" w:after="75"/>
    </w:pPr>
  </w:style>
  <w:style w:type="paragraph" w:customStyle="1" w:styleId="naisc">
    <w:name w:val="naisc"/>
    <w:basedOn w:val="Parasts"/>
    <w:uiPriority w:val="99"/>
    <w:rsid w:val="00CF21E1"/>
    <w:pPr>
      <w:spacing w:before="75" w:after="75"/>
      <w:jc w:val="center"/>
    </w:pPr>
  </w:style>
  <w:style w:type="paragraph" w:styleId="Paraststmeklis">
    <w:name w:val="Normal (Web)"/>
    <w:basedOn w:val="Parasts"/>
    <w:uiPriority w:val="99"/>
    <w:rsid w:val="00CF21E1"/>
    <w:pPr>
      <w:spacing w:before="100" w:beforeAutospacing="1" w:after="100" w:afterAutospacing="1"/>
    </w:pPr>
  </w:style>
  <w:style w:type="paragraph" w:styleId="Kjene">
    <w:name w:val="footer"/>
    <w:basedOn w:val="Parasts"/>
    <w:link w:val="KjeneRakstz"/>
    <w:uiPriority w:val="99"/>
    <w:rsid w:val="00CF21E1"/>
    <w:pPr>
      <w:tabs>
        <w:tab w:val="center" w:pos="4153"/>
        <w:tab w:val="right" w:pos="8306"/>
      </w:tabs>
    </w:pPr>
  </w:style>
  <w:style w:type="character" w:customStyle="1" w:styleId="KjeneRakstz">
    <w:name w:val="Kājene Rakstz."/>
    <w:link w:val="Kjene"/>
    <w:uiPriority w:val="99"/>
    <w:rsid w:val="00CF21E1"/>
    <w:rPr>
      <w:rFonts w:ascii="Times New Roman" w:eastAsia="Times New Roman" w:hAnsi="Times New Roman" w:cs="Times New Roman"/>
      <w:sz w:val="24"/>
      <w:szCs w:val="24"/>
      <w:lang w:eastAsia="lv-LV"/>
    </w:rPr>
  </w:style>
  <w:style w:type="paragraph" w:styleId="Galvene">
    <w:name w:val="header"/>
    <w:basedOn w:val="Parasts"/>
    <w:link w:val="GalveneRakstz"/>
    <w:rsid w:val="00011BD6"/>
    <w:pPr>
      <w:tabs>
        <w:tab w:val="center" w:pos="4153"/>
        <w:tab w:val="right" w:pos="8306"/>
      </w:tabs>
    </w:pPr>
  </w:style>
  <w:style w:type="character" w:customStyle="1" w:styleId="GalveneRakstz">
    <w:name w:val="Galvene Rakstz."/>
    <w:link w:val="Galvene"/>
    <w:rsid w:val="00011BD6"/>
    <w:rPr>
      <w:rFonts w:ascii="Times New Roman" w:eastAsia="Times New Roman" w:hAnsi="Times New Roman"/>
      <w:sz w:val="24"/>
      <w:szCs w:val="24"/>
    </w:rPr>
  </w:style>
  <w:style w:type="character" w:styleId="Lappusesnumurs">
    <w:name w:val="page number"/>
    <w:basedOn w:val="Noklusjumarindkopasfonts"/>
    <w:rsid w:val="00CF21E1"/>
  </w:style>
  <w:style w:type="character" w:styleId="Hipersaite">
    <w:name w:val="Hyperlink"/>
    <w:uiPriority w:val="99"/>
    <w:rsid w:val="00CF21E1"/>
    <w:rPr>
      <w:color w:val="0000FF"/>
      <w:u w:val="single"/>
    </w:rPr>
  </w:style>
  <w:style w:type="paragraph" w:styleId="Pamatteksts">
    <w:name w:val="Body Text"/>
    <w:basedOn w:val="Parasts"/>
    <w:link w:val="PamattekstsRakstz"/>
    <w:uiPriority w:val="99"/>
    <w:semiHidden/>
    <w:unhideWhenUsed/>
    <w:rsid w:val="00612C8C"/>
    <w:pPr>
      <w:spacing w:before="100" w:beforeAutospacing="1" w:after="100" w:afterAutospacing="1"/>
    </w:pPr>
  </w:style>
  <w:style w:type="character" w:customStyle="1" w:styleId="PamattekstsRakstz">
    <w:name w:val="Pamatteksts Rakstz."/>
    <w:link w:val="Pamatteksts"/>
    <w:uiPriority w:val="99"/>
    <w:semiHidden/>
    <w:rsid w:val="00612C8C"/>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C129D"/>
    <w:pPr>
      <w:ind w:left="720"/>
      <w:contextualSpacing/>
    </w:pPr>
  </w:style>
  <w:style w:type="paragraph" w:styleId="Balonteksts">
    <w:name w:val="Balloon Text"/>
    <w:basedOn w:val="Parasts"/>
    <w:link w:val="BalontekstsRakstz"/>
    <w:uiPriority w:val="99"/>
    <w:semiHidden/>
    <w:unhideWhenUsed/>
    <w:rsid w:val="006E41F4"/>
    <w:rPr>
      <w:rFonts w:ascii="Tahoma" w:hAnsi="Tahoma" w:cs="Tahoma"/>
      <w:sz w:val="16"/>
      <w:szCs w:val="16"/>
    </w:rPr>
  </w:style>
  <w:style w:type="character" w:customStyle="1" w:styleId="BalontekstsRakstz">
    <w:name w:val="Balonteksts Rakstz."/>
    <w:link w:val="Balonteksts"/>
    <w:uiPriority w:val="99"/>
    <w:semiHidden/>
    <w:rsid w:val="006E41F4"/>
    <w:rPr>
      <w:rFonts w:ascii="Tahoma" w:eastAsia="Times New Roman" w:hAnsi="Tahoma" w:cs="Tahoma"/>
      <w:sz w:val="16"/>
      <w:szCs w:val="16"/>
    </w:rPr>
  </w:style>
  <w:style w:type="character" w:styleId="Izteiksmgs">
    <w:name w:val="Strong"/>
    <w:qFormat/>
    <w:rsid w:val="00FC239C"/>
    <w:rPr>
      <w:b/>
      <w:bCs/>
    </w:rPr>
  </w:style>
  <w:style w:type="paragraph" w:customStyle="1" w:styleId="naisvisr">
    <w:name w:val="naisvisr"/>
    <w:basedOn w:val="Parasts"/>
    <w:rsid w:val="00000FF2"/>
    <w:pPr>
      <w:spacing w:before="150" w:after="150"/>
      <w:jc w:val="center"/>
    </w:pPr>
    <w:rPr>
      <w:b/>
      <w:bCs/>
      <w:sz w:val="28"/>
      <w:szCs w:val="28"/>
    </w:rPr>
  </w:style>
  <w:style w:type="character" w:customStyle="1" w:styleId="Virsraksts3Rakstz">
    <w:name w:val="Virsraksts 3 Rakstz."/>
    <w:link w:val="Virsraksts3"/>
    <w:rsid w:val="00846547"/>
    <w:rPr>
      <w:rFonts w:ascii="Times New Roman" w:eastAsia="Times New Roman" w:hAnsi="Times New Roman"/>
      <w:b/>
      <w:bCs/>
      <w:sz w:val="27"/>
      <w:szCs w:val="27"/>
    </w:rPr>
  </w:style>
  <w:style w:type="character" w:styleId="Komentraatsauce">
    <w:name w:val="annotation reference"/>
    <w:uiPriority w:val="99"/>
    <w:semiHidden/>
    <w:unhideWhenUsed/>
    <w:rsid w:val="00EF2FE1"/>
    <w:rPr>
      <w:sz w:val="16"/>
      <w:szCs w:val="16"/>
    </w:rPr>
  </w:style>
  <w:style w:type="paragraph" w:styleId="Komentrateksts">
    <w:name w:val="annotation text"/>
    <w:basedOn w:val="Parasts"/>
    <w:link w:val="KomentratekstsRakstz"/>
    <w:uiPriority w:val="99"/>
    <w:semiHidden/>
    <w:unhideWhenUsed/>
    <w:rsid w:val="00EF2FE1"/>
    <w:rPr>
      <w:sz w:val="20"/>
      <w:szCs w:val="20"/>
    </w:rPr>
  </w:style>
  <w:style w:type="character" w:customStyle="1" w:styleId="KomentratekstsRakstz">
    <w:name w:val="Komentāra teksts Rakstz."/>
    <w:link w:val="Komentrateksts"/>
    <w:uiPriority w:val="99"/>
    <w:semiHidden/>
    <w:rsid w:val="00EF2FE1"/>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EF2FE1"/>
    <w:rPr>
      <w:b/>
      <w:bCs/>
    </w:rPr>
  </w:style>
  <w:style w:type="character" w:customStyle="1" w:styleId="KomentratmaRakstz">
    <w:name w:val="Komentāra tēma Rakstz."/>
    <w:link w:val="Komentratma"/>
    <w:uiPriority w:val="99"/>
    <w:semiHidden/>
    <w:rsid w:val="00EF2FE1"/>
    <w:rPr>
      <w:rFonts w:ascii="Times New Roman" w:eastAsia="Times New Roman" w:hAnsi="Times New Roman"/>
      <w:b/>
      <w:bCs/>
    </w:rPr>
  </w:style>
  <w:style w:type="paragraph" w:styleId="Vresteksts">
    <w:name w:val="footnote text"/>
    <w:basedOn w:val="Parasts"/>
    <w:link w:val="VrestekstsRakstz"/>
    <w:uiPriority w:val="99"/>
    <w:semiHidden/>
    <w:unhideWhenUsed/>
    <w:rsid w:val="007377C5"/>
    <w:rPr>
      <w:sz w:val="20"/>
      <w:szCs w:val="20"/>
    </w:rPr>
  </w:style>
  <w:style w:type="character" w:customStyle="1" w:styleId="VrestekstsRakstz">
    <w:name w:val="Vēres teksts Rakstz."/>
    <w:link w:val="Vresteksts"/>
    <w:uiPriority w:val="99"/>
    <w:semiHidden/>
    <w:rsid w:val="007377C5"/>
    <w:rPr>
      <w:rFonts w:ascii="Times New Roman" w:eastAsia="Times New Roman" w:hAnsi="Times New Roman"/>
    </w:rPr>
  </w:style>
  <w:style w:type="character" w:styleId="Vresatsauce">
    <w:name w:val="footnote reference"/>
    <w:uiPriority w:val="99"/>
    <w:semiHidden/>
    <w:unhideWhenUsed/>
    <w:rsid w:val="007377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0552">
      <w:bodyDiv w:val="1"/>
      <w:marLeft w:val="0"/>
      <w:marRight w:val="0"/>
      <w:marTop w:val="0"/>
      <w:marBottom w:val="0"/>
      <w:divBdr>
        <w:top w:val="none" w:sz="0" w:space="0" w:color="auto"/>
        <w:left w:val="none" w:sz="0" w:space="0" w:color="auto"/>
        <w:bottom w:val="none" w:sz="0" w:space="0" w:color="auto"/>
        <w:right w:val="none" w:sz="0" w:space="0" w:color="auto"/>
      </w:divBdr>
    </w:div>
    <w:div w:id="207646848">
      <w:bodyDiv w:val="1"/>
      <w:marLeft w:val="0"/>
      <w:marRight w:val="0"/>
      <w:marTop w:val="0"/>
      <w:marBottom w:val="0"/>
      <w:divBdr>
        <w:top w:val="none" w:sz="0" w:space="0" w:color="auto"/>
        <w:left w:val="none" w:sz="0" w:space="0" w:color="auto"/>
        <w:bottom w:val="none" w:sz="0" w:space="0" w:color="auto"/>
        <w:right w:val="none" w:sz="0" w:space="0" w:color="auto"/>
      </w:divBdr>
    </w:div>
    <w:div w:id="242883716">
      <w:bodyDiv w:val="1"/>
      <w:marLeft w:val="0"/>
      <w:marRight w:val="0"/>
      <w:marTop w:val="0"/>
      <w:marBottom w:val="0"/>
      <w:divBdr>
        <w:top w:val="none" w:sz="0" w:space="0" w:color="auto"/>
        <w:left w:val="none" w:sz="0" w:space="0" w:color="auto"/>
        <w:bottom w:val="none" w:sz="0" w:space="0" w:color="auto"/>
        <w:right w:val="none" w:sz="0" w:space="0" w:color="auto"/>
      </w:divBdr>
    </w:div>
    <w:div w:id="1141728607">
      <w:bodyDiv w:val="1"/>
      <w:marLeft w:val="0"/>
      <w:marRight w:val="0"/>
      <w:marTop w:val="0"/>
      <w:marBottom w:val="0"/>
      <w:divBdr>
        <w:top w:val="none" w:sz="0" w:space="0" w:color="auto"/>
        <w:left w:val="none" w:sz="0" w:space="0" w:color="auto"/>
        <w:bottom w:val="none" w:sz="0" w:space="0" w:color="auto"/>
        <w:right w:val="none" w:sz="0" w:space="0" w:color="auto"/>
      </w:divBdr>
    </w:div>
    <w:div w:id="1192914169">
      <w:bodyDiv w:val="1"/>
      <w:marLeft w:val="0"/>
      <w:marRight w:val="0"/>
      <w:marTop w:val="0"/>
      <w:marBottom w:val="0"/>
      <w:divBdr>
        <w:top w:val="none" w:sz="0" w:space="0" w:color="auto"/>
        <w:left w:val="none" w:sz="0" w:space="0" w:color="auto"/>
        <w:bottom w:val="none" w:sz="0" w:space="0" w:color="auto"/>
        <w:right w:val="none" w:sz="0" w:space="0" w:color="auto"/>
      </w:divBdr>
    </w:div>
    <w:div w:id="1350720979">
      <w:bodyDiv w:val="1"/>
      <w:marLeft w:val="0"/>
      <w:marRight w:val="0"/>
      <w:marTop w:val="0"/>
      <w:marBottom w:val="0"/>
      <w:divBdr>
        <w:top w:val="none" w:sz="0" w:space="0" w:color="auto"/>
        <w:left w:val="none" w:sz="0" w:space="0" w:color="auto"/>
        <w:bottom w:val="none" w:sz="0" w:space="0" w:color="auto"/>
        <w:right w:val="none" w:sz="0" w:space="0" w:color="auto"/>
      </w:divBdr>
    </w:div>
    <w:div w:id="1466464923">
      <w:bodyDiv w:val="1"/>
      <w:marLeft w:val="0"/>
      <w:marRight w:val="0"/>
      <w:marTop w:val="75"/>
      <w:marBottom w:val="75"/>
      <w:divBdr>
        <w:top w:val="none" w:sz="0" w:space="0" w:color="auto"/>
        <w:left w:val="none" w:sz="0" w:space="0" w:color="auto"/>
        <w:bottom w:val="none" w:sz="0" w:space="0" w:color="auto"/>
        <w:right w:val="none" w:sz="0" w:space="0" w:color="auto"/>
      </w:divBdr>
    </w:div>
    <w:div w:id="1496653443">
      <w:bodyDiv w:val="1"/>
      <w:marLeft w:val="0"/>
      <w:marRight w:val="0"/>
      <w:marTop w:val="0"/>
      <w:marBottom w:val="0"/>
      <w:divBdr>
        <w:top w:val="none" w:sz="0" w:space="0" w:color="auto"/>
        <w:left w:val="none" w:sz="0" w:space="0" w:color="auto"/>
        <w:bottom w:val="none" w:sz="0" w:space="0" w:color="auto"/>
        <w:right w:val="none" w:sz="0" w:space="0" w:color="auto"/>
      </w:divBdr>
    </w:div>
    <w:div w:id="1573855936">
      <w:bodyDiv w:val="1"/>
      <w:marLeft w:val="0"/>
      <w:marRight w:val="0"/>
      <w:marTop w:val="0"/>
      <w:marBottom w:val="0"/>
      <w:divBdr>
        <w:top w:val="none" w:sz="0" w:space="0" w:color="auto"/>
        <w:left w:val="none" w:sz="0" w:space="0" w:color="auto"/>
        <w:bottom w:val="none" w:sz="0" w:space="0" w:color="auto"/>
        <w:right w:val="none" w:sz="0" w:space="0" w:color="auto"/>
      </w:divBdr>
    </w:div>
    <w:div w:id="1820682246">
      <w:bodyDiv w:val="1"/>
      <w:marLeft w:val="0"/>
      <w:marRight w:val="0"/>
      <w:marTop w:val="0"/>
      <w:marBottom w:val="0"/>
      <w:divBdr>
        <w:top w:val="none" w:sz="0" w:space="0" w:color="auto"/>
        <w:left w:val="none" w:sz="0" w:space="0" w:color="auto"/>
        <w:bottom w:val="none" w:sz="0" w:space="0" w:color="auto"/>
        <w:right w:val="none" w:sz="0" w:space="0" w:color="auto"/>
      </w:divBdr>
    </w:div>
    <w:div w:id="2050639587">
      <w:bodyDiv w:val="1"/>
      <w:marLeft w:val="0"/>
      <w:marRight w:val="0"/>
      <w:marTop w:val="0"/>
      <w:marBottom w:val="0"/>
      <w:divBdr>
        <w:top w:val="none" w:sz="0" w:space="0" w:color="auto"/>
        <w:left w:val="none" w:sz="0" w:space="0" w:color="auto"/>
        <w:bottom w:val="none" w:sz="0" w:space="0" w:color="auto"/>
        <w:right w:val="none" w:sz="0" w:space="0" w:color="auto"/>
      </w:divBdr>
    </w:div>
    <w:div w:id="207739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OJ:L:2009:007:0001:01:LV: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eur-lex.europa.eu/LexUriServ/LexUriServ.do?uri=OJ:L:2009:007:0001:01:LV:HTML" TargetMode="External"/><Relationship Id="rId17" Type="http://schemas.openxmlformats.org/officeDocument/2006/relationships/hyperlink" Target="mailto:Kristine.Veidenbauma@tm.gov.lv" TargetMode="External"/><Relationship Id="rId2" Type="http://schemas.openxmlformats.org/officeDocument/2006/relationships/numbering" Target="numbering.xml"/><Relationship Id="rId16" Type="http://schemas.openxmlformats.org/officeDocument/2006/relationships/hyperlink" Target="mailto:Daina.Baha@tm.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doc.php?id=57980" TargetMode="External"/><Relationship Id="rId5" Type="http://schemas.openxmlformats.org/officeDocument/2006/relationships/settings" Target="settings.xml"/><Relationship Id="rId15" Type="http://schemas.openxmlformats.org/officeDocument/2006/relationships/hyperlink" Target="http://eur-lex.europa.eu/LexUriServ/LexUriServ.do?uri=OJ:L:2009:007:0001:01:LV:HTML" TargetMode="External"/><Relationship Id="rId23" Type="http://schemas.openxmlformats.org/officeDocument/2006/relationships/theme" Target="theme/theme1.xml"/><Relationship Id="rId10" Type="http://schemas.openxmlformats.org/officeDocument/2006/relationships/hyperlink" Target="http://www.likumi.lv/doc.php?id=225418"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likumi.lv/doc.php?id=225418" TargetMode="External"/><Relationship Id="rId14" Type="http://schemas.openxmlformats.org/officeDocument/2006/relationships/hyperlink" Target="http://eur-lex.europa.eu/LexUriServ/LexUriServ.do?uri=OJ:L:2009:007:0001:01:LV:HTML"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77385-5821-42CF-B3BF-046B71A6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38727</Words>
  <Characters>22075</Characters>
  <Application>Microsoft Office Word</Application>
  <DocSecurity>0</DocSecurity>
  <Lines>183</Lines>
  <Paragraphs>121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Uzturlīdzekļu garantiju fonda likumā” sākotnējās ietekmes novērtējuma ziņojums (anotācija)</vt:lpstr>
      <vt:lpstr>Likumprojekta „Grozījumi Uzturlīdzekļu garantiju fonda likumā” sākotnējās ietekmes novērtējuma ziņojums (anotācija)</vt:lpstr>
    </vt:vector>
  </TitlesOfParts>
  <Company>Ekonomikas ministrija</Company>
  <LinksUpToDate>false</LinksUpToDate>
  <CharactersWithSpaces>60681</CharactersWithSpaces>
  <SharedDoc>false</SharedDoc>
  <HLinks>
    <vt:vector size="66" baseType="variant">
      <vt:variant>
        <vt:i4>5505136</vt:i4>
      </vt:variant>
      <vt:variant>
        <vt:i4>30</vt:i4>
      </vt:variant>
      <vt:variant>
        <vt:i4>0</vt:i4>
      </vt:variant>
      <vt:variant>
        <vt:i4>5</vt:i4>
      </vt:variant>
      <vt:variant>
        <vt:lpwstr>mailto:Daina.Baha@tm.gov.lv</vt:lpwstr>
      </vt:variant>
      <vt:variant>
        <vt:lpwstr/>
      </vt:variant>
      <vt:variant>
        <vt:i4>7864444</vt:i4>
      </vt:variant>
      <vt:variant>
        <vt:i4>27</vt:i4>
      </vt:variant>
      <vt:variant>
        <vt:i4>0</vt:i4>
      </vt:variant>
      <vt:variant>
        <vt:i4>5</vt:i4>
      </vt:variant>
      <vt:variant>
        <vt:lpwstr>http://www.likumi.lv/doc.php?id=91536&amp;from=off</vt:lpwstr>
      </vt:variant>
      <vt:variant>
        <vt:lpwstr/>
      </vt:variant>
      <vt:variant>
        <vt:i4>2359413</vt:i4>
      </vt:variant>
      <vt:variant>
        <vt:i4>24</vt:i4>
      </vt:variant>
      <vt:variant>
        <vt:i4>0</vt:i4>
      </vt:variant>
      <vt:variant>
        <vt:i4>5</vt:i4>
      </vt:variant>
      <vt:variant>
        <vt:lpwstr>http://www.likumi.lv/doc.php?id=191772&amp;from=off</vt:lpwstr>
      </vt:variant>
      <vt:variant>
        <vt:lpwstr/>
      </vt:variant>
      <vt:variant>
        <vt:i4>7602210</vt:i4>
      </vt:variant>
      <vt:variant>
        <vt:i4>21</vt:i4>
      </vt:variant>
      <vt:variant>
        <vt:i4>0</vt:i4>
      </vt:variant>
      <vt:variant>
        <vt:i4>5</vt:i4>
      </vt:variant>
      <vt:variant>
        <vt:lpwstr>http://www.likumi.lv/doc.php?id=225418</vt:lpwstr>
      </vt:variant>
      <vt:variant>
        <vt:lpwstr/>
      </vt:variant>
      <vt:variant>
        <vt:i4>7602210</vt:i4>
      </vt:variant>
      <vt:variant>
        <vt:i4>18</vt:i4>
      </vt:variant>
      <vt:variant>
        <vt:i4>0</vt:i4>
      </vt:variant>
      <vt:variant>
        <vt:i4>5</vt:i4>
      </vt:variant>
      <vt:variant>
        <vt:lpwstr>http://www.likumi.lv/doc.php?id=225418</vt:lpwstr>
      </vt:variant>
      <vt:variant>
        <vt:lpwstr/>
      </vt:variant>
      <vt:variant>
        <vt:i4>7602210</vt:i4>
      </vt:variant>
      <vt:variant>
        <vt:i4>15</vt:i4>
      </vt:variant>
      <vt:variant>
        <vt:i4>0</vt:i4>
      </vt:variant>
      <vt:variant>
        <vt:i4>5</vt:i4>
      </vt:variant>
      <vt:variant>
        <vt:lpwstr>http://www.likumi.lv/doc.php?id=225418</vt:lpwstr>
      </vt:variant>
      <vt:variant>
        <vt:lpwstr/>
      </vt:variant>
      <vt:variant>
        <vt:i4>7602210</vt:i4>
      </vt:variant>
      <vt:variant>
        <vt:i4>12</vt:i4>
      </vt:variant>
      <vt:variant>
        <vt:i4>0</vt:i4>
      </vt:variant>
      <vt:variant>
        <vt:i4>5</vt:i4>
      </vt:variant>
      <vt:variant>
        <vt:lpwstr>http://www.likumi.lv/doc.php?id=225418</vt:lpwstr>
      </vt:variant>
      <vt:variant>
        <vt:lpwstr/>
      </vt:variant>
      <vt:variant>
        <vt:i4>7602210</vt:i4>
      </vt:variant>
      <vt:variant>
        <vt:i4>9</vt:i4>
      </vt:variant>
      <vt:variant>
        <vt:i4>0</vt:i4>
      </vt:variant>
      <vt:variant>
        <vt:i4>5</vt:i4>
      </vt:variant>
      <vt:variant>
        <vt:lpwstr>http://www.likumi.lv/doc.php?id=225418</vt:lpwstr>
      </vt:variant>
      <vt:variant>
        <vt:lpwstr/>
      </vt:variant>
      <vt:variant>
        <vt:i4>4522008</vt:i4>
      </vt:variant>
      <vt:variant>
        <vt:i4>6</vt:i4>
      </vt:variant>
      <vt:variant>
        <vt:i4>0</vt:i4>
      </vt:variant>
      <vt:variant>
        <vt:i4>5</vt:i4>
      </vt:variant>
      <vt:variant>
        <vt:lpwstr>http://www.likumi.lv/doc.php?id=57980</vt:lpwstr>
      </vt:variant>
      <vt:variant>
        <vt:lpwstr/>
      </vt:variant>
      <vt:variant>
        <vt:i4>7602210</vt:i4>
      </vt:variant>
      <vt:variant>
        <vt:i4>3</vt:i4>
      </vt:variant>
      <vt:variant>
        <vt:i4>0</vt:i4>
      </vt:variant>
      <vt:variant>
        <vt:i4>5</vt:i4>
      </vt:variant>
      <vt:variant>
        <vt:lpwstr>http://www.likumi.lv/doc.php?id=225418</vt:lpwstr>
      </vt:variant>
      <vt:variant>
        <vt:lpwstr/>
      </vt:variant>
      <vt:variant>
        <vt:i4>7602210</vt:i4>
      </vt:variant>
      <vt:variant>
        <vt:i4>0</vt:i4>
      </vt:variant>
      <vt:variant>
        <vt:i4>0</vt:i4>
      </vt:variant>
      <vt:variant>
        <vt:i4>5</vt:i4>
      </vt:variant>
      <vt:variant>
        <vt:lpwstr>http://www.likumi.lv/doc.php?id=225418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Uzturlīdzekļu garantiju fonda likumā” sākotnējās ietekmes novērtējuma ziņojums (anotācija)</dc:title>
  <dc:subject>Anotācija</dc:subject>
  <dc:creator>Daina Baha</dc:creator>
  <dc:description>Tieslietu ministrijas 
Brīvo juridisko profesiju departamenta 
juriskonsulte Daina Baha
67036838, Daina.Baha@tm.gov.lv</dc:description>
  <cp:lastModifiedBy>Daina Baha</cp:lastModifiedBy>
  <cp:revision>3</cp:revision>
  <cp:lastPrinted>2012-05-29T09:03:00Z</cp:lastPrinted>
  <dcterms:created xsi:type="dcterms:W3CDTF">2012-06-13T13:41:00Z</dcterms:created>
  <dcterms:modified xsi:type="dcterms:W3CDTF">2012-06-13T13:45:00Z</dcterms:modified>
</cp:coreProperties>
</file>