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CBD" w:rsidRPr="00B215C9" w:rsidRDefault="00CC2CBD" w:rsidP="00A84F7E">
      <w:pPr>
        <w:pStyle w:val="naisvisr"/>
        <w:spacing w:before="0" w:after="0"/>
      </w:pPr>
      <w:r w:rsidRPr="00B215C9">
        <w:t>Ministru kabineta noteikumu projekta</w:t>
      </w:r>
    </w:p>
    <w:p w:rsidR="00CC2CBD" w:rsidRPr="00B215C9" w:rsidRDefault="00CC2CBD" w:rsidP="00A84F7E">
      <w:pPr>
        <w:spacing w:after="0" w:line="240" w:lineRule="auto"/>
        <w:jc w:val="center"/>
        <w:rPr>
          <w:rFonts w:ascii="Times New Roman" w:hAnsi="Times New Roman"/>
          <w:b/>
          <w:sz w:val="28"/>
          <w:szCs w:val="28"/>
        </w:rPr>
      </w:pPr>
      <w:r w:rsidRPr="00B215C9">
        <w:rPr>
          <w:rFonts w:ascii="Times New Roman" w:hAnsi="Times New Roman"/>
          <w:b/>
          <w:bCs/>
          <w:sz w:val="28"/>
          <w:szCs w:val="28"/>
          <w:lang w:eastAsia="lv-LV"/>
        </w:rPr>
        <w:t xml:space="preserve">„Datu valsts inspekcijas sniegto maksas pakalpojumu cenrādis” sākotnējās ietekmes novērtējuma </w:t>
      </w:r>
      <w:smartTag w:uri="schemas-tilde-lv/tildestengine" w:element="veidnes">
        <w:smartTagPr>
          <w:attr w:name="id" w:val="-1"/>
          <w:attr w:name="baseform" w:val="ziņojums"/>
          <w:attr w:name="text" w:val="ziņojums"/>
        </w:smartTagPr>
        <w:r w:rsidRPr="00B215C9">
          <w:rPr>
            <w:rFonts w:ascii="Times New Roman" w:hAnsi="Times New Roman"/>
            <w:b/>
            <w:bCs/>
            <w:sz w:val="28"/>
            <w:szCs w:val="28"/>
            <w:lang w:eastAsia="lv-LV"/>
          </w:rPr>
          <w:t>ziņojums</w:t>
        </w:r>
      </w:smartTag>
      <w:r w:rsidRPr="00B215C9">
        <w:rPr>
          <w:rFonts w:ascii="Times New Roman" w:hAnsi="Times New Roman"/>
          <w:b/>
          <w:bCs/>
          <w:sz w:val="28"/>
          <w:szCs w:val="28"/>
          <w:lang w:eastAsia="lv-LV"/>
        </w:rPr>
        <w:t xml:space="preserve"> (anotācija</w:t>
      </w:r>
      <w:r w:rsidRPr="00B215C9">
        <w:rPr>
          <w:rFonts w:ascii="Times New Roman" w:hAnsi="Times New Roman"/>
          <w:b/>
          <w:sz w:val="28"/>
          <w:szCs w:val="28"/>
        </w:rPr>
        <w:t>)</w:t>
      </w:r>
    </w:p>
    <w:p w:rsidR="00CC2CBD" w:rsidRPr="00B215C9" w:rsidRDefault="00CC2CBD" w:rsidP="00645DE7">
      <w:pPr>
        <w:spacing w:after="0" w:line="240" w:lineRule="auto"/>
        <w:rPr>
          <w:rFonts w:ascii="Times New Roman" w:hAnsi="Times New Roman"/>
          <w:sz w:val="24"/>
          <w:szCs w:val="24"/>
          <w:lang w:eastAsia="lv-LV"/>
        </w:rPr>
      </w:pPr>
    </w:p>
    <w:tbl>
      <w:tblPr>
        <w:tblpPr w:leftFromText="180" w:rightFromText="180" w:vertAnchor="text" w:horzAnchor="margin" w:tblpXSpec="center" w:tblpY="149"/>
        <w:tblW w:w="9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703"/>
        <w:gridCol w:w="2927"/>
        <w:gridCol w:w="5395"/>
      </w:tblGrid>
      <w:tr w:rsidR="00CC2CBD" w:rsidRPr="00B215C9" w:rsidTr="00DF0F96">
        <w:tc>
          <w:tcPr>
            <w:tcW w:w="9025" w:type="dxa"/>
            <w:gridSpan w:val="3"/>
            <w:vAlign w:val="center"/>
          </w:tcPr>
          <w:p w:rsidR="00CC2CBD" w:rsidRPr="00B215C9" w:rsidRDefault="00CC2CBD" w:rsidP="000A4B8A">
            <w:pPr>
              <w:pStyle w:val="naisnod"/>
              <w:spacing w:before="0" w:after="0"/>
              <w:rPr>
                <w:sz w:val="28"/>
                <w:szCs w:val="28"/>
              </w:rPr>
            </w:pPr>
            <w:r w:rsidRPr="00B215C9">
              <w:rPr>
                <w:sz w:val="28"/>
                <w:szCs w:val="28"/>
              </w:rPr>
              <w:t>I. Tiesību akta projekta izstrādes nepieciešamība</w:t>
            </w:r>
          </w:p>
        </w:tc>
      </w:tr>
      <w:tr w:rsidR="00CC2CBD" w:rsidRPr="00B215C9" w:rsidTr="00DF0F96">
        <w:trPr>
          <w:trHeight w:val="630"/>
        </w:trPr>
        <w:tc>
          <w:tcPr>
            <w:tcW w:w="703" w:type="dxa"/>
          </w:tcPr>
          <w:p w:rsidR="00CC2CBD" w:rsidRPr="00B215C9" w:rsidRDefault="00CC2CBD" w:rsidP="001A0D4F">
            <w:pPr>
              <w:spacing w:after="0"/>
              <w:rPr>
                <w:rFonts w:ascii="Times New Roman" w:hAnsi="Times New Roman"/>
                <w:sz w:val="28"/>
                <w:szCs w:val="28"/>
              </w:rPr>
            </w:pPr>
            <w:r w:rsidRPr="00B215C9">
              <w:rPr>
                <w:rFonts w:ascii="Times New Roman" w:hAnsi="Times New Roman"/>
                <w:sz w:val="28"/>
                <w:szCs w:val="28"/>
              </w:rPr>
              <w:t>1.</w:t>
            </w:r>
          </w:p>
        </w:tc>
        <w:tc>
          <w:tcPr>
            <w:tcW w:w="2927" w:type="dxa"/>
          </w:tcPr>
          <w:p w:rsidR="00CC2CBD" w:rsidRPr="00B215C9" w:rsidRDefault="00CC2CBD" w:rsidP="001A0D4F">
            <w:pPr>
              <w:spacing w:after="0"/>
              <w:ind w:hanging="10"/>
              <w:rPr>
                <w:rFonts w:ascii="Times New Roman" w:hAnsi="Times New Roman"/>
                <w:sz w:val="28"/>
                <w:szCs w:val="28"/>
              </w:rPr>
            </w:pPr>
            <w:r w:rsidRPr="00B215C9">
              <w:rPr>
                <w:rFonts w:ascii="Times New Roman" w:hAnsi="Times New Roman"/>
                <w:sz w:val="28"/>
                <w:szCs w:val="28"/>
              </w:rPr>
              <w:t>Pamatojums</w:t>
            </w:r>
          </w:p>
        </w:tc>
        <w:tc>
          <w:tcPr>
            <w:tcW w:w="5395" w:type="dxa"/>
          </w:tcPr>
          <w:p w:rsidR="00CC2CBD" w:rsidRPr="00B215C9" w:rsidRDefault="00CC2CBD" w:rsidP="001B7C3D">
            <w:pPr>
              <w:pStyle w:val="naiskr"/>
              <w:spacing w:before="0" w:after="0"/>
              <w:jc w:val="both"/>
              <w:rPr>
                <w:sz w:val="28"/>
                <w:szCs w:val="28"/>
              </w:rPr>
            </w:pPr>
            <w:r w:rsidRPr="00B215C9">
              <w:rPr>
                <w:i/>
                <w:sz w:val="28"/>
                <w:szCs w:val="28"/>
              </w:rPr>
              <w:t xml:space="preserve">Euro </w:t>
            </w:r>
            <w:r w:rsidRPr="00B215C9">
              <w:rPr>
                <w:sz w:val="28"/>
                <w:szCs w:val="28"/>
              </w:rPr>
              <w:t>ieviešanas kārtības likuma 30.panta pirmā daļa, Ministru kabineta 2012.gada 27.jūnija rīkojuma Nr.282 „Par „Koncepciju par normatīvo aktu sakārtošanu saistībā ar eiro ieviešanu Latvijā”” 1.1.2.</w:t>
            </w:r>
            <w:r>
              <w:rPr>
                <w:sz w:val="28"/>
                <w:szCs w:val="28"/>
              </w:rPr>
              <w:t>apakš</w:t>
            </w:r>
            <w:r w:rsidRPr="00B215C9">
              <w:rPr>
                <w:sz w:val="28"/>
                <w:szCs w:val="28"/>
              </w:rPr>
              <w:t xml:space="preserve">punkts un Latvijas Nacionālā </w:t>
            </w:r>
            <w:r w:rsidRPr="00B215C9">
              <w:rPr>
                <w:i/>
                <w:iCs/>
                <w:sz w:val="28"/>
                <w:szCs w:val="28"/>
              </w:rPr>
              <w:t>euro</w:t>
            </w:r>
            <w:r w:rsidRPr="00B215C9">
              <w:rPr>
                <w:sz w:val="28"/>
                <w:szCs w:val="28"/>
              </w:rPr>
              <w:t xml:space="preserve"> ieviešanas plāna (apstiprināts ar Ministru kabineta 2013.gada 4.aprīļa rīkojumu Nr.136) 1. pielikuma J.2.2.1.pasākums.</w:t>
            </w:r>
          </w:p>
        </w:tc>
      </w:tr>
      <w:tr w:rsidR="00CC2CBD" w:rsidRPr="00B215C9" w:rsidTr="00DF0F96">
        <w:trPr>
          <w:trHeight w:val="472"/>
        </w:trPr>
        <w:tc>
          <w:tcPr>
            <w:tcW w:w="703" w:type="dxa"/>
          </w:tcPr>
          <w:p w:rsidR="00CC2CBD" w:rsidRPr="00B215C9" w:rsidRDefault="00CC2CBD" w:rsidP="001A0D4F">
            <w:pPr>
              <w:spacing w:after="0"/>
              <w:rPr>
                <w:rFonts w:ascii="Times New Roman" w:hAnsi="Times New Roman"/>
                <w:sz w:val="28"/>
                <w:szCs w:val="28"/>
              </w:rPr>
            </w:pPr>
            <w:r w:rsidRPr="00B215C9">
              <w:rPr>
                <w:rFonts w:ascii="Times New Roman" w:hAnsi="Times New Roman"/>
                <w:sz w:val="28"/>
                <w:szCs w:val="28"/>
              </w:rPr>
              <w:t>2.</w:t>
            </w:r>
          </w:p>
        </w:tc>
        <w:tc>
          <w:tcPr>
            <w:tcW w:w="2927" w:type="dxa"/>
          </w:tcPr>
          <w:p w:rsidR="00CC2CBD" w:rsidRPr="00B215C9" w:rsidRDefault="00CC2CBD" w:rsidP="001A0D4F">
            <w:pPr>
              <w:tabs>
                <w:tab w:val="left" w:pos="170"/>
              </w:tabs>
              <w:spacing w:after="0"/>
              <w:rPr>
                <w:rFonts w:ascii="Times New Roman" w:hAnsi="Times New Roman"/>
                <w:sz w:val="28"/>
                <w:szCs w:val="28"/>
              </w:rPr>
            </w:pPr>
            <w:r w:rsidRPr="00B215C9">
              <w:rPr>
                <w:rFonts w:ascii="Times New Roman" w:hAnsi="Times New Roman"/>
                <w:sz w:val="28"/>
                <w:szCs w:val="28"/>
              </w:rPr>
              <w:t>Pašreizējā situācija un problēmas</w:t>
            </w:r>
          </w:p>
        </w:tc>
        <w:tc>
          <w:tcPr>
            <w:tcW w:w="5395" w:type="dxa"/>
          </w:tcPr>
          <w:p w:rsidR="00CC2CBD" w:rsidRPr="00B215C9" w:rsidRDefault="00CC2CBD" w:rsidP="001A0D4F">
            <w:pPr>
              <w:pStyle w:val="naiskr"/>
              <w:spacing w:before="0" w:after="0"/>
              <w:ind w:firstLine="385"/>
              <w:jc w:val="both"/>
              <w:rPr>
                <w:sz w:val="28"/>
                <w:szCs w:val="28"/>
              </w:rPr>
            </w:pPr>
            <w:r w:rsidRPr="00B215C9">
              <w:rPr>
                <w:sz w:val="28"/>
                <w:szCs w:val="28"/>
              </w:rPr>
              <w:t xml:space="preserve">Ņemot vērā, ka ar 2014.gada 1.janvāri Latvijā plānots ieviest </w:t>
            </w:r>
            <w:r w:rsidRPr="00B215C9">
              <w:rPr>
                <w:i/>
                <w:sz w:val="28"/>
                <w:szCs w:val="28"/>
              </w:rPr>
              <w:t>euro</w:t>
            </w:r>
            <w:r w:rsidRPr="00B215C9">
              <w:rPr>
                <w:sz w:val="28"/>
                <w:szCs w:val="28"/>
              </w:rPr>
              <w:t xml:space="preserve">, ir nepieciešams veikt grozījumus </w:t>
            </w:r>
            <w:r w:rsidRPr="00B215C9">
              <w:rPr>
                <w:color w:val="000000"/>
                <w:sz w:val="28"/>
                <w:szCs w:val="28"/>
              </w:rPr>
              <w:t xml:space="preserve">Ministru kabineta 2006.gada 19.decembra noteikumos Nr.1063 „Noteikumi par Datu valsts inspekcijas sniegto maksas pakalpojumu cenrādi”, </w:t>
            </w:r>
            <w:r w:rsidRPr="00B215C9">
              <w:rPr>
                <w:sz w:val="28"/>
                <w:szCs w:val="28"/>
              </w:rPr>
              <w:t xml:space="preserve">aizstājot tajā latus ar </w:t>
            </w:r>
            <w:r w:rsidRPr="00B215C9">
              <w:rPr>
                <w:i/>
                <w:sz w:val="28"/>
                <w:szCs w:val="28"/>
              </w:rPr>
              <w:t>euro</w:t>
            </w:r>
            <w:r w:rsidRPr="00B215C9">
              <w:rPr>
                <w:sz w:val="28"/>
                <w:szCs w:val="28"/>
              </w:rPr>
              <w:t>.</w:t>
            </w:r>
          </w:p>
          <w:p w:rsidR="00CC2CBD" w:rsidRPr="00B215C9" w:rsidRDefault="00CC2CBD" w:rsidP="001260C6">
            <w:pPr>
              <w:pStyle w:val="naiskr"/>
              <w:spacing w:before="0" w:after="0"/>
              <w:ind w:firstLine="385"/>
              <w:jc w:val="both"/>
              <w:rPr>
                <w:i/>
                <w:sz w:val="28"/>
                <w:szCs w:val="28"/>
              </w:rPr>
            </w:pPr>
            <w:r w:rsidRPr="00B215C9">
              <w:rPr>
                <w:sz w:val="28"/>
                <w:szCs w:val="28"/>
              </w:rPr>
              <w:t xml:space="preserve">Ņemot vērā, ka saistībā ar </w:t>
            </w:r>
            <w:r w:rsidRPr="00B215C9">
              <w:rPr>
                <w:i/>
                <w:sz w:val="28"/>
                <w:szCs w:val="28"/>
              </w:rPr>
              <w:t xml:space="preserve">euro </w:t>
            </w:r>
            <w:r w:rsidRPr="00B215C9">
              <w:rPr>
                <w:sz w:val="28"/>
                <w:szCs w:val="28"/>
              </w:rPr>
              <w:t>ieviešanu būtu jāgroza vairāk kā puse no normatīvā akta apjoma, ir sagatavots jauns normatīvā akta projekts.</w:t>
            </w:r>
          </w:p>
        </w:tc>
      </w:tr>
      <w:tr w:rsidR="00CC2CBD" w:rsidRPr="00B215C9" w:rsidTr="00DF0F96">
        <w:trPr>
          <w:trHeight w:val="637"/>
        </w:trPr>
        <w:tc>
          <w:tcPr>
            <w:tcW w:w="703" w:type="dxa"/>
          </w:tcPr>
          <w:p w:rsidR="00CC2CBD" w:rsidRPr="00B215C9" w:rsidRDefault="00CC2CBD" w:rsidP="000A4B8A">
            <w:pPr>
              <w:pStyle w:val="naiskr"/>
              <w:spacing w:before="0" w:after="0"/>
              <w:rPr>
                <w:sz w:val="28"/>
                <w:szCs w:val="28"/>
              </w:rPr>
            </w:pPr>
            <w:r w:rsidRPr="00B215C9">
              <w:rPr>
                <w:sz w:val="28"/>
                <w:szCs w:val="28"/>
              </w:rPr>
              <w:t>3.</w:t>
            </w:r>
          </w:p>
        </w:tc>
        <w:tc>
          <w:tcPr>
            <w:tcW w:w="2927" w:type="dxa"/>
          </w:tcPr>
          <w:p w:rsidR="00CC2CBD" w:rsidRPr="00B215C9" w:rsidRDefault="00CC2CBD" w:rsidP="000A4B8A">
            <w:pPr>
              <w:pStyle w:val="naiskr"/>
              <w:spacing w:before="0" w:after="0"/>
              <w:rPr>
                <w:sz w:val="28"/>
                <w:szCs w:val="28"/>
              </w:rPr>
            </w:pPr>
            <w:r w:rsidRPr="00B215C9">
              <w:rPr>
                <w:sz w:val="28"/>
                <w:szCs w:val="28"/>
              </w:rPr>
              <w:t>Saistītie politikas ietekmes novērtējumi un pētījumi</w:t>
            </w:r>
          </w:p>
        </w:tc>
        <w:tc>
          <w:tcPr>
            <w:tcW w:w="5395" w:type="dxa"/>
          </w:tcPr>
          <w:p w:rsidR="00CC2CBD" w:rsidRPr="00B215C9" w:rsidRDefault="00CC2CBD" w:rsidP="000A4B8A">
            <w:pPr>
              <w:pStyle w:val="FootnoteText"/>
              <w:ind w:firstLine="385"/>
              <w:rPr>
                <w:rFonts w:ascii="Times New Roman" w:hAnsi="Times New Roman"/>
                <w:sz w:val="28"/>
                <w:szCs w:val="28"/>
              </w:rPr>
            </w:pPr>
            <w:r w:rsidRPr="00B215C9">
              <w:rPr>
                <w:rFonts w:ascii="Times New Roman" w:hAnsi="Times New Roman"/>
                <w:sz w:val="28"/>
                <w:szCs w:val="28"/>
              </w:rPr>
              <w:t>Nav attiecināms.</w:t>
            </w:r>
          </w:p>
        </w:tc>
      </w:tr>
      <w:tr w:rsidR="00CC2CBD" w:rsidRPr="00B215C9" w:rsidTr="00DF0F96">
        <w:trPr>
          <w:trHeight w:val="384"/>
        </w:trPr>
        <w:tc>
          <w:tcPr>
            <w:tcW w:w="703" w:type="dxa"/>
          </w:tcPr>
          <w:p w:rsidR="00CC2CBD" w:rsidRPr="00B215C9" w:rsidRDefault="00CC2CBD" w:rsidP="000A4B8A">
            <w:pPr>
              <w:pStyle w:val="naiskr"/>
              <w:spacing w:before="0" w:after="0"/>
              <w:rPr>
                <w:sz w:val="28"/>
                <w:szCs w:val="28"/>
              </w:rPr>
            </w:pPr>
            <w:r w:rsidRPr="00B215C9">
              <w:rPr>
                <w:sz w:val="28"/>
                <w:szCs w:val="28"/>
              </w:rPr>
              <w:t>4.</w:t>
            </w:r>
          </w:p>
        </w:tc>
        <w:tc>
          <w:tcPr>
            <w:tcW w:w="2927" w:type="dxa"/>
          </w:tcPr>
          <w:p w:rsidR="00CC2CBD" w:rsidRPr="00B215C9" w:rsidRDefault="00CC2CBD" w:rsidP="000A4B8A">
            <w:pPr>
              <w:pStyle w:val="naiskr"/>
              <w:spacing w:before="0" w:after="0"/>
              <w:rPr>
                <w:sz w:val="28"/>
                <w:szCs w:val="28"/>
              </w:rPr>
            </w:pPr>
            <w:r w:rsidRPr="00B215C9">
              <w:rPr>
                <w:sz w:val="28"/>
                <w:szCs w:val="28"/>
              </w:rPr>
              <w:t>Tiesiskā regulējuma mērķis un būtība</w:t>
            </w:r>
          </w:p>
        </w:tc>
        <w:tc>
          <w:tcPr>
            <w:tcW w:w="5395" w:type="dxa"/>
          </w:tcPr>
          <w:p w:rsidR="00CC2CBD" w:rsidRPr="00B215C9" w:rsidRDefault="00CC2CBD" w:rsidP="001A0D4F">
            <w:pPr>
              <w:pStyle w:val="naiskr"/>
              <w:spacing w:before="0" w:after="0"/>
              <w:ind w:firstLine="385"/>
              <w:jc w:val="both"/>
              <w:rPr>
                <w:sz w:val="28"/>
                <w:szCs w:val="28"/>
              </w:rPr>
            </w:pPr>
            <w:r w:rsidRPr="00B215C9">
              <w:rPr>
                <w:sz w:val="28"/>
                <w:szCs w:val="28"/>
              </w:rPr>
              <w:t xml:space="preserve">Šā projekta mērķis ir pielāgot </w:t>
            </w:r>
            <w:r w:rsidRPr="00B215C9">
              <w:rPr>
                <w:color w:val="000000"/>
                <w:sz w:val="28"/>
                <w:szCs w:val="28"/>
              </w:rPr>
              <w:t xml:space="preserve">Ministru kabineta 2006.gada 19.decembra noteikumus Nr.1063 „Noteikumi par Datu valsts inspekcijas sniegto maksas pakalpojumu cenrādi” </w:t>
            </w:r>
            <w:r w:rsidRPr="00B215C9">
              <w:rPr>
                <w:i/>
                <w:sz w:val="28"/>
                <w:szCs w:val="28"/>
              </w:rPr>
              <w:t>euro</w:t>
            </w:r>
            <w:r w:rsidRPr="00B215C9">
              <w:rPr>
                <w:sz w:val="28"/>
                <w:szCs w:val="28"/>
              </w:rPr>
              <w:t xml:space="preserve"> ieviešanai, aizstājot tajā latus ar </w:t>
            </w:r>
            <w:r w:rsidRPr="00B215C9">
              <w:rPr>
                <w:i/>
                <w:sz w:val="28"/>
                <w:szCs w:val="28"/>
              </w:rPr>
              <w:t>euro</w:t>
            </w:r>
            <w:r w:rsidRPr="00B215C9">
              <w:rPr>
                <w:sz w:val="28"/>
                <w:szCs w:val="28"/>
              </w:rPr>
              <w:t>.</w:t>
            </w:r>
          </w:p>
          <w:p w:rsidR="00CC2CBD" w:rsidRPr="00B215C9" w:rsidRDefault="00CC2CBD" w:rsidP="00E13847">
            <w:pPr>
              <w:pStyle w:val="naiskr"/>
              <w:spacing w:before="0" w:after="0"/>
              <w:ind w:firstLine="385"/>
              <w:jc w:val="both"/>
              <w:rPr>
                <w:color w:val="000000"/>
                <w:sz w:val="28"/>
                <w:szCs w:val="28"/>
              </w:rPr>
            </w:pPr>
            <w:r w:rsidRPr="00B215C9">
              <w:rPr>
                <w:sz w:val="28"/>
                <w:szCs w:val="28"/>
              </w:rPr>
              <w:t xml:space="preserve">Šis projekts paredz aizstāt attiecīgajā normatīvajā aktā latus ar </w:t>
            </w:r>
            <w:r w:rsidRPr="00B215C9">
              <w:rPr>
                <w:i/>
                <w:sz w:val="28"/>
                <w:szCs w:val="28"/>
              </w:rPr>
              <w:t>euro</w:t>
            </w:r>
            <w:r w:rsidRPr="00B215C9">
              <w:rPr>
                <w:sz w:val="28"/>
                <w:szCs w:val="28"/>
              </w:rPr>
              <w:t xml:space="preserve"> atbilstoši </w:t>
            </w:r>
            <w:r w:rsidRPr="00B215C9">
              <w:rPr>
                <w:i/>
                <w:color w:val="000000"/>
                <w:sz w:val="28"/>
                <w:szCs w:val="28"/>
              </w:rPr>
              <w:t xml:space="preserve">Euro </w:t>
            </w:r>
            <w:r w:rsidRPr="00B215C9">
              <w:rPr>
                <w:color w:val="000000"/>
                <w:sz w:val="28"/>
                <w:szCs w:val="28"/>
              </w:rPr>
              <w:t>ieviešanas kārtības likuma 6.pantā paredzētajiem principiem.</w:t>
            </w:r>
          </w:p>
          <w:p w:rsidR="00CC2CBD" w:rsidRPr="00B215C9" w:rsidRDefault="00CC2CBD" w:rsidP="00E13847">
            <w:pPr>
              <w:pStyle w:val="naiskr"/>
              <w:spacing w:before="0" w:after="0"/>
              <w:ind w:firstLine="385"/>
              <w:jc w:val="both"/>
              <w:rPr>
                <w:sz w:val="28"/>
                <w:szCs w:val="28"/>
              </w:rPr>
            </w:pPr>
            <w:r w:rsidRPr="00B215C9">
              <w:rPr>
                <w:sz w:val="28"/>
                <w:szCs w:val="28"/>
              </w:rPr>
              <w:t>Ņemot vērā, ka 2007.gada 1.septembrī spēkā stājās grozījumi Fizisko personu datu aizsardzības likumā, kuri noteica, ka pārziņiem Datu valsts inspekcijā ir jāreģistrē personas datu apstrāde, atsakoties no termina „personas datu apstrādes sistēmu reģistrācija”, Ministru kabin</w:t>
            </w:r>
            <w:r>
              <w:rPr>
                <w:sz w:val="28"/>
                <w:szCs w:val="28"/>
              </w:rPr>
              <w:t>eta noteikumu projekta pielikumos</w:t>
            </w:r>
            <w:r w:rsidRPr="00B215C9">
              <w:rPr>
                <w:sz w:val="28"/>
                <w:szCs w:val="28"/>
              </w:rPr>
              <w:t xml:space="preserve"> ir veiktas izmaiņas (</w:t>
            </w:r>
            <w:r>
              <w:rPr>
                <w:sz w:val="28"/>
                <w:szCs w:val="28"/>
              </w:rPr>
              <w:t>1. un 2.p</w:t>
            </w:r>
            <w:r w:rsidRPr="00B215C9">
              <w:rPr>
                <w:sz w:val="28"/>
                <w:szCs w:val="28"/>
              </w:rPr>
              <w:t>ielikuma</w:t>
            </w:r>
            <w:r>
              <w:rPr>
                <w:sz w:val="28"/>
                <w:szCs w:val="28"/>
              </w:rPr>
              <w:t xml:space="preserve"> </w:t>
            </w:r>
            <w:r w:rsidRPr="00B215C9">
              <w:rPr>
                <w:sz w:val="28"/>
                <w:szCs w:val="28"/>
              </w:rPr>
              <w:t>3. un 4.punkts), Datu valsts inspekcijas sniegtā pakalpojuma nosaukumu izsakot atbilstoši Fizisko personu datu aizsardzības likumā lietotajai terminoloģijai.</w:t>
            </w:r>
          </w:p>
          <w:p w:rsidR="00CC2CBD" w:rsidRPr="00B215C9" w:rsidRDefault="00CC2CBD" w:rsidP="001A0D4F">
            <w:pPr>
              <w:pStyle w:val="naiskr"/>
              <w:spacing w:before="0" w:after="0"/>
              <w:ind w:firstLine="385"/>
              <w:jc w:val="both"/>
              <w:rPr>
                <w:sz w:val="28"/>
                <w:szCs w:val="28"/>
              </w:rPr>
            </w:pPr>
            <w:r w:rsidRPr="00B215C9">
              <w:rPr>
                <w:sz w:val="28"/>
                <w:szCs w:val="28"/>
              </w:rPr>
              <w:t>Ņemot vērā, ka Datu valsts inspekcija ir publiska persona un iesaistās darījumos vai veic darbības, pildot valsts pārvaldes funkcijas vai uzdevumus, un ka Datu valsts inspekcijas saimnieciskās darbības ietvaros sniegto pakalpojumu kopējā vērtība 12 mēnešu laikā nepārsniedz 35 000 latu, tad saskaņā ar Pievienotās vērtības nodokļa likuma 3.panta astoto daļu un 59.panta pirmo daļu, ņemot vērā likuma 55.panta pirmo daļu, Datu valsts inspekcija nav pievienotās vērtības nodokļa maksātāja.</w:t>
            </w:r>
          </w:p>
          <w:p w:rsidR="00CC2CBD" w:rsidRPr="00B215C9" w:rsidRDefault="00CC2CBD" w:rsidP="001A0D4F">
            <w:pPr>
              <w:pStyle w:val="naiskr"/>
              <w:spacing w:before="0" w:after="0"/>
              <w:ind w:firstLine="385"/>
              <w:jc w:val="both"/>
              <w:rPr>
                <w:sz w:val="28"/>
                <w:szCs w:val="28"/>
              </w:rPr>
            </w:pPr>
            <w:r w:rsidRPr="00B215C9">
              <w:rPr>
                <w:sz w:val="28"/>
                <w:szCs w:val="28"/>
              </w:rPr>
              <w:t xml:space="preserve">Šo noteikumu projekta </w:t>
            </w:r>
            <w:r>
              <w:rPr>
                <w:sz w:val="28"/>
                <w:szCs w:val="28"/>
              </w:rPr>
              <w:t>1. un</w:t>
            </w:r>
            <w:r w:rsidRPr="00B215C9">
              <w:rPr>
                <w:sz w:val="28"/>
                <w:szCs w:val="28"/>
              </w:rPr>
              <w:t xml:space="preserve"> </w:t>
            </w:r>
            <w:r>
              <w:rPr>
                <w:sz w:val="28"/>
                <w:szCs w:val="28"/>
              </w:rPr>
              <w:t>2.</w:t>
            </w:r>
            <w:r w:rsidRPr="00B215C9">
              <w:rPr>
                <w:sz w:val="28"/>
                <w:szCs w:val="28"/>
              </w:rPr>
              <w:t>pielikum</w:t>
            </w:r>
            <w:r>
              <w:rPr>
                <w:sz w:val="28"/>
                <w:szCs w:val="28"/>
              </w:rPr>
              <w:t xml:space="preserve">a </w:t>
            </w:r>
            <w:r w:rsidRPr="00B215C9">
              <w:rPr>
                <w:sz w:val="28"/>
                <w:szCs w:val="28"/>
              </w:rPr>
              <w:t>1., 2. un 3.</w:t>
            </w:r>
            <w:r>
              <w:rPr>
                <w:sz w:val="28"/>
                <w:szCs w:val="28"/>
              </w:rPr>
              <w:t>punktā</w:t>
            </w:r>
            <w:r w:rsidRPr="00B215C9">
              <w:rPr>
                <w:sz w:val="28"/>
                <w:szCs w:val="28"/>
              </w:rPr>
              <w:t xml:space="preserve"> minētie pakalpojumi </w:t>
            </w:r>
            <w:r>
              <w:rPr>
                <w:sz w:val="28"/>
                <w:szCs w:val="28"/>
              </w:rPr>
              <w:t>–</w:t>
            </w:r>
            <w:r w:rsidRPr="00B215C9">
              <w:rPr>
                <w:sz w:val="28"/>
                <w:szCs w:val="28"/>
              </w:rPr>
              <w:t xml:space="preserve"> dalības maksa par piedalīšanos Datu valsts inspekcijas organizētajos semināros, paziņojuma nosūtīšana, izmantojot mobilā tālruņa īsziņu vai elektronisko pastu un personas datu apstrādes pieteikuma un iesnieguma par izmaiņu izdarīšanu personas datu apstrādē aizpildīšana un izdrukāšana </w:t>
            </w:r>
            <w:r>
              <w:rPr>
                <w:sz w:val="28"/>
                <w:szCs w:val="28"/>
              </w:rPr>
              <w:t>–</w:t>
            </w:r>
            <w:r w:rsidRPr="00B215C9">
              <w:rPr>
                <w:sz w:val="28"/>
                <w:szCs w:val="28"/>
              </w:rPr>
              <w:t xml:space="preserve"> tiek sniegti Datu valsts inspekcijas saimnieciskās darbības ietvaros.</w:t>
            </w:r>
          </w:p>
          <w:p w:rsidR="00CC2CBD" w:rsidRDefault="00CC2CBD" w:rsidP="0035602D">
            <w:pPr>
              <w:pStyle w:val="naiskr"/>
              <w:spacing w:before="0" w:after="0"/>
              <w:ind w:firstLine="385"/>
              <w:jc w:val="both"/>
              <w:rPr>
                <w:sz w:val="28"/>
                <w:szCs w:val="28"/>
              </w:rPr>
            </w:pPr>
            <w:r w:rsidRPr="00B215C9">
              <w:rPr>
                <w:sz w:val="28"/>
                <w:szCs w:val="28"/>
              </w:rPr>
              <w:t xml:space="preserve">Šo noteikumu projekta </w:t>
            </w:r>
            <w:r>
              <w:rPr>
                <w:sz w:val="28"/>
                <w:szCs w:val="28"/>
              </w:rPr>
              <w:t>1. un 2.</w:t>
            </w:r>
            <w:r w:rsidRPr="00B215C9">
              <w:rPr>
                <w:sz w:val="28"/>
                <w:szCs w:val="28"/>
              </w:rPr>
              <w:t>pielikum</w:t>
            </w:r>
            <w:r>
              <w:rPr>
                <w:sz w:val="28"/>
                <w:szCs w:val="28"/>
              </w:rPr>
              <w:t xml:space="preserve">a  </w:t>
            </w:r>
            <w:r w:rsidRPr="00B215C9">
              <w:rPr>
                <w:sz w:val="28"/>
                <w:szCs w:val="28"/>
              </w:rPr>
              <w:t>4., 5. un 6.</w:t>
            </w:r>
            <w:r>
              <w:rPr>
                <w:sz w:val="28"/>
                <w:szCs w:val="28"/>
              </w:rPr>
              <w:t>punkt</w:t>
            </w:r>
            <w:r w:rsidRPr="00B215C9">
              <w:rPr>
                <w:sz w:val="28"/>
                <w:szCs w:val="28"/>
              </w:rPr>
              <w:t xml:space="preserve">ā minētie pakalpojumi </w:t>
            </w:r>
            <w:r>
              <w:rPr>
                <w:sz w:val="28"/>
                <w:szCs w:val="28"/>
              </w:rPr>
              <w:t>–</w:t>
            </w:r>
            <w:r w:rsidRPr="00B215C9">
              <w:rPr>
                <w:sz w:val="28"/>
                <w:szCs w:val="28"/>
              </w:rPr>
              <w:t xml:space="preserve"> personas datu apstrādes audita veikšana, personas datu aizsardzības speciālista apmācības kurss un personas datu aizsardzības speciālista kvalifikācijas pārbaudījums </w:t>
            </w:r>
            <w:r>
              <w:rPr>
                <w:sz w:val="28"/>
                <w:szCs w:val="28"/>
              </w:rPr>
              <w:t>–</w:t>
            </w:r>
            <w:r w:rsidRPr="00B215C9">
              <w:rPr>
                <w:sz w:val="28"/>
                <w:szCs w:val="28"/>
              </w:rPr>
              <w:t xml:space="preserve"> tiek sniegti, pildot Fizisko personu datu aizsardzības likuma 21.</w:t>
            </w:r>
            <w:r w:rsidRPr="00B215C9">
              <w:rPr>
                <w:sz w:val="28"/>
                <w:szCs w:val="28"/>
                <w:vertAlign w:val="superscript"/>
              </w:rPr>
              <w:t>1</w:t>
            </w:r>
            <w:r w:rsidRPr="00B215C9">
              <w:rPr>
                <w:sz w:val="28"/>
                <w:szCs w:val="28"/>
              </w:rPr>
              <w:t xml:space="preserve">panta desmitajā daļā, 26.pantā un </w:t>
            </w:r>
            <w:r w:rsidRPr="00B215C9">
              <w:rPr>
                <w:bCs/>
                <w:sz w:val="28"/>
                <w:szCs w:val="28"/>
              </w:rPr>
              <w:t xml:space="preserve">Ministru kabineta </w:t>
            </w:r>
            <w:r w:rsidRPr="00B215C9">
              <w:rPr>
                <w:sz w:val="28"/>
                <w:szCs w:val="28"/>
              </w:rPr>
              <w:t xml:space="preserve">2008.gada 5.februāra </w:t>
            </w:r>
            <w:r w:rsidRPr="00B215C9">
              <w:rPr>
                <w:bCs/>
                <w:sz w:val="28"/>
                <w:szCs w:val="28"/>
              </w:rPr>
              <w:t>noteikumu Nr.80 ”Personas datu aizsardzības speciālista apmācību kārtība” 4. un 12.punktā n</w:t>
            </w:r>
            <w:r w:rsidRPr="00B215C9">
              <w:rPr>
                <w:sz w:val="28"/>
                <w:szCs w:val="28"/>
              </w:rPr>
              <w:t>oteiktos valsts pārvaldes uzdevumus.</w:t>
            </w:r>
          </w:p>
          <w:p w:rsidR="00CC2CBD" w:rsidRPr="00B215C9" w:rsidRDefault="00CC2CBD" w:rsidP="00DF0F96">
            <w:pPr>
              <w:spacing w:after="0" w:line="240" w:lineRule="auto"/>
              <w:ind w:firstLine="440"/>
              <w:jc w:val="both"/>
            </w:pPr>
            <w:r w:rsidRPr="00882D73">
              <w:rPr>
                <w:rFonts w:ascii="Times New Roman" w:hAnsi="Times New Roman"/>
                <w:sz w:val="28"/>
                <w:szCs w:val="28"/>
                <w:lang w:eastAsia="lv-LV"/>
              </w:rPr>
              <w:t>Ņemot vērā, ka Ministru kabineta 2006.gada 19.decembra noteikumos Nr.1063 „Noteikumi par Datu valsts inspekcijas sniegto maskas pakalpojumu cenrādi” Datu valsts inspekcijas sniegto pakalpojumu cena ir aprēķināta ar pievienotās vērtības nodokli 18 procentu apmērā, noteikumu proj</w:t>
            </w:r>
            <w:r>
              <w:rPr>
                <w:rFonts w:ascii="Times New Roman" w:hAnsi="Times New Roman"/>
                <w:sz w:val="28"/>
                <w:szCs w:val="28"/>
                <w:lang w:eastAsia="lv-LV"/>
              </w:rPr>
              <w:t xml:space="preserve">ektam </w:t>
            </w:r>
            <w:r w:rsidRPr="00882D73">
              <w:rPr>
                <w:rFonts w:ascii="Times New Roman" w:hAnsi="Times New Roman"/>
                <w:sz w:val="28"/>
                <w:szCs w:val="28"/>
                <w:lang w:eastAsia="lv-LV"/>
              </w:rPr>
              <w:t xml:space="preserve">ir </w:t>
            </w:r>
            <w:r>
              <w:rPr>
                <w:rFonts w:ascii="Times New Roman" w:hAnsi="Times New Roman"/>
                <w:sz w:val="28"/>
                <w:szCs w:val="28"/>
                <w:lang w:eastAsia="lv-LV"/>
              </w:rPr>
              <w:t xml:space="preserve">divi pielikumi, no kuriem 1.pielikumā pakalpojumu cenas ir noteiktas latos un 2.pielikumā pakalpojumu cenas ir noteiktas </w:t>
            </w:r>
            <w:r w:rsidRPr="00CD4D76">
              <w:rPr>
                <w:rFonts w:ascii="Times New Roman" w:hAnsi="Times New Roman"/>
                <w:i/>
                <w:sz w:val="28"/>
                <w:szCs w:val="28"/>
                <w:lang w:eastAsia="lv-LV"/>
              </w:rPr>
              <w:t>euro</w:t>
            </w:r>
            <w:r w:rsidRPr="00882D73">
              <w:rPr>
                <w:rFonts w:ascii="Times New Roman" w:hAnsi="Times New Roman"/>
                <w:sz w:val="28"/>
                <w:szCs w:val="28"/>
                <w:lang w:eastAsia="lv-LV"/>
              </w:rPr>
              <w:t>, veidojot atsauces pie pakalpojumiem, saskaņā ar kuru Pievienotās vērtības nodokļa likuma pantu un daļu pakalpojumam pievienotās vērtības nodokli nepiemēro</w:t>
            </w:r>
            <w:r>
              <w:rPr>
                <w:rFonts w:ascii="Times New Roman" w:hAnsi="Times New Roman"/>
                <w:sz w:val="28"/>
                <w:szCs w:val="28"/>
                <w:lang w:eastAsia="lv-LV"/>
              </w:rPr>
              <w:t>.</w:t>
            </w:r>
            <w:r w:rsidRPr="00882D73">
              <w:rPr>
                <w:rFonts w:ascii="Times New Roman" w:hAnsi="Times New Roman"/>
                <w:sz w:val="28"/>
                <w:szCs w:val="28"/>
                <w:lang w:eastAsia="lv-LV"/>
              </w:rPr>
              <w:t xml:space="preserve"> </w:t>
            </w:r>
            <w:r>
              <w:rPr>
                <w:rFonts w:ascii="Times New Roman" w:hAnsi="Times New Roman"/>
                <w:sz w:val="28"/>
                <w:szCs w:val="28"/>
                <w:lang w:eastAsia="lv-LV"/>
              </w:rPr>
              <w:t>1.pielikums</w:t>
            </w:r>
            <w:r w:rsidRPr="00882D73">
              <w:rPr>
                <w:rFonts w:ascii="Times New Roman" w:hAnsi="Times New Roman"/>
                <w:sz w:val="28"/>
                <w:szCs w:val="28"/>
                <w:lang w:eastAsia="lv-LV"/>
              </w:rPr>
              <w:t xml:space="preserve"> ir spēkā </w:t>
            </w:r>
            <w:r w:rsidRPr="00E85329">
              <w:rPr>
                <w:rFonts w:ascii="Times New Roman" w:hAnsi="Times New Roman"/>
                <w:sz w:val="28"/>
                <w:szCs w:val="28"/>
                <w:lang w:eastAsia="lv-LV"/>
              </w:rPr>
              <w:t xml:space="preserve">līdz </w:t>
            </w:r>
            <w:r w:rsidRPr="00E85329">
              <w:rPr>
                <w:rFonts w:ascii="Times New Roman" w:hAnsi="Times New Roman"/>
                <w:iCs/>
                <w:sz w:val="28"/>
                <w:szCs w:val="28"/>
                <w:lang w:eastAsia="lv-LV"/>
              </w:rPr>
              <w:t>2013.gada 31.decembrim</w:t>
            </w:r>
            <w:r>
              <w:rPr>
                <w:rFonts w:ascii="Times New Roman" w:hAnsi="Times New Roman"/>
                <w:iCs/>
                <w:sz w:val="28"/>
                <w:szCs w:val="28"/>
                <w:lang w:eastAsia="lv-LV"/>
              </w:rPr>
              <w:t xml:space="preserve"> un to</w:t>
            </w:r>
            <w:r w:rsidRPr="00882D73">
              <w:rPr>
                <w:rFonts w:ascii="Times New Roman" w:hAnsi="Times New Roman"/>
                <w:sz w:val="28"/>
                <w:szCs w:val="28"/>
                <w:lang w:eastAsia="lv-LV"/>
              </w:rPr>
              <w:t xml:space="preserve"> </w:t>
            </w:r>
            <w:r>
              <w:rPr>
                <w:rFonts w:ascii="Times New Roman" w:hAnsi="Times New Roman"/>
                <w:sz w:val="28"/>
                <w:szCs w:val="28"/>
                <w:lang w:eastAsia="lv-LV"/>
              </w:rPr>
              <w:t xml:space="preserve">piemēro skaidras naudas maksājumiem, kurus vienlaicīgas apgrozības periodā veic </w:t>
            </w:r>
            <w:r w:rsidRPr="00882D73">
              <w:rPr>
                <w:rFonts w:ascii="Times New Roman" w:hAnsi="Times New Roman"/>
                <w:sz w:val="28"/>
                <w:szCs w:val="28"/>
                <w:lang w:eastAsia="lv-LV"/>
              </w:rPr>
              <w:t>latos</w:t>
            </w:r>
            <w:r>
              <w:rPr>
                <w:rFonts w:ascii="Times New Roman" w:hAnsi="Times New Roman"/>
                <w:sz w:val="28"/>
                <w:szCs w:val="28"/>
                <w:lang w:eastAsia="lv-LV"/>
              </w:rPr>
              <w:t>, savukārt 2.pielikums ir spēkā no 2014.gada 1.janvāra</w:t>
            </w:r>
            <w:r w:rsidRPr="00E85329">
              <w:rPr>
                <w:rFonts w:ascii="Times New Roman" w:hAnsi="Times New Roman"/>
                <w:iCs/>
                <w:sz w:val="28"/>
                <w:szCs w:val="28"/>
                <w:lang w:eastAsia="lv-LV"/>
              </w:rPr>
              <w:t>.</w:t>
            </w:r>
          </w:p>
        </w:tc>
      </w:tr>
      <w:tr w:rsidR="00CC2CBD" w:rsidRPr="00B215C9" w:rsidTr="00DF0F96">
        <w:trPr>
          <w:trHeight w:val="476"/>
        </w:trPr>
        <w:tc>
          <w:tcPr>
            <w:tcW w:w="703" w:type="dxa"/>
          </w:tcPr>
          <w:p w:rsidR="00CC2CBD" w:rsidRPr="00B215C9" w:rsidRDefault="00CC2CBD" w:rsidP="000A4B8A">
            <w:pPr>
              <w:pStyle w:val="naiskr"/>
              <w:spacing w:before="0" w:after="0"/>
              <w:rPr>
                <w:sz w:val="28"/>
                <w:szCs w:val="28"/>
              </w:rPr>
            </w:pPr>
            <w:r w:rsidRPr="00B215C9">
              <w:rPr>
                <w:sz w:val="28"/>
                <w:szCs w:val="28"/>
              </w:rPr>
              <w:t>5.</w:t>
            </w:r>
          </w:p>
        </w:tc>
        <w:tc>
          <w:tcPr>
            <w:tcW w:w="2927" w:type="dxa"/>
          </w:tcPr>
          <w:p w:rsidR="00CC2CBD" w:rsidRPr="00B215C9" w:rsidRDefault="00CC2CBD" w:rsidP="000A4B8A">
            <w:pPr>
              <w:pStyle w:val="naiskr"/>
              <w:spacing w:before="0" w:after="0"/>
              <w:rPr>
                <w:sz w:val="28"/>
                <w:szCs w:val="28"/>
              </w:rPr>
            </w:pPr>
            <w:r w:rsidRPr="00B215C9">
              <w:rPr>
                <w:sz w:val="28"/>
                <w:szCs w:val="28"/>
              </w:rPr>
              <w:t>Projekta izstrādē iesaistītās institūcijas</w:t>
            </w:r>
          </w:p>
        </w:tc>
        <w:tc>
          <w:tcPr>
            <w:tcW w:w="5395" w:type="dxa"/>
          </w:tcPr>
          <w:p w:rsidR="00CC2CBD" w:rsidRPr="00B215C9" w:rsidRDefault="00CC2CBD" w:rsidP="00E30C76">
            <w:pPr>
              <w:pStyle w:val="naiskr"/>
              <w:spacing w:before="0" w:after="0"/>
              <w:ind w:firstLine="385"/>
              <w:jc w:val="both"/>
              <w:rPr>
                <w:sz w:val="28"/>
                <w:szCs w:val="28"/>
              </w:rPr>
            </w:pPr>
            <w:r w:rsidRPr="00B215C9">
              <w:rPr>
                <w:sz w:val="28"/>
                <w:szCs w:val="28"/>
              </w:rPr>
              <w:t>Datu valsts inspekcija, Tieslietu ministrija.</w:t>
            </w:r>
          </w:p>
        </w:tc>
      </w:tr>
      <w:tr w:rsidR="00CC2CBD" w:rsidRPr="00B215C9" w:rsidTr="00DF0F96">
        <w:trPr>
          <w:trHeight w:val="421"/>
        </w:trPr>
        <w:tc>
          <w:tcPr>
            <w:tcW w:w="703" w:type="dxa"/>
          </w:tcPr>
          <w:p w:rsidR="00CC2CBD" w:rsidRPr="00B215C9" w:rsidRDefault="00CC2CBD" w:rsidP="000A4B8A">
            <w:pPr>
              <w:pStyle w:val="naiskr"/>
              <w:spacing w:before="0" w:after="0"/>
              <w:rPr>
                <w:sz w:val="28"/>
                <w:szCs w:val="28"/>
              </w:rPr>
            </w:pPr>
            <w:r w:rsidRPr="00B215C9">
              <w:rPr>
                <w:sz w:val="28"/>
                <w:szCs w:val="28"/>
              </w:rPr>
              <w:t>6.</w:t>
            </w:r>
          </w:p>
        </w:tc>
        <w:tc>
          <w:tcPr>
            <w:tcW w:w="2927" w:type="dxa"/>
          </w:tcPr>
          <w:p w:rsidR="00CC2CBD" w:rsidRPr="00B215C9" w:rsidRDefault="00CC2CBD" w:rsidP="000A4B8A">
            <w:pPr>
              <w:pStyle w:val="naiskr"/>
              <w:spacing w:before="0" w:after="0"/>
              <w:rPr>
                <w:i/>
                <w:sz w:val="28"/>
                <w:szCs w:val="28"/>
              </w:rPr>
            </w:pPr>
            <w:r w:rsidRPr="00B215C9">
              <w:rPr>
                <w:sz w:val="28"/>
                <w:szCs w:val="28"/>
              </w:rPr>
              <w:t>Iemesli, kādēļ netika nodrošināta sabiedrības līdzdalība</w:t>
            </w:r>
          </w:p>
        </w:tc>
        <w:tc>
          <w:tcPr>
            <w:tcW w:w="5395" w:type="dxa"/>
          </w:tcPr>
          <w:p w:rsidR="00CC2CBD" w:rsidRPr="00B215C9" w:rsidRDefault="00CC2CBD" w:rsidP="001A0D4F">
            <w:pPr>
              <w:pStyle w:val="FootnoteText"/>
              <w:spacing w:after="0" w:line="240" w:lineRule="auto"/>
              <w:ind w:firstLine="385"/>
              <w:jc w:val="both"/>
              <w:rPr>
                <w:rFonts w:ascii="Times New Roman" w:hAnsi="Times New Roman"/>
                <w:sz w:val="28"/>
                <w:szCs w:val="28"/>
              </w:rPr>
            </w:pPr>
            <w:r w:rsidRPr="00B215C9">
              <w:rPr>
                <w:rFonts w:ascii="Times New Roman" w:hAnsi="Times New Roman"/>
                <w:sz w:val="28"/>
                <w:szCs w:val="28"/>
              </w:rPr>
              <w:t xml:space="preserve">Sabiedrības līdzdalība projekta izstrādē netika nodrošināta, jo projekts nemaina pastāvošo tiesisko regulējumu pēc būtības. </w:t>
            </w:r>
          </w:p>
        </w:tc>
      </w:tr>
      <w:tr w:rsidR="00CC2CBD" w:rsidRPr="00B215C9" w:rsidTr="00DF0F96">
        <w:tc>
          <w:tcPr>
            <w:tcW w:w="703" w:type="dxa"/>
          </w:tcPr>
          <w:p w:rsidR="00CC2CBD" w:rsidRPr="00B215C9" w:rsidRDefault="00CC2CBD" w:rsidP="000A4B8A">
            <w:pPr>
              <w:pStyle w:val="naiskr"/>
              <w:spacing w:before="0" w:after="0"/>
              <w:rPr>
                <w:sz w:val="28"/>
                <w:szCs w:val="28"/>
              </w:rPr>
            </w:pPr>
            <w:r w:rsidRPr="00B215C9">
              <w:rPr>
                <w:sz w:val="28"/>
                <w:szCs w:val="28"/>
              </w:rPr>
              <w:t>7.</w:t>
            </w:r>
          </w:p>
        </w:tc>
        <w:tc>
          <w:tcPr>
            <w:tcW w:w="2927" w:type="dxa"/>
          </w:tcPr>
          <w:p w:rsidR="00CC2CBD" w:rsidRPr="00B215C9" w:rsidRDefault="00CC2CBD" w:rsidP="000A4B8A">
            <w:pPr>
              <w:pStyle w:val="naiskr"/>
              <w:spacing w:before="0" w:after="0"/>
              <w:rPr>
                <w:sz w:val="28"/>
                <w:szCs w:val="28"/>
              </w:rPr>
            </w:pPr>
            <w:r w:rsidRPr="00B215C9">
              <w:rPr>
                <w:sz w:val="28"/>
                <w:szCs w:val="28"/>
              </w:rPr>
              <w:t>Cita informācija</w:t>
            </w:r>
          </w:p>
        </w:tc>
        <w:tc>
          <w:tcPr>
            <w:tcW w:w="5395" w:type="dxa"/>
          </w:tcPr>
          <w:p w:rsidR="00CC2CBD" w:rsidRPr="00B215C9" w:rsidRDefault="00CC2CBD" w:rsidP="000A4B8A">
            <w:pPr>
              <w:pStyle w:val="naiskr"/>
              <w:spacing w:before="0" w:after="0"/>
              <w:ind w:firstLine="385"/>
              <w:jc w:val="both"/>
              <w:rPr>
                <w:sz w:val="28"/>
                <w:szCs w:val="28"/>
              </w:rPr>
            </w:pPr>
            <w:r w:rsidRPr="00B215C9">
              <w:rPr>
                <w:sz w:val="28"/>
                <w:szCs w:val="28"/>
              </w:rPr>
              <w:t xml:space="preserve">Saskaņā ar </w:t>
            </w:r>
            <w:r w:rsidRPr="00B215C9">
              <w:rPr>
                <w:i/>
                <w:sz w:val="28"/>
                <w:szCs w:val="28"/>
              </w:rPr>
              <w:t xml:space="preserve">Euro </w:t>
            </w:r>
            <w:r w:rsidRPr="00B215C9">
              <w:rPr>
                <w:sz w:val="28"/>
                <w:szCs w:val="28"/>
              </w:rPr>
              <w:t xml:space="preserve">ieviešanas kārtības likuma 13.panta pirmo daļu preču un pakalpojumu cenu paralēlās atspoguļošanas periods sākas trīs mēnešus pirms </w:t>
            </w:r>
            <w:r w:rsidRPr="00B215C9">
              <w:rPr>
                <w:i/>
                <w:iCs/>
                <w:sz w:val="28"/>
                <w:szCs w:val="28"/>
              </w:rPr>
              <w:t>euro</w:t>
            </w:r>
            <w:r w:rsidRPr="00B215C9">
              <w:rPr>
                <w:sz w:val="28"/>
                <w:szCs w:val="28"/>
              </w:rPr>
              <w:t xml:space="preserve"> ieviešanas dienas, tādēļ šim projektam ir jābūt izskatītam Ministru kabinetā un publicētam oficiālajā izdevumā „Latvijas Vēstnesis” līdz 2013.gada 1.oktobrim.</w:t>
            </w:r>
          </w:p>
          <w:p w:rsidR="00CC2CBD" w:rsidRPr="00B215C9" w:rsidRDefault="00CC2CBD" w:rsidP="000A4B8A">
            <w:pPr>
              <w:pStyle w:val="naiskr"/>
              <w:spacing w:before="0" w:after="0"/>
              <w:ind w:firstLine="385"/>
              <w:jc w:val="both"/>
              <w:rPr>
                <w:sz w:val="28"/>
                <w:szCs w:val="28"/>
              </w:rPr>
            </w:pPr>
          </w:p>
        </w:tc>
      </w:tr>
    </w:tbl>
    <w:p w:rsidR="00CC2CBD" w:rsidRPr="00B215C9" w:rsidRDefault="00CC2CBD" w:rsidP="00A24B31">
      <w:pPr>
        <w:jc w:val="both"/>
        <w:rPr>
          <w:rFonts w:ascii="Times New Roman" w:hAnsi="Times New Roman"/>
          <w:sz w:val="28"/>
          <w:szCs w:val="28"/>
        </w:rPr>
      </w:pPr>
    </w:p>
    <w:tbl>
      <w:tblPr>
        <w:tblW w:w="9081" w:type="dxa"/>
        <w:jc w:val="center"/>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7"/>
        <w:gridCol w:w="1196"/>
        <w:gridCol w:w="1334"/>
        <w:gridCol w:w="1334"/>
        <w:gridCol w:w="1475"/>
        <w:gridCol w:w="1305"/>
      </w:tblGrid>
      <w:tr w:rsidR="00CC2CBD" w:rsidRPr="00B215C9" w:rsidTr="00DF0F96">
        <w:trPr>
          <w:trHeight w:val="652"/>
          <w:jc w:val="center"/>
        </w:trPr>
        <w:tc>
          <w:tcPr>
            <w:tcW w:w="9081" w:type="dxa"/>
            <w:gridSpan w:val="6"/>
          </w:tcPr>
          <w:p w:rsidR="00CC2CBD" w:rsidRPr="00B215C9" w:rsidRDefault="00CC2CBD" w:rsidP="00900C6D">
            <w:pPr>
              <w:pStyle w:val="naisnod"/>
              <w:spacing w:before="0" w:after="0"/>
              <w:rPr>
                <w:i/>
                <w:sz w:val="28"/>
                <w:szCs w:val="28"/>
              </w:rPr>
            </w:pPr>
            <w:r w:rsidRPr="00B215C9">
              <w:rPr>
                <w:sz w:val="28"/>
                <w:szCs w:val="28"/>
              </w:rPr>
              <w:br w:type="page"/>
              <w:t>III. Tiesību akta projekta ietekme uz valsts budžetu un pašvaldību budžetiem</w:t>
            </w:r>
          </w:p>
        </w:tc>
      </w:tr>
      <w:tr w:rsidR="00CC2CBD" w:rsidRPr="00B215C9" w:rsidTr="00DF0F96">
        <w:trPr>
          <w:jc w:val="center"/>
        </w:trPr>
        <w:tc>
          <w:tcPr>
            <w:tcW w:w="2452" w:type="dxa"/>
            <w:vMerge w:val="restart"/>
            <w:vAlign w:val="center"/>
          </w:tcPr>
          <w:p w:rsidR="00CC2CBD" w:rsidRPr="00B215C9" w:rsidRDefault="00CC2CBD" w:rsidP="00900C6D">
            <w:pPr>
              <w:pStyle w:val="naisf"/>
              <w:spacing w:before="0" w:after="0"/>
              <w:ind w:firstLine="0"/>
              <w:jc w:val="center"/>
              <w:rPr>
                <w:b/>
                <w:sz w:val="28"/>
                <w:szCs w:val="28"/>
              </w:rPr>
            </w:pPr>
            <w:r w:rsidRPr="00B215C9">
              <w:rPr>
                <w:b/>
                <w:sz w:val="28"/>
                <w:szCs w:val="28"/>
              </w:rPr>
              <w:t>Rādītāji</w:t>
            </w:r>
          </w:p>
        </w:tc>
        <w:tc>
          <w:tcPr>
            <w:tcW w:w="2531" w:type="dxa"/>
            <w:gridSpan w:val="2"/>
            <w:vMerge w:val="restart"/>
            <w:vAlign w:val="center"/>
          </w:tcPr>
          <w:p w:rsidR="00CC2CBD" w:rsidRPr="00B215C9" w:rsidRDefault="00CC2CBD" w:rsidP="00C54E19">
            <w:pPr>
              <w:pStyle w:val="naisf"/>
              <w:spacing w:before="0" w:after="0"/>
              <w:ind w:firstLine="0"/>
              <w:jc w:val="center"/>
              <w:rPr>
                <w:b/>
                <w:sz w:val="28"/>
                <w:szCs w:val="28"/>
              </w:rPr>
            </w:pPr>
            <w:r w:rsidRPr="00B215C9">
              <w:rPr>
                <w:b/>
                <w:sz w:val="28"/>
                <w:szCs w:val="28"/>
              </w:rPr>
              <w:t>2013</w:t>
            </w:r>
          </w:p>
        </w:tc>
        <w:tc>
          <w:tcPr>
            <w:tcW w:w="4098" w:type="dxa"/>
            <w:gridSpan w:val="3"/>
            <w:vAlign w:val="center"/>
          </w:tcPr>
          <w:p w:rsidR="00CC2CBD" w:rsidRPr="00B215C9" w:rsidRDefault="00CC2CBD" w:rsidP="00900C6D">
            <w:pPr>
              <w:pStyle w:val="naisf"/>
              <w:spacing w:before="0" w:after="0"/>
              <w:ind w:firstLine="0"/>
              <w:jc w:val="center"/>
              <w:rPr>
                <w:b/>
                <w:i/>
                <w:sz w:val="28"/>
                <w:szCs w:val="28"/>
              </w:rPr>
            </w:pPr>
            <w:r w:rsidRPr="00B215C9">
              <w:rPr>
                <w:sz w:val="28"/>
                <w:szCs w:val="28"/>
              </w:rPr>
              <w:t xml:space="preserve">Turpmākie trīs gadi (tūkst. </w:t>
            </w:r>
            <w:r w:rsidRPr="00B215C9">
              <w:rPr>
                <w:i/>
                <w:sz w:val="28"/>
                <w:szCs w:val="28"/>
              </w:rPr>
              <w:t>euro</w:t>
            </w:r>
            <w:r w:rsidRPr="00B215C9">
              <w:rPr>
                <w:sz w:val="28"/>
                <w:szCs w:val="28"/>
              </w:rPr>
              <w:t>)</w:t>
            </w:r>
          </w:p>
        </w:tc>
      </w:tr>
      <w:tr w:rsidR="00CC2CBD" w:rsidRPr="00B215C9" w:rsidTr="00DF0F96">
        <w:trPr>
          <w:jc w:val="center"/>
        </w:trPr>
        <w:tc>
          <w:tcPr>
            <w:tcW w:w="2452" w:type="dxa"/>
            <w:vMerge/>
            <w:vAlign w:val="center"/>
          </w:tcPr>
          <w:p w:rsidR="00CC2CBD" w:rsidRPr="00B215C9" w:rsidRDefault="00CC2CBD" w:rsidP="00900C6D">
            <w:pPr>
              <w:pStyle w:val="naisf"/>
              <w:spacing w:before="0" w:after="0"/>
              <w:ind w:firstLine="0"/>
              <w:jc w:val="center"/>
              <w:rPr>
                <w:b/>
                <w:i/>
                <w:sz w:val="28"/>
                <w:szCs w:val="28"/>
              </w:rPr>
            </w:pPr>
          </w:p>
        </w:tc>
        <w:tc>
          <w:tcPr>
            <w:tcW w:w="2531" w:type="dxa"/>
            <w:gridSpan w:val="2"/>
            <w:vMerge/>
            <w:vAlign w:val="center"/>
          </w:tcPr>
          <w:p w:rsidR="00CC2CBD" w:rsidRPr="00B215C9" w:rsidRDefault="00CC2CBD" w:rsidP="00900C6D">
            <w:pPr>
              <w:pStyle w:val="naisf"/>
              <w:spacing w:before="0" w:after="0"/>
              <w:ind w:firstLine="0"/>
              <w:jc w:val="center"/>
              <w:rPr>
                <w:b/>
                <w:i/>
                <w:sz w:val="28"/>
                <w:szCs w:val="28"/>
              </w:rPr>
            </w:pPr>
          </w:p>
        </w:tc>
        <w:tc>
          <w:tcPr>
            <w:tcW w:w="1335" w:type="dxa"/>
            <w:vAlign w:val="center"/>
          </w:tcPr>
          <w:p w:rsidR="00CC2CBD" w:rsidRPr="00B215C9" w:rsidRDefault="00CC2CBD" w:rsidP="00C54E19">
            <w:pPr>
              <w:pStyle w:val="naisf"/>
              <w:spacing w:before="0" w:after="0"/>
              <w:ind w:firstLine="0"/>
              <w:jc w:val="center"/>
              <w:rPr>
                <w:b/>
                <w:i/>
                <w:sz w:val="28"/>
                <w:szCs w:val="28"/>
              </w:rPr>
            </w:pPr>
            <w:r w:rsidRPr="00B215C9">
              <w:rPr>
                <w:b/>
                <w:sz w:val="28"/>
                <w:szCs w:val="28"/>
              </w:rPr>
              <w:t>2014</w:t>
            </w:r>
          </w:p>
        </w:tc>
        <w:tc>
          <w:tcPr>
            <w:tcW w:w="1481" w:type="dxa"/>
            <w:vAlign w:val="center"/>
          </w:tcPr>
          <w:p w:rsidR="00CC2CBD" w:rsidRPr="00B215C9" w:rsidRDefault="00CC2CBD" w:rsidP="00C54E19">
            <w:pPr>
              <w:pStyle w:val="naisf"/>
              <w:spacing w:before="0" w:after="0"/>
              <w:ind w:firstLine="0"/>
              <w:jc w:val="center"/>
              <w:rPr>
                <w:b/>
                <w:i/>
                <w:sz w:val="28"/>
                <w:szCs w:val="28"/>
              </w:rPr>
            </w:pPr>
            <w:r w:rsidRPr="00B215C9">
              <w:rPr>
                <w:b/>
                <w:sz w:val="28"/>
                <w:szCs w:val="28"/>
              </w:rPr>
              <w:t>2015</w:t>
            </w:r>
          </w:p>
        </w:tc>
        <w:tc>
          <w:tcPr>
            <w:tcW w:w="1282" w:type="dxa"/>
            <w:vAlign w:val="center"/>
          </w:tcPr>
          <w:p w:rsidR="00CC2CBD" w:rsidRPr="00B215C9" w:rsidRDefault="00CC2CBD" w:rsidP="00C54E19">
            <w:pPr>
              <w:pStyle w:val="naisf"/>
              <w:spacing w:before="0" w:after="0"/>
              <w:ind w:firstLine="0"/>
              <w:jc w:val="center"/>
              <w:rPr>
                <w:b/>
                <w:i/>
                <w:sz w:val="28"/>
                <w:szCs w:val="28"/>
              </w:rPr>
            </w:pPr>
            <w:r w:rsidRPr="00B215C9">
              <w:rPr>
                <w:b/>
                <w:sz w:val="28"/>
                <w:szCs w:val="28"/>
              </w:rPr>
              <w:t>2016</w:t>
            </w:r>
          </w:p>
        </w:tc>
      </w:tr>
      <w:tr w:rsidR="00CC2CBD" w:rsidRPr="00B215C9" w:rsidTr="00DF0F96">
        <w:trPr>
          <w:jc w:val="center"/>
        </w:trPr>
        <w:tc>
          <w:tcPr>
            <w:tcW w:w="2452" w:type="dxa"/>
            <w:vMerge/>
            <w:vAlign w:val="center"/>
          </w:tcPr>
          <w:p w:rsidR="00CC2CBD" w:rsidRPr="00B215C9" w:rsidRDefault="00CC2CBD" w:rsidP="00900C6D">
            <w:pPr>
              <w:pStyle w:val="naisf"/>
              <w:spacing w:before="0" w:after="0"/>
              <w:ind w:firstLine="0"/>
              <w:jc w:val="center"/>
              <w:rPr>
                <w:b/>
                <w:i/>
                <w:sz w:val="28"/>
                <w:szCs w:val="28"/>
              </w:rPr>
            </w:pPr>
          </w:p>
        </w:tc>
        <w:tc>
          <w:tcPr>
            <w:tcW w:w="1196" w:type="dxa"/>
            <w:vAlign w:val="center"/>
          </w:tcPr>
          <w:p w:rsidR="00CC2CBD" w:rsidRPr="00B215C9" w:rsidRDefault="00CC2CBD" w:rsidP="00900C6D">
            <w:pPr>
              <w:pStyle w:val="naisf"/>
              <w:spacing w:before="0" w:after="0"/>
              <w:ind w:firstLine="0"/>
              <w:jc w:val="center"/>
              <w:rPr>
                <w:b/>
                <w:i/>
                <w:sz w:val="28"/>
                <w:szCs w:val="28"/>
              </w:rPr>
            </w:pPr>
            <w:r w:rsidRPr="00B215C9">
              <w:rPr>
                <w:sz w:val="28"/>
                <w:szCs w:val="28"/>
              </w:rPr>
              <w:t>Saskaņā ar valsts budžetu kārtējam gadam</w:t>
            </w:r>
          </w:p>
        </w:tc>
        <w:tc>
          <w:tcPr>
            <w:tcW w:w="1335" w:type="dxa"/>
            <w:vAlign w:val="center"/>
          </w:tcPr>
          <w:p w:rsidR="00CC2CBD" w:rsidRPr="00B215C9" w:rsidRDefault="00CC2CBD" w:rsidP="00900C6D">
            <w:pPr>
              <w:pStyle w:val="naisf"/>
              <w:spacing w:before="0" w:after="0"/>
              <w:ind w:firstLine="0"/>
              <w:jc w:val="center"/>
              <w:rPr>
                <w:b/>
                <w:i/>
                <w:sz w:val="28"/>
                <w:szCs w:val="28"/>
              </w:rPr>
            </w:pPr>
            <w:r w:rsidRPr="00B215C9">
              <w:rPr>
                <w:sz w:val="28"/>
                <w:szCs w:val="28"/>
              </w:rPr>
              <w:t>Izmaiņas kārtējā gadā, salīdzinot ar budžetu kārtējam gadam</w:t>
            </w:r>
          </w:p>
        </w:tc>
        <w:tc>
          <w:tcPr>
            <w:tcW w:w="1335" w:type="dxa"/>
            <w:vAlign w:val="center"/>
          </w:tcPr>
          <w:p w:rsidR="00CC2CBD" w:rsidRPr="00B215C9" w:rsidRDefault="00CC2CBD" w:rsidP="00900C6D">
            <w:pPr>
              <w:pStyle w:val="naisf"/>
              <w:spacing w:before="0" w:after="0"/>
              <w:ind w:firstLine="0"/>
              <w:jc w:val="center"/>
              <w:rPr>
                <w:b/>
                <w:i/>
                <w:sz w:val="28"/>
                <w:szCs w:val="28"/>
              </w:rPr>
            </w:pPr>
            <w:r w:rsidRPr="00B215C9">
              <w:rPr>
                <w:sz w:val="28"/>
                <w:szCs w:val="28"/>
              </w:rPr>
              <w:t>Izmaiņas, salīdzinot ar kārtējo 2013. gadu</w:t>
            </w:r>
          </w:p>
        </w:tc>
        <w:tc>
          <w:tcPr>
            <w:tcW w:w="1481" w:type="dxa"/>
            <w:vAlign w:val="center"/>
          </w:tcPr>
          <w:p w:rsidR="00CC2CBD" w:rsidRPr="00B215C9" w:rsidRDefault="00CC2CBD" w:rsidP="00900C6D">
            <w:pPr>
              <w:pStyle w:val="naisf"/>
              <w:spacing w:before="0" w:after="0"/>
              <w:ind w:firstLine="0"/>
              <w:jc w:val="center"/>
              <w:rPr>
                <w:b/>
                <w:i/>
                <w:sz w:val="28"/>
                <w:szCs w:val="28"/>
              </w:rPr>
            </w:pPr>
            <w:r w:rsidRPr="00B215C9">
              <w:rPr>
                <w:sz w:val="28"/>
                <w:szCs w:val="28"/>
              </w:rPr>
              <w:t>Izmaiņas, salīdzinot ar kārtējo 2013. gadu</w:t>
            </w:r>
          </w:p>
        </w:tc>
        <w:tc>
          <w:tcPr>
            <w:tcW w:w="1282" w:type="dxa"/>
            <w:vAlign w:val="center"/>
          </w:tcPr>
          <w:p w:rsidR="00CC2CBD" w:rsidRPr="00B215C9" w:rsidRDefault="00CC2CBD" w:rsidP="00900C6D">
            <w:pPr>
              <w:pStyle w:val="naisf"/>
              <w:spacing w:before="0" w:after="0"/>
              <w:ind w:firstLine="0"/>
              <w:jc w:val="center"/>
              <w:rPr>
                <w:b/>
                <w:i/>
                <w:sz w:val="28"/>
                <w:szCs w:val="28"/>
              </w:rPr>
            </w:pPr>
            <w:r w:rsidRPr="00B215C9">
              <w:rPr>
                <w:sz w:val="28"/>
                <w:szCs w:val="28"/>
              </w:rPr>
              <w:t>Izmaiņas, salīdzinot  ar kārtējo 2013. gadu</w:t>
            </w:r>
          </w:p>
        </w:tc>
      </w:tr>
      <w:tr w:rsidR="00CC2CBD" w:rsidRPr="00B215C9" w:rsidTr="00DF0F96">
        <w:trPr>
          <w:jc w:val="center"/>
        </w:trPr>
        <w:tc>
          <w:tcPr>
            <w:tcW w:w="2452" w:type="dxa"/>
            <w:vAlign w:val="center"/>
          </w:tcPr>
          <w:p w:rsidR="00CC2CBD" w:rsidRPr="00B215C9" w:rsidRDefault="00CC2CBD" w:rsidP="00900C6D">
            <w:pPr>
              <w:pStyle w:val="naisf"/>
              <w:spacing w:before="0" w:after="0"/>
              <w:ind w:firstLine="0"/>
              <w:jc w:val="center"/>
              <w:rPr>
                <w:bCs/>
                <w:sz w:val="28"/>
                <w:szCs w:val="28"/>
              </w:rPr>
            </w:pPr>
            <w:r w:rsidRPr="00B215C9">
              <w:rPr>
                <w:bCs/>
                <w:sz w:val="28"/>
                <w:szCs w:val="28"/>
              </w:rPr>
              <w:t>1</w:t>
            </w:r>
          </w:p>
        </w:tc>
        <w:tc>
          <w:tcPr>
            <w:tcW w:w="1196" w:type="dxa"/>
            <w:vAlign w:val="center"/>
          </w:tcPr>
          <w:p w:rsidR="00CC2CBD" w:rsidRPr="00B215C9" w:rsidRDefault="00CC2CBD" w:rsidP="00900C6D">
            <w:pPr>
              <w:pStyle w:val="naisf"/>
              <w:spacing w:before="0" w:after="0"/>
              <w:ind w:firstLine="0"/>
              <w:jc w:val="center"/>
              <w:rPr>
                <w:bCs/>
                <w:sz w:val="28"/>
                <w:szCs w:val="28"/>
              </w:rPr>
            </w:pPr>
            <w:r w:rsidRPr="00B215C9">
              <w:rPr>
                <w:bCs/>
                <w:sz w:val="28"/>
                <w:szCs w:val="28"/>
              </w:rPr>
              <w:t>2</w:t>
            </w:r>
          </w:p>
        </w:tc>
        <w:tc>
          <w:tcPr>
            <w:tcW w:w="1335" w:type="dxa"/>
            <w:vAlign w:val="center"/>
          </w:tcPr>
          <w:p w:rsidR="00CC2CBD" w:rsidRPr="00B215C9" w:rsidRDefault="00CC2CBD" w:rsidP="00900C6D">
            <w:pPr>
              <w:pStyle w:val="naisf"/>
              <w:spacing w:before="0" w:after="0"/>
              <w:ind w:firstLine="0"/>
              <w:jc w:val="center"/>
              <w:rPr>
                <w:bCs/>
                <w:sz w:val="28"/>
                <w:szCs w:val="28"/>
              </w:rPr>
            </w:pPr>
            <w:r w:rsidRPr="00B215C9">
              <w:rPr>
                <w:bCs/>
                <w:sz w:val="28"/>
                <w:szCs w:val="28"/>
              </w:rPr>
              <w:t>3</w:t>
            </w:r>
          </w:p>
        </w:tc>
        <w:tc>
          <w:tcPr>
            <w:tcW w:w="1335" w:type="dxa"/>
            <w:vAlign w:val="center"/>
          </w:tcPr>
          <w:p w:rsidR="00CC2CBD" w:rsidRPr="00B215C9" w:rsidRDefault="00CC2CBD" w:rsidP="00900C6D">
            <w:pPr>
              <w:pStyle w:val="naisf"/>
              <w:spacing w:before="0" w:after="0"/>
              <w:ind w:firstLine="0"/>
              <w:jc w:val="center"/>
              <w:rPr>
                <w:bCs/>
                <w:sz w:val="28"/>
                <w:szCs w:val="28"/>
              </w:rPr>
            </w:pPr>
            <w:r w:rsidRPr="00B215C9">
              <w:rPr>
                <w:bCs/>
                <w:sz w:val="28"/>
                <w:szCs w:val="28"/>
              </w:rPr>
              <w:t>4</w:t>
            </w:r>
          </w:p>
        </w:tc>
        <w:tc>
          <w:tcPr>
            <w:tcW w:w="1481" w:type="dxa"/>
            <w:vAlign w:val="center"/>
          </w:tcPr>
          <w:p w:rsidR="00CC2CBD" w:rsidRPr="00B215C9" w:rsidRDefault="00CC2CBD" w:rsidP="00900C6D">
            <w:pPr>
              <w:pStyle w:val="naisf"/>
              <w:spacing w:before="0" w:after="0"/>
              <w:ind w:firstLine="0"/>
              <w:jc w:val="center"/>
              <w:rPr>
                <w:bCs/>
                <w:sz w:val="28"/>
                <w:szCs w:val="28"/>
              </w:rPr>
            </w:pPr>
            <w:r w:rsidRPr="00B215C9">
              <w:rPr>
                <w:bCs/>
                <w:sz w:val="28"/>
                <w:szCs w:val="28"/>
              </w:rPr>
              <w:t>5</w:t>
            </w:r>
          </w:p>
        </w:tc>
        <w:tc>
          <w:tcPr>
            <w:tcW w:w="1282" w:type="dxa"/>
            <w:vAlign w:val="center"/>
          </w:tcPr>
          <w:p w:rsidR="00CC2CBD" w:rsidRPr="00B215C9" w:rsidRDefault="00CC2CBD" w:rsidP="00900C6D">
            <w:pPr>
              <w:pStyle w:val="naisf"/>
              <w:spacing w:before="0" w:after="0"/>
              <w:ind w:firstLine="0"/>
              <w:jc w:val="center"/>
              <w:rPr>
                <w:bCs/>
                <w:sz w:val="28"/>
                <w:szCs w:val="28"/>
              </w:rPr>
            </w:pPr>
            <w:r w:rsidRPr="00B215C9">
              <w:rPr>
                <w:bCs/>
                <w:sz w:val="28"/>
                <w:szCs w:val="28"/>
              </w:rPr>
              <w:t>6</w:t>
            </w:r>
          </w:p>
        </w:tc>
      </w:tr>
      <w:tr w:rsidR="00CC2CBD" w:rsidRPr="00B215C9" w:rsidTr="00DF0F96">
        <w:trPr>
          <w:jc w:val="center"/>
        </w:trPr>
        <w:tc>
          <w:tcPr>
            <w:tcW w:w="2452" w:type="dxa"/>
          </w:tcPr>
          <w:p w:rsidR="00CC2CBD" w:rsidRPr="00B215C9" w:rsidRDefault="00CC2CBD" w:rsidP="00900C6D">
            <w:pPr>
              <w:pStyle w:val="naisf"/>
              <w:spacing w:before="0" w:after="0"/>
              <w:ind w:firstLine="0"/>
              <w:jc w:val="left"/>
              <w:rPr>
                <w:i/>
                <w:sz w:val="28"/>
                <w:szCs w:val="28"/>
              </w:rPr>
            </w:pPr>
            <w:r w:rsidRPr="00B215C9">
              <w:rPr>
                <w:sz w:val="28"/>
                <w:szCs w:val="28"/>
              </w:rPr>
              <w:t>1. Budžeta ieņēmumi:</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tcPr>
          <w:p w:rsidR="00CC2CBD" w:rsidRPr="00B215C9" w:rsidRDefault="00CC2CBD" w:rsidP="00900C6D">
            <w:pPr>
              <w:pStyle w:val="naisf"/>
              <w:spacing w:before="0" w:after="0"/>
              <w:ind w:firstLine="0"/>
              <w:jc w:val="left"/>
              <w:rPr>
                <w:i/>
                <w:sz w:val="28"/>
                <w:szCs w:val="28"/>
              </w:rPr>
            </w:pPr>
            <w:r w:rsidRPr="00B215C9">
              <w:rPr>
                <w:sz w:val="28"/>
                <w:szCs w:val="28"/>
              </w:rPr>
              <w:t>1.1. valsts pamatbudžets, tai skaitā ieņēmumi no maksas pakalpojumiem un citi pašu ieņēmumi</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tcPr>
          <w:p w:rsidR="00CC2CBD" w:rsidRPr="00B215C9" w:rsidRDefault="00CC2CBD" w:rsidP="00900C6D">
            <w:pPr>
              <w:pStyle w:val="naisf"/>
              <w:spacing w:before="0" w:after="0"/>
              <w:ind w:firstLine="0"/>
              <w:jc w:val="left"/>
              <w:rPr>
                <w:i/>
                <w:sz w:val="28"/>
                <w:szCs w:val="28"/>
              </w:rPr>
            </w:pPr>
            <w:r w:rsidRPr="00B215C9">
              <w:rPr>
                <w:sz w:val="28"/>
                <w:szCs w:val="28"/>
              </w:rPr>
              <w:t>1.2. valsts speciālais budžets</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tcPr>
          <w:p w:rsidR="00CC2CBD" w:rsidRPr="00B215C9" w:rsidRDefault="00CC2CBD" w:rsidP="00900C6D">
            <w:pPr>
              <w:pStyle w:val="naisf"/>
              <w:spacing w:before="0" w:after="0"/>
              <w:ind w:firstLine="0"/>
              <w:jc w:val="left"/>
              <w:rPr>
                <w:i/>
                <w:sz w:val="28"/>
                <w:szCs w:val="28"/>
              </w:rPr>
            </w:pPr>
            <w:r w:rsidRPr="00B215C9">
              <w:rPr>
                <w:sz w:val="28"/>
                <w:szCs w:val="28"/>
              </w:rPr>
              <w:t>1.3. pašvaldību budžets</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trHeight w:val="773"/>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2. Budžeta izdevumi:</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trHeight w:val="721"/>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2.1. valsts pamatbudžets</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2.2. valsts speciālais budžets</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 xml:space="preserve">2.3. pašvaldību budžets </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3. Finansiālā ietekme:</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3.1. valsts pamatbudžets</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3.2. speciālais budžets</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 xml:space="preserve">3.3. pašvaldību budžets </w:t>
            </w:r>
          </w:p>
        </w:tc>
        <w:tc>
          <w:tcPr>
            <w:tcW w:w="1196"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vMerge w:val="restart"/>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4. Finanšu līdzekļi papildu izde</w:t>
            </w:r>
            <w:r w:rsidRPr="00B215C9">
              <w:rPr>
                <w:rFonts w:ascii="Times New Roman" w:hAnsi="Times New Roman"/>
                <w:sz w:val="28"/>
                <w:szCs w:val="28"/>
              </w:rPr>
              <w:softHyphen/>
              <w:t>vumu finansēšanai (kompensējošu izdevumu samazinājumu norāda ar "+" zīmi)</w:t>
            </w:r>
          </w:p>
        </w:tc>
        <w:tc>
          <w:tcPr>
            <w:tcW w:w="1196" w:type="dxa"/>
            <w:vMerge w:val="restart"/>
          </w:tcPr>
          <w:p w:rsidR="00CC2CBD" w:rsidRPr="00B215C9" w:rsidRDefault="00CC2CBD" w:rsidP="00C54E19">
            <w:pPr>
              <w:pStyle w:val="naisf"/>
              <w:spacing w:before="0" w:after="0"/>
              <w:ind w:firstLine="0"/>
              <w:jc w:val="center"/>
              <w:rPr>
                <w:sz w:val="28"/>
                <w:szCs w:val="28"/>
              </w:rPr>
            </w:pPr>
            <w:r w:rsidRPr="00B215C9">
              <w:rPr>
                <w:sz w:val="28"/>
                <w:szCs w:val="28"/>
              </w:rPr>
              <w:t>X</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vMerge/>
          </w:tcPr>
          <w:p w:rsidR="00CC2CBD" w:rsidRPr="00B215C9" w:rsidRDefault="00CC2CBD" w:rsidP="00900C6D">
            <w:pPr>
              <w:spacing w:after="0" w:line="240" w:lineRule="auto"/>
              <w:jc w:val="both"/>
              <w:rPr>
                <w:rFonts w:ascii="Times New Roman" w:hAnsi="Times New Roman"/>
                <w:sz w:val="28"/>
                <w:szCs w:val="28"/>
              </w:rPr>
            </w:pPr>
          </w:p>
        </w:tc>
        <w:tc>
          <w:tcPr>
            <w:tcW w:w="1196" w:type="dxa"/>
            <w:vMerge/>
          </w:tcPr>
          <w:p w:rsidR="00CC2CBD" w:rsidRPr="00B215C9" w:rsidRDefault="00CC2CBD">
            <w:pPr>
              <w:pStyle w:val="naisf"/>
              <w:spacing w:before="0" w:after="0"/>
              <w:ind w:firstLine="0"/>
              <w:jc w:val="center"/>
              <w:rPr>
                <w:sz w:val="28"/>
                <w:szCs w:val="28"/>
              </w:rPr>
            </w:pPr>
          </w:p>
        </w:tc>
        <w:tc>
          <w:tcPr>
            <w:tcW w:w="1335" w:type="dxa"/>
          </w:tcPr>
          <w:p w:rsidR="00CC2CBD" w:rsidRPr="00B215C9" w:rsidRDefault="00CC2CBD">
            <w:pPr>
              <w:pStyle w:val="naisf"/>
              <w:spacing w:before="0" w:after="0"/>
              <w:ind w:firstLine="0"/>
              <w:jc w:val="center"/>
              <w:rPr>
                <w:sz w:val="28"/>
                <w:szCs w:val="28"/>
              </w:rPr>
            </w:pPr>
          </w:p>
        </w:tc>
        <w:tc>
          <w:tcPr>
            <w:tcW w:w="1335" w:type="dxa"/>
          </w:tcPr>
          <w:p w:rsidR="00CC2CBD" w:rsidRPr="00B215C9" w:rsidRDefault="00CC2CBD">
            <w:pPr>
              <w:pStyle w:val="naisf"/>
              <w:spacing w:before="0" w:after="0"/>
              <w:ind w:firstLine="0"/>
              <w:jc w:val="center"/>
              <w:rPr>
                <w:sz w:val="28"/>
                <w:szCs w:val="28"/>
              </w:rPr>
            </w:pPr>
          </w:p>
        </w:tc>
        <w:tc>
          <w:tcPr>
            <w:tcW w:w="1481" w:type="dxa"/>
          </w:tcPr>
          <w:p w:rsidR="00CC2CBD" w:rsidRPr="00B215C9" w:rsidRDefault="00CC2CBD">
            <w:pPr>
              <w:pStyle w:val="naisf"/>
              <w:spacing w:before="0" w:after="0"/>
              <w:ind w:firstLine="0"/>
              <w:jc w:val="center"/>
              <w:rPr>
                <w:sz w:val="28"/>
                <w:szCs w:val="28"/>
              </w:rPr>
            </w:pPr>
          </w:p>
        </w:tc>
        <w:tc>
          <w:tcPr>
            <w:tcW w:w="1282" w:type="dxa"/>
          </w:tcPr>
          <w:p w:rsidR="00CC2CBD" w:rsidRPr="00B215C9" w:rsidRDefault="00CC2CBD">
            <w:pPr>
              <w:pStyle w:val="naisf"/>
              <w:spacing w:before="0" w:after="0"/>
              <w:ind w:firstLine="0"/>
              <w:jc w:val="center"/>
              <w:rPr>
                <w:sz w:val="28"/>
                <w:szCs w:val="28"/>
              </w:rPr>
            </w:pPr>
          </w:p>
        </w:tc>
      </w:tr>
      <w:tr w:rsidR="00CC2CBD" w:rsidRPr="00B215C9" w:rsidTr="00DF0F96">
        <w:trPr>
          <w:jc w:val="center"/>
        </w:trPr>
        <w:tc>
          <w:tcPr>
            <w:tcW w:w="2452" w:type="dxa"/>
            <w:vMerge/>
          </w:tcPr>
          <w:p w:rsidR="00CC2CBD" w:rsidRPr="00B215C9" w:rsidRDefault="00CC2CBD" w:rsidP="00900C6D">
            <w:pPr>
              <w:spacing w:after="0" w:line="240" w:lineRule="auto"/>
              <w:jc w:val="both"/>
              <w:rPr>
                <w:rFonts w:ascii="Times New Roman" w:hAnsi="Times New Roman"/>
                <w:sz w:val="28"/>
                <w:szCs w:val="28"/>
              </w:rPr>
            </w:pPr>
          </w:p>
        </w:tc>
        <w:tc>
          <w:tcPr>
            <w:tcW w:w="1196" w:type="dxa"/>
            <w:vMerge/>
          </w:tcPr>
          <w:p w:rsidR="00CC2CBD" w:rsidRPr="00B215C9" w:rsidRDefault="00CC2CBD">
            <w:pPr>
              <w:pStyle w:val="naisf"/>
              <w:spacing w:before="0" w:after="0"/>
              <w:ind w:firstLine="0"/>
              <w:jc w:val="center"/>
              <w:rPr>
                <w:sz w:val="28"/>
                <w:szCs w:val="28"/>
              </w:rPr>
            </w:pPr>
          </w:p>
        </w:tc>
        <w:tc>
          <w:tcPr>
            <w:tcW w:w="1335" w:type="dxa"/>
          </w:tcPr>
          <w:p w:rsidR="00CC2CBD" w:rsidRPr="00B215C9" w:rsidRDefault="00CC2CBD">
            <w:pPr>
              <w:pStyle w:val="naisf"/>
              <w:spacing w:before="0" w:after="0"/>
              <w:ind w:firstLine="0"/>
              <w:jc w:val="center"/>
              <w:rPr>
                <w:sz w:val="28"/>
                <w:szCs w:val="28"/>
              </w:rPr>
            </w:pPr>
          </w:p>
        </w:tc>
        <w:tc>
          <w:tcPr>
            <w:tcW w:w="1335" w:type="dxa"/>
          </w:tcPr>
          <w:p w:rsidR="00CC2CBD" w:rsidRPr="00B215C9" w:rsidRDefault="00CC2CBD">
            <w:pPr>
              <w:pStyle w:val="naisf"/>
              <w:spacing w:before="0" w:after="0"/>
              <w:ind w:firstLine="0"/>
              <w:jc w:val="center"/>
              <w:rPr>
                <w:sz w:val="28"/>
                <w:szCs w:val="28"/>
              </w:rPr>
            </w:pPr>
          </w:p>
        </w:tc>
        <w:tc>
          <w:tcPr>
            <w:tcW w:w="1481" w:type="dxa"/>
          </w:tcPr>
          <w:p w:rsidR="00CC2CBD" w:rsidRPr="00B215C9" w:rsidRDefault="00CC2CBD">
            <w:pPr>
              <w:pStyle w:val="naisf"/>
              <w:spacing w:before="0" w:after="0"/>
              <w:ind w:firstLine="0"/>
              <w:jc w:val="center"/>
              <w:rPr>
                <w:sz w:val="28"/>
                <w:szCs w:val="28"/>
              </w:rPr>
            </w:pPr>
          </w:p>
        </w:tc>
        <w:tc>
          <w:tcPr>
            <w:tcW w:w="1282" w:type="dxa"/>
          </w:tcPr>
          <w:p w:rsidR="00CC2CBD" w:rsidRPr="00B215C9" w:rsidRDefault="00CC2CBD">
            <w:pPr>
              <w:pStyle w:val="naisf"/>
              <w:spacing w:before="0" w:after="0"/>
              <w:ind w:firstLine="0"/>
              <w:jc w:val="center"/>
              <w:rPr>
                <w:sz w:val="28"/>
                <w:szCs w:val="28"/>
              </w:rPr>
            </w:pP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5. Precizēta finansiālā ietekme:</w:t>
            </w:r>
          </w:p>
        </w:tc>
        <w:tc>
          <w:tcPr>
            <w:tcW w:w="1196" w:type="dxa"/>
            <w:vMerge w:val="restart"/>
          </w:tcPr>
          <w:p w:rsidR="00CC2CBD" w:rsidRPr="00B215C9" w:rsidRDefault="00CC2CBD" w:rsidP="00C54E19">
            <w:pPr>
              <w:pStyle w:val="naisf"/>
              <w:spacing w:before="0" w:after="0"/>
              <w:ind w:firstLine="0"/>
              <w:jc w:val="center"/>
              <w:rPr>
                <w:sz w:val="28"/>
                <w:szCs w:val="28"/>
              </w:rPr>
            </w:pPr>
            <w:r w:rsidRPr="00B215C9">
              <w:rPr>
                <w:sz w:val="28"/>
                <w:szCs w:val="28"/>
              </w:rPr>
              <w:t>X</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rsidP="00C54E19">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5.1. valsts pamatbudžets</w:t>
            </w:r>
          </w:p>
        </w:tc>
        <w:tc>
          <w:tcPr>
            <w:tcW w:w="1196" w:type="dxa"/>
            <w:vMerge/>
            <w:vAlign w:val="center"/>
          </w:tcPr>
          <w:p w:rsidR="00CC2CBD" w:rsidRPr="00B215C9" w:rsidRDefault="00CC2CBD">
            <w:pPr>
              <w:pStyle w:val="naisf"/>
              <w:spacing w:before="0" w:after="0"/>
              <w:ind w:firstLine="0"/>
              <w:jc w:val="center"/>
              <w:rPr>
                <w:sz w:val="28"/>
                <w:szCs w:val="28"/>
              </w:rPr>
            </w:pPr>
          </w:p>
        </w:tc>
        <w:tc>
          <w:tcPr>
            <w:tcW w:w="1335"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335"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481" w:type="dxa"/>
          </w:tcPr>
          <w:p w:rsidR="00CC2CBD" w:rsidRPr="00B215C9" w:rsidRDefault="00CC2CBD">
            <w:pPr>
              <w:pStyle w:val="naisf"/>
              <w:spacing w:before="0" w:after="0"/>
              <w:ind w:firstLine="0"/>
              <w:jc w:val="center"/>
              <w:rPr>
                <w:sz w:val="28"/>
                <w:szCs w:val="28"/>
              </w:rPr>
            </w:pPr>
            <w:r w:rsidRPr="00B215C9">
              <w:rPr>
                <w:sz w:val="28"/>
                <w:szCs w:val="28"/>
              </w:rPr>
              <w:t>0</w:t>
            </w:r>
          </w:p>
        </w:tc>
        <w:tc>
          <w:tcPr>
            <w:tcW w:w="1282" w:type="dxa"/>
          </w:tcPr>
          <w:p w:rsidR="00CC2CBD" w:rsidRPr="00B215C9" w:rsidRDefault="00CC2CBD">
            <w:pPr>
              <w:pStyle w:val="naisf"/>
              <w:spacing w:before="0" w:after="0"/>
              <w:ind w:firstLine="0"/>
              <w:jc w:val="center"/>
              <w:rPr>
                <w:sz w:val="28"/>
                <w:szCs w:val="28"/>
              </w:rPr>
            </w:pPr>
            <w:r w:rsidRPr="00B215C9">
              <w:rPr>
                <w:sz w:val="28"/>
                <w:szCs w:val="28"/>
              </w:rPr>
              <w:t>0</w:t>
            </w: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5.2. speciālais budžets</w:t>
            </w:r>
          </w:p>
        </w:tc>
        <w:tc>
          <w:tcPr>
            <w:tcW w:w="1196" w:type="dxa"/>
            <w:vMerge/>
            <w:vAlign w:val="center"/>
          </w:tcPr>
          <w:p w:rsidR="00CC2CBD" w:rsidRPr="00B215C9" w:rsidRDefault="00CC2CBD">
            <w:pPr>
              <w:pStyle w:val="naisf"/>
              <w:spacing w:before="0" w:after="0"/>
              <w:ind w:firstLine="0"/>
              <w:jc w:val="center"/>
              <w:rPr>
                <w:sz w:val="28"/>
                <w:szCs w:val="28"/>
              </w:rPr>
            </w:pPr>
          </w:p>
        </w:tc>
        <w:tc>
          <w:tcPr>
            <w:tcW w:w="1335" w:type="dxa"/>
          </w:tcPr>
          <w:p w:rsidR="00CC2CBD" w:rsidRPr="00B215C9" w:rsidRDefault="00CC2CBD">
            <w:pPr>
              <w:pStyle w:val="naisf"/>
              <w:spacing w:before="0" w:after="0"/>
              <w:ind w:firstLine="0"/>
              <w:jc w:val="center"/>
              <w:rPr>
                <w:sz w:val="28"/>
                <w:szCs w:val="28"/>
              </w:rPr>
            </w:pPr>
          </w:p>
        </w:tc>
        <w:tc>
          <w:tcPr>
            <w:tcW w:w="1335" w:type="dxa"/>
          </w:tcPr>
          <w:p w:rsidR="00CC2CBD" w:rsidRPr="00B215C9" w:rsidRDefault="00CC2CBD">
            <w:pPr>
              <w:pStyle w:val="naisf"/>
              <w:spacing w:before="0" w:after="0"/>
              <w:ind w:firstLine="0"/>
              <w:jc w:val="center"/>
              <w:rPr>
                <w:sz w:val="28"/>
                <w:szCs w:val="28"/>
              </w:rPr>
            </w:pPr>
          </w:p>
        </w:tc>
        <w:tc>
          <w:tcPr>
            <w:tcW w:w="1481" w:type="dxa"/>
          </w:tcPr>
          <w:p w:rsidR="00CC2CBD" w:rsidRPr="00B215C9" w:rsidRDefault="00CC2CBD">
            <w:pPr>
              <w:pStyle w:val="naisf"/>
              <w:spacing w:before="0" w:after="0"/>
              <w:ind w:firstLine="0"/>
              <w:jc w:val="center"/>
              <w:rPr>
                <w:sz w:val="28"/>
                <w:szCs w:val="28"/>
              </w:rPr>
            </w:pPr>
          </w:p>
        </w:tc>
        <w:tc>
          <w:tcPr>
            <w:tcW w:w="1282" w:type="dxa"/>
          </w:tcPr>
          <w:p w:rsidR="00CC2CBD" w:rsidRPr="00B215C9" w:rsidRDefault="00CC2CBD">
            <w:pPr>
              <w:pStyle w:val="naisf"/>
              <w:spacing w:before="0" w:after="0"/>
              <w:ind w:firstLine="0"/>
              <w:jc w:val="center"/>
              <w:rPr>
                <w:sz w:val="28"/>
                <w:szCs w:val="28"/>
              </w:rPr>
            </w:pP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 xml:space="preserve">5.3. pašvaldību budžets </w:t>
            </w:r>
          </w:p>
        </w:tc>
        <w:tc>
          <w:tcPr>
            <w:tcW w:w="1196" w:type="dxa"/>
            <w:vMerge/>
            <w:vAlign w:val="center"/>
          </w:tcPr>
          <w:p w:rsidR="00CC2CBD" w:rsidRPr="00B215C9" w:rsidRDefault="00CC2CBD">
            <w:pPr>
              <w:pStyle w:val="naisf"/>
              <w:spacing w:before="0" w:after="0"/>
              <w:ind w:firstLine="0"/>
              <w:jc w:val="center"/>
              <w:rPr>
                <w:sz w:val="28"/>
                <w:szCs w:val="28"/>
              </w:rPr>
            </w:pPr>
          </w:p>
        </w:tc>
        <w:tc>
          <w:tcPr>
            <w:tcW w:w="1335" w:type="dxa"/>
          </w:tcPr>
          <w:p w:rsidR="00CC2CBD" w:rsidRPr="00B215C9" w:rsidRDefault="00CC2CBD">
            <w:pPr>
              <w:pStyle w:val="naisf"/>
              <w:spacing w:before="0" w:after="0"/>
              <w:ind w:firstLine="0"/>
              <w:jc w:val="center"/>
              <w:rPr>
                <w:sz w:val="28"/>
                <w:szCs w:val="28"/>
              </w:rPr>
            </w:pPr>
          </w:p>
        </w:tc>
        <w:tc>
          <w:tcPr>
            <w:tcW w:w="1335" w:type="dxa"/>
          </w:tcPr>
          <w:p w:rsidR="00CC2CBD" w:rsidRPr="00B215C9" w:rsidRDefault="00CC2CBD">
            <w:pPr>
              <w:pStyle w:val="naisf"/>
              <w:spacing w:before="0" w:after="0"/>
              <w:ind w:firstLine="0"/>
              <w:jc w:val="center"/>
              <w:rPr>
                <w:sz w:val="28"/>
                <w:szCs w:val="28"/>
              </w:rPr>
            </w:pPr>
          </w:p>
        </w:tc>
        <w:tc>
          <w:tcPr>
            <w:tcW w:w="1481" w:type="dxa"/>
          </w:tcPr>
          <w:p w:rsidR="00CC2CBD" w:rsidRPr="00B215C9" w:rsidRDefault="00CC2CBD">
            <w:pPr>
              <w:pStyle w:val="naisf"/>
              <w:spacing w:before="0" w:after="0"/>
              <w:ind w:firstLine="0"/>
              <w:jc w:val="center"/>
              <w:rPr>
                <w:sz w:val="28"/>
                <w:szCs w:val="28"/>
              </w:rPr>
            </w:pPr>
          </w:p>
        </w:tc>
        <w:tc>
          <w:tcPr>
            <w:tcW w:w="1282" w:type="dxa"/>
          </w:tcPr>
          <w:p w:rsidR="00CC2CBD" w:rsidRPr="00B215C9" w:rsidRDefault="00CC2CBD">
            <w:pPr>
              <w:pStyle w:val="naisf"/>
              <w:spacing w:before="0" w:after="0"/>
              <w:ind w:firstLine="0"/>
              <w:jc w:val="center"/>
              <w:rPr>
                <w:sz w:val="28"/>
                <w:szCs w:val="28"/>
              </w:rPr>
            </w:pP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6. Detalizēts ieņēmumu un izdevu</w:t>
            </w:r>
            <w:r w:rsidRPr="00B215C9">
              <w:rPr>
                <w:rFonts w:ascii="Times New Roman" w:hAnsi="Times New Roman"/>
                <w:sz w:val="28"/>
                <w:szCs w:val="28"/>
              </w:rPr>
              <w:softHyphen/>
              <w:t>mu aprēķins (ja nepieciešams, detalizētu ieņēmumu un izdevumu aprēķinu var pievienot anotācijas pielikumā):</w:t>
            </w:r>
          </w:p>
        </w:tc>
        <w:tc>
          <w:tcPr>
            <w:tcW w:w="6629" w:type="dxa"/>
            <w:gridSpan w:val="5"/>
            <w:vMerge w:val="restart"/>
          </w:tcPr>
          <w:p w:rsidR="00CC2CBD" w:rsidRPr="00B215C9" w:rsidRDefault="00CC2CBD" w:rsidP="00900C6D">
            <w:pPr>
              <w:spacing w:after="0" w:line="240" w:lineRule="auto"/>
              <w:jc w:val="both"/>
              <w:rPr>
                <w:rFonts w:ascii="Times New Roman" w:hAnsi="Times New Roman"/>
                <w:sz w:val="28"/>
                <w:szCs w:val="28"/>
              </w:rPr>
            </w:pPr>
            <w:r w:rsidRPr="00B215C9">
              <w:rPr>
                <w:rFonts w:ascii="Times New Roman" w:hAnsi="Times New Roman"/>
                <w:sz w:val="28"/>
                <w:szCs w:val="28"/>
              </w:rPr>
              <w:t>Nav</w:t>
            </w: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6.1. detalizēts ieņēmumu aprēķins</w:t>
            </w:r>
          </w:p>
        </w:tc>
        <w:tc>
          <w:tcPr>
            <w:tcW w:w="6629" w:type="dxa"/>
            <w:gridSpan w:val="5"/>
            <w:vMerge/>
          </w:tcPr>
          <w:p w:rsidR="00CC2CBD" w:rsidRPr="00B215C9" w:rsidRDefault="00CC2CBD" w:rsidP="00900C6D">
            <w:pPr>
              <w:pStyle w:val="naisf"/>
              <w:spacing w:before="0" w:after="0"/>
              <w:ind w:firstLine="0"/>
              <w:rPr>
                <w:b/>
                <w:i/>
                <w:sz w:val="28"/>
                <w:szCs w:val="28"/>
              </w:rPr>
            </w:pP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6.2. detalizēts izdevumu aprēķins</w:t>
            </w:r>
          </w:p>
        </w:tc>
        <w:tc>
          <w:tcPr>
            <w:tcW w:w="6629" w:type="dxa"/>
            <w:gridSpan w:val="5"/>
            <w:vMerge/>
          </w:tcPr>
          <w:p w:rsidR="00CC2CBD" w:rsidRPr="00B215C9" w:rsidRDefault="00CC2CBD" w:rsidP="00900C6D">
            <w:pPr>
              <w:pStyle w:val="naisf"/>
              <w:spacing w:before="0" w:after="0"/>
              <w:ind w:firstLine="0"/>
              <w:rPr>
                <w:b/>
                <w:i/>
                <w:sz w:val="28"/>
                <w:szCs w:val="28"/>
              </w:rPr>
            </w:pPr>
          </w:p>
        </w:tc>
      </w:tr>
      <w:tr w:rsidR="00CC2CBD" w:rsidRPr="00B215C9" w:rsidTr="00DF0F96">
        <w:trPr>
          <w:jc w:val="center"/>
        </w:trPr>
        <w:tc>
          <w:tcPr>
            <w:tcW w:w="2452" w:type="dxa"/>
          </w:tcPr>
          <w:p w:rsidR="00CC2CBD" w:rsidRPr="00B215C9" w:rsidRDefault="00CC2CBD" w:rsidP="00900C6D">
            <w:pPr>
              <w:spacing w:after="0" w:line="240" w:lineRule="auto"/>
              <w:rPr>
                <w:rFonts w:ascii="Times New Roman" w:hAnsi="Times New Roman"/>
                <w:sz w:val="28"/>
                <w:szCs w:val="28"/>
              </w:rPr>
            </w:pPr>
            <w:r w:rsidRPr="00B215C9">
              <w:rPr>
                <w:rFonts w:ascii="Times New Roman" w:hAnsi="Times New Roman"/>
                <w:sz w:val="28"/>
                <w:szCs w:val="28"/>
              </w:rPr>
              <w:t>7. Cita informācija</w:t>
            </w:r>
          </w:p>
        </w:tc>
        <w:tc>
          <w:tcPr>
            <w:tcW w:w="6629" w:type="dxa"/>
            <w:gridSpan w:val="5"/>
          </w:tcPr>
          <w:p w:rsidR="00CC2CBD" w:rsidRPr="00B215C9" w:rsidRDefault="00CC2CBD" w:rsidP="00D83CBE">
            <w:pPr>
              <w:spacing w:after="0" w:line="240" w:lineRule="auto"/>
              <w:jc w:val="both"/>
              <w:rPr>
                <w:rFonts w:ascii="Times New Roman" w:hAnsi="Times New Roman"/>
                <w:sz w:val="28"/>
                <w:szCs w:val="28"/>
                <w:lang w:eastAsia="lv-LV"/>
              </w:rPr>
            </w:pPr>
            <w:r w:rsidRPr="00B215C9">
              <w:rPr>
                <w:rFonts w:ascii="Times New Roman" w:hAnsi="Times New Roman"/>
                <w:sz w:val="28"/>
                <w:szCs w:val="28"/>
              </w:rPr>
              <w:t>Projekts nerada ietekmi uz budžetu</w:t>
            </w:r>
            <w:r>
              <w:rPr>
                <w:rFonts w:ascii="Times New Roman" w:hAnsi="Times New Roman"/>
                <w:sz w:val="28"/>
                <w:szCs w:val="28"/>
              </w:rPr>
              <w:t>;</w:t>
            </w:r>
            <w:r w:rsidRPr="00B215C9">
              <w:rPr>
                <w:rFonts w:ascii="Times New Roman" w:hAnsi="Times New Roman"/>
                <w:sz w:val="28"/>
                <w:szCs w:val="28"/>
              </w:rPr>
              <w:t xml:space="preserve"> iespējamo ietekmi (ieņēmumu samazinājumu vai izdevumu palielinājumu) iespējams segt, nemainot attiecīgajās budžeta programmās vai apakšprogrammās finansējuma sadalījumu pa ieņēmumu, izdevumu vai finansēšanas klasifikācijas kodiem.</w:t>
            </w:r>
          </w:p>
        </w:tc>
      </w:tr>
    </w:tbl>
    <w:p w:rsidR="00CC2CBD" w:rsidRDefault="00CC2CBD" w:rsidP="00A24B31">
      <w:pPr>
        <w:jc w:val="both"/>
        <w:rPr>
          <w:rFonts w:ascii="Times New Roman" w:hAnsi="Times New Roman"/>
          <w:sz w:val="28"/>
          <w:szCs w:val="28"/>
        </w:rPr>
      </w:pPr>
    </w:p>
    <w:p w:rsidR="00CC2CBD" w:rsidRPr="00B215C9" w:rsidRDefault="00CC2CBD" w:rsidP="00A24B31">
      <w:pPr>
        <w:jc w:val="both"/>
        <w:rPr>
          <w:rFonts w:ascii="Times New Roman" w:hAnsi="Times New Roman"/>
          <w:iCs/>
          <w:sz w:val="28"/>
          <w:szCs w:val="28"/>
        </w:rPr>
      </w:pPr>
      <w:r w:rsidRPr="00B215C9">
        <w:rPr>
          <w:rFonts w:ascii="Times New Roman" w:hAnsi="Times New Roman"/>
          <w:sz w:val="28"/>
          <w:szCs w:val="28"/>
        </w:rPr>
        <w:t xml:space="preserve">Anotācijas II, IV, V, VI, VII sadaļa – </w:t>
      </w:r>
      <w:r w:rsidRPr="00B215C9">
        <w:rPr>
          <w:rFonts w:ascii="Times New Roman" w:hAnsi="Times New Roman"/>
          <w:iCs/>
          <w:sz w:val="28"/>
          <w:szCs w:val="28"/>
        </w:rPr>
        <w:t>projekts šo jomu neskar.</w:t>
      </w:r>
    </w:p>
    <w:p w:rsidR="00CC2CBD" w:rsidRPr="00B215C9" w:rsidRDefault="00CC2CBD" w:rsidP="00D46C4D">
      <w:pPr>
        <w:spacing w:after="0" w:line="240" w:lineRule="auto"/>
        <w:jc w:val="both"/>
        <w:rPr>
          <w:rFonts w:ascii="Times New Roman" w:hAnsi="Times New Roman"/>
          <w:color w:val="000000"/>
          <w:sz w:val="28"/>
          <w:szCs w:val="28"/>
          <w:lang w:eastAsia="lv-LV"/>
        </w:rPr>
      </w:pPr>
    </w:p>
    <w:p w:rsidR="00CC2CBD" w:rsidRPr="00B215C9" w:rsidRDefault="00CC2CBD" w:rsidP="00D46C4D">
      <w:pPr>
        <w:spacing w:after="0" w:line="240" w:lineRule="auto"/>
        <w:jc w:val="both"/>
        <w:rPr>
          <w:rFonts w:ascii="Times New Roman" w:hAnsi="Times New Roman"/>
          <w:color w:val="000000"/>
          <w:sz w:val="28"/>
          <w:szCs w:val="28"/>
          <w:lang w:eastAsia="lv-LV"/>
        </w:rPr>
      </w:pPr>
      <w:r w:rsidRPr="00B215C9">
        <w:rPr>
          <w:rFonts w:ascii="Times New Roman" w:hAnsi="Times New Roman"/>
          <w:color w:val="000000"/>
          <w:sz w:val="28"/>
          <w:szCs w:val="28"/>
          <w:lang w:eastAsia="lv-LV"/>
        </w:rPr>
        <w:t>Tieslietu ministrs</w:t>
      </w:r>
      <w:r w:rsidRPr="00B215C9">
        <w:rPr>
          <w:rFonts w:ascii="Times New Roman" w:hAnsi="Times New Roman"/>
          <w:color w:val="000000"/>
          <w:sz w:val="28"/>
          <w:szCs w:val="28"/>
          <w:lang w:eastAsia="lv-LV"/>
        </w:rPr>
        <w:tab/>
      </w:r>
      <w:r w:rsidRPr="00B215C9">
        <w:rPr>
          <w:rFonts w:ascii="Times New Roman" w:hAnsi="Times New Roman"/>
          <w:color w:val="000000"/>
          <w:sz w:val="28"/>
          <w:szCs w:val="28"/>
          <w:lang w:eastAsia="lv-LV"/>
        </w:rPr>
        <w:tab/>
      </w:r>
      <w:r w:rsidRPr="00B215C9">
        <w:rPr>
          <w:rFonts w:ascii="Times New Roman" w:hAnsi="Times New Roman"/>
          <w:color w:val="000000"/>
          <w:sz w:val="28"/>
          <w:szCs w:val="28"/>
          <w:lang w:eastAsia="lv-LV"/>
        </w:rPr>
        <w:tab/>
      </w:r>
      <w:r w:rsidRPr="00B215C9">
        <w:rPr>
          <w:rFonts w:ascii="Times New Roman" w:hAnsi="Times New Roman"/>
          <w:color w:val="000000"/>
          <w:sz w:val="28"/>
          <w:szCs w:val="28"/>
          <w:lang w:eastAsia="lv-LV"/>
        </w:rPr>
        <w:tab/>
      </w:r>
      <w:r w:rsidRPr="00B215C9">
        <w:rPr>
          <w:rFonts w:ascii="Times New Roman" w:hAnsi="Times New Roman"/>
          <w:color w:val="000000"/>
          <w:sz w:val="28"/>
          <w:szCs w:val="28"/>
          <w:lang w:eastAsia="lv-LV"/>
        </w:rPr>
        <w:tab/>
      </w:r>
      <w:r w:rsidRPr="00B215C9">
        <w:rPr>
          <w:rFonts w:ascii="Times New Roman" w:hAnsi="Times New Roman"/>
          <w:color w:val="000000"/>
          <w:sz w:val="28"/>
          <w:szCs w:val="28"/>
          <w:lang w:eastAsia="lv-LV"/>
        </w:rPr>
        <w:tab/>
      </w:r>
      <w:r w:rsidRPr="00B215C9">
        <w:rPr>
          <w:rFonts w:ascii="Times New Roman" w:hAnsi="Times New Roman"/>
          <w:color w:val="000000"/>
          <w:sz w:val="28"/>
          <w:szCs w:val="28"/>
          <w:lang w:eastAsia="lv-LV"/>
        </w:rPr>
        <w:tab/>
      </w:r>
      <w:r w:rsidRPr="00B215C9">
        <w:rPr>
          <w:rFonts w:ascii="Times New Roman" w:hAnsi="Times New Roman"/>
          <w:color w:val="000000"/>
          <w:sz w:val="28"/>
          <w:szCs w:val="28"/>
          <w:lang w:eastAsia="lv-LV"/>
        </w:rPr>
        <w:tab/>
        <w:t>J.Bordāns</w:t>
      </w:r>
    </w:p>
    <w:p w:rsidR="00CC2CBD" w:rsidRPr="00B215C9" w:rsidRDefault="00CC2CBD" w:rsidP="00D46C4D">
      <w:pPr>
        <w:spacing w:after="0" w:line="240" w:lineRule="auto"/>
        <w:jc w:val="both"/>
        <w:rPr>
          <w:rFonts w:ascii="Times New Roman" w:hAnsi="Times New Roman"/>
          <w:color w:val="000000"/>
          <w:sz w:val="24"/>
          <w:szCs w:val="24"/>
          <w:lang w:eastAsia="lv-LV"/>
        </w:rPr>
      </w:pPr>
    </w:p>
    <w:p w:rsidR="00CC2CBD" w:rsidRPr="00B215C9" w:rsidRDefault="00CC2CBD" w:rsidP="00A2483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13.09</w:t>
      </w:r>
      <w:r w:rsidRPr="00B215C9">
        <w:rPr>
          <w:rFonts w:ascii="Times New Roman" w:hAnsi="Times New Roman"/>
          <w:color w:val="000000"/>
          <w:sz w:val="20"/>
          <w:szCs w:val="20"/>
          <w:lang w:eastAsia="lv-LV"/>
        </w:rPr>
        <w:t>.2013. 09.00</w:t>
      </w:r>
    </w:p>
    <w:p w:rsidR="00CC2CBD" w:rsidRPr="00B215C9" w:rsidRDefault="00CC2CBD" w:rsidP="00A24837">
      <w:pPr>
        <w:spacing w:after="0" w:line="240" w:lineRule="auto"/>
        <w:rPr>
          <w:rFonts w:ascii="Times New Roman" w:hAnsi="Times New Roman"/>
          <w:color w:val="000000"/>
          <w:sz w:val="20"/>
          <w:szCs w:val="20"/>
          <w:lang w:eastAsia="lv-LV"/>
        </w:rPr>
      </w:pPr>
      <w:r>
        <w:rPr>
          <w:rFonts w:ascii="Times New Roman" w:hAnsi="Times New Roman"/>
          <w:color w:val="000000"/>
          <w:sz w:val="20"/>
          <w:szCs w:val="20"/>
          <w:lang w:eastAsia="lv-LV"/>
        </w:rPr>
        <w:t>889</w:t>
      </w:r>
    </w:p>
    <w:p w:rsidR="00CC2CBD" w:rsidRPr="00B215C9" w:rsidRDefault="00CC2CBD" w:rsidP="00A24837">
      <w:pPr>
        <w:spacing w:after="0" w:line="240" w:lineRule="auto"/>
        <w:rPr>
          <w:rFonts w:ascii="Times New Roman" w:hAnsi="Times New Roman"/>
          <w:color w:val="000000"/>
          <w:sz w:val="20"/>
          <w:szCs w:val="20"/>
          <w:lang w:eastAsia="lv-LV"/>
        </w:rPr>
      </w:pPr>
      <w:r w:rsidRPr="00B215C9">
        <w:rPr>
          <w:rFonts w:ascii="Times New Roman" w:hAnsi="Times New Roman"/>
          <w:color w:val="000000"/>
          <w:sz w:val="20"/>
          <w:szCs w:val="20"/>
          <w:lang w:eastAsia="lv-LV"/>
        </w:rPr>
        <w:t>S.Zagorska</w:t>
      </w:r>
    </w:p>
    <w:p w:rsidR="00CC2CBD" w:rsidRPr="00950AFE" w:rsidRDefault="00CC2CBD" w:rsidP="00645DE7">
      <w:pPr>
        <w:spacing w:after="0" w:line="240" w:lineRule="auto"/>
        <w:rPr>
          <w:rFonts w:ascii="Times New Roman" w:hAnsi="Times New Roman"/>
          <w:color w:val="000000"/>
          <w:sz w:val="20"/>
          <w:szCs w:val="20"/>
          <w:lang w:eastAsia="lv-LV"/>
        </w:rPr>
      </w:pPr>
      <w:r w:rsidRPr="00B215C9">
        <w:rPr>
          <w:rFonts w:ascii="Times New Roman" w:hAnsi="Times New Roman"/>
          <w:color w:val="000000"/>
          <w:sz w:val="20"/>
          <w:szCs w:val="20"/>
          <w:lang w:eastAsia="lv-LV"/>
        </w:rPr>
        <w:t xml:space="preserve">67223131, </w:t>
      </w:r>
      <w:r w:rsidRPr="00B215C9">
        <w:rPr>
          <w:rFonts w:ascii="Times New Roman" w:hAnsi="Times New Roman"/>
          <w:sz w:val="20"/>
          <w:szCs w:val="20"/>
          <w:lang w:eastAsia="lv-LV"/>
        </w:rPr>
        <w:t>solvita.zagorska@dvi.gov.lv</w:t>
      </w:r>
      <w:bookmarkStart w:id="0" w:name="_GoBack"/>
      <w:bookmarkEnd w:id="0"/>
    </w:p>
    <w:sectPr w:rsidR="00CC2CBD" w:rsidRPr="00950AFE" w:rsidSect="00CD4D7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CBD" w:rsidRDefault="00CC2CBD" w:rsidP="00645DE7">
      <w:pPr>
        <w:spacing w:after="0" w:line="240" w:lineRule="auto"/>
      </w:pPr>
      <w:r>
        <w:separator/>
      </w:r>
    </w:p>
  </w:endnote>
  <w:endnote w:type="continuationSeparator" w:id="0">
    <w:p w:rsidR="00CC2CBD" w:rsidRDefault="00CC2CBD" w:rsidP="00645D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BD" w:rsidRPr="00477A4B" w:rsidRDefault="00CC2CBD" w:rsidP="001B5106">
    <w:pPr>
      <w:pStyle w:val="Footer"/>
      <w:tabs>
        <w:tab w:val="clear" w:pos="8306"/>
        <w:tab w:val="right" w:pos="9072"/>
      </w:tabs>
      <w:jc w:val="both"/>
    </w:pPr>
    <w:r w:rsidRPr="001B7C3D">
      <w:rPr>
        <w:rFonts w:ascii="Times New Roman" w:hAnsi="Times New Roman"/>
      </w:rPr>
      <w:t>TMAnot_</w:t>
    </w:r>
    <w:r>
      <w:rPr>
        <w:rFonts w:ascii="Times New Roman" w:hAnsi="Times New Roman"/>
      </w:rPr>
      <w:t>1309</w:t>
    </w:r>
    <w:r w:rsidRPr="001B7C3D">
      <w:rPr>
        <w:rFonts w:ascii="Times New Roman" w:hAnsi="Times New Roman"/>
      </w:rPr>
      <w:t>1</w:t>
    </w:r>
    <w:r>
      <w:rPr>
        <w:rFonts w:ascii="Times New Roman" w:hAnsi="Times New Roman"/>
      </w:rPr>
      <w:t>3</w:t>
    </w:r>
    <w:r w:rsidRPr="001B7C3D">
      <w:rPr>
        <w:rFonts w:ascii="Times New Roman" w:hAnsi="Times New Roman"/>
      </w:rPr>
      <w:t>_DVIcenr; Ministru kabineta noteikumu projekta</w:t>
    </w:r>
    <w:r>
      <w:rPr>
        <w:rFonts w:ascii="Times New Roman" w:hAnsi="Times New Roman"/>
      </w:rPr>
      <w:t xml:space="preserve"> </w:t>
    </w:r>
    <w:r w:rsidRPr="001B7C3D">
      <w:rPr>
        <w:rFonts w:ascii="Times New Roman" w:hAnsi="Times New Roman"/>
      </w:rPr>
      <w:t>„</w:t>
    </w:r>
    <w:r>
      <w:rPr>
        <w:rFonts w:ascii="Times New Roman" w:hAnsi="Times New Roman"/>
      </w:rPr>
      <w:t>Datu valsts inspekcijas</w:t>
    </w:r>
    <w:r w:rsidRPr="001B7C3D">
      <w:rPr>
        <w:rFonts w:ascii="Times New Roman" w:hAnsi="Times New Roman"/>
      </w:rPr>
      <w:t xml:space="preserve"> sniegto maksas pakalpojumu cenrādi</w:t>
    </w:r>
    <w:r>
      <w:rPr>
        <w:rFonts w:ascii="Times New Roman" w:hAnsi="Times New Roman"/>
      </w:rPr>
      <w:t>s</w:t>
    </w:r>
    <w:r w:rsidRPr="001B7C3D">
      <w:rPr>
        <w:rFonts w:ascii="Times New Roman" w:hAnsi="Times New Roman"/>
      </w:rPr>
      <w:t xml:space="preserve">” sākotnējās ietekmes novērtējuma </w:t>
    </w:r>
    <w:smartTag w:uri="schemas-tilde-lv/tildestengine" w:element="veidnes">
      <w:smartTagPr>
        <w:attr w:name="text" w:val="ziņojums"/>
        <w:attr w:name="baseform" w:val="ziņojums"/>
        <w:attr w:name="id" w:val="-1"/>
      </w:smartTagPr>
      <w:r w:rsidRPr="001B7C3D">
        <w:rPr>
          <w:rFonts w:ascii="Times New Roman" w:hAnsi="Times New Roman"/>
        </w:rPr>
        <w:t>ziņojums</w:t>
      </w:r>
    </w:smartTag>
    <w:r w:rsidRPr="001B7C3D">
      <w:rPr>
        <w:rFonts w:ascii="Times New Roman" w:hAnsi="Times New Roman"/>
      </w:rPr>
      <w:t xml:space="preserve"> (</w:t>
    </w:r>
    <w:r w:rsidRPr="00477A4B">
      <w:rPr>
        <w:rFonts w:ascii="Times New Roman" w:hAnsi="Times New Roman"/>
      </w:rPr>
      <w:t xml:space="preserve">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BD" w:rsidRPr="001B2E69" w:rsidRDefault="00CC2CBD" w:rsidP="00D46C4D">
    <w:pPr>
      <w:pStyle w:val="Footer"/>
      <w:tabs>
        <w:tab w:val="clear" w:pos="8306"/>
        <w:tab w:val="right" w:pos="9072"/>
      </w:tabs>
      <w:jc w:val="both"/>
      <w:rPr>
        <w:rFonts w:ascii="Times New Roman" w:hAnsi="Times New Roman"/>
      </w:rPr>
    </w:pPr>
    <w:r w:rsidRPr="001B7C3D">
      <w:rPr>
        <w:rFonts w:ascii="Times New Roman" w:hAnsi="Times New Roman"/>
      </w:rPr>
      <w:t>TMAnot_</w:t>
    </w:r>
    <w:r>
      <w:rPr>
        <w:rFonts w:ascii="Times New Roman" w:hAnsi="Times New Roman"/>
      </w:rPr>
      <w:t>1309</w:t>
    </w:r>
    <w:r w:rsidRPr="001B7C3D">
      <w:rPr>
        <w:rFonts w:ascii="Times New Roman" w:hAnsi="Times New Roman"/>
      </w:rPr>
      <w:t>1</w:t>
    </w:r>
    <w:r>
      <w:rPr>
        <w:rFonts w:ascii="Times New Roman" w:hAnsi="Times New Roman"/>
      </w:rPr>
      <w:t>3</w:t>
    </w:r>
    <w:r w:rsidRPr="001B7C3D">
      <w:rPr>
        <w:rFonts w:ascii="Times New Roman" w:hAnsi="Times New Roman"/>
      </w:rPr>
      <w:t>_DVIcenr; Ministru kabineta noteikumu projekta</w:t>
    </w:r>
    <w:r>
      <w:rPr>
        <w:rFonts w:ascii="Times New Roman" w:hAnsi="Times New Roman"/>
      </w:rPr>
      <w:t xml:space="preserve"> </w:t>
    </w:r>
    <w:r w:rsidRPr="001B7C3D">
      <w:rPr>
        <w:rFonts w:ascii="Times New Roman" w:hAnsi="Times New Roman"/>
      </w:rPr>
      <w:t>„</w:t>
    </w:r>
    <w:r>
      <w:rPr>
        <w:rFonts w:ascii="Times New Roman" w:hAnsi="Times New Roman"/>
      </w:rPr>
      <w:t>Datu valsts inspekcijas</w:t>
    </w:r>
    <w:r w:rsidRPr="001B7C3D">
      <w:rPr>
        <w:rFonts w:ascii="Times New Roman" w:hAnsi="Times New Roman"/>
      </w:rPr>
      <w:t xml:space="preserve"> sniegto maksas pakalpojumu cenrādi</w:t>
    </w:r>
    <w:r>
      <w:rPr>
        <w:rFonts w:ascii="Times New Roman" w:hAnsi="Times New Roman"/>
      </w:rPr>
      <w:t>s</w:t>
    </w:r>
    <w:r w:rsidRPr="001B7C3D">
      <w:rPr>
        <w:rFonts w:ascii="Times New Roman" w:hAnsi="Times New Roman"/>
      </w:rPr>
      <w:t xml:space="preserve">” sākotnējās ietekmes novērtējuma </w:t>
    </w:r>
    <w:smartTag w:uri="schemas-tilde-lv/tildestengine" w:element="veidnes">
      <w:smartTagPr>
        <w:attr w:name="text" w:val="ziņojums"/>
        <w:attr w:name="baseform" w:val="ziņojums"/>
        <w:attr w:name="id" w:val="-1"/>
      </w:smartTagPr>
      <w:r w:rsidRPr="001B7C3D">
        <w:rPr>
          <w:rFonts w:ascii="Times New Roman" w:hAnsi="Times New Roman"/>
        </w:rPr>
        <w:t>ziņojums</w:t>
      </w:r>
    </w:smartTag>
    <w:r w:rsidRPr="001B7C3D">
      <w:rPr>
        <w:rFonts w:ascii="Times New Roman" w:hAnsi="Times New Roman"/>
      </w:rPr>
      <w:t xml:space="preserve"> (anotācija)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CBD" w:rsidRDefault="00CC2CBD" w:rsidP="00645DE7">
      <w:pPr>
        <w:spacing w:after="0" w:line="240" w:lineRule="auto"/>
      </w:pPr>
      <w:r>
        <w:separator/>
      </w:r>
    </w:p>
  </w:footnote>
  <w:footnote w:type="continuationSeparator" w:id="0">
    <w:p w:rsidR="00CC2CBD" w:rsidRDefault="00CC2CBD" w:rsidP="00645D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CBD" w:rsidRPr="006A2F61" w:rsidRDefault="00CC2CBD">
    <w:pPr>
      <w:pStyle w:val="Header"/>
      <w:jc w:val="center"/>
      <w:rPr>
        <w:rFonts w:ascii="Times New Roman" w:hAnsi="Times New Roman"/>
        <w:sz w:val="24"/>
        <w:szCs w:val="24"/>
      </w:rPr>
    </w:pPr>
    <w:r w:rsidRPr="006A2F61">
      <w:rPr>
        <w:rFonts w:ascii="Times New Roman" w:hAnsi="Times New Roman"/>
        <w:sz w:val="24"/>
        <w:szCs w:val="24"/>
      </w:rPr>
      <w:fldChar w:fldCharType="begin"/>
    </w:r>
    <w:r w:rsidRPr="006A2F61">
      <w:rPr>
        <w:rFonts w:ascii="Times New Roman" w:hAnsi="Times New Roman"/>
        <w:sz w:val="24"/>
        <w:szCs w:val="24"/>
      </w:rPr>
      <w:instrText xml:space="preserve"> PAGE   \* MERGEFORMAT </w:instrText>
    </w:r>
    <w:r w:rsidRPr="006A2F61">
      <w:rPr>
        <w:rFonts w:ascii="Times New Roman" w:hAnsi="Times New Roman"/>
        <w:sz w:val="24"/>
        <w:szCs w:val="24"/>
      </w:rPr>
      <w:fldChar w:fldCharType="separate"/>
    </w:r>
    <w:r>
      <w:rPr>
        <w:rFonts w:ascii="Times New Roman" w:hAnsi="Times New Roman"/>
        <w:noProof/>
        <w:sz w:val="24"/>
        <w:szCs w:val="24"/>
      </w:rPr>
      <w:t>2</w:t>
    </w:r>
    <w:r w:rsidRPr="006A2F61">
      <w:rPr>
        <w:rFonts w:ascii="Times New Roman" w:hAnsi="Times New Roman"/>
        <w:sz w:val="24"/>
        <w:szCs w:val="24"/>
      </w:rPr>
      <w:fldChar w:fldCharType="end"/>
    </w:r>
  </w:p>
  <w:p w:rsidR="00CC2CBD" w:rsidRDefault="00CC2C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842"/>
    <w:multiLevelType w:val="hybridMultilevel"/>
    <w:tmpl w:val="D6D8B93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2436583D"/>
    <w:multiLevelType w:val="hybridMultilevel"/>
    <w:tmpl w:val="91D633B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69082870"/>
    <w:multiLevelType w:val="hybridMultilevel"/>
    <w:tmpl w:val="2ACE65F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787B4DDA"/>
    <w:multiLevelType w:val="hybridMultilevel"/>
    <w:tmpl w:val="D7B6DF40"/>
    <w:lvl w:ilvl="0" w:tplc="DEDC6256">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7F3A38E7"/>
    <w:multiLevelType w:val="hybridMultilevel"/>
    <w:tmpl w:val="FCB664D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DE7"/>
    <w:rsid w:val="000018F0"/>
    <w:rsid w:val="00002F83"/>
    <w:rsid w:val="00020A92"/>
    <w:rsid w:val="00022CAE"/>
    <w:rsid w:val="000245F2"/>
    <w:rsid w:val="000319F4"/>
    <w:rsid w:val="00032379"/>
    <w:rsid w:val="00042042"/>
    <w:rsid w:val="00051E26"/>
    <w:rsid w:val="00051FC0"/>
    <w:rsid w:val="000521F0"/>
    <w:rsid w:val="00053391"/>
    <w:rsid w:val="00060427"/>
    <w:rsid w:val="00062B78"/>
    <w:rsid w:val="00064BF2"/>
    <w:rsid w:val="00064FB5"/>
    <w:rsid w:val="0006668F"/>
    <w:rsid w:val="00066EA9"/>
    <w:rsid w:val="00067327"/>
    <w:rsid w:val="000701DD"/>
    <w:rsid w:val="0007246D"/>
    <w:rsid w:val="000728E8"/>
    <w:rsid w:val="000854A0"/>
    <w:rsid w:val="00087063"/>
    <w:rsid w:val="000911D5"/>
    <w:rsid w:val="00091B65"/>
    <w:rsid w:val="00093C11"/>
    <w:rsid w:val="00095E1E"/>
    <w:rsid w:val="000971B8"/>
    <w:rsid w:val="00097769"/>
    <w:rsid w:val="000A0A23"/>
    <w:rsid w:val="000A0EBA"/>
    <w:rsid w:val="000A42AC"/>
    <w:rsid w:val="000A4B8A"/>
    <w:rsid w:val="000B405F"/>
    <w:rsid w:val="000C2CC2"/>
    <w:rsid w:val="000D3EFC"/>
    <w:rsid w:val="000D42EA"/>
    <w:rsid w:val="000D4EB3"/>
    <w:rsid w:val="000D7594"/>
    <w:rsid w:val="000F3584"/>
    <w:rsid w:val="0010520D"/>
    <w:rsid w:val="00107C9D"/>
    <w:rsid w:val="00110676"/>
    <w:rsid w:val="00111CD0"/>
    <w:rsid w:val="00114CDC"/>
    <w:rsid w:val="00116486"/>
    <w:rsid w:val="001201B4"/>
    <w:rsid w:val="00122B05"/>
    <w:rsid w:val="001260C6"/>
    <w:rsid w:val="00130D97"/>
    <w:rsid w:val="00132C5A"/>
    <w:rsid w:val="001375D0"/>
    <w:rsid w:val="00141DDF"/>
    <w:rsid w:val="00146B5C"/>
    <w:rsid w:val="00151370"/>
    <w:rsid w:val="00151E17"/>
    <w:rsid w:val="00154C33"/>
    <w:rsid w:val="0016201C"/>
    <w:rsid w:val="00165066"/>
    <w:rsid w:val="00166EE4"/>
    <w:rsid w:val="00175133"/>
    <w:rsid w:val="0017746B"/>
    <w:rsid w:val="00180B6D"/>
    <w:rsid w:val="001829A9"/>
    <w:rsid w:val="00195398"/>
    <w:rsid w:val="00196CBF"/>
    <w:rsid w:val="001A0D4F"/>
    <w:rsid w:val="001A1803"/>
    <w:rsid w:val="001A3F41"/>
    <w:rsid w:val="001A4FAF"/>
    <w:rsid w:val="001A54A2"/>
    <w:rsid w:val="001B29EC"/>
    <w:rsid w:val="001B2E69"/>
    <w:rsid w:val="001B5106"/>
    <w:rsid w:val="001B563E"/>
    <w:rsid w:val="001B7C3D"/>
    <w:rsid w:val="001C1B6A"/>
    <w:rsid w:val="001C5E07"/>
    <w:rsid w:val="001C79EA"/>
    <w:rsid w:val="001D291F"/>
    <w:rsid w:val="001D3D6B"/>
    <w:rsid w:val="001D7019"/>
    <w:rsid w:val="001E26E8"/>
    <w:rsid w:val="001E27CE"/>
    <w:rsid w:val="001E4C09"/>
    <w:rsid w:val="001E6360"/>
    <w:rsid w:val="001E7BAC"/>
    <w:rsid w:val="001F7DBA"/>
    <w:rsid w:val="00200370"/>
    <w:rsid w:val="00200E62"/>
    <w:rsid w:val="002053E3"/>
    <w:rsid w:val="00206FFE"/>
    <w:rsid w:val="002110E2"/>
    <w:rsid w:val="00211558"/>
    <w:rsid w:val="002148C3"/>
    <w:rsid w:val="00215077"/>
    <w:rsid w:val="002204DD"/>
    <w:rsid w:val="00221224"/>
    <w:rsid w:val="0022590A"/>
    <w:rsid w:val="00225C9F"/>
    <w:rsid w:val="00234CE3"/>
    <w:rsid w:val="00240649"/>
    <w:rsid w:val="00241294"/>
    <w:rsid w:val="00243E55"/>
    <w:rsid w:val="002460F4"/>
    <w:rsid w:val="00247E48"/>
    <w:rsid w:val="00250405"/>
    <w:rsid w:val="0025232E"/>
    <w:rsid w:val="00253B82"/>
    <w:rsid w:val="0026161C"/>
    <w:rsid w:val="00266707"/>
    <w:rsid w:val="00267B27"/>
    <w:rsid w:val="00281F5C"/>
    <w:rsid w:val="00293415"/>
    <w:rsid w:val="0029349D"/>
    <w:rsid w:val="002A2176"/>
    <w:rsid w:val="002A290D"/>
    <w:rsid w:val="002A4A9D"/>
    <w:rsid w:val="002B1228"/>
    <w:rsid w:val="002B62D1"/>
    <w:rsid w:val="002B7C1E"/>
    <w:rsid w:val="002C0851"/>
    <w:rsid w:val="002C49B0"/>
    <w:rsid w:val="002D084F"/>
    <w:rsid w:val="002D0E10"/>
    <w:rsid w:val="002D2726"/>
    <w:rsid w:val="002D2D75"/>
    <w:rsid w:val="002D4232"/>
    <w:rsid w:val="002D4728"/>
    <w:rsid w:val="002D4F98"/>
    <w:rsid w:val="002D57F3"/>
    <w:rsid w:val="002D5C43"/>
    <w:rsid w:val="002D7360"/>
    <w:rsid w:val="002E2B5F"/>
    <w:rsid w:val="002E42BB"/>
    <w:rsid w:val="002E7D54"/>
    <w:rsid w:val="002F1E51"/>
    <w:rsid w:val="002F20B6"/>
    <w:rsid w:val="002F7BBB"/>
    <w:rsid w:val="00301B58"/>
    <w:rsid w:val="00303447"/>
    <w:rsid w:val="00310904"/>
    <w:rsid w:val="00310DDB"/>
    <w:rsid w:val="003111D5"/>
    <w:rsid w:val="00311B06"/>
    <w:rsid w:val="00312DAD"/>
    <w:rsid w:val="0032100A"/>
    <w:rsid w:val="00324D9E"/>
    <w:rsid w:val="00326929"/>
    <w:rsid w:val="00330A7D"/>
    <w:rsid w:val="003311AC"/>
    <w:rsid w:val="00333CD8"/>
    <w:rsid w:val="003347A4"/>
    <w:rsid w:val="00340A06"/>
    <w:rsid w:val="00340CE6"/>
    <w:rsid w:val="00341DE3"/>
    <w:rsid w:val="00341E58"/>
    <w:rsid w:val="003451A5"/>
    <w:rsid w:val="00345CF7"/>
    <w:rsid w:val="00347391"/>
    <w:rsid w:val="0035124F"/>
    <w:rsid w:val="00351C32"/>
    <w:rsid w:val="00351D7E"/>
    <w:rsid w:val="003529E7"/>
    <w:rsid w:val="003547F0"/>
    <w:rsid w:val="003550AE"/>
    <w:rsid w:val="003559A1"/>
    <w:rsid w:val="0035602D"/>
    <w:rsid w:val="003618C0"/>
    <w:rsid w:val="00362B4A"/>
    <w:rsid w:val="00363C62"/>
    <w:rsid w:val="003658B2"/>
    <w:rsid w:val="00367894"/>
    <w:rsid w:val="00372DCF"/>
    <w:rsid w:val="00373086"/>
    <w:rsid w:val="0037343B"/>
    <w:rsid w:val="00374513"/>
    <w:rsid w:val="00375B7D"/>
    <w:rsid w:val="003803B1"/>
    <w:rsid w:val="00382881"/>
    <w:rsid w:val="00383D87"/>
    <w:rsid w:val="0038419B"/>
    <w:rsid w:val="00387C3D"/>
    <w:rsid w:val="00390877"/>
    <w:rsid w:val="0039162C"/>
    <w:rsid w:val="00393ACF"/>
    <w:rsid w:val="003A203D"/>
    <w:rsid w:val="003A2C79"/>
    <w:rsid w:val="003A2F94"/>
    <w:rsid w:val="003A34B6"/>
    <w:rsid w:val="003A4D4E"/>
    <w:rsid w:val="003B2A39"/>
    <w:rsid w:val="003B73C1"/>
    <w:rsid w:val="003C0EB4"/>
    <w:rsid w:val="003C1656"/>
    <w:rsid w:val="003C2BC5"/>
    <w:rsid w:val="003C5D03"/>
    <w:rsid w:val="003C7ED3"/>
    <w:rsid w:val="003D0024"/>
    <w:rsid w:val="003D37CA"/>
    <w:rsid w:val="003D3BD9"/>
    <w:rsid w:val="003D73B2"/>
    <w:rsid w:val="003E3D5E"/>
    <w:rsid w:val="003E3E31"/>
    <w:rsid w:val="003E5D8B"/>
    <w:rsid w:val="003F1863"/>
    <w:rsid w:val="003F6F20"/>
    <w:rsid w:val="003F713C"/>
    <w:rsid w:val="003F77F2"/>
    <w:rsid w:val="004001AC"/>
    <w:rsid w:val="0040397A"/>
    <w:rsid w:val="004077A5"/>
    <w:rsid w:val="004079A1"/>
    <w:rsid w:val="0041570C"/>
    <w:rsid w:val="00421362"/>
    <w:rsid w:val="004234B2"/>
    <w:rsid w:val="00423E40"/>
    <w:rsid w:val="00424B50"/>
    <w:rsid w:val="00426060"/>
    <w:rsid w:val="0042793F"/>
    <w:rsid w:val="004342CE"/>
    <w:rsid w:val="004346C9"/>
    <w:rsid w:val="0043491A"/>
    <w:rsid w:val="00441355"/>
    <w:rsid w:val="004430B0"/>
    <w:rsid w:val="0044449F"/>
    <w:rsid w:val="00447AEC"/>
    <w:rsid w:val="00452B88"/>
    <w:rsid w:val="00455804"/>
    <w:rsid w:val="00460B56"/>
    <w:rsid w:val="00471056"/>
    <w:rsid w:val="004738E8"/>
    <w:rsid w:val="0047487B"/>
    <w:rsid w:val="00476A80"/>
    <w:rsid w:val="00477A4B"/>
    <w:rsid w:val="00482D02"/>
    <w:rsid w:val="0048383A"/>
    <w:rsid w:val="00484F64"/>
    <w:rsid w:val="004857E0"/>
    <w:rsid w:val="00485D72"/>
    <w:rsid w:val="00492F4D"/>
    <w:rsid w:val="00495121"/>
    <w:rsid w:val="004A0C34"/>
    <w:rsid w:val="004A543A"/>
    <w:rsid w:val="004A7CF1"/>
    <w:rsid w:val="004B346A"/>
    <w:rsid w:val="004B5B66"/>
    <w:rsid w:val="004B5FCE"/>
    <w:rsid w:val="004B68D2"/>
    <w:rsid w:val="004C00BB"/>
    <w:rsid w:val="004C35B8"/>
    <w:rsid w:val="004C658C"/>
    <w:rsid w:val="004D01F1"/>
    <w:rsid w:val="004D7274"/>
    <w:rsid w:val="004E1106"/>
    <w:rsid w:val="004E1A5D"/>
    <w:rsid w:val="004E2FB3"/>
    <w:rsid w:val="004E5E95"/>
    <w:rsid w:val="004F0BD8"/>
    <w:rsid w:val="004F5AEF"/>
    <w:rsid w:val="00502D1F"/>
    <w:rsid w:val="00503787"/>
    <w:rsid w:val="00505914"/>
    <w:rsid w:val="00505AC7"/>
    <w:rsid w:val="005155AB"/>
    <w:rsid w:val="00517589"/>
    <w:rsid w:val="00517E0C"/>
    <w:rsid w:val="005250D0"/>
    <w:rsid w:val="005263EA"/>
    <w:rsid w:val="00530D61"/>
    <w:rsid w:val="00532B0D"/>
    <w:rsid w:val="00533655"/>
    <w:rsid w:val="00536EDE"/>
    <w:rsid w:val="005416B7"/>
    <w:rsid w:val="00542D24"/>
    <w:rsid w:val="00544F0C"/>
    <w:rsid w:val="005459A4"/>
    <w:rsid w:val="00550B9C"/>
    <w:rsid w:val="00554328"/>
    <w:rsid w:val="00555DE1"/>
    <w:rsid w:val="005607DC"/>
    <w:rsid w:val="0056158A"/>
    <w:rsid w:val="005641E3"/>
    <w:rsid w:val="00566D30"/>
    <w:rsid w:val="005672CC"/>
    <w:rsid w:val="00572D67"/>
    <w:rsid w:val="00574084"/>
    <w:rsid w:val="00576F11"/>
    <w:rsid w:val="00583ED1"/>
    <w:rsid w:val="00585B7B"/>
    <w:rsid w:val="005954CB"/>
    <w:rsid w:val="005A08B6"/>
    <w:rsid w:val="005A5582"/>
    <w:rsid w:val="005A6DC9"/>
    <w:rsid w:val="005A7D40"/>
    <w:rsid w:val="005C4848"/>
    <w:rsid w:val="005C5244"/>
    <w:rsid w:val="005C7A37"/>
    <w:rsid w:val="005D40BD"/>
    <w:rsid w:val="005D5BD2"/>
    <w:rsid w:val="005D76CE"/>
    <w:rsid w:val="005D7BF5"/>
    <w:rsid w:val="005D7D41"/>
    <w:rsid w:val="005E05EB"/>
    <w:rsid w:val="005E2606"/>
    <w:rsid w:val="005E35C8"/>
    <w:rsid w:val="005F24A4"/>
    <w:rsid w:val="005F4963"/>
    <w:rsid w:val="005F5BA3"/>
    <w:rsid w:val="00600291"/>
    <w:rsid w:val="00612EF6"/>
    <w:rsid w:val="0061352A"/>
    <w:rsid w:val="00622FB3"/>
    <w:rsid w:val="00624664"/>
    <w:rsid w:val="00625E9D"/>
    <w:rsid w:val="006265FC"/>
    <w:rsid w:val="00627B60"/>
    <w:rsid w:val="00630FB3"/>
    <w:rsid w:val="006312FC"/>
    <w:rsid w:val="00632160"/>
    <w:rsid w:val="00635D22"/>
    <w:rsid w:val="00636762"/>
    <w:rsid w:val="006440D2"/>
    <w:rsid w:val="00644651"/>
    <w:rsid w:val="00645DE7"/>
    <w:rsid w:val="00660603"/>
    <w:rsid w:val="00660622"/>
    <w:rsid w:val="00660E6E"/>
    <w:rsid w:val="006614A5"/>
    <w:rsid w:val="00665BE9"/>
    <w:rsid w:val="00666D49"/>
    <w:rsid w:val="00670090"/>
    <w:rsid w:val="00671960"/>
    <w:rsid w:val="00675278"/>
    <w:rsid w:val="00682F4B"/>
    <w:rsid w:val="006A0D83"/>
    <w:rsid w:val="006A2F61"/>
    <w:rsid w:val="006A3F3C"/>
    <w:rsid w:val="006B3121"/>
    <w:rsid w:val="006C2013"/>
    <w:rsid w:val="006C5B41"/>
    <w:rsid w:val="006C5BAB"/>
    <w:rsid w:val="006D03E1"/>
    <w:rsid w:val="006D2FB2"/>
    <w:rsid w:val="006D5B0D"/>
    <w:rsid w:val="006D6D5F"/>
    <w:rsid w:val="006D755F"/>
    <w:rsid w:val="006E07BB"/>
    <w:rsid w:val="006E2537"/>
    <w:rsid w:val="006E6208"/>
    <w:rsid w:val="006E6326"/>
    <w:rsid w:val="006E6EFF"/>
    <w:rsid w:val="006F1DA8"/>
    <w:rsid w:val="006F5937"/>
    <w:rsid w:val="0070501C"/>
    <w:rsid w:val="00705296"/>
    <w:rsid w:val="00715F1E"/>
    <w:rsid w:val="00717984"/>
    <w:rsid w:val="00721EE7"/>
    <w:rsid w:val="007252BF"/>
    <w:rsid w:val="00726EEF"/>
    <w:rsid w:val="00732AE8"/>
    <w:rsid w:val="007360BD"/>
    <w:rsid w:val="00737FAC"/>
    <w:rsid w:val="0074010A"/>
    <w:rsid w:val="0074138A"/>
    <w:rsid w:val="00742948"/>
    <w:rsid w:val="00742AEA"/>
    <w:rsid w:val="00743582"/>
    <w:rsid w:val="0074369A"/>
    <w:rsid w:val="00743936"/>
    <w:rsid w:val="00744B31"/>
    <w:rsid w:val="00746F3D"/>
    <w:rsid w:val="007511FE"/>
    <w:rsid w:val="007513E2"/>
    <w:rsid w:val="007519C9"/>
    <w:rsid w:val="00753764"/>
    <w:rsid w:val="007662CA"/>
    <w:rsid w:val="007727E4"/>
    <w:rsid w:val="00777485"/>
    <w:rsid w:val="0078521D"/>
    <w:rsid w:val="00785B13"/>
    <w:rsid w:val="0079698D"/>
    <w:rsid w:val="0079771E"/>
    <w:rsid w:val="007A01C9"/>
    <w:rsid w:val="007A180C"/>
    <w:rsid w:val="007A1F48"/>
    <w:rsid w:val="007A488C"/>
    <w:rsid w:val="007B166F"/>
    <w:rsid w:val="007C5BE5"/>
    <w:rsid w:val="007C685F"/>
    <w:rsid w:val="007D2DBE"/>
    <w:rsid w:val="007E3338"/>
    <w:rsid w:val="007E3F30"/>
    <w:rsid w:val="007E4172"/>
    <w:rsid w:val="007E69C9"/>
    <w:rsid w:val="007F729C"/>
    <w:rsid w:val="00802FDF"/>
    <w:rsid w:val="00807FAF"/>
    <w:rsid w:val="0081124C"/>
    <w:rsid w:val="008143A4"/>
    <w:rsid w:val="0081538F"/>
    <w:rsid w:val="00815D37"/>
    <w:rsid w:val="00821B84"/>
    <w:rsid w:val="00822F00"/>
    <w:rsid w:val="008239FB"/>
    <w:rsid w:val="008248C6"/>
    <w:rsid w:val="008277CC"/>
    <w:rsid w:val="00827C9C"/>
    <w:rsid w:val="00841149"/>
    <w:rsid w:val="008437B3"/>
    <w:rsid w:val="008457DA"/>
    <w:rsid w:val="0086483B"/>
    <w:rsid w:val="00864F29"/>
    <w:rsid w:val="00866131"/>
    <w:rsid w:val="00871A98"/>
    <w:rsid w:val="0087604B"/>
    <w:rsid w:val="008773E5"/>
    <w:rsid w:val="00882D73"/>
    <w:rsid w:val="00882E31"/>
    <w:rsid w:val="0088509A"/>
    <w:rsid w:val="00887BE8"/>
    <w:rsid w:val="00890373"/>
    <w:rsid w:val="0089141F"/>
    <w:rsid w:val="00893145"/>
    <w:rsid w:val="00895FE2"/>
    <w:rsid w:val="00896958"/>
    <w:rsid w:val="008A23DD"/>
    <w:rsid w:val="008B0C81"/>
    <w:rsid w:val="008B1682"/>
    <w:rsid w:val="008B1AA6"/>
    <w:rsid w:val="008B5893"/>
    <w:rsid w:val="008B7777"/>
    <w:rsid w:val="008C06EC"/>
    <w:rsid w:val="008C27A3"/>
    <w:rsid w:val="008D06A8"/>
    <w:rsid w:val="008D1E1D"/>
    <w:rsid w:val="008D53A5"/>
    <w:rsid w:val="008D5EF2"/>
    <w:rsid w:val="008D6769"/>
    <w:rsid w:val="008D67A5"/>
    <w:rsid w:val="008D6EB2"/>
    <w:rsid w:val="008D71E7"/>
    <w:rsid w:val="008D76D9"/>
    <w:rsid w:val="008E55E5"/>
    <w:rsid w:val="008E68F7"/>
    <w:rsid w:val="008E6B5B"/>
    <w:rsid w:val="008F1CC9"/>
    <w:rsid w:val="008F40FC"/>
    <w:rsid w:val="008F720B"/>
    <w:rsid w:val="00900C6D"/>
    <w:rsid w:val="0090591E"/>
    <w:rsid w:val="00907649"/>
    <w:rsid w:val="00913DD4"/>
    <w:rsid w:val="00915A66"/>
    <w:rsid w:val="0092784F"/>
    <w:rsid w:val="00927885"/>
    <w:rsid w:val="0093532C"/>
    <w:rsid w:val="009405CB"/>
    <w:rsid w:val="00941351"/>
    <w:rsid w:val="00950AFE"/>
    <w:rsid w:val="00961F7F"/>
    <w:rsid w:val="009672B6"/>
    <w:rsid w:val="00967D10"/>
    <w:rsid w:val="00970C8F"/>
    <w:rsid w:val="009719C8"/>
    <w:rsid w:val="00971C0C"/>
    <w:rsid w:val="00976344"/>
    <w:rsid w:val="009816E3"/>
    <w:rsid w:val="009819A6"/>
    <w:rsid w:val="00983D5A"/>
    <w:rsid w:val="00984258"/>
    <w:rsid w:val="009A4249"/>
    <w:rsid w:val="009A7F15"/>
    <w:rsid w:val="009B314D"/>
    <w:rsid w:val="009B4265"/>
    <w:rsid w:val="009B650D"/>
    <w:rsid w:val="009B6FF1"/>
    <w:rsid w:val="009B7FB3"/>
    <w:rsid w:val="009C3398"/>
    <w:rsid w:val="009D0577"/>
    <w:rsid w:val="009D6FBE"/>
    <w:rsid w:val="009D740C"/>
    <w:rsid w:val="009E1D3B"/>
    <w:rsid w:val="009E2FC0"/>
    <w:rsid w:val="009E60D9"/>
    <w:rsid w:val="009E68FB"/>
    <w:rsid w:val="009E7D09"/>
    <w:rsid w:val="009F0674"/>
    <w:rsid w:val="009F5D05"/>
    <w:rsid w:val="00A046C8"/>
    <w:rsid w:val="00A04B35"/>
    <w:rsid w:val="00A063BB"/>
    <w:rsid w:val="00A070CF"/>
    <w:rsid w:val="00A10D1B"/>
    <w:rsid w:val="00A12C7A"/>
    <w:rsid w:val="00A1506F"/>
    <w:rsid w:val="00A15BF2"/>
    <w:rsid w:val="00A16231"/>
    <w:rsid w:val="00A17B31"/>
    <w:rsid w:val="00A21C1B"/>
    <w:rsid w:val="00A23B6B"/>
    <w:rsid w:val="00A24837"/>
    <w:rsid w:val="00A24B31"/>
    <w:rsid w:val="00A275A0"/>
    <w:rsid w:val="00A27D59"/>
    <w:rsid w:val="00A31327"/>
    <w:rsid w:val="00A337DE"/>
    <w:rsid w:val="00A34109"/>
    <w:rsid w:val="00A4042B"/>
    <w:rsid w:val="00A440AE"/>
    <w:rsid w:val="00A46A6E"/>
    <w:rsid w:val="00A55F37"/>
    <w:rsid w:val="00A5616E"/>
    <w:rsid w:val="00A6064A"/>
    <w:rsid w:val="00A60A83"/>
    <w:rsid w:val="00A61208"/>
    <w:rsid w:val="00A624D0"/>
    <w:rsid w:val="00A63508"/>
    <w:rsid w:val="00A637E6"/>
    <w:rsid w:val="00A63A07"/>
    <w:rsid w:val="00A64824"/>
    <w:rsid w:val="00A7054E"/>
    <w:rsid w:val="00A71250"/>
    <w:rsid w:val="00A71DD8"/>
    <w:rsid w:val="00A75A03"/>
    <w:rsid w:val="00A75D17"/>
    <w:rsid w:val="00A75D9E"/>
    <w:rsid w:val="00A80FD5"/>
    <w:rsid w:val="00A84F7E"/>
    <w:rsid w:val="00A87BF6"/>
    <w:rsid w:val="00A95A33"/>
    <w:rsid w:val="00A9791B"/>
    <w:rsid w:val="00AA1960"/>
    <w:rsid w:val="00AA27C2"/>
    <w:rsid w:val="00AA6216"/>
    <w:rsid w:val="00AB0591"/>
    <w:rsid w:val="00AB4D01"/>
    <w:rsid w:val="00AB784C"/>
    <w:rsid w:val="00AB7BC6"/>
    <w:rsid w:val="00AC01FE"/>
    <w:rsid w:val="00AC2626"/>
    <w:rsid w:val="00AC3172"/>
    <w:rsid w:val="00AC37AB"/>
    <w:rsid w:val="00AC47BD"/>
    <w:rsid w:val="00AC6E3C"/>
    <w:rsid w:val="00AC7078"/>
    <w:rsid w:val="00AD2E6B"/>
    <w:rsid w:val="00AD39BE"/>
    <w:rsid w:val="00AD78C6"/>
    <w:rsid w:val="00AE0140"/>
    <w:rsid w:val="00AE2256"/>
    <w:rsid w:val="00AE40AE"/>
    <w:rsid w:val="00AE5058"/>
    <w:rsid w:val="00AE5C51"/>
    <w:rsid w:val="00AE702C"/>
    <w:rsid w:val="00AF5E34"/>
    <w:rsid w:val="00B01B10"/>
    <w:rsid w:val="00B01E36"/>
    <w:rsid w:val="00B02760"/>
    <w:rsid w:val="00B062A0"/>
    <w:rsid w:val="00B06B3B"/>
    <w:rsid w:val="00B07D77"/>
    <w:rsid w:val="00B10C5B"/>
    <w:rsid w:val="00B15122"/>
    <w:rsid w:val="00B158F5"/>
    <w:rsid w:val="00B165AD"/>
    <w:rsid w:val="00B215C9"/>
    <w:rsid w:val="00B226EC"/>
    <w:rsid w:val="00B26519"/>
    <w:rsid w:val="00B33168"/>
    <w:rsid w:val="00B37C3E"/>
    <w:rsid w:val="00B4143A"/>
    <w:rsid w:val="00B4186A"/>
    <w:rsid w:val="00B45393"/>
    <w:rsid w:val="00B46C34"/>
    <w:rsid w:val="00B46C8F"/>
    <w:rsid w:val="00B52E9B"/>
    <w:rsid w:val="00B5396E"/>
    <w:rsid w:val="00B55B69"/>
    <w:rsid w:val="00B56327"/>
    <w:rsid w:val="00B57235"/>
    <w:rsid w:val="00B60710"/>
    <w:rsid w:val="00B62EDB"/>
    <w:rsid w:val="00B65C9D"/>
    <w:rsid w:val="00B66499"/>
    <w:rsid w:val="00B67180"/>
    <w:rsid w:val="00B6737A"/>
    <w:rsid w:val="00B67863"/>
    <w:rsid w:val="00B7169F"/>
    <w:rsid w:val="00B718AB"/>
    <w:rsid w:val="00B72031"/>
    <w:rsid w:val="00B72D86"/>
    <w:rsid w:val="00B74605"/>
    <w:rsid w:val="00B75CDA"/>
    <w:rsid w:val="00B75EB0"/>
    <w:rsid w:val="00B77174"/>
    <w:rsid w:val="00B77EFE"/>
    <w:rsid w:val="00B8484E"/>
    <w:rsid w:val="00B9518B"/>
    <w:rsid w:val="00B9632A"/>
    <w:rsid w:val="00B96CB0"/>
    <w:rsid w:val="00BA2FC6"/>
    <w:rsid w:val="00BB358E"/>
    <w:rsid w:val="00BB7352"/>
    <w:rsid w:val="00BB74BE"/>
    <w:rsid w:val="00BC08D0"/>
    <w:rsid w:val="00BD13B4"/>
    <w:rsid w:val="00BD1462"/>
    <w:rsid w:val="00BD24F3"/>
    <w:rsid w:val="00BD6B55"/>
    <w:rsid w:val="00BE282A"/>
    <w:rsid w:val="00BE2DAC"/>
    <w:rsid w:val="00BE5FF9"/>
    <w:rsid w:val="00BF0E46"/>
    <w:rsid w:val="00BF292D"/>
    <w:rsid w:val="00BF3A53"/>
    <w:rsid w:val="00BF400A"/>
    <w:rsid w:val="00BF51C9"/>
    <w:rsid w:val="00BF659C"/>
    <w:rsid w:val="00C00EB4"/>
    <w:rsid w:val="00C03901"/>
    <w:rsid w:val="00C10E0C"/>
    <w:rsid w:val="00C16CAE"/>
    <w:rsid w:val="00C246BA"/>
    <w:rsid w:val="00C25DA3"/>
    <w:rsid w:val="00C26740"/>
    <w:rsid w:val="00C32FF7"/>
    <w:rsid w:val="00C36B74"/>
    <w:rsid w:val="00C41DE4"/>
    <w:rsid w:val="00C47619"/>
    <w:rsid w:val="00C47FE7"/>
    <w:rsid w:val="00C505C6"/>
    <w:rsid w:val="00C51057"/>
    <w:rsid w:val="00C5237B"/>
    <w:rsid w:val="00C54E19"/>
    <w:rsid w:val="00C55E07"/>
    <w:rsid w:val="00C57584"/>
    <w:rsid w:val="00C71B6A"/>
    <w:rsid w:val="00C73B78"/>
    <w:rsid w:val="00C7431F"/>
    <w:rsid w:val="00C7696F"/>
    <w:rsid w:val="00C776BB"/>
    <w:rsid w:val="00C80647"/>
    <w:rsid w:val="00C87814"/>
    <w:rsid w:val="00C90CFF"/>
    <w:rsid w:val="00C9224F"/>
    <w:rsid w:val="00C92D64"/>
    <w:rsid w:val="00C9671C"/>
    <w:rsid w:val="00CA091A"/>
    <w:rsid w:val="00CA1645"/>
    <w:rsid w:val="00CA77AB"/>
    <w:rsid w:val="00CB1E49"/>
    <w:rsid w:val="00CB3A02"/>
    <w:rsid w:val="00CC0770"/>
    <w:rsid w:val="00CC07B5"/>
    <w:rsid w:val="00CC0D3C"/>
    <w:rsid w:val="00CC2CBD"/>
    <w:rsid w:val="00CC43E2"/>
    <w:rsid w:val="00CC5AB5"/>
    <w:rsid w:val="00CC7774"/>
    <w:rsid w:val="00CC79CD"/>
    <w:rsid w:val="00CD08FE"/>
    <w:rsid w:val="00CD36E3"/>
    <w:rsid w:val="00CD4D76"/>
    <w:rsid w:val="00CE64AA"/>
    <w:rsid w:val="00CE6B14"/>
    <w:rsid w:val="00CF3D7B"/>
    <w:rsid w:val="00CF4772"/>
    <w:rsid w:val="00CF4A95"/>
    <w:rsid w:val="00D05713"/>
    <w:rsid w:val="00D077A7"/>
    <w:rsid w:val="00D07867"/>
    <w:rsid w:val="00D113EC"/>
    <w:rsid w:val="00D11796"/>
    <w:rsid w:val="00D12749"/>
    <w:rsid w:val="00D14C1D"/>
    <w:rsid w:val="00D271AA"/>
    <w:rsid w:val="00D27F2E"/>
    <w:rsid w:val="00D30699"/>
    <w:rsid w:val="00D30904"/>
    <w:rsid w:val="00D33DA8"/>
    <w:rsid w:val="00D34609"/>
    <w:rsid w:val="00D356B5"/>
    <w:rsid w:val="00D4187F"/>
    <w:rsid w:val="00D433E5"/>
    <w:rsid w:val="00D45E8A"/>
    <w:rsid w:val="00D467A5"/>
    <w:rsid w:val="00D46838"/>
    <w:rsid w:val="00D46C4D"/>
    <w:rsid w:val="00D47FF9"/>
    <w:rsid w:val="00D50955"/>
    <w:rsid w:val="00D55FBA"/>
    <w:rsid w:val="00D56AFC"/>
    <w:rsid w:val="00D56DF0"/>
    <w:rsid w:val="00D62BA3"/>
    <w:rsid w:val="00D65F9B"/>
    <w:rsid w:val="00D7742C"/>
    <w:rsid w:val="00D8035B"/>
    <w:rsid w:val="00D81AA6"/>
    <w:rsid w:val="00D82C0E"/>
    <w:rsid w:val="00D83CBE"/>
    <w:rsid w:val="00D84CC2"/>
    <w:rsid w:val="00D87D1E"/>
    <w:rsid w:val="00D96054"/>
    <w:rsid w:val="00D9637B"/>
    <w:rsid w:val="00D96752"/>
    <w:rsid w:val="00D96DED"/>
    <w:rsid w:val="00D9761C"/>
    <w:rsid w:val="00DA0550"/>
    <w:rsid w:val="00DA47DF"/>
    <w:rsid w:val="00DA63EF"/>
    <w:rsid w:val="00DA7F95"/>
    <w:rsid w:val="00DB16D9"/>
    <w:rsid w:val="00DB3E14"/>
    <w:rsid w:val="00DB6B30"/>
    <w:rsid w:val="00DB7268"/>
    <w:rsid w:val="00DC313C"/>
    <w:rsid w:val="00DC3566"/>
    <w:rsid w:val="00DC542C"/>
    <w:rsid w:val="00DC5819"/>
    <w:rsid w:val="00DC5D25"/>
    <w:rsid w:val="00DD04CE"/>
    <w:rsid w:val="00DD1DDD"/>
    <w:rsid w:val="00DD2290"/>
    <w:rsid w:val="00DD3AF0"/>
    <w:rsid w:val="00DE3E39"/>
    <w:rsid w:val="00DE72DE"/>
    <w:rsid w:val="00DF0F96"/>
    <w:rsid w:val="00DF3965"/>
    <w:rsid w:val="00DF42E1"/>
    <w:rsid w:val="00E00446"/>
    <w:rsid w:val="00E01A61"/>
    <w:rsid w:val="00E040BD"/>
    <w:rsid w:val="00E07566"/>
    <w:rsid w:val="00E1044B"/>
    <w:rsid w:val="00E1219C"/>
    <w:rsid w:val="00E13847"/>
    <w:rsid w:val="00E26DAB"/>
    <w:rsid w:val="00E30718"/>
    <w:rsid w:val="00E30C76"/>
    <w:rsid w:val="00E317A0"/>
    <w:rsid w:val="00E34A9F"/>
    <w:rsid w:val="00E34BFA"/>
    <w:rsid w:val="00E44ABC"/>
    <w:rsid w:val="00E45B4F"/>
    <w:rsid w:val="00E4616D"/>
    <w:rsid w:val="00E47811"/>
    <w:rsid w:val="00E50CD9"/>
    <w:rsid w:val="00E53DCF"/>
    <w:rsid w:val="00E54422"/>
    <w:rsid w:val="00E574AB"/>
    <w:rsid w:val="00E621F1"/>
    <w:rsid w:val="00E627EA"/>
    <w:rsid w:val="00E70B99"/>
    <w:rsid w:val="00E71B58"/>
    <w:rsid w:val="00E85329"/>
    <w:rsid w:val="00E91250"/>
    <w:rsid w:val="00E913FD"/>
    <w:rsid w:val="00EA61CB"/>
    <w:rsid w:val="00EA63C7"/>
    <w:rsid w:val="00EB02ED"/>
    <w:rsid w:val="00EB2D09"/>
    <w:rsid w:val="00EB7864"/>
    <w:rsid w:val="00EC07DE"/>
    <w:rsid w:val="00ED130A"/>
    <w:rsid w:val="00ED2B6D"/>
    <w:rsid w:val="00ED4946"/>
    <w:rsid w:val="00EE0096"/>
    <w:rsid w:val="00EE5DE0"/>
    <w:rsid w:val="00EF10F6"/>
    <w:rsid w:val="00EF2C13"/>
    <w:rsid w:val="00EF31E1"/>
    <w:rsid w:val="00EF684C"/>
    <w:rsid w:val="00F02C62"/>
    <w:rsid w:val="00F105D7"/>
    <w:rsid w:val="00F11E55"/>
    <w:rsid w:val="00F12784"/>
    <w:rsid w:val="00F12D08"/>
    <w:rsid w:val="00F13132"/>
    <w:rsid w:val="00F13CE1"/>
    <w:rsid w:val="00F14139"/>
    <w:rsid w:val="00F23C9C"/>
    <w:rsid w:val="00F24ABE"/>
    <w:rsid w:val="00F303D3"/>
    <w:rsid w:val="00F31CFA"/>
    <w:rsid w:val="00F338FC"/>
    <w:rsid w:val="00F35927"/>
    <w:rsid w:val="00F3702E"/>
    <w:rsid w:val="00F5148D"/>
    <w:rsid w:val="00F5199D"/>
    <w:rsid w:val="00F51C97"/>
    <w:rsid w:val="00F52C7C"/>
    <w:rsid w:val="00F52EF8"/>
    <w:rsid w:val="00F61049"/>
    <w:rsid w:val="00F64FCC"/>
    <w:rsid w:val="00F72FB1"/>
    <w:rsid w:val="00F7788E"/>
    <w:rsid w:val="00F80185"/>
    <w:rsid w:val="00F82A77"/>
    <w:rsid w:val="00F85FFB"/>
    <w:rsid w:val="00F87B94"/>
    <w:rsid w:val="00F90174"/>
    <w:rsid w:val="00F92E41"/>
    <w:rsid w:val="00F97C59"/>
    <w:rsid w:val="00FA17AC"/>
    <w:rsid w:val="00FA245C"/>
    <w:rsid w:val="00FA310B"/>
    <w:rsid w:val="00FA419D"/>
    <w:rsid w:val="00FA6C79"/>
    <w:rsid w:val="00FA72E0"/>
    <w:rsid w:val="00FB0FBD"/>
    <w:rsid w:val="00FB15F8"/>
    <w:rsid w:val="00FB38FB"/>
    <w:rsid w:val="00FC18DF"/>
    <w:rsid w:val="00FC1BDF"/>
    <w:rsid w:val="00FC3E6C"/>
    <w:rsid w:val="00FC5715"/>
    <w:rsid w:val="00FC59A7"/>
    <w:rsid w:val="00FC5C7E"/>
    <w:rsid w:val="00FD047F"/>
    <w:rsid w:val="00FD061E"/>
    <w:rsid w:val="00FD0C7F"/>
    <w:rsid w:val="00FD1411"/>
    <w:rsid w:val="00FD1F3B"/>
    <w:rsid w:val="00FD77C3"/>
    <w:rsid w:val="00FD7B51"/>
    <w:rsid w:val="00FE2626"/>
    <w:rsid w:val="00FE4F6E"/>
    <w:rsid w:val="00FE5764"/>
    <w:rsid w:val="00FF167D"/>
    <w:rsid w:val="00FF55C1"/>
    <w:rsid w:val="00FF79F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uiPriority w:val="99"/>
    <w:rsid w:val="00645DE7"/>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645DE7"/>
    <w:pPr>
      <w:tabs>
        <w:tab w:val="center" w:pos="4153"/>
        <w:tab w:val="right" w:pos="8306"/>
      </w:tabs>
      <w:spacing w:after="0" w:line="240" w:lineRule="auto"/>
    </w:pPr>
    <w:rPr>
      <w:sz w:val="20"/>
      <w:szCs w:val="20"/>
      <w:lang w:eastAsia="lv-LV"/>
    </w:rPr>
  </w:style>
  <w:style w:type="character" w:customStyle="1" w:styleId="HeaderChar">
    <w:name w:val="Header Char"/>
    <w:basedOn w:val="DefaultParagraphFont"/>
    <w:link w:val="Header"/>
    <w:uiPriority w:val="99"/>
    <w:locked/>
    <w:rsid w:val="00645DE7"/>
    <w:rPr>
      <w:rFonts w:cs="Times New Roman"/>
    </w:rPr>
  </w:style>
  <w:style w:type="paragraph" w:styleId="Footer">
    <w:name w:val="footer"/>
    <w:basedOn w:val="Normal"/>
    <w:link w:val="FooterChar"/>
    <w:uiPriority w:val="99"/>
    <w:rsid w:val="00645DE7"/>
    <w:pPr>
      <w:tabs>
        <w:tab w:val="center" w:pos="4153"/>
        <w:tab w:val="right" w:pos="8306"/>
      </w:tabs>
      <w:spacing w:after="0" w:line="240" w:lineRule="auto"/>
    </w:pPr>
    <w:rPr>
      <w:sz w:val="20"/>
      <w:szCs w:val="20"/>
      <w:lang w:eastAsia="lv-LV"/>
    </w:rPr>
  </w:style>
  <w:style w:type="character" w:customStyle="1" w:styleId="FooterChar">
    <w:name w:val="Footer Char"/>
    <w:basedOn w:val="DefaultParagraphFont"/>
    <w:link w:val="Footer"/>
    <w:uiPriority w:val="99"/>
    <w:locked/>
    <w:rsid w:val="00645DE7"/>
    <w:rPr>
      <w:rFonts w:cs="Times New Roman"/>
    </w:rPr>
  </w:style>
  <w:style w:type="paragraph" w:customStyle="1" w:styleId="naisvisr">
    <w:name w:val="naisvisr"/>
    <w:basedOn w:val="Normal"/>
    <w:uiPriority w:val="99"/>
    <w:rsid w:val="00A84F7E"/>
    <w:pPr>
      <w:spacing w:before="150" w:after="150" w:line="240" w:lineRule="auto"/>
      <w:jc w:val="center"/>
    </w:pPr>
    <w:rPr>
      <w:rFonts w:ascii="Times New Roman" w:eastAsia="Times New Roman" w:hAnsi="Times New Roman"/>
      <w:b/>
      <w:bCs/>
      <w:sz w:val="28"/>
      <w:szCs w:val="28"/>
      <w:lang w:eastAsia="lv-LV"/>
    </w:rPr>
  </w:style>
  <w:style w:type="paragraph" w:styleId="BodyText2">
    <w:name w:val="Body Text 2"/>
    <w:basedOn w:val="Normal"/>
    <w:link w:val="BodyText2Char"/>
    <w:uiPriority w:val="99"/>
    <w:rsid w:val="00A84F7E"/>
    <w:pPr>
      <w:spacing w:after="120" w:line="480" w:lineRule="auto"/>
    </w:pPr>
    <w:rPr>
      <w:rFonts w:ascii="Arial" w:hAnsi="Arial"/>
      <w:szCs w:val="20"/>
    </w:rPr>
  </w:style>
  <w:style w:type="character" w:customStyle="1" w:styleId="BodyText2Char">
    <w:name w:val="Body Text 2 Char"/>
    <w:basedOn w:val="DefaultParagraphFont"/>
    <w:link w:val="BodyText2"/>
    <w:uiPriority w:val="99"/>
    <w:locked/>
    <w:rsid w:val="00A84F7E"/>
    <w:rPr>
      <w:rFonts w:ascii="Arial" w:hAnsi="Arial" w:cs="Times New Roman"/>
      <w:sz w:val="22"/>
      <w:lang w:eastAsia="en-US"/>
    </w:rPr>
  </w:style>
  <w:style w:type="paragraph" w:customStyle="1" w:styleId="naisf">
    <w:name w:val="naisf"/>
    <w:basedOn w:val="Normal"/>
    <w:uiPriority w:val="99"/>
    <w:rsid w:val="00A84F7E"/>
    <w:pPr>
      <w:spacing w:before="88" w:after="88" w:line="240" w:lineRule="auto"/>
      <w:ind w:firstLine="439"/>
      <w:jc w:val="both"/>
    </w:pPr>
    <w:rPr>
      <w:rFonts w:ascii="Times New Roman" w:eastAsia="Times New Roman" w:hAnsi="Times New Roman"/>
      <w:sz w:val="24"/>
      <w:szCs w:val="24"/>
      <w:lang w:eastAsia="lv-LV"/>
    </w:rPr>
  </w:style>
  <w:style w:type="character" w:styleId="CommentReference">
    <w:name w:val="annotation reference"/>
    <w:basedOn w:val="DefaultParagraphFont"/>
    <w:uiPriority w:val="99"/>
    <w:semiHidden/>
    <w:rsid w:val="00AD2E6B"/>
    <w:rPr>
      <w:rFonts w:cs="Times New Roman"/>
      <w:sz w:val="16"/>
    </w:rPr>
  </w:style>
  <w:style w:type="paragraph" w:styleId="CommentText">
    <w:name w:val="annotation text"/>
    <w:basedOn w:val="Normal"/>
    <w:link w:val="CommentTextChar"/>
    <w:uiPriority w:val="99"/>
    <w:semiHidden/>
    <w:rsid w:val="00AD2E6B"/>
    <w:rPr>
      <w:sz w:val="20"/>
      <w:szCs w:val="20"/>
    </w:rPr>
  </w:style>
  <w:style w:type="character" w:customStyle="1" w:styleId="CommentTextChar">
    <w:name w:val="Comment Text Char"/>
    <w:basedOn w:val="DefaultParagraphFont"/>
    <w:link w:val="CommentText"/>
    <w:uiPriority w:val="99"/>
    <w:semiHidden/>
    <w:locked/>
    <w:rsid w:val="00AD2E6B"/>
    <w:rPr>
      <w:rFonts w:cs="Times New Roman"/>
      <w:lang w:eastAsia="en-US"/>
    </w:rPr>
  </w:style>
  <w:style w:type="paragraph" w:styleId="CommentSubject">
    <w:name w:val="annotation subject"/>
    <w:basedOn w:val="CommentText"/>
    <w:next w:val="CommentText"/>
    <w:link w:val="CommentSubjectChar"/>
    <w:uiPriority w:val="99"/>
    <w:semiHidden/>
    <w:rsid w:val="00AD2E6B"/>
    <w:rPr>
      <w:b/>
    </w:rPr>
  </w:style>
  <w:style w:type="character" w:customStyle="1" w:styleId="CommentSubjectChar">
    <w:name w:val="Comment Subject Char"/>
    <w:basedOn w:val="CommentTextChar"/>
    <w:link w:val="CommentSubject"/>
    <w:uiPriority w:val="99"/>
    <w:semiHidden/>
    <w:locked/>
    <w:rsid w:val="00AD2E6B"/>
    <w:rPr>
      <w:b/>
    </w:rPr>
  </w:style>
  <w:style w:type="paragraph" w:styleId="BalloonText">
    <w:name w:val="Balloon Text"/>
    <w:basedOn w:val="Normal"/>
    <w:link w:val="BalloonTextChar"/>
    <w:uiPriority w:val="99"/>
    <w:semiHidden/>
    <w:rsid w:val="00AD2E6B"/>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semiHidden/>
    <w:locked/>
    <w:rsid w:val="00AD2E6B"/>
    <w:rPr>
      <w:rFonts w:ascii="Tahoma" w:hAnsi="Tahoma" w:cs="Times New Roman"/>
      <w:sz w:val="16"/>
      <w:lang w:eastAsia="en-US"/>
    </w:rPr>
  </w:style>
  <w:style w:type="paragraph" w:styleId="Title">
    <w:name w:val="Title"/>
    <w:basedOn w:val="Normal"/>
    <w:link w:val="TitleChar"/>
    <w:uiPriority w:val="99"/>
    <w:qFormat/>
    <w:rsid w:val="00AD2E6B"/>
    <w:pPr>
      <w:spacing w:after="0" w:line="240" w:lineRule="auto"/>
      <w:jc w:val="center"/>
    </w:pPr>
    <w:rPr>
      <w:rFonts w:ascii="Times New Roman" w:hAnsi="Times New Roman"/>
      <w:b/>
      <w:sz w:val="24"/>
      <w:szCs w:val="20"/>
    </w:rPr>
  </w:style>
  <w:style w:type="character" w:customStyle="1" w:styleId="TitleChar">
    <w:name w:val="Title Char"/>
    <w:basedOn w:val="DefaultParagraphFont"/>
    <w:link w:val="Title"/>
    <w:uiPriority w:val="99"/>
    <w:locked/>
    <w:rsid w:val="00AD2E6B"/>
    <w:rPr>
      <w:rFonts w:ascii="Times New Roman" w:hAnsi="Times New Roman" w:cs="Times New Roman"/>
      <w:b/>
      <w:sz w:val="24"/>
      <w:lang w:eastAsia="en-US"/>
    </w:rPr>
  </w:style>
  <w:style w:type="character" w:styleId="Hyperlink">
    <w:name w:val="Hyperlink"/>
    <w:basedOn w:val="DefaultParagraphFont"/>
    <w:uiPriority w:val="99"/>
    <w:semiHidden/>
    <w:rsid w:val="00362B4A"/>
    <w:rPr>
      <w:rFonts w:cs="Times New Roman"/>
      <w:color w:val="0000FF"/>
      <w:u w:val="single"/>
    </w:rPr>
  </w:style>
  <w:style w:type="paragraph" w:styleId="NormalWeb">
    <w:name w:val="Normal (Web)"/>
    <w:basedOn w:val="Normal"/>
    <w:uiPriority w:val="99"/>
    <w:semiHidden/>
    <w:rsid w:val="00FF55C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Prskatjums1">
    <w:name w:val="Pārskatījums1"/>
    <w:hidden/>
    <w:uiPriority w:val="99"/>
    <w:semiHidden/>
    <w:rsid w:val="00DD1DDD"/>
    <w:rPr>
      <w:lang w:eastAsia="en-US"/>
    </w:rPr>
  </w:style>
  <w:style w:type="table" w:styleId="TableGrid">
    <w:name w:val="Table Grid"/>
    <w:basedOn w:val="TableNormal"/>
    <w:uiPriority w:val="99"/>
    <w:rsid w:val="006321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uiPriority w:val="99"/>
    <w:rsid w:val="00821B84"/>
    <w:pPr>
      <w:widowControl w:val="0"/>
      <w:autoSpaceDE w:val="0"/>
      <w:autoSpaceDN w:val="0"/>
      <w:adjustRightInd w:val="0"/>
      <w:spacing w:after="0" w:line="274" w:lineRule="exact"/>
      <w:ind w:firstLine="706"/>
      <w:jc w:val="both"/>
    </w:pPr>
    <w:rPr>
      <w:rFonts w:ascii="Times New Roman" w:eastAsia="Times New Roman" w:hAnsi="Times New Roman"/>
      <w:sz w:val="24"/>
      <w:szCs w:val="24"/>
      <w:lang w:eastAsia="lv-LV"/>
    </w:rPr>
  </w:style>
  <w:style w:type="paragraph" w:customStyle="1" w:styleId="c1">
    <w:name w:val="c1"/>
    <w:basedOn w:val="Normal"/>
    <w:uiPriority w:val="99"/>
    <w:rsid w:val="00CD08FE"/>
    <w:pPr>
      <w:spacing w:before="100" w:beforeAutospacing="1" w:after="100" w:afterAutospacing="1" w:line="240" w:lineRule="auto"/>
    </w:pPr>
    <w:rPr>
      <w:rFonts w:ascii="Times New Roman" w:eastAsia="Times New Roman" w:hAnsi="Times New Roman"/>
      <w:sz w:val="24"/>
      <w:szCs w:val="24"/>
      <w:lang w:eastAsia="lv-LV"/>
    </w:rPr>
  </w:style>
  <w:style w:type="paragraph" w:styleId="FootnoteText">
    <w:name w:val="footnote text"/>
    <w:basedOn w:val="Normal"/>
    <w:link w:val="FootnoteTextChar"/>
    <w:uiPriority w:val="99"/>
    <w:rsid w:val="00A24B31"/>
    <w:rPr>
      <w:sz w:val="20"/>
      <w:szCs w:val="20"/>
    </w:rPr>
  </w:style>
  <w:style w:type="character" w:customStyle="1" w:styleId="FootnoteTextChar">
    <w:name w:val="Footnote Text Char"/>
    <w:basedOn w:val="DefaultParagraphFont"/>
    <w:link w:val="FootnoteText"/>
    <w:uiPriority w:val="99"/>
    <w:locked/>
    <w:rsid w:val="001B7C3D"/>
    <w:rPr>
      <w:rFonts w:cs="Times New Roman"/>
      <w:lang w:eastAsia="en-US"/>
    </w:rPr>
  </w:style>
  <w:style w:type="character" w:styleId="FootnoteReference">
    <w:name w:val="footnote reference"/>
    <w:basedOn w:val="DefaultParagraphFont"/>
    <w:uiPriority w:val="99"/>
    <w:semiHidden/>
    <w:rsid w:val="00A24B31"/>
    <w:rPr>
      <w:rFonts w:cs="Times New Roman"/>
      <w:vertAlign w:val="superscript"/>
    </w:rPr>
  </w:style>
  <w:style w:type="paragraph" w:customStyle="1" w:styleId="naisnod">
    <w:name w:val="naisnod"/>
    <w:basedOn w:val="Normal"/>
    <w:uiPriority w:val="99"/>
    <w:rsid w:val="00A24B31"/>
    <w:pPr>
      <w:spacing w:before="150" w:after="150" w:line="240" w:lineRule="auto"/>
      <w:jc w:val="center"/>
    </w:pPr>
    <w:rPr>
      <w:rFonts w:ascii="Times New Roman" w:eastAsia="Times New Roman" w:hAnsi="Times New Roman"/>
      <w:b/>
      <w:bCs/>
      <w:sz w:val="24"/>
      <w:szCs w:val="24"/>
      <w:lang w:eastAsia="lv-LV"/>
    </w:rPr>
  </w:style>
  <w:style w:type="paragraph" w:customStyle="1" w:styleId="naiskr">
    <w:name w:val="naiskr"/>
    <w:basedOn w:val="Normal"/>
    <w:uiPriority w:val="99"/>
    <w:rsid w:val="00A24B31"/>
    <w:pPr>
      <w:spacing w:before="75" w:after="75" w:line="240" w:lineRule="auto"/>
    </w:pPr>
    <w:rPr>
      <w:rFonts w:ascii="Times New Roman" w:eastAsia="Times New Roman" w:hAnsi="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657416016">
      <w:marLeft w:val="0"/>
      <w:marRight w:val="0"/>
      <w:marTop w:val="0"/>
      <w:marBottom w:val="0"/>
      <w:divBdr>
        <w:top w:val="none" w:sz="0" w:space="0" w:color="auto"/>
        <w:left w:val="none" w:sz="0" w:space="0" w:color="auto"/>
        <w:bottom w:val="none" w:sz="0" w:space="0" w:color="auto"/>
        <w:right w:val="none" w:sz="0" w:space="0" w:color="auto"/>
      </w:divBdr>
    </w:div>
    <w:div w:id="1657416017">
      <w:marLeft w:val="0"/>
      <w:marRight w:val="0"/>
      <w:marTop w:val="0"/>
      <w:marBottom w:val="0"/>
      <w:divBdr>
        <w:top w:val="none" w:sz="0" w:space="0" w:color="auto"/>
        <w:left w:val="none" w:sz="0" w:space="0" w:color="auto"/>
        <w:bottom w:val="none" w:sz="0" w:space="0" w:color="auto"/>
        <w:right w:val="none" w:sz="0" w:space="0" w:color="auto"/>
      </w:divBdr>
    </w:div>
    <w:div w:id="1657416018">
      <w:marLeft w:val="0"/>
      <w:marRight w:val="0"/>
      <w:marTop w:val="0"/>
      <w:marBottom w:val="0"/>
      <w:divBdr>
        <w:top w:val="none" w:sz="0" w:space="0" w:color="auto"/>
        <w:left w:val="none" w:sz="0" w:space="0" w:color="auto"/>
        <w:bottom w:val="none" w:sz="0" w:space="0" w:color="auto"/>
        <w:right w:val="none" w:sz="0" w:space="0" w:color="auto"/>
      </w:divBdr>
    </w:div>
    <w:div w:id="1657416019">
      <w:marLeft w:val="0"/>
      <w:marRight w:val="0"/>
      <w:marTop w:val="0"/>
      <w:marBottom w:val="0"/>
      <w:divBdr>
        <w:top w:val="none" w:sz="0" w:space="0" w:color="auto"/>
        <w:left w:val="none" w:sz="0" w:space="0" w:color="auto"/>
        <w:bottom w:val="none" w:sz="0" w:space="0" w:color="auto"/>
        <w:right w:val="none" w:sz="0" w:space="0" w:color="auto"/>
      </w:divBdr>
    </w:div>
    <w:div w:id="1657416021">
      <w:marLeft w:val="0"/>
      <w:marRight w:val="0"/>
      <w:marTop w:val="0"/>
      <w:marBottom w:val="0"/>
      <w:divBdr>
        <w:top w:val="none" w:sz="0" w:space="0" w:color="auto"/>
        <w:left w:val="none" w:sz="0" w:space="0" w:color="auto"/>
        <w:bottom w:val="none" w:sz="0" w:space="0" w:color="auto"/>
        <w:right w:val="none" w:sz="0" w:space="0" w:color="auto"/>
      </w:divBdr>
    </w:div>
    <w:div w:id="1657416022">
      <w:marLeft w:val="0"/>
      <w:marRight w:val="0"/>
      <w:marTop w:val="0"/>
      <w:marBottom w:val="0"/>
      <w:divBdr>
        <w:top w:val="none" w:sz="0" w:space="0" w:color="auto"/>
        <w:left w:val="none" w:sz="0" w:space="0" w:color="auto"/>
        <w:bottom w:val="none" w:sz="0" w:space="0" w:color="auto"/>
        <w:right w:val="none" w:sz="0" w:space="0" w:color="auto"/>
      </w:divBdr>
    </w:div>
    <w:div w:id="1657416024">
      <w:marLeft w:val="45"/>
      <w:marRight w:val="45"/>
      <w:marTop w:val="90"/>
      <w:marBottom w:val="90"/>
      <w:divBdr>
        <w:top w:val="none" w:sz="0" w:space="0" w:color="auto"/>
        <w:left w:val="none" w:sz="0" w:space="0" w:color="auto"/>
        <w:bottom w:val="none" w:sz="0" w:space="0" w:color="auto"/>
        <w:right w:val="none" w:sz="0" w:space="0" w:color="auto"/>
      </w:divBdr>
      <w:divsChild>
        <w:div w:id="1657416027">
          <w:marLeft w:val="0"/>
          <w:marRight w:val="0"/>
          <w:marTop w:val="0"/>
          <w:marBottom w:val="567"/>
          <w:divBdr>
            <w:top w:val="none" w:sz="0" w:space="0" w:color="auto"/>
            <w:left w:val="none" w:sz="0" w:space="0" w:color="auto"/>
            <w:bottom w:val="none" w:sz="0" w:space="0" w:color="auto"/>
            <w:right w:val="none" w:sz="0" w:space="0" w:color="auto"/>
          </w:divBdr>
        </w:div>
      </w:divsChild>
    </w:div>
    <w:div w:id="1657416025">
      <w:marLeft w:val="0"/>
      <w:marRight w:val="0"/>
      <w:marTop w:val="0"/>
      <w:marBottom w:val="0"/>
      <w:divBdr>
        <w:top w:val="none" w:sz="0" w:space="0" w:color="auto"/>
        <w:left w:val="none" w:sz="0" w:space="0" w:color="auto"/>
        <w:bottom w:val="none" w:sz="0" w:space="0" w:color="auto"/>
        <w:right w:val="none" w:sz="0" w:space="0" w:color="auto"/>
      </w:divBdr>
      <w:divsChild>
        <w:div w:id="1657416023">
          <w:marLeft w:val="0"/>
          <w:marRight w:val="0"/>
          <w:marTop w:val="0"/>
          <w:marBottom w:val="0"/>
          <w:divBdr>
            <w:top w:val="none" w:sz="0" w:space="0" w:color="auto"/>
            <w:left w:val="none" w:sz="0" w:space="0" w:color="auto"/>
            <w:bottom w:val="none" w:sz="0" w:space="0" w:color="auto"/>
            <w:right w:val="none" w:sz="0" w:space="0" w:color="auto"/>
          </w:divBdr>
        </w:div>
      </w:divsChild>
    </w:div>
    <w:div w:id="1657416026">
      <w:marLeft w:val="0"/>
      <w:marRight w:val="0"/>
      <w:marTop w:val="0"/>
      <w:marBottom w:val="0"/>
      <w:divBdr>
        <w:top w:val="none" w:sz="0" w:space="0" w:color="auto"/>
        <w:left w:val="none" w:sz="0" w:space="0" w:color="auto"/>
        <w:bottom w:val="none" w:sz="0" w:space="0" w:color="auto"/>
        <w:right w:val="none" w:sz="0" w:space="0" w:color="auto"/>
      </w:divBdr>
    </w:div>
    <w:div w:id="1657416028">
      <w:marLeft w:val="0"/>
      <w:marRight w:val="0"/>
      <w:marTop w:val="0"/>
      <w:marBottom w:val="0"/>
      <w:divBdr>
        <w:top w:val="none" w:sz="0" w:space="0" w:color="auto"/>
        <w:left w:val="none" w:sz="0" w:space="0" w:color="auto"/>
        <w:bottom w:val="none" w:sz="0" w:space="0" w:color="auto"/>
        <w:right w:val="none" w:sz="0" w:space="0" w:color="auto"/>
      </w:divBdr>
      <w:divsChild>
        <w:div w:id="1657416020">
          <w:marLeft w:val="0"/>
          <w:marRight w:val="0"/>
          <w:marTop w:val="0"/>
          <w:marBottom w:val="0"/>
          <w:divBdr>
            <w:top w:val="none" w:sz="0" w:space="0" w:color="auto"/>
            <w:left w:val="none" w:sz="0" w:space="0" w:color="auto"/>
            <w:bottom w:val="none" w:sz="0" w:space="0" w:color="auto"/>
            <w:right w:val="none" w:sz="0" w:space="0" w:color="auto"/>
          </w:divBdr>
        </w:div>
      </w:divsChild>
    </w:div>
    <w:div w:id="1657416029">
      <w:marLeft w:val="45"/>
      <w:marRight w:val="45"/>
      <w:marTop w:val="90"/>
      <w:marBottom w:val="90"/>
      <w:divBdr>
        <w:top w:val="none" w:sz="0" w:space="0" w:color="auto"/>
        <w:left w:val="none" w:sz="0" w:space="0" w:color="auto"/>
        <w:bottom w:val="none" w:sz="0" w:space="0" w:color="auto"/>
        <w:right w:val="none" w:sz="0" w:space="0" w:color="auto"/>
      </w:divBdr>
      <w:divsChild>
        <w:div w:id="1657416014">
          <w:marLeft w:val="0"/>
          <w:marRight w:val="0"/>
          <w:marTop w:val="240"/>
          <w:marBottom w:val="0"/>
          <w:divBdr>
            <w:top w:val="none" w:sz="0" w:space="0" w:color="auto"/>
            <w:left w:val="none" w:sz="0" w:space="0" w:color="auto"/>
            <w:bottom w:val="none" w:sz="0" w:space="0" w:color="auto"/>
            <w:right w:val="none" w:sz="0" w:space="0" w:color="auto"/>
          </w:divBdr>
        </w:div>
      </w:divsChild>
    </w:div>
    <w:div w:id="1657416030">
      <w:marLeft w:val="0"/>
      <w:marRight w:val="0"/>
      <w:marTop w:val="0"/>
      <w:marBottom w:val="0"/>
      <w:divBdr>
        <w:top w:val="none" w:sz="0" w:space="0" w:color="auto"/>
        <w:left w:val="none" w:sz="0" w:space="0" w:color="auto"/>
        <w:bottom w:val="none" w:sz="0" w:space="0" w:color="auto"/>
        <w:right w:val="none" w:sz="0" w:space="0" w:color="auto"/>
      </w:divBdr>
    </w:div>
    <w:div w:id="1657416031">
      <w:marLeft w:val="0"/>
      <w:marRight w:val="0"/>
      <w:marTop w:val="0"/>
      <w:marBottom w:val="0"/>
      <w:divBdr>
        <w:top w:val="none" w:sz="0" w:space="0" w:color="auto"/>
        <w:left w:val="none" w:sz="0" w:space="0" w:color="auto"/>
        <w:bottom w:val="none" w:sz="0" w:space="0" w:color="auto"/>
        <w:right w:val="none" w:sz="0" w:space="0" w:color="auto"/>
      </w:divBdr>
    </w:div>
    <w:div w:id="1657416032">
      <w:marLeft w:val="45"/>
      <w:marRight w:val="45"/>
      <w:marTop w:val="90"/>
      <w:marBottom w:val="90"/>
      <w:divBdr>
        <w:top w:val="none" w:sz="0" w:space="0" w:color="auto"/>
        <w:left w:val="none" w:sz="0" w:space="0" w:color="auto"/>
        <w:bottom w:val="none" w:sz="0" w:space="0" w:color="auto"/>
        <w:right w:val="none" w:sz="0" w:space="0" w:color="auto"/>
      </w:divBdr>
      <w:divsChild>
        <w:div w:id="1657416015">
          <w:marLeft w:val="0"/>
          <w:marRight w:val="0"/>
          <w:marTop w:val="0"/>
          <w:marBottom w:val="567"/>
          <w:divBdr>
            <w:top w:val="none" w:sz="0" w:space="0" w:color="auto"/>
            <w:left w:val="none" w:sz="0" w:space="0" w:color="auto"/>
            <w:bottom w:val="none" w:sz="0" w:space="0" w:color="auto"/>
            <w:right w:val="none" w:sz="0" w:space="0" w:color="auto"/>
          </w:divBdr>
        </w:div>
      </w:divsChild>
    </w:div>
    <w:div w:id="1657416033">
      <w:marLeft w:val="0"/>
      <w:marRight w:val="0"/>
      <w:marTop w:val="0"/>
      <w:marBottom w:val="0"/>
      <w:divBdr>
        <w:top w:val="none" w:sz="0" w:space="0" w:color="auto"/>
        <w:left w:val="none" w:sz="0" w:space="0" w:color="auto"/>
        <w:bottom w:val="none" w:sz="0" w:space="0" w:color="auto"/>
        <w:right w:val="none" w:sz="0" w:space="0" w:color="auto"/>
      </w:divBdr>
    </w:div>
    <w:div w:id="1657416034">
      <w:marLeft w:val="0"/>
      <w:marRight w:val="0"/>
      <w:marTop w:val="0"/>
      <w:marBottom w:val="0"/>
      <w:divBdr>
        <w:top w:val="none" w:sz="0" w:space="0" w:color="auto"/>
        <w:left w:val="none" w:sz="0" w:space="0" w:color="auto"/>
        <w:bottom w:val="none" w:sz="0" w:space="0" w:color="auto"/>
        <w:right w:val="none" w:sz="0" w:space="0" w:color="auto"/>
      </w:divBdr>
    </w:div>
    <w:div w:id="1657416035">
      <w:marLeft w:val="0"/>
      <w:marRight w:val="0"/>
      <w:marTop w:val="0"/>
      <w:marBottom w:val="0"/>
      <w:divBdr>
        <w:top w:val="none" w:sz="0" w:space="0" w:color="auto"/>
        <w:left w:val="none" w:sz="0" w:space="0" w:color="auto"/>
        <w:bottom w:val="none" w:sz="0" w:space="0" w:color="auto"/>
        <w:right w:val="none" w:sz="0" w:space="0" w:color="auto"/>
      </w:divBdr>
    </w:div>
    <w:div w:id="1657416036">
      <w:marLeft w:val="0"/>
      <w:marRight w:val="0"/>
      <w:marTop w:val="0"/>
      <w:marBottom w:val="0"/>
      <w:divBdr>
        <w:top w:val="none" w:sz="0" w:space="0" w:color="auto"/>
        <w:left w:val="none" w:sz="0" w:space="0" w:color="auto"/>
        <w:bottom w:val="none" w:sz="0" w:space="0" w:color="auto"/>
        <w:right w:val="none" w:sz="0" w:space="0" w:color="auto"/>
      </w:divBdr>
    </w:div>
    <w:div w:id="1657416037">
      <w:marLeft w:val="0"/>
      <w:marRight w:val="0"/>
      <w:marTop w:val="0"/>
      <w:marBottom w:val="0"/>
      <w:divBdr>
        <w:top w:val="none" w:sz="0" w:space="0" w:color="auto"/>
        <w:left w:val="none" w:sz="0" w:space="0" w:color="auto"/>
        <w:bottom w:val="none" w:sz="0" w:space="0" w:color="auto"/>
        <w:right w:val="none" w:sz="0" w:space="0" w:color="auto"/>
      </w:divBdr>
    </w:div>
    <w:div w:id="16574160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832</Words>
  <Characters>5833</Characters>
  <Application>Microsoft Office Outlook</Application>
  <DocSecurity>0</DocSecurity>
  <Lines>0</Lines>
  <Paragraphs>0</Paragraphs>
  <ScaleCrop>false</ScaleCrop>
  <Company>Tieslietu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 valsts inspekcijas sniegto maksas pakalpojumu cenrādis</dc:title>
  <dc:subject>Sākotnējās ietekmes novērtējuma ziņojums (anotācija)</dc:subject>
  <dc:creator>S.Zagorska</dc:creator>
  <cp:keywords/>
  <dc:description>67223131; Solvita.Zagorska@dvi.gov.lv</dc:description>
  <cp:lastModifiedBy>solvita</cp:lastModifiedBy>
  <cp:revision>3</cp:revision>
  <cp:lastPrinted>2013-09-13T11:53:00Z</cp:lastPrinted>
  <dcterms:created xsi:type="dcterms:W3CDTF">2013-09-13T11:43:00Z</dcterms:created>
  <dcterms:modified xsi:type="dcterms:W3CDTF">2013-09-13T12:03:00Z</dcterms:modified>
</cp:coreProperties>
</file>