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65" w:rsidRPr="00C93A64" w:rsidRDefault="00B662AA" w:rsidP="00B662AA">
      <w:pPr>
        <w:pStyle w:val="naislab"/>
        <w:spacing w:before="0" w:after="0"/>
        <w:ind w:right="140"/>
        <w:jc w:val="center"/>
        <w:rPr>
          <w:b/>
        </w:rPr>
      </w:pPr>
      <w:bookmarkStart w:id="0" w:name="OLE_LINK5"/>
      <w:bookmarkStart w:id="1" w:name="OLE_LINK6"/>
      <w:r w:rsidRPr="00C93A64">
        <w:rPr>
          <w:b/>
        </w:rPr>
        <w:t xml:space="preserve">Likumprojekta „Grozījumi Latvijas Administratīvo pārkāpumu kodeksā” </w:t>
      </w:r>
      <w:r w:rsidR="00694F65" w:rsidRPr="00C93A64">
        <w:rPr>
          <w:b/>
        </w:rPr>
        <w:t>sākotnējās ietekmes novērtējuma ziņojums (anotācija)</w:t>
      </w:r>
    </w:p>
    <w:bookmarkEnd w:id="0"/>
    <w:bookmarkEnd w:id="1"/>
    <w:p w:rsidR="00B662AA" w:rsidRPr="00C93A64" w:rsidRDefault="00B662AA" w:rsidP="00B662AA">
      <w:pPr>
        <w:pStyle w:val="naislab"/>
        <w:spacing w:before="0" w:after="0"/>
        <w:ind w:right="140"/>
        <w:jc w:val="center"/>
        <w:rPr>
          <w:b/>
        </w:rPr>
      </w:pPr>
    </w:p>
    <w:tbl>
      <w:tblPr>
        <w:tblpPr w:leftFromText="180" w:rightFromText="180" w:vertAnchor="text" w:horzAnchor="margin" w:tblpXSpec="center" w:tblpY="149"/>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830"/>
      </w:tblGrid>
      <w:tr w:rsidR="00694F65" w:rsidRPr="00C93A64" w:rsidTr="0053576B">
        <w:tc>
          <w:tcPr>
            <w:tcW w:w="9670" w:type="dxa"/>
            <w:gridSpan w:val="3"/>
            <w:vAlign w:val="center"/>
          </w:tcPr>
          <w:p w:rsidR="00694F65" w:rsidRPr="00C93A64" w:rsidRDefault="00694F65" w:rsidP="00B662AA">
            <w:pPr>
              <w:pStyle w:val="naisnod"/>
              <w:spacing w:before="0" w:after="0"/>
              <w:ind w:right="140"/>
            </w:pPr>
            <w:r w:rsidRPr="00C93A64">
              <w:t>I. Tiesību akta projekta izstrādes nepieciešamība</w:t>
            </w:r>
          </w:p>
        </w:tc>
      </w:tr>
      <w:tr w:rsidR="00694F65" w:rsidRPr="00C93A64" w:rsidTr="001F2E6A">
        <w:trPr>
          <w:trHeight w:val="630"/>
        </w:trPr>
        <w:tc>
          <w:tcPr>
            <w:tcW w:w="431" w:type="dxa"/>
          </w:tcPr>
          <w:p w:rsidR="00694F65" w:rsidRPr="00C93A64" w:rsidRDefault="00694F65" w:rsidP="00B662AA">
            <w:pPr>
              <w:pStyle w:val="naiskr"/>
              <w:spacing w:before="0" w:after="0"/>
              <w:ind w:right="140"/>
            </w:pPr>
            <w:r w:rsidRPr="00C93A64">
              <w:t>1.</w:t>
            </w:r>
          </w:p>
        </w:tc>
        <w:tc>
          <w:tcPr>
            <w:tcW w:w="2409" w:type="dxa"/>
          </w:tcPr>
          <w:p w:rsidR="00694F65" w:rsidRPr="00C93A64" w:rsidRDefault="00694F65" w:rsidP="00B662AA">
            <w:pPr>
              <w:pStyle w:val="naiskr"/>
              <w:spacing w:before="0" w:after="0"/>
              <w:ind w:right="140" w:hanging="10"/>
            </w:pPr>
            <w:r w:rsidRPr="00C93A64">
              <w:t>Pamatojums</w:t>
            </w:r>
          </w:p>
        </w:tc>
        <w:tc>
          <w:tcPr>
            <w:tcW w:w="6830" w:type="dxa"/>
          </w:tcPr>
          <w:p w:rsidR="003275F1" w:rsidRPr="00F00023" w:rsidRDefault="00CF3A61" w:rsidP="003275F1">
            <w:pPr>
              <w:pStyle w:val="naiskr"/>
              <w:ind w:left="142" w:right="140"/>
              <w:jc w:val="both"/>
            </w:pPr>
            <w:r>
              <w:t>Likumprojekts</w:t>
            </w:r>
            <w:r w:rsidR="00F00023" w:rsidRPr="00F00023">
              <w:t xml:space="preserve"> „Grozījumi Latvijas Administratīvo pārkāpumu kodeksā”</w:t>
            </w:r>
            <w:r w:rsidR="00F00023" w:rsidRPr="00F00023">
              <w:rPr>
                <w:b/>
              </w:rPr>
              <w:t xml:space="preserve"> </w:t>
            </w:r>
            <w:r w:rsidR="00F00023">
              <w:t xml:space="preserve">(turpmāk – likumprojekts) izstrādāts atbilstoši </w:t>
            </w:r>
            <w:r w:rsidR="00F00023" w:rsidRPr="00F00023">
              <w:t>Administratīvo sodu</w:t>
            </w:r>
            <w:bookmarkStart w:id="2" w:name="_GoBack"/>
            <w:bookmarkEnd w:id="2"/>
            <w:r w:rsidR="00F00023" w:rsidRPr="00F00023">
              <w:t xml:space="preserve"> sistēmas attīstības koncepcija</w:t>
            </w:r>
            <w:r w:rsidR="00F00023">
              <w:t>s</w:t>
            </w:r>
            <w:r w:rsidR="00F00023">
              <w:rPr>
                <w:b/>
              </w:rPr>
              <w:t>,</w:t>
            </w:r>
            <w:r w:rsidR="00725B7D">
              <w:t xml:space="preserve"> kas apstiprināta </w:t>
            </w:r>
            <w:r w:rsidR="00F00023">
              <w:t>ar</w:t>
            </w:r>
            <w:r w:rsidR="00F00023" w:rsidRPr="00F00023">
              <w:rPr>
                <w:sz w:val="28"/>
                <w:szCs w:val="28"/>
                <w:lang w:eastAsia="en-US"/>
              </w:rPr>
              <w:t xml:space="preserve"> </w:t>
            </w:r>
            <w:r w:rsidR="00F00023">
              <w:t xml:space="preserve">Ministru kabineta </w:t>
            </w:r>
            <w:r w:rsidR="00F00023" w:rsidRPr="00F00023">
              <w:t>2013.</w:t>
            </w:r>
            <w:r w:rsidR="0071261C">
              <w:t> </w:t>
            </w:r>
            <w:r w:rsidR="00F00023" w:rsidRPr="00F00023">
              <w:t>gada 4.</w:t>
            </w:r>
            <w:r w:rsidR="0071261C">
              <w:t> </w:t>
            </w:r>
            <w:r w:rsidR="00F00023" w:rsidRPr="00F00023">
              <w:t>februāra</w:t>
            </w:r>
            <w:r w:rsidR="00F00023">
              <w:t xml:space="preserve"> rīkojumu</w:t>
            </w:r>
            <w:r w:rsidR="00F00023" w:rsidRPr="00F00023">
              <w:t xml:space="preserve"> </w:t>
            </w:r>
            <w:proofErr w:type="spellStart"/>
            <w:r w:rsidR="00BE14B2">
              <w:t>Nr</w:t>
            </w:r>
            <w:proofErr w:type="spellEnd"/>
            <w:r w:rsidR="00BE14B2">
              <w:t>.</w:t>
            </w:r>
            <w:r w:rsidR="0071261C">
              <w:t> </w:t>
            </w:r>
            <w:r w:rsidR="00F00023" w:rsidRPr="00CF3A61">
              <w:t>38</w:t>
            </w:r>
            <w:r w:rsidRPr="00CF3A61">
              <w:t xml:space="preserve"> „Par Administratīvo sodu sistēmas attīstības koncepciju</w:t>
            </w:r>
            <w:r>
              <w:t>”</w:t>
            </w:r>
            <w:r w:rsidR="00F00023">
              <w:t xml:space="preserve">, </w:t>
            </w:r>
            <w:r w:rsidR="00AB7449">
              <w:t xml:space="preserve">II sadaļas </w:t>
            </w:r>
            <w:r w:rsidR="00F00023">
              <w:t>4.5.</w:t>
            </w:r>
            <w:r>
              <w:t> </w:t>
            </w:r>
            <w:r w:rsidR="00AB7449" w:rsidRPr="00AB7449">
              <w:t>apakš</w:t>
            </w:r>
            <w:r w:rsidR="00AB7449">
              <w:t>punktā</w:t>
            </w:r>
            <w:r w:rsidR="00F00023">
              <w:t xml:space="preserve"> noteiktajam risinājumam par </w:t>
            </w:r>
            <w:r>
              <w:t>vienošanās proc</w:t>
            </w:r>
            <w:r w:rsidR="00201AA4">
              <w:t>esa</w:t>
            </w:r>
            <w:r>
              <w:t xml:space="preserve"> ieviešanu</w:t>
            </w:r>
            <w:r w:rsidR="00F00023">
              <w:t>.</w:t>
            </w:r>
            <w:r w:rsidR="00725B7D">
              <w:t xml:space="preserve"> </w:t>
            </w:r>
          </w:p>
        </w:tc>
      </w:tr>
      <w:tr w:rsidR="00694F65" w:rsidRPr="00C93A64" w:rsidTr="001F2E6A">
        <w:trPr>
          <w:trHeight w:val="472"/>
        </w:trPr>
        <w:tc>
          <w:tcPr>
            <w:tcW w:w="431" w:type="dxa"/>
          </w:tcPr>
          <w:p w:rsidR="00694F65" w:rsidRPr="00C93A64" w:rsidRDefault="00694F65" w:rsidP="00B662AA">
            <w:pPr>
              <w:pStyle w:val="naiskr"/>
              <w:spacing w:before="0" w:after="0"/>
              <w:ind w:right="140"/>
            </w:pPr>
            <w:r w:rsidRPr="00C93A64">
              <w:t>2.</w:t>
            </w:r>
          </w:p>
        </w:tc>
        <w:tc>
          <w:tcPr>
            <w:tcW w:w="2409" w:type="dxa"/>
          </w:tcPr>
          <w:p w:rsidR="00694F65" w:rsidRPr="00C93A64" w:rsidRDefault="00694F65" w:rsidP="00B662AA">
            <w:pPr>
              <w:pStyle w:val="naiskr"/>
              <w:tabs>
                <w:tab w:val="left" w:pos="170"/>
              </w:tabs>
              <w:spacing w:before="0" w:after="0"/>
              <w:ind w:right="140"/>
            </w:pPr>
            <w:r w:rsidRPr="00C93A64">
              <w:t>Pašreizējā situācija un problēmas</w:t>
            </w:r>
          </w:p>
        </w:tc>
        <w:tc>
          <w:tcPr>
            <w:tcW w:w="6830" w:type="dxa"/>
          </w:tcPr>
          <w:p w:rsidR="003B38C7" w:rsidRDefault="00E929AB" w:rsidP="00E212CA">
            <w:pPr>
              <w:pStyle w:val="Pamattekstsaratkpi"/>
              <w:tabs>
                <w:tab w:val="left" w:pos="709"/>
              </w:tabs>
              <w:ind w:left="142" w:right="140"/>
              <w:jc w:val="both"/>
            </w:pPr>
            <w:r>
              <w:t>Viena no būtiskākajām Latvijas Adm</w:t>
            </w:r>
            <w:r w:rsidR="003B38C7">
              <w:t>inistratīvo pārkāpumu kodeksa (</w:t>
            </w:r>
            <w:r>
              <w:t>turpmāk – kodekss) piemērošanas problēmām ir piemēroto naudas sodu izpilde. Vēsturiski kodeksā naudas soda izpilde bija veidota tā, ka naudas sodu no darba algas ietur darba vieta. Pēcāk šāda kārtība tika aizstāta ar naudas soda piedziņu, ko veic tiesu</w:t>
            </w:r>
            <w:r w:rsidR="002F46D1">
              <w:t xml:space="preserve"> izpildītāji Civilprocesa likumā</w:t>
            </w:r>
            <w:r>
              <w:t xml:space="preserve"> noteiktajā kārtībā. Tomēr līdzšinējā pieredz</w:t>
            </w:r>
            <w:r w:rsidR="002F46D1">
              <w:t>e</w:t>
            </w:r>
            <w:r>
              <w:t xml:space="preserve"> rāda, ka tiesu izpildītāju iesaistīšana nau</w:t>
            </w:r>
            <w:r w:rsidR="002F46D1">
              <w:t>das soda piedziņā nav efektīva.</w:t>
            </w:r>
            <w:r w:rsidRPr="00562754">
              <w:t xml:space="preserve"> Saskaņā ar Iekšlietu ministrijas Informācijas centra sniegto informāciju liela daļa lēmumu par administratīvo sodu uzlikšanu netiek izpildīti. Piemēram, 2010. gadā kopējā naudas soda summa, kas nav n</w:t>
            </w:r>
            <w:r>
              <w:t>omaksāt</w:t>
            </w:r>
            <w:r w:rsidR="002F46D1">
              <w:t>a, ir 66,5 miljoni lat</w:t>
            </w:r>
            <w:r w:rsidR="00AC5B20">
              <w:t>u</w:t>
            </w:r>
            <w:r w:rsidR="002F46D1">
              <w:t>, kopējam</w:t>
            </w:r>
            <w:r>
              <w:t xml:space="preserve"> nenomaksāto naudas sodu apmēram ir tendence ar katru gadu pieaugt. Statistika liecina, ka pilnīga izpilde tiek veikta vien aptuveni 40% </w:t>
            </w:r>
            <w:r w:rsidR="003B38C7">
              <w:t xml:space="preserve">gadījumos </w:t>
            </w:r>
            <w:r>
              <w:t>no piemērotajiem naudas sodiem.</w:t>
            </w:r>
          </w:p>
          <w:p w:rsidR="00E929AB" w:rsidRDefault="00E929AB" w:rsidP="00E212CA">
            <w:pPr>
              <w:pStyle w:val="Pamattekstsaratkpi"/>
              <w:tabs>
                <w:tab w:val="left" w:pos="709"/>
              </w:tabs>
              <w:ind w:left="142" w:right="140"/>
              <w:jc w:val="both"/>
            </w:pPr>
            <w:r>
              <w:t xml:space="preserve">Galvenais skaidrojums šādai situācijai ir tas, ka </w:t>
            </w:r>
            <w:r w:rsidRPr="00562754">
              <w:t xml:space="preserve">praksē bieži vien nav iespējams vērst piedziņu </w:t>
            </w:r>
            <w:r w:rsidR="003B38C7">
              <w:t xml:space="preserve">nedz uz personai piederošiem finanšu līdzekļiem, jo tādi oficiāli netiek uzrādīti, nedz </w:t>
            </w:r>
            <w:r w:rsidRPr="00562754">
              <w:t xml:space="preserve">arī uz pārkāpēja personisko mantu, jo pārkāpējam </w:t>
            </w:r>
            <w:r w:rsidR="003B38C7">
              <w:t xml:space="preserve">oficiāli </w:t>
            </w:r>
            <w:r w:rsidRPr="00562754">
              <w:t xml:space="preserve">nekas </w:t>
            </w:r>
            <w:r w:rsidR="003B38C7">
              <w:t xml:space="preserve">vērtīgs un likvīds </w:t>
            </w:r>
            <w:r w:rsidRPr="00562754">
              <w:t>nepieder</w:t>
            </w:r>
            <w:r w:rsidR="003B38C7">
              <w:t>. Savukārt piedziņas vēršana uz pārkāpējam piederošajiem mājsaimniecības piederumiem ir neefektīva.</w:t>
            </w:r>
            <w:r w:rsidRPr="00562754">
              <w:t xml:space="preserve"> Turklāt atbilstoši Civilprocesa likuma noteikumiem nav iespējams veikt piedziņu uz pārkāpēja mantu, ja, piemēram, piedziņas apmērs pārsniedz pārkāpēja mēneša ienākumu daļu, uz kuru pēc likuma var vērst piedziņu. Līdz ar to rodas situācija, ka lēmums par naudas soda uzlikšanu netiek izpildīts un pārkāpējs sodu faktiski nesaņem.</w:t>
            </w:r>
          </w:p>
          <w:p w:rsidR="00E929AB" w:rsidRDefault="00E929AB" w:rsidP="00E212CA">
            <w:pPr>
              <w:pStyle w:val="Pamattekstsaratkpi"/>
              <w:tabs>
                <w:tab w:val="left" w:pos="709"/>
              </w:tabs>
              <w:ind w:left="142" w:right="140"/>
              <w:jc w:val="both"/>
            </w:pPr>
            <w:r w:rsidRPr="00562754">
              <w:t>Ievērojot minēto, nepieciešams uzlabot naudas soda izpildes mehānismu.</w:t>
            </w:r>
          </w:p>
          <w:p w:rsidR="00E929AB" w:rsidRDefault="00E929AB" w:rsidP="00E212CA">
            <w:pPr>
              <w:pStyle w:val="Pamattekstsaratkpi"/>
              <w:tabs>
                <w:tab w:val="left" w:pos="709"/>
              </w:tabs>
              <w:ind w:left="142" w:right="140"/>
              <w:jc w:val="both"/>
            </w:pPr>
            <w:r w:rsidRPr="00562754">
              <w:t xml:space="preserve">Pēc diskusijām ar tiesību ekspertiem tika secināts, ka iemesli, kāpēc šī problēma pastāv, ir motivējošu apsvērumu trūkums maksāt uzlikto naudas sodu. </w:t>
            </w:r>
          </w:p>
          <w:p w:rsidR="00E929AB" w:rsidRDefault="00E929AB" w:rsidP="00E212CA">
            <w:pPr>
              <w:ind w:left="142" w:right="140"/>
              <w:jc w:val="both"/>
            </w:pPr>
            <w:r>
              <w:t xml:space="preserve">Tā kā šobrīd nav saskatāmas iespējas uzlabot naudas sodu piespiedu piedziņu, naudas soda izpildes uzlabošanā jāakcentē motivējoši pasākumi </w:t>
            </w:r>
            <w:r w:rsidR="002F46D1">
              <w:t>naudas soda</w:t>
            </w:r>
            <w:r>
              <w:t xml:space="preserve"> </w:t>
            </w:r>
            <w:r w:rsidR="002F46D1">
              <w:t xml:space="preserve"> brīvprātīgai </w:t>
            </w:r>
            <w:r>
              <w:t>izpildei. Latvijā būtu jāievieš brīvprātīg</w:t>
            </w:r>
            <w:r w:rsidR="001F2E6A">
              <w:t>as</w:t>
            </w:r>
            <w:r>
              <w:t xml:space="preserve"> naudas soda samaksas princips – „tas, kurš maksā ātrāk, maksā mazāk”, proti, ir jāievieš pasākumi, kas motivētu personas </w:t>
            </w:r>
            <w:r w:rsidR="003B38C7">
              <w:t xml:space="preserve">pašas </w:t>
            </w:r>
            <w:r>
              <w:t xml:space="preserve">brīvprātīgi samaksāt piemērotos naudas sodus. </w:t>
            </w:r>
          </w:p>
          <w:p w:rsidR="00E929AB" w:rsidRDefault="00E929AB" w:rsidP="00E212CA">
            <w:pPr>
              <w:ind w:left="142" w:right="140"/>
              <w:jc w:val="both"/>
            </w:pPr>
          </w:p>
          <w:p w:rsidR="002B082F" w:rsidRDefault="00E929AB" w:rsidP="00350587">
            <w:pPr>
              <w:ind w:left="142" w:right="140" w:firstLine="60"/>
              <w:jc w:val="both"/>
            </w:pPr>
            <w:r>
              <w:t xml:space="preserve">Tieslietu ministrijas piedāvātais problēmas risinājums ir vienošanās noslēgšana ar sodīto personu par naudas soda izpildi saīsinātā termiņā. </w:t>
            </w:r>
          </w:p>
          <w:p w:rsidR="003275F1" w:rsidRPr="00644560" w:rsidRDefault="003275F1" w:rsidP="00350587">
            <w:pPr>
              <w:ind w:left="142" w:right="140" w:firstLine="60"/>
              <w:jc w:val="both"/>
              <w:rPr>
                <w:bCs/>
              </w:rPr>
            </w:pPr>
          </w:p>
        </w:tc>
      </w:tr>
      <w:tr w:rsidR="00694F65" w:rsidRPr="00C93A64" w:rsidTr="001F2E6A">
        <w:trPr>
          <w:trHeight w:val="1071"/>
        </w:trPr>
        <w:tc>
          <w:tcPr>
            <w:tcW w:w="431" w:type="dxa"/>
          </w:tcPr>
          <w:p w:rsidR="00694F65" w:rsidRPr="00C93A64" w:rsidRDefault="00694F65" w:rsidP="00B662AA">
            <w:pPr>
              <w:pStyle w:val="naiskr"/>
              <w:spacing w:before="0" w:after="0"/>
              <w:ind w:right="140"/>
            </w:pPr>
            <w:r w:rsidRPr="00C93A64">
              <w:lastRenderedPageBreak/>
              <w:t>3.</w:t>
            </w:r>
          </w:p>
        </w:tc>
        <w:tc>
          <w:tcPr>
            <w:tcW w:w="2409" w:type="dxa"/>
          </w:tcPr>
          <w:p w:rsidR="00694F65" w:rsidRPr="00C93A64" w:rsidRDefault="00694F65" w:rsidP="00B662AA">
            <w:pPr>
              <w:pStyle w:val="naiskr"/>
              <w:spacing w:before="0" w:after="0"/>
              <w:ind w:right="140"/>
            </w:pPr>
            <w:r w:rsidRPr="00C93A64">
              <w:t>Saistītie politikas ietekmes novērtējumi un pētījumi</w:t>
            </w:r>
          </w:p>
        </w:tc>
        <w:tc>
          <w:tcPr>
            <w:tcW w:w="6830" w:type="dxa"/>
          </w:tcPr>
          <w:p w:rsidR="009B2E0E" w:rsidRPr="003074E1" w:rsidRDefault="009B2E0E" w:rsidP="009B2E0E">
            <w:pPr>
              <w:pStyle w:val="Vresteksts"/>
              <w:ind w:left="142" w:right="142"/>
              <w:jc w:val="both"/>
              <w:rPr>
                <w:sz w:val="24"/>
                <w:szCs w:val="24"/>
              </w:rPr>
            </w:pPr>
            <w:r w:rsidRPr="003074E1">
              <w:rPr>
                <w:sz w:val="24"/>
                <w:szCs w:val="24"/>
              </w:rPr>
              <w:t xml:space="preserve">Ministru kabinets ar 2013. gada 4. februāra rīkojumu </w:t>
            </w:r>
            <w:proofErr w:type="spellStart"/>
            <w:r w:rsidRPr="003074E1">
              <w:rPr>
                <w:sz w:val="24"/>
                <w:szCs w:val="24"/>
              </w:rPr>
              <w:t>Nr</w:t>
            </w:r>
            <w:proofErr w:type="spellEnd"/>
            <w:r w:rsidRPr="003074E1">
              <w:rPr>
                <w:sz w:val="24"/>
                <w:szCs w:val="24"/>
              </w:rPr>
              <w:t xml:space="preserve">. 38 „Par Administratīvo sodu sistēmas attīstības koncepciju” ir </w:t>
            </w:r>
            <w:r w:rsidR="003074E1" w:rsidRPr="003074E1">
              <w:rPr>
                <w:sz w:val="24"/>
                <w:szCs w:val="24"/>
              </w:rPr>
              <w:t xml:space="preserve">atbalstījis Administratīvo sodu sistēmas attīstības koncepcijas kopsavilkumā ietvertos risinājumus, </w:t>
            </w:r>
            <w:r w:rsidR="00E95306">
              <w:rPr>
                <w:sz w:val="24"/>
                <w:szCs w:val="24"/>
              </w:rPr>
              <w:t>kas cita starpā paredz</w:t>
            </w:r>
            <w:r w:rsidR="003074E1" w:rsidRPr="003074E1">
              <w:rPr>
                <w:sz w:val="24"/>
                <w:szCs w:val="24"/>
              </w:rPr>
              <w:t xml:space="preserve"> </w:t>
            </w:r>
            <w:r w:rsidRPr="003074E1">
              <w:rPr>
                <w:sz w:val="24"/>
                <w:szCs w:val="24"/>
              </w:rPr>
              <w:t xml:space="preserve"> </w:t>
            </w:r>
            <w:r w:rsidR="003074E1" w:rsidRPr="003074E1">
              <w:rPr>
                <w:bCs/>
                <w:sz w:val="24"/>
                <w:szCs w:val="24"/>
              </w:rPr>
              <w:t>ieviest administratīvā pārkāpuma lietvedību vienošanās procedūrā</w:t>
            </w:r>
            <w:r w:rsidR="003074E1">
              <w:rPr>
                <w:sz w:val="24"/>
                <w:szCs w:val="24"/>
              </w:rPr>
              <w:t xml:space="preserve">, tas ir, </w:t>
            </w:r>
            <w:r w:rsidR="003074E1" w:rsidRPr="003074E1">
              <w:rPr>
                <w:sz w:val="24"/>
                <w:szCs w:val="24"/>
              </w:rPr>
              <w:t>ieviest jaunu administratīvās lietvedības procedūru, kuras mērķis ir samazināt administratīvo pārkāpumu lietvedības ilgumu situācijā, kad personas pilnībā atzīst savu vainu un piekrīt noteiktā soda veidam un apmēram.</w:t>
            </w:r>
            <w:r w:rsidR="00E95306">
              <w:rPr>
                <w:sz w:val="24"/>
                <w:szCs w:val="24"/>
              </w:rPr>
              <w:t xml:space="preserve"> </w:t>
            </w:r>
          </w:p>
          <w:p w:rsidR="00694F65" w:rsidRPr="009B2E0E" w:rsidRDefault="00694F65" w:rsidP="009B2E0E">
            <w:pPr>
              <w:pStyle w:val="Vresteksts"/>
              <w:ind w:left="142" w:right="142"/>
              <w:jc w:val="both"/>
              <w:rPr>
                <w:sz w:val="24"/>
                <w:szCs w:val="24"/>
              </w:rPr>
            </w:pPr>
          </w:p>
        </w:tc>
      </w:tr>
      <w:tr w:rsidR="00694F65" w:rsidRPr="00C93A64" w:rsidTr="001F2E6A">
        <w:trPr>
          <w:trHeight w:val="384"/>
        </w:trPr>
        <w:tc>
          <w:tcPr>
            <w:tcW w:w="431" w:type="dxa"/>
          </w:tcPr>
          <w:p w:rsidR="00694F65" w:rsidRPr="00C93A64" w:rsidRDefault="00694F65" w:rsidP="00B662AA">
            <w:pPr>
              <w:pStyle w:val="naiskr"/>
              <w:spacing w:before="0" w:after="0"/>
              <w:ind w:right="140"/>
            </w:pPr>
            <w:r w:rsidRPr="00C93A64">
              <w:t>4.</w:t>
            </w:r>
          </w:p>
        </w:tc>
        <w:tc>
          <w:tcPr>
            <w:tcW w:w="2409" w:type="dxa"/>
          </w:tcPr>
          <w:p w:rsidR="00694F65" w:rsidRPr="00C93A64" w:rsidRDefault="00694F65" w:rsidP="00B662AA">
            <w:pPr>
              <w:pStyle w:val="naiskr"/>
              <w:spacing w:before="0" w:after="0"/>
              <w:ind w:right="140"/>
            </w:pPr>
            <w:r w:rsidRPr="00C93A64">
              <w:t>Tiesiskā regulējuma mērķis un būtība</w:t>
            </w:r>
          </w:p>
        </w:tc>
        <w:tc>
          <w:tcPr>
            <w:tcW w:w="6830" w:type="dxa"/>
          </w:tcPr>
          <w:p w:rsidR="00E929AB" w:rsidRPr="003B38C7" w:rsidRDefault="00E929AB" w:rsidP="00E212CA">
            <w:pPr>
              <w:ind w:left="142" w:right="142"/>
              <w:jc w:val="both"/>
            </w:pPr>
            <w:r w:rsidRPr="003B38C7">
              <w:t xml:space="preserve">Vienošanās mērķis ir motivēt personu ātrākai savstarpējo tiesisko attiecību galīgai noregulēšanai gadījumos, kad persona </w:t>
            </w:r>
            <w:r w:rsidR="00DC5206">
              <w:t>gan atzīst vainu</w:t>
            </w:r>
            <w:r w:rsidRPr="003B38C7">
              <w:t xml:space="preserve">, gan piekrīt soda piemērošanai. </w:t>
            </w:r>
          </w:p>
          <w:p w:rsidR="00E929AB" w:rsidRPr="003B38C7" w:rsidRDefault="00E929AB" w:rsidP="00E212CA">
            <w:pPr>
              <w:ind w:left="142" w:right="142" w:firstLine="283"/>
              <w:jc w:val="both"/>
            </w:pPr>
          </w:p>
          <w:p w:rsidR="00E929AB" w:rsidRPr="003B38C7" w:rsidRDefault="00E929AB" w:rsidP="00E212CA">
            <w:pPr>
              <w:ind w:left="142" w:right="142"/>
              <w:jc w:val="both"/>
            </w:pPr>
            <w:r w:rsidRPr="003B38C7">
              <w:t>Šādam jautājuma risinājumam ir saskatāmas vairākas priekšrocības. Pirmkārt, tiek panākta lielāka garantija, ka naudas sods vispār tiks izpildīts. Otrkārt, naudas sods tiks izpildīts brīvprātīgi, līdz ar to valsts pusē nebūs jāiesaista resurss naudas soda piespiedu izpildes administrēšanai. Treškārt</w:t>
            </w:r>
            <w:r w:rsidR="002F46D1">
              <w:t>,</w:t>
            </w:r>
            <w:r w:rsidRPr="003B38C7">
              <w:t xml:space="preserve"> naudas soda ātrākai izpildei būs pozitīvs fiskāls efekts un tiks pārtraukts nesamaksāto naudas sodu uzkrājums. </w:t>
            </w:r>
          </w:p>
          <w:p w:rsidR="00E929AB" w:rsidRPr="003B38C7" w:rsidRDefault="00E929AB" w:rsidP="00E212CA">
            <w:pPr>
              <w:ind w:left="142" w:right="142" w:firstLine="283"/>
              <w:jc w:val="both"/>
            </w:pPr>
          </w:p>
          <w:p w:rsidR="00E929AB" w:rsidRPr="003B38C7" w:rsidRDefault="00E929AB" w:rsidP="00E212CA">
            <w:pPr>
              <w:ind w:left="142" w:right="142"/>
              <w:jc w:val="both"/>
            </w:pPr>
            <w:r w:rsidRPr="003B38C7">
              <w:t xml:space="preserve">Vienošanās slēgšana par naudas soda izpildi ir solis administratīvo sodu politikas liberalizācijas virzienā. Pēdējo gadu statistika liecina, ka ik gadu Latvijā tiek izdarīti 500 000 līdz 600 000 administratīvo pārkāpumu. Tas nozīmē, ka reizi pāris gados gandrīz katrs Latvijas iedzīvotājs izdara kādu administratīvo pārkāpumu. </w:t>
            </w:r>
            <w:r w:rsidR="002F46D1">
              <w:t>Tā kā administratīv</w:t>
            </w:r>
            <w:r w:rsidR="00DC5206">
              <w:t>o</w:t>
            </w:r>
            <w:r w:rsidR="002F46D1">
              <w:t xml:space="preserve"> pārkāpum</w:t>
            </w:r>
            <w:r w:rsidR="00DC5206">
              <w:t>u</w:t>
            </w:r>
            <w:r w:rsidR="002F46D1">
              <w:t xml:space="preserve"> </w:t>
            </w:r>
            <w:r w:rsidR="00DC5206">
              <w:t>bīstamība un kaitīgā ietekme</w:t>
            </w:r>
            <w:r w:rsidR="002F46D1">
              <w:t xml:space="preserve"> </w:t>
            </w:r>
            <w:r w:rsidR="00DC5206">
              <w:t>nav tik liela kā</w:t>
            </w:r>
            <w:r w:rsidR="002F46D1">
              <w:t xml:space="preserve"> kriminālpārkāpumiem, ir samērīgi, ja valsts izrāda zināmu pretimnākšanu personai un vienu reizi gādā piedāvā tiesiskās attiecības nokārtot savstarpēji izdevīgā veidā</w:t>
            </w:r>
            <w:r w:rsidR="003B38C7" w:rsidRPr="003B38C7">
              <w:t xml:space="preserve">. </w:t>
            </w:r>
            <w:r w:rsidRPr="003B38C7">
              <w:t xml:space="preserve">Valstij ir jāveido elastīgāks reaģēšanas mehānisms </w:t>
            </w:r>
            <w:r w:rsidR="003B38C7" w:rsidRPr="003B38C7">
              <w:t>administratīvo pārkāpumu lietās, kurš vienlaikus ir pietiekami audzinošs likumpārkāpējiem, tomēr neprasa iegultīt ievērojamus valsts resursus.</w:t>
            </w:r>
            <w:r w:rsidRPr="003B38C7">
              <w:t xml:space="preserve"> Administratīvo sodu sistēmai nav jābūt represīvai,</w:t>
            </w:r>
            <w:r w:rsidR="003B38C7" w:rsidRPr="003B38C7">
              <w:t xml:space="preserve"> sodiem nav jābūt smagiem</w:t>
            </w:r>
            <w:r w:rsidR="003B38C7">
              <w:t>,</w:t>
            </w:r>
            <w:r w:rsidR="003B38C7" w:rsidRPr="003B38C7">
              <w:t xml:space="preserve"> bet gan iedarbīgiem</w:t>
            </w:r>
            <w:r w:rsidRPr="003B38C7">
              <w:t xml:space="preserve">. Nav nepieciešams iedarbināt smagnēju institucionālo mehānismu, lai ar visu likuma bardzību vēstos pret personu, kas izdarījusi </w:t>
            </w:r>
            <w:r w:rsidR="00DC5206">
              <w:t xml:space="preserve">administratīvo </w:t>
            </w:r>
            <w:r w:rsidRPr="003B38C7">
              <w:t xml:space="preserve">pārkāpumu. </w:t>
            </w:r>
          </w:p>
          <w:p w:rsidR="00E929AB" w:rsidRPr="003B38C7" w:rsidRDefault="00E929AB" w:rsidP="00E212CA">
            <w:pPr>
              <w:ind w:left="142" w:right="142" w:firstLine="283"/>
              <w:jc w:val="both"/>
            </w:pPr>
          </w:p>
          <w:p w:rsidR="00E929AB" w:rsidRPr="003B38C7" w:rsidRDefault="00E929AB" w:rsidP="00E212CA">
            <w:pPr>
              <w:ind w:left="142" w:right="142"/>
              <w:jc w:val="both"/>
            </w:pPr>
            <w:r w:rsidRPr="003B38C7">
              <w:t>Kā zināms</w:t>
            </w:r>
            <w:r w:rsidR="002F46D1">
              <w:t>,</w:t>
            </w:r>
            <w:r w:rsidRPr="003B38C7">
              <w:t xml:space="preserve"> soda bardzība nav izšķirošais apstāklis, lai atturētu personu no </w:t>
            </w:r>
            <w:r w:rsidR="003B38C7" w:rsidRPr="003B38C7">
              <w:t>administratīvo pārkāpumu izdarīšanas</w:t>
            </w:r>
            <w:r w:rsidRPr="003B38C7">
              <w:t xml:space="preserve"> vai novērstu atkārtotu administratīvo pārkāpumu izdarīšanu nākotnē. Naudas soda piemērošana bez tā faktiskas izpildes nesasniedz savu mērķi. Ja naudas sods tiek </w:t>
            </w:r>
            <w:r w:rsidR="003B38C7" w:rsidRPr="003B38C7">
              <w:t xml:space="preserve">piespiedu kārtā </w:t>
            </w:r>
            <w:r w:rsidRPr="003B38C7">
              <w:t xml:space="preserve">piedzīts 2 vai 3 gadus pēc izdarītā pārkāpuma (piemēram, krustojuma pārbraukšana pie sarkanās gaismas) tas var radīt </w:t>
            </w:r>
            <w:r w:rsidR="003B38C7" w:rsidRPr="003B38C7">
              <w:t xml:space="preserve">personai </w:t>
            </w:r>
            <w:r w:rsidRPr="003B38C7">
              <w:t xml:space="preserve">nesodāmības sajūtu. </w:t>
            </w:r>
            <w:r w:rsidR="003B38C7" w:rsidRPr="003B38C7">
              <w:t xml:space="preserve">Pastāv </w:t>
            </w:r>
            <w:r w:rsidR="003B38C7" w:rsidRPr="003B38C7">
              <w:lastRenderedPageBreak/>
              <w:t xml:space="preserve">pārāk ilgs laika pārrāvums starp izdarīto likumpārkāpumu un nelabvēlīgajām faktiskajām sekām saistībā ar izdarīto. </w:t>
            </w:r>
            <w:r w:rsidRPr="003B38C7">
              <w:t>Soda izpilde, kas seko neilgi pēc izdarītā pārkāpuma</w:t>
            </w:r>
            <w:r w:rsidR="002F46D1">
              <w:t>,</w:t>
            </w:r>
            <w:r w:rsidRPr="003B38C7">
              <w:t xml:space="preserve"> daudz efektīvāk</w:t>
            </w:r>
            <w:r w:rsidR="003B38C7" w:rsidRPr="003B38C7">
              <w:t xml:space="preserve"> ietekmē pārkāpuma izdarītāju. Soda neizbēgamība ir daudz efektīvāka par soda bardzību un daudz audzinošāk veic soda preventīvo funkciju. </w:t>
            </w:r>
          </w:p>
          <w:p w:rsidR="00E929AB" w:rsidRPr="003B38C7" w:rsidRDefault="00E929AB" w:rsidP="00E212CA">
            <w:pPr>
              <w:ind w:left="142" w:right="142" w:firstLine="283"/>
              <w:jc w:val="both"/>
            </w:pPr>
          </w:p>
          <w:p w:rsidR="00E929AB" w:rsidRPr="003B38C7" w:rsidRDefault="00E929AB" w:rsidP="00E212CA">
            <w:pPr>
              <w:ind w:left="142" w:right="142"/>
              <w:jc w:val="both"/>
            </w:pPr>
            <w:r w:rsidRPr="003B38C7">
              <w:t>Gadījumos, kad persona savu pārkāpumu atzīst un ir gatava samaksāt naudas sodu saīsinātā termiņā</w:t>
            </w:r>
            <w:r w:rsidR="002F46D1">
              <w:t>,</w:t>
            </w:r>
            <w:r w:rsidRPr="003B38C7">
              <w:t xml:space="preserve"> </w:t>
            </w:r>
            <w:r w:rsidR="003B38C7" w:rsidRPr="003B38C7">
              <w:t>vienošanās procedūra dotu iespēju:</w:t>
            </w:r>
            <w:r w:rsidRPr="003B38C7">
              <w:t xml:space="preserve"> 1) stiprināt soda neizbēgamības principu un tātad arī tiesību sistēmā esošo aizliegumu un ierobežojumu efektivitāti; 2) lietderīgāk izmantot kontrolējošo iestāžu un tiesu resursus, kas atbrīvotos uz „neīstu tiesisku strīdu” rēķina. </w:t>
            </w:r>
          </w:p>
          <w:p w:rsidR="00E929AB" w:rsidRPr="003B38C7" w:rsidRDefault="00E929AB" w:rsidP="00E212CA">
            <w:pPr>
              <w:ind w:left="142" w:right="142" w:firstLine="283"/>
              <w:jc w:val="both"/>
              <w:rPr>
                <w:bCs/>
              </w:rPr>
            </w:pPr>
          </w:p>
          <w:p w:rsidR="007946FF" w:rsidRDefault="00115BB6" w:rsidP="00E212CA">
            <w:pPr>
              <w:ind w:left="142" w:right="142"/>
              <w:jc w:val="both"/>
            </w:pPr>
            <w:r>
              <w:rPr>
                <w:bCs/>
              </w:rPr>
              <w:t>Administratīvā pārkāpuma lietas izskatīšanas gaitā konstatējot, ka persona atzīst vainu, amatpersona, v</w:t>
            </w:r>
            <w:r w:rsidR="00E929AB" w:rsidRPr="003B38C7">
              <w:t>adoties no administratīvā pārkāpuma bīs</w:t>
            </w:r>
            <w:r w:rsidR="007946FF" w:rsidRPr="003B38C7">
              <w:t>tamī</w:t>
            </w:r>
            <w:r w:rsidR="00E929AB" w:rsidRPr="003B38C7">
              <w:t>bas un izdarīšanas apstākļiem</w:t>
            </w:r>
            <w:r w:rsidR="00DC5206">
              <w:t>,</w:t>
            </w:r>
            <w:r w:rsidR="00E929AB" w:rsidRPr="003B38C7">
              <w:t xml:space="preserve"> vērtē, vai šajā situācijā ir iespējams piedāvāt vienošanos.</w:t>
            </w:r>
            <w:r w:rsidR="003B38C7" w:rsidRPr="003B38C7">
              <w:t xml:space="preserve"> Pamatprincips ir tāds, ka vienošanos var slēg</w:t>
            </w:r>
            <w:r w:rsidR="00984C4F">
              <w:t>t</w:t>
            </w:r>
            <w:r w:rsidR="003B38C7" w:rsidRPr="003B38C7">
              <w:t xml:space="preserve"> ikvienā gadījumā, ja vien nepastāv likumā noteiktie apstākļi, kas liedz slēgt vienošanos. Papildus jāatzīmē, ka vienošanās var tikt noslēgta par sākotnējā lēmuma izpildi un </w:t>
            </w:r>
            <w:r w:rsidR="00AC5B20">
              <w:t>ir paredzēts, ka vienošanos var slēgt līdz pārsūdzēšanas augstākā iestādē termiņa beigām</w:t>
            </w:r>
            <w:r w:rsidR="002F46D1">
              <w:t>.</w:t>
            </w:r>
            <w:r w:rsidR="003B38C7" w:rsidRPr="003B38C7">
              <w:t xml:space="preserve"> </w:t>
            </w:r>
          </w:p>
          <w:p w:rsidR="00C15168" w:rsidRDefault="00C15168" w:rsidP="00E212CA">
            <w:pPr>
              <w:ind w:left="142" w:right="142"/>
              <w:jc w:val="both"/>
            </w:pPr>
          </w:p>
          <w:p w:rsidR="00C15168" w:rsidRPr="00E966C6" w:rsidRDefault="00C15168" w:rsidP="00E212CA">
            <w:pPr>
              <w:ind w:left="142" w:right="142"/>
              <w:jc w:val="both"/>
            </w:pPr>
            <w:r w:rsidRPr="00E966C6">
              <w:t xml:space="preserve">Viens no vienošanās noslēgšanas izslēdzošajiem apstākļiem ir tas, ka nav pagājis viens gads no iepriekšējās vienošanās noslēgšanas brīža. Šāds nosacījums ir </w:t>
            </w:r>
            <w:r w:rsidR="00260B41" w:rsidRPr="00E966C6">
              <w:t>nepieciešams, jo nebūtu pamatoti piedāvāt administratīvi tiesisko attiecību labvēlīgāku noregulējumu personām, kas regulāri neievēro normatīvos aktus</w:t>
            </w:r>
            <w:r w:rsidRPr="00E966C6">
              <w:t xml:space="preserve">. </w:t>
            </w:r>
            <w:r w:rsidR="00260B41" w:rsidRPr="00E966C6">
              <w:t>Vienlaikus norādāms, ka v</w:t>
            </w:r>
            <w:r w:rsidRPr="00E966C6">
              <w:t>ienošanās noslēgšanas ierobežošana ir attiecināma uz gadījumiem, kad ir izdarīts tāds pats pārkāpums. Lai ievērotu iepriekš minēto nosacījumu, dati par noslēgto vienošanos ir iekļaujami Sodu reģistrā un amatpersona, izskatot lietu, pārliecinās par pieļaujamības nosacījumu izpildi.</w:t>
            </w:r>
          </w:p>
          <w:p w:rsidR="007946FF" w:rsidRPr="00E966C6" w:rsidRDefault="007946FF" w:rsidP="00E212CA">
            <w:pPr>
              <w:ind w:left="142" w:right="142" w:firstLine="283"/>
              <w:jc w:val="both"/>
            </w:pPr>
          </w:p>
          <w:p w:rsidR="007946FF" w:rsidRDefault="007946FF" w:rsidP="00E212CA">
            <w:pPr>
              <w:ind w:left="142" w:right="142"/>
              <w:jc w:val="both"/>
            </w:pPr>
            <w:r w:rsidRPr="003B38C7">
              <w:t>Likumprojekta</w:t>
            </w:r>
            <w:r w:rsidR="00E929AB" w:rsidRPr="003B38C7">
              <w:t xml:space="preserve"> </w:t>
            </w:r>
            <w:r w:rsidRPr="003B38C7">
              <w:rPr>
                <w:bCs/>
              </w:rPr>
              <w:t>278.</w:t>
            </w:r>
            <w:r w:rsidRPr="003B38C7">
              <w:rPr>
                <w:bCs/>
                <w:vertAlign w:val="superscript"/>
              </w:rPr>
              <w:t>4</w:t>
            </w:r>
            <w:r w:rsidR="0071261C">
              <w:rPr>
                <w:bCs/>
                <w:vertAlign w:val="superscript"/>
              </w:rPr>
              <w:t> </w:t>
            </w:r>
            <w:r w:rsidRPr="003B38C7">
              <w:rPr>
                <w:bCs/>
              </w:rPr>
              <w:t>pantā</w:t>
            </w:r>
            <w:r w:rsidR="00E929AB" w:rsidRPr="003B38C7">
              <w:t xml:space="preserve"> uzskaitīti izsmeļoši apstākļi, kuriem p</w:t>
            </w:r>
            <w:r w:rsidRPr="003B38C7">
              <w:t>astāvot vienošanos slēgt nevar</w:t>
            </w:r>
            <w:r w:rsidR="00E929AB" w:rsidRPr="003B38C7">
              <w:t xml:space="preserve">, kā arī ietverta klauzula – „vienošanās slēgšana nav adekvāta”. </w:t>
            </w:r>
            <w:r w:rsidR="003B38C7" w:rsidRPr="003B38C7">
              <w:t xml:space="preserve">Amatpersona, kurai ir tiesības piedāvāt slēgt vienošanos, vērtē, vai šajā gadījumā vienošanās ir adekvāta. </w:t>
            </w:r>
            <w:r w:rsidR="00E929AB" w:rsidRPr="003B38C7">
              <w:t>Vienošanās slēgšana nav adekvāta</w:t>
            </w:r>
            <w:r w:rsidR="003B38C7" w:rsidRPr="003B38C7">
              <w:t>, piemēram,</w:t>
            </w:r>
            <w:r w:rsidR="00E929AB" w:rsidRPr="003B38C7">
              <w:t xml:space="preserve"> īpaši bīstamu pārkāpumu izdarīšanas gadījumā</w:t>
            </w:r>
            <w:r w:rsidRPr="003B38C7">
              <w:t>, kad naudas soda samazināšana nesasniedz taisnīga soda apmērus</w:t>
            </w:r>
            <w:r w:rsidR="00E929AB" w:rsidRPr="003B38C7">
              <w:t xml:space="preserve"> vai citos apstākļos, kur pati pārkāpuma būtība,</w:t>
            </w:r>
            <w:r w:rsidRPr="003B38C7">
              <w:t xml:space="preserve"> pārkāpuma izdarīšanas apstākļi vai pārkāpēja personība, kā arī citi apstākļi</w:t>
            </w:r>
            <w:r w:rsidR="00E929AB" w:rsidRPr="003B38C7">
              <w:t xml:space="preserve"> </w:t>
            </w:r>
            <w:r w:rsidRPr="003B38C7">
              <w:t xml:space="preserve">neļautu sasniegt juridiski korektu un taisnīgu savstarpējo attiecību noregulējumu. </w:t>
            </w:r>
          </w:p>
          <w:p w:rsidR="0074585D" w:rsidRPr="00E966C6" w:rsidRDefault="0074585D" w:rsidP="00E212CA">
            <w:pPr>
              <w:ind w:left="142" w:right="142"/>
              <w:jc w:val="both"/>
            </w:pPr>
            <w:r w:rsidRPr="00E966C6">
              <w:t>Tāpat vienošanās noslēgšana nebūtu adekvāta gadījumā, ja par pārkāpumu soda vairākus subjektus (piemēram, vairākus valdes locekļus, kas atbild katrs atsevišķi vai arī gadījumos, kad par pārkāpumiem autopārvadājumu jomā soda gan vadītāju, gan pārvadātāju</w:t>
            </w:r>
            <w:r w:rsidR="00AC5B20" w:rsidRPr="00E966C6">
              <w:t xml:space="preserve"> </w:t>
            </w:r>
            <w:proofErr w:type="spellStart"/>
            <w:r w:rsidR="00AC5B20" w:rsidRPr="00E966C6">
              <w:t>utt</w:t>
            </w:r>
            <w:proofErr w:type="spellEnd"/>
            <w:r w:rsidR="00AC5B20" w:rsidRPr="00E966C6">
              <w:t>.</w:t>
            </w:r>
            <w:r w:rsidRPr="00E966C6">
              <w:t>). Šādos gadījumos var rasties situācija, kad viena persona vēlas pārsūdzēt piemēroto sodu, bet cita</w:t>
            </w:r>
            <w:r w:rsidR="001A0F8D">
              <w:t xml:space="preserve"> – </w:t>
            </w:r>
            <w:r w:rsidRPr="00E966C6">
              <w:t xml:space="preserve">nē, tādejādi nebūtu pamata ar vienošanās piemērošanu liegt personām tiesības </w:t>
            </w:r>
            <w:r w:rsidRPr="00E966C6">
              <w:lastRenderedPageBreak/>
              <w:t>uz pārsūdzību.</w:t>
            </w:r>
          </w:p>
          <w:p w:rsidR="007A51CC" w:rsidRDefault="007A51CC" w:rsidP="00E212CA">
            <w:pPr>
              <w:ind w:left="142" w:right="142"/>
              <w:jc w:val="both"/>
              <w:rPr>
                <w:i/>
              </w:rPr>
            </w:pPr>
          </w:p>
          <w:p w:rsidR="0074585D" w:rsidRPr="00E966C6" w:rsidRDefault="0074585D" w:rsidP="00E212CA">
            <w:pPr>
              <w:ind w:left="142" w:right="142"/>
              <w:jc w:val="both"/>
            </w:pPr>
            <w:r w:rsidRPr="00E966C6">
              <w:t xml:space="preserve">Citu apstākļu, kas nepieļauj vienošanās noslēgšanu, starpā, ir minēts tas, ka nepilngadīgo nepārstāv tā likumiskais pārstāvis. Šīs normas mērķis ir veicināt nepilngadīgo personu tiesību un interešu aizsardzību. Gadījumos, kad nepilngadīgo nepārstāv likumiskais pārstāvis, </w:t>
            </w:r>
            <w:r w:rsidR="007F55D4">
              <w:t>amatpersonai (institūcijai)</w:t>
            </w:r>
            <w:r w:rsidRPr="00E966C6">
              <w:t xml:space="preserve">, kas izskata lietu, būtu jāpieaicina likumiskais pārstāvis un jāinformē viņš par iespēju slēgt vienošanos, nevis „automātiski” </w:t>
            </w:r>
            <w:r w:rsidR="00A64190" w:rsidRPr="00E966C6">
              <w:t>jāizslēdz</w:t>
            </w:r>
            <w:r w:rsidRPr="00E966C6">
              <w:t xml:space="preserve"> iespēj</w:t>
            </w:r>
            <w:r w:rsidR="00A64190" w:rsidRPr="00E966C6">
              <w:t>a</w:t>
            </w:r>
            <w:r w:rsidRPr="00E966C6">
              <w:t xml:space="preserve"> piemērot vienošanos. </w:t>
            </w:r>
          </w:p>
          <w:p w:rsidR="007A51CC" w:rsidRPr="00E966C6" w:rsidRDefault="007A51CC" w:rsidP="00E212CA">
            <w:pPr>
              <w:ind w:left="142" w:right="142"/>
              <w:jc w:val="both"/>
            </w:pPr>
            <w:r w:rsidRPr="00E966C6">
              <w:t xml:space="preserve">Īpašos gadījumos, kad ir skaidrs, ka </w:t>
            </w:r>
            <w:r w:rsidR="00A64190" w:rsidRPr="00E966C6">
              <w:t xml:space="preserve">likumiskie </w:t>
            </w:r>
            <w:r w:rsidRPr="00E966C6">
              <w:t>pārstāvji nepienācīgi pilda savus pienākumus vai tos nepilda vispār, pieaicināma bāriņtiesa nepilngadīgā interešu aizsardzībai.</w:t>
            </w:r>
          </w:p>
          <w:p w:rsidR="007946FF" w:rsidRPr="003B38C7" w:rsidRDefault="007946FF" w:rsidP="00E212CA">
            <w:pPr>
              <w:ind w:left="142" w:right="142" w:firstLine="283"/>
              <w:jc w:val="both"/>
            </w:pPr>
          </w:p>
          <w:p w:rsidR="00E929AB" w:rsidRPr="003B38C7" w:rsidRDefault="00E929AB" w:rsidP="00E212CA">
            <w:pPr>
              <w:ind w:left="142" w:right="142"/>
              <w:jc w:val="both"/>
            </w:pPr>
            <w:r w:rsidRPr="003B38C7">
              <w:t xml:space="preserve">Lēmums piedāvāt slēgt vienošanos ir amatpersonas kompetence un pie administratīvās atbildības sauktajai personai nav subjektīvo tiesību to prasīt. </w:t>
            </w:r>
            <w:r w:rsidR="003B38C7" w:rsidRPr="003B38C7">
              <w:t xml:space="preserve">Personas piedāvājums slēgt vienošanos šādā gadījumā ir uzskatāms par personas lūgumu izvērtēt iespēju slēgt vienošanos, bet šādam lūgumam nav saistošu tiesisku seku. </w:t>
            </w:r>
          </w:p>
          <w:p w:rsidR="003B38C7" w:rsidRPr="003B38C7" w:rsidRDefault="003B38C7" w:rsidP="00E212CA">
            <w:pPr>
              <w:ind w:left="142" w:right="142" w:firstLine="283"/>
              <w:jc w:val="both"/>
            </w:pPr>
          </w:p>
          <w:p w:rsidR="00E929AB" w:rsidRPr="003B38C7" w:rsidRDefault="003B38C7" w:rsidP="00E212CA">
            <w:pPr>
              <w:ind w:left="142" w:right="142"/>
              <w:jc w:val="both"/>
              <w:rPr>
                <w:bCs/>
              </w:rPr>
            </w:pPr>
            <w:r w:rsidRPr="003B38C7">
              <w:rPr>
                <w:bCs/>
              </w:rPr>
              <w:t>Vienošanās tiek slēgta, lai ātri panāktu galīgo tiesisko attiecību noregulējumu administratīvā pārkāpuma lietā.</w:t>
            </w:r>
          </w:p>
          <w:p w:rsidR="003B38C7" w:rsidRDefault="003B38C7" w:rsidP="00E212CA">
            <w:pPr>
              <w:ind w:left="142" w:right="142"/>
              <w:jc w:val="both"/>
              <w:rPr>
                <w:bCs/>
              </w:rPr>
            </w:pPr>
            <w:r w:rsidRPr="003B38C7">
              <w:rPr>
                <w:bCs/>
              </w:rPr>
              <w:t>Vienošanos slēdz amatpersona, kur</w:t>
            </w:r>
            <w:r w:rsidR="007F55D4">
              <w:rPr>
                <w:bCs/>
              </w:rPr>
              <w:t>a</w:t>
            </w:r>
            <w:r w:rsidRPr="003B38C7">
              <w:rPr>
                <w:bCs/>
              </w:rPr>
              <w:t xml:space="preserve"> ir pieņēmusi lēmumu par administratīvā soda piemērošanu un persona, kurai piemērots administratīvais sods. Juridiskas personas vārdā vienošanos slēdz juridiskās personas pārstāvis.</w:t>
            </w:r>
          </w:p>
          <w:p w:rsidR="00E212CA" w:rsidRPr="003B38C7" w:rsidRDefault="00E212CA" w:rsidP="00E212CA">
            <w:pPr>
              <w:ind w:left="142" w:right="142"/>
              <w:jc w:val="both"/>
              <w:rPr>
                <w:bCs/>
              </w:rPr>
            </w:pPr>
          </w:p>
          <w:p w:rsidR="003B38C7" w:rsidRPr="00E966C6" w:rsidRDefault="003B38C7" w:rsidP="00E212CA">
            <w:pPr>
              <w:ind w:left="142" w:right="142"/>
              <w:jc w:val="both"/>
              <w:rPr>
                <w:bCs/>
              </w:rPr>
            </w:pPr>
            <w:r w:rsidRPr="00E966C6">
              <w:rPr>
                <w:bCs/>
              </w:rPr>
              <w:t>Vienošan</w:t>
            </w:r>
            <w:r w:rsidR="00E45C7A" w:rsidRPr="00E966C6">
              <w:rPr>
                <w:bCs/>
              </w:rPr>
              <w:t xml:space="preserve">os iekļauj administratīvā pārkāpuma lietā pieņemtajā lēmumā par soda uzlikšanu. Ievērojot to, ka saskaņā ar </w:t>
            </w:r>
            <w:r w:rsidR="00E45C7A" w:rsidRPr="001A0F8D">
              <w:rPr>
                <w:bCs/>
              </w:rPr>
              <w:t>kodeks</w:t>
            </w:r>
            <w:r w:rsidR="00E45C7A" w:rsidRPr="00E966C6">
              <w:rPr>
                <w:bCs/>
              </w:rPr>
              <w:t xml:space="preserve">a 274. panta trešo daļu lēmumu var ietvert administratīvā pārkāpuma protokolā, secināms, ka informācija par vienošanos var tikt iekļauta </w:t>
            </w:r>
            <w:r w:rsidR="00A64190" w:rsidRPr="00E966C6">
              <w:rPr>
                <w:bCs/>
              </w:rPr>
              <w:t xml:space="preserve">gan </w:t>
            </w:r>
            <w:r w:rsidR="00E45C7A" w:rsidRPr="00E966C6">
              <w:rPr>
                <w:bCs/>
              </w:rPr>
              <w:t xml:space="preserve">administratīvā pārkāpuma protokolā, </w:t>
            </w:r>
            <w:r w:rsidR="00A64190" w:rsidRPr="00E966C6">
              <w:rPr>
                <w:bCs/>
              </w:rPr>
              <w:t>gan</w:t>
            </w:r>
            <w:r w:rsidR="00E45C7A" w:rsidRPr="00E966C6">
              <w:rPr>
                <w:bCs/>
              </w:rPr>
              <w:t xml:space="preserve"> arī lēmumā, kas ir sagatavots atsevišķa dokumenta formā.</w:t>
            </w:r>
          </w:p>
          <w:p w:rsidR="00E212CA" w:rsidRPr="003B38C7" w:rsidRDefault="00E212CA" w:rsidP="00E212CA">
            <w:pPr>
              <w:ind w:left="142" w:right="142"/>
              <w:jc w:val="both"/>
              <w:rPr>
                <w:bCs/>
              </w:rPr>
            </w:pPr>
          </w:p>
          <w:p w:rsidR="003B38C7" w:rsidRDefault="003B38C7" w:rsidP="00E212CA">
            <w:pPr>
              <w:ind w:left="142" w:right="142"/>
              <w:jc w:val="both"/>
              <w:rPr>
                <w:bCs/>
              </w:rPr>
            </w:pPr>
            <w:r w:rsidRPr="003B38C7">
              <w:rPr>
                <w:bCs/>
              </w:rPr>
              <w:t>Slēdzot vienošanos</w:t>
            </w:r>
            <w:r w:rsidR="00E212CA">
              <w:rPr>
                <w:bCs/>
              </w:rPr>
              <w:t>,</w:t>
            </w:r>
            <w:r w:rsidRPr="003B38C7">
              <w:rPr>
                <w:bCs/>
              </w:rPr>
              <w:t xml:space="preserve"> persona apņemas piemēroto naudas sodu samaksāt brīvprātīgi 10 darba dienu laikā. Publiska persona vienošanās ietvaros samazina personai piemēroto naudas sodu par 50%, tādejādi, ja lēmumā par administratīvā soda piemērošanu personai piemērots 50 latu</w:t>
            </w:r>
            <w:r w:rsidR="00377787">
              <w:rPr>
                <w:bCs/>
              </w:rPr>
              <w:t xml:space="preserve"> vai 50 </w:t>
            </w:r>
            <w:proofErr w:type="spellStart"/>
            <w:r w:rsidR="00377787">
              <w:rPr>
                <w:bCs/>
                <w:i/>
              </w:rPr>
              <w:t>euro</w:t>
            </w:r>
            <w:proofErr w:type="spellEnd"/>
            <w:r w:rsidRPr="003B38C7">
              <w:rPr>
                <w:bCs/>
              </w:rPr>
              <w:t xml:space="preserve"> sods, tad, noslēdzot vienošanos, tas tiek samazināts</w:t>
            </w:r>
            <w:r w:rsidR="00377787">
              <w:rPr>
                <w:bCs/>
              </w:rPr>
              <w:t xml:space="preserve"> attiecīgi</w:t>
            </w:r>
            <w:r w:rsidRPr="003B38C7">
              <w:rPr>
                <w:bCs/>
              </w:rPr>
              <w:t xml:space="preserve"> uz 25 latiem</w:t>
            </w:r>
            <w:r w:rsidR="00377787">
              <w:rPr>
                <w:bCs/>
              </w:rPr>
              <w:t xml:space="preserve"> vai 25 </w:t>
            </w:r>
            <w:proofErr w:type="spellStart"/>
            <w:r w:rsidR="00377787">
              <w:rPr>
                <w:bCs/>
                <w:i/>
              </w:rPr>
              <w:t>euro</w:t>
            </w:r>
            <w:proofErr w:type="spellEnd"/>
            <w:r w:rsidRPr="003B38C7">
              <w:rPr>
                <w:bCs/>
              </w:rPr>
              <w:t xml:space="preserve">. </w:t>
            </w:r>
            <w:r w:rsidR="00F74CDA" w:rsidRPr="00E966C6">
              <w:rPr>
                <w:bCs/>
              </w:rPr>
              <w:t>Ja administratīvā pārkāpuma lietā tiek piemērota vienošanās, piemērojamais naudas sods var būt mazāks par sankcijā noteikto minimālo naudas sodu, izņemot gadījumus, kad soda apmēri izriet no starptautiskajiem tiesību aktiem.</w:t>
            </w:r>
            <w:r w:rsidR="00F74CDA">
              <w:rPr>
                <w:bCs/>
              </w:rPr>
              <w:t xml:space="preserve"> </w:t>
            </w:r>
            <w:r w:rsidR="002F46D1">
              <w:rPr>
                <w:bCs/>
              </w:rPr>
              <w:t>V</w:t>
            </w:r>
            <w:r w:rsidRPr="003B38C7">
              <w:rPr>
                <w:bCs/>
              </w:rPr>
              <w:t xml:space="preserve">ienošanās noslēgšana </w:t>
            </w:r>
            <w:r w:rsidR="00AC5B20">
              <w:rPr>
                <w:bCs/>
              </w:rPr>
              <w:t>citus lietas ietvaros piemērotos sodus</w:t>
            </w:r>
            <w:r w:rsidR="002F46D1">
              <w:rPr>
                <w:bCs/>
              </w:rPr>
              <w:t xml:space="preserve"> </w:t>
            </w:r>
            <w:r w:rsidRPr="003B38C7">
              <w:rPr>
                <w:bCs/>
              </w:rPr>
              <w:t xml:space="preserve">neietekmē, tie tiek piemēroti sākotnēji noteiktajā apmērā. </w:t>
            </w:r>
          </w:p>
          <w:p w:rsidR="00E212CA" w:rsidRPr="003B38C7" w:rsidRDefault="00E212CA" w:rsidP="00E212CA">
            <w:pPr>
              <w:ind w:left="142" w:right="142"/>
              <w:jc w:val="both"/>
              <w:rPr>
                <w:bCs/>
              </w:rPr>
            </w:pPr>
          </w:p>
          <w:p w:rsidR="003B38C7" w:rsidRPr="00E45C7A" w:rsidRDefault="003B38C7" w:rsidP="00E45C7A">
            <w:pPr>
              <w:ind w:left="142" w:right="142"/>
              <w:jc w:val="both"/>
              <w:rPr>
                <w:b/>
                <w:bCs/>
              </w:rPr>
            </w:pPr>
            <w:r w:rsidRPr="003B38C7">
              <w:rPr>
                <w:bCs/>
              </w:rPr>
              <w:t xml:space="preserve">Vienošanās noslēgšana ietver galīgu publiskas personas un privātpersonas tiesisko attiecību noregulējumu. Tas nozīmē, ka nedz lēmums par administratīvā soda piemērošanu, nedz vienošanās nav pārsūdzama. Amatpersonai, kas piedāvā slēgt </w:t>
            </w:r>
            <w:r w:rsidRPr="003B38C7">
              <w:rPr>
                <w:bCs/>
              </w:rPr>
              <w:lastRenderedPageBreak/>
              <w:t>vienošanos</w:t>
            </w:r>
            <w:r w:rsidR="00DC5206">
              <w:rPr>
                <w:bCs/>
              </w:rPr>
              <w:t>,</w:t>
            </w:r>
            <w:r w:rsidRPr="003B38C7">
              <w:rPr>
                <w:bCs/>
              </w:rPr>
              <w:t xml:space="preserve"> ir pienākums izskaidrot personai vieno</w:t>
            </w:r>
            <w:r w:rsidR="00DC5206">
              <w:rPr>
                <w:bCs/>
              </w:rPr>
              <w:t>šanas tiesiskas sekas, proti, to, ka lēmums par administratīvā soda uzlikšanu pēc vienošanās noslēgšanas ir nepārsūdzams.</w:t>
            </w:r>
            <w:r w:rsidRPr="003B38C7">
              <w:rPr>
                <w:bCs/>
              </w:rPr>
              <w:t xml:space="preserve"> </w:t>
            </w:r>
            <w:r w:rsidR="00E45C7A" w:rsidRPr="00E45C7A">
              <w:rPr>
                <w:b/>
                <w:bCs/>
              </w:rPr>
              <w:t xml:space="preserve"> </w:t>
            </w:r>
            <w:r w:rsidR="00E45C7A" w:rsidRPr="00E966C6">
              <w:rPr>
                <w:bCs/>
              </w:rPr>
              <w:t xml:space="preserve">Gadījumā, ja lēmumā par soda uzlikšanu personai ir noteikti citi sodi, šie sodi arī nav </w:t>
            </w:r>
            <w:r w:rsidR="00A64190" w:rsidRPr="00E966C6">
              <w:rPr>
                <w:bCs/>
              </w:rPr>
              <w:t>pārsūdzami</w:t>
            </w:r>
            <w:r w:rsidR="00E45C7A" w:rsidRPr="00E966C6">
              <w:rPr>
                <w:bCs/>
              </w:rPr>
              <w:t>.</w:t>
            </w:r>
            <w:r w:rsidR="00E45C7A">
              <w:rPr>
                <w:b/>
                <w:bCs/>
              </w:rPr>
              <w:t xml:space="preserve"> </w:t>
            </w:r>
            <w:r w:rsidR="00AC5B20">
              <w:rPr>
                <w:bCs/>
              </w:rPr>
              <w:t>L</w:t>
            </w:r>
            <w:r w:rsidR="002F46D1">
              <w:rPr>
                <w:bCs/>
              </w:rPr>
              <w:t>ietvedības procesā</w:t>
            </w:r>
            <w:r w:rsidR="00AC5B20">
              <w:rPr>
                <w:bCs/>
              </w:rPr>
              <w:t>, noslēdzot vienošanos,</w:t>
            </w:r>
            <w:r w:rsidR="002F46D1">
              <w:rPr>
                <w:bCs/>
              </w:rPr>
              <w:t xml:space="preserve"> izpaliek pārsūdzības stadijas un paredzams, ka ar laiku vienošanās slēgšana varētu ietaupīt resursus, ko valsts un privātpersona iegulda, izskatot pārsūdzētos lēmumus iestādē un tiesās. </w:t>
            </w:r>
          </w:p>
          <w:p w:rsidR="00E212CA" w:rsidRDefault="00E212CA" w:rsidP="00E212CA">
            <w:pPr>
              <w:ind w:left="142" w:right="142"/>
              <w:jc w:val="both"/>
              <w:rPr>
                <w:bCs/>
              </w:rPr>
            </w:pPr>
          </w:p>
          <w:p w:rsidR="002F46D1" w:rsidRDefault="002F46D1" w:rsidP="00E212CA">
            <w:pPr>
              <w:ind w:left="142" w:right="142"/>
              <w:jc w:val="both"/>
              <w:rPr>
                <w:bCs/>
              </w:rPr>
            </w:pPr>
            <w:r>
              <w:rPr>
                <w:bCs/>
              </w:rPr>
              <w:t xml:space="preserve">Vienošanās noslēgšana neparedz īpašu naudas soda izpildes formu. Naudas sodu var samaksāt </w:t>
            </w:r>
            <w:r w:rsidR="00AC5B20">
              <w:rPr>
                <w:bCs/>
              </w:rPr>
              <w:t>saskaņā ar kodeksā noteikto spēkā esošo kārtību</w:t>
            </w:r>
            <w:r>
              <w:rPr>
                <w:bCs/>
              </w:rPr>
              <w:t xml:space="preserve">. </w:t>
            </w:r>
          </w:p>
          <w:p w:rsidR="00E212CA" w:rsidRPr="003B38C7" w:rsidRDefault="00E212CA" w:rsidP="00E212CA">
            <w:pPr>
              <w:ind w:left="142" w:right="142"/>
              <w:jc w:val="both"/>
              <w:rPr>
                <w:bCs/>
              </w:rPr>
            </w:pPr>
          </w:p>
          <w:p w:rsidR="003B38C7" w:rsidRDefault="003B38C7" w:rsidP="00E212CA">
            <w:pPr>
              <w:ind w:left="142" w:right="142"/>
              <w:jc w:val="both"/>
              <w:rPr>
                <w:bCs/>
              </w:rPr>
            </w:pPr>
            <w:r w:rsidRPr="003B38C7">
              <w:rPr>
                <w:bCs/>
              </w:rPr>
              <w:t>Ja persona nepilda vienošanos un 10 darba dienu laikā nesamaksā vienošanās ietv</w:t>
            </w:r>
            <w:r w:rsidR="007F55D4">
              <w:rPr>
                <w:bCs/>
              </w:rPr>
              <w:t>a</w:t>
            </w:r>
            <w:r w:rsidRPr="003B38C7">
              <w:rPr>
                <w:bCs/>
              </w:rPr>
              <w:t xml:space="preserve">ros noteikto naudas sodu, iestāde sākotnēji pieņemto lēmumu par administratīvā soda piemērošanu nosūta piespiedu izpildei tiesu izpildītājam </w:t>
            </w:r>
            <w:r w:rsidR="002F46D1">
              <w:rPr>
                <w:bCs/>
              </w:rPr>
              <w:t>kodeksā noteiktajā kārtībā.</w:t>
            </w:r>
            <w:r w:rsidR="000873F7">
              <w:rPr>
                <w:bCs/>
              </w:rPr>
              <w:t xml:space="preserve"> Tādējādi vienošanās neizpildes gadījumā personai iestājas nelabvēlīgas sekas – no tās tiek piedzīts naudas sods sākotnēj</w:t>
            </w:r>
            <w:r w:rsidR="007F55D4">
              <w:rPr>
                <w:bCs/>
              </w:rPr>
              <w:t>i noteiktajā</w:t>
            </w:r>
            <w:r w:rsidR="000873F7">
              <w:rPr>
                <w:bCs/>
              </w:rPr>
              <w:t xml:space="preserve"> apmērā, vienlaikus lēmums par soda uzlikšanu paliek nepārsūdzams. </w:t>
            </w:r>
          </w:p>
          <w:p w:rsidR="003B38C7" w:rsidRPr="003B38C7" w:rsidRDefault="003B38C7" w:rsidP="00E212CA">
            <w:pPr>
              <w:ind w:left="142" w:right="142" w:firstLine="283"/>
              <w:jc w:val="both"/>
              <w:rPr>
                <w:bCs/>
              </w:rPr>
            </w:pPr>
          </w:p>
          <w:p w:rsidR="003B38C7" w:rsidRDefault="003B38C7" w:rsidP="00E212CA">
            <w:pPr>
              <w:ind w:left="142" w:right="142"/>
              <w:jc w:val="both"/>
              <w:rPr>
                <w:bCs/>
              </w:rPr>
            </w:pPr>
            <w:r w:rsidRPr="003B38C7">
              <w:rPr>
                <w:bCs/>
              </w:rPr>
              <w:t xml:space="preserve">Likumā noteiktajos izņēmuma gadījumos </w:t>
            </w:r>
            <w:r w:rsidR="007F55D4">
              <w:rPr>
                <w:bCs/>
              </w:rPr>
              <w:t>vienošanos var atcelt</w:t>
            </w:r>
            <w:r w:rsidRPr="003B38C7">
              <w:rPr>
                <w:bCs/>
              </w:rPr>
              <w:t xml:space="preserve">. Ja vienošanās tiek atcelta, atjaunojas procesuālie termiņi lēmuma par administratīvā soda piemērošanu pārsūdzēšanai un tālākā lietvedība notiek </w:t>
            </w:r>
            <w:r w:rsidR="00DC5206">
              <w:rPr>
                <w:bCs/>
              </w:rPr>
              <w:t>kodeksā noteiktajā</w:t>
            </w:r>
            <w:r w:rsidR="00DC5206" w:rsidRPr="003B38C7">
              <w:rPr>
                <w:bCs/>
              </w:rPr>
              <w:t xml:space="preserve"> parastajā </w:t>
            </w:r>
            <w:r w:rsidRPr="003B38C7">
              <w:rPr>
                <w:bCs/>
              </w:rPr>
              <w:t xml:space="preserve">kārtībā. </w:t>
            </w:r>
          </w:p>
          <w:p w:rsidR="00F74CDA" w:rsidRDefault="00F74CDA" w:rsidP="00E212CA">
            <w:pPr>
              <w:ind w:left="142" w:right="142"/>
              <w:jc w:val="both"/>
              <w:rPr>
                <w:bCs/>
              </w:rPr>
            </w:pPr>
          </w:p>
          <w:p w:rsidR="0053576B" w:rsidRPr="00E966C6" w:rsidRDefault="00F74CDA" w:rsidP="00E212CA">
            <w:pPr>
              <w:ind w:left="142" w:right="142"/>
              <w:jc w:val="both"/>
              <w:rPr>
                <w:bCs/>
              </w:rPr>
            </w:pPr>
            <w:r w:rsidRPr="00E966C6">
              <w:rPr>
                <w:bCs/>
              </w:rPr>
              <w:t xml:space="preserve">Ja vienošanās tiek atcelta, persona atgūst tiesības pārsūdzēt sākotnējo lēmumu. Tādējādi gadījumos, kad persona noslēgto vienošanos nepilda un </w:t>
            </w:r>
            <w:r w:rsidR="00260B41" w:rsidRPr="00E966C6">
              <w:rPr>
                <w:bCs/>
              </w:rPr>
              <w:t xml:space="preserve">iestāde </w:t>
            </w:r>
            <w:r w:rsidRPr="00E966C6">
              <w:rPr>
                <w:bCs/>
              </w:rPr>
              <w:t>sākotnējo lēmumu par soda uzlikšanu nodod piespiedu izpildei, taču vēlā</w:t>
            </w:r>
            <w:r w:rsidR="00F1603C" w:rsidRPr="00E966C6">
              <w:rPr>
                <w:bCs/>
              </w:rPr>
              <w:t>k</w:t>
            </w:r>
            <w:r w:rsidRPr="00E966C6">
              <w:rPr>
                <w:bCs/>
              </w:rPr>
              <w:t xml:space="preserve"> vienošanās tiek atcelta</w:t>
            </w:r>
            <w:r w:rsidR="00F1603C" w:rsidRPr="00E966C6">
              <w:rPr>
                <w:bCs/>
              </w:rPr>
              <w:t xml:space="preserve"> (šāda situācija ir iespējama, ievērojot to, ka </w:t>
            </w:r>
            <w:r w:rsidR="00AC5B20" w:rsidRPr="00E966C6">
              <w:rPr>
                <w:bCs/>
              </w:rPr>
              <w:t xml:space="preserve">sūdzību par vienošanās atcelšanu var iesniegt </w:t>
            </w:r>
            <w:r w:rsidR="00F1603C" w:rsidRPr="00E966C6">
              <w:rPr>
                <w:bCs/>
              </w:rPr>
              <w:t>gada laikā no tās noslēgšanas dienas)</w:t>
            </w:r>
            <w:r w:rsidRPr="00E966C6">
              <w:rPr>
                <w:bCs/>
              </w:rPr>
              <w:t xml:space="preserve">, piespiedu izpilde ir apturama, kamēr spēkā nestāsies galīgais noregulējums lietā. Šāda kārtība garantē, ka sodu izpilda tikai pēc tam, kad </w:t>
            </w:r>
            <w:r w:rsidR="00260B41" w:rsidRPr="00E966C6">
              <w:rPr>
                <w:bCs/>
              </w:rPr>
              <w:t xml:space="preserve">ir zināms </w:t>
            </w:r>
            <w:r w:rsidR="00AE3330" w:rsidRPr="00E966C6">
              <w:rPr>
                <w:bCs/>
              </w:rPr>
              <w:t>galīgais noregulējums lietā</w:t>
            </w:r>
            <w:r w:rsidR="00260B41" w:rsidRPr="00E966C6">
              <w:rPr>
                <w:bCs/>
              </w:rPr>
              <w:t>.</w:t>
            </w:r>
          </w:p>
          <w:p w:rsidR="0053576B" w:rsidRPr="00E966C6" w:rsidRDefault="0053576B" w:rsidP="00E212CA">
            <w:pPr>
              <w:ind w:left="142" w:right="142"/>
              <w:jc w:val="both"/>
              <w:rPr>
                <w:bCs/>
              </w:rPr>
            </w:pPr>
          </w:p>
          <w:p w:rsidR="00056132" w:rsidRDefault="0053576B" w:rsidP="00E212CA">
            <w:pPr>
              <w:ind w:left="142" w:right="142"/>
              <w:jc w:val="both"/>
              <w:rPr>
                <w:rFonts w:ascii="Arial" w:hAnsi="Arial" w:cs="Arial"/>
              </w:rPr>
            </w:pPr>
            <w:r w:rsidRPr="00E966C6">
              <w:rPr>
                <w:bCs/>
              </w:rPr>
              <w:t xml:space="preserve">Likumprojekts paredz izslēgt normas par noteikta parauga kvīts izsniegšanu gadījumos, kad administratīvā pārkāpuma protokolu nesastāda. </w:t>
            </w:r>
            <w:r w:rsidR="00056132">
              <w:t>Kodeksā ir iekļauts regulējums, saskaņā ar kuru administratīvā pārkāpuma protokolu nesastāda par atsevišķiem kodeksa 250.</w:t>
            </w:r>
            <w:r w:rsidR="0071261C">
              <w:t> </w:t>
            </w:r>
            <w:r w:rsidR="00056132">
              <w:t>pantā uzskaitītajiem pārkāpumiem,</w:t>
            </w:r>
            <w:r w:rsidR="00056132" w:rsidRPr="00056132">
              <w:t xml:space="preserve"> kā arī citos gadījumos, kad saskaņā ar kodeksu un citiem likumiem naudas sodu uzliek un iekasē pārkāpuma izdarīšanas vietā un tā apmērs nepārsniedz divdesmit latu vai brīdinājumu noformē pārkāpuma izdarīšanas vietā.</w:t>
            </w:r>
            <w:r w:rsidR="00056132">
              <w:rPr>
                <w:rFonts w:ascii="Arial" w:hAnsi="Arial" w:cs="Arial"/>
              </w:rPr>
              <w:t xml:space="preserve"> </w:t>
            </w:r>
          </w:p>
          <w:p w:rsidR="00056132" w:rsidRDefault="00056132" w:rsidP="00E212CA">
            <w:pPr>
              <w:ind w:left="142" w:right="142"/>
              <w:jc w:val="both"/>
            </w:pPr>
            <w:r w:rsidRPr="00056132">
              <w:t>Norādāms, ka jautājums par naudas soda kvīts tiesisko dabu</w:t>
            </w:r>
            <w:r w:rsidR="00D41E49">
              <w:t xml:space="preserve"> un iespējām pārsūdzēt šo kvīti</w:t>
            </w:r>
            <w:r w:rsidRPr="00056132">
              <w:t xml:space="preserve"> ir diskutabls. Tā, piemēram, no kodeksa 250. panta otrās daļas izriet, ka naudas soda kvīti nevar apstrīdēt un pārsūdzēt, jo minētā norma paredz, ka gadījumā, ja pārkāpējs apstrīd viņam uzlikto sodu par to pārkāpumu izdarīšanu, kuri </w:t>
            </w:r>
            <w:r w:rsidRPr="00056132">
              <w:lastRenderedPageBreak/>
              <w:t xml:space="preserve">paredzēti šā panta pirmajā daļā, vai ir citi apstākļi, kas traucē amatpersonai uzlikt sodu pārkāpuma izdarīšanas vietā, protokolu sastāda saskaņā ar šā kodeksa </w:t>
            </w:r>
            <w:hyperlink r:id="rId9" w:anchor="p246" w:history="1">
              <w:r w:rsidRPr="00056132">
                <w:t>246.</w:t>
              </w:r>
            </w:hyperlink>
            <w:r w:rsidR="0071261C">
              <w:t> </w:t>
            </w:r>
            <w:r w:rsidRPr="00056132">
              <w:t>pantu.</w:t>
            </w:r>
            <w:r>
              <w:t xml:space="preserve"> </w:t>
            </w:r>
          </w:p>
          <w:p w:rsidR="0053576B" w:rsidRDefault="00056132" w:rsidP="00056132">
            <w:pPr>
              <w:ind w:left="142" w:right="142"/>
              <w:jc w:val="both"/>
            </w:pPr>
            <w:r>
              <w:t xml:space="preserve">No kodeksā ietvertajām normām izriet, ka naudas soda kvīts varētu tikt pielīdzināta vienošanai starp amatpersonu (institūciju) un personu, kuru sauc pie administratīvās atbildības, jo kvīti izsniedz, ja persona piekrīt uzliktajam sodam un ir gatava sodu izpildīt paātrinātā kārtībā, proti, samaksāt uz vietas. </w:t>
            </w:r>
            <w:r w:rsidR="00784A99">
              <w:t>Vienlaikus norādāms, ka šāda veida vienošanās noslēgšana ar soda kvīts izsniegšanas starpniecību ir juridiski nekorekta turpmāk minēto apsvērumu dēļ. S</w:t>
            </w:r>
            <w:r>
              <w:t>oda kvīts izsniegšana nenodrošina personai tiesības uz taisnīgu un saprotamu procesu, jo soda kvīts izsniegšanas gadījumā lēmums par lietvedības uzsākšanu netiek fiksēts rakstveidā. Tāpat n</w:t>
            </w:r>
            <w:r w:rsidR="00D41E49">
              <w:t>audas soda kvītī netiek fiksēta</w:t>
            </w:r>
            <w:r>
              <w:t xml:space="preserve"> </w:t>
            </w:r>
            <w:r w:rsidR="00D41E49">
              <w:t>informācija</w:t>
            </w:r>
            <w:r>
              <w:t xml:space="preserve"> par lieciniekiem, kā arī</w:t>
            </w:r>
            <w:r w:rsidR="00D41E49">
              <w:t xml:space="preserve"> citas ziņas, kas nepieciešamas lietas izskatīšanai</w:t>
            </w:r>
            <w:r>
              <w:t xml:space="preserve">. Ievērojot minēto, secināms, ka naudas soda kvīts institūts nebūtu saglabājams administratīvā pārkāpuma lietvedībā. Administratīvā pārkāpuma protokola sastādīšanai būtu jābūt obligātai lietvedības sastāvdaļai, izņemot gadījumus, </w:t>
            </w:r>
            <w:r w:rsidR="00D41E49">
              <w:t>kad lietvedību uzsāk</w:t>
            </w:r>
            <w:r>
              <w:t>, pieņemot atsevišķu lēmumu, kurā ir iekļaujamas tās pašas ziņas, kas ir iekļaujamas protokolā, tādējādi nodrošinot privātpersonai tiesības uz taisnīgu procesu.</w:t>
            </w:r>
          </w:p>
          <w:p w:rsidR="00056132" w:rsidRPr="00056132" w:rsidRDefault="00056132" w:rsidP="00056132">
            <w:pPr>
              <w:ind w:left="142" w:right="142"/>
              <w:jc w:val="both"/>
            </w:pPr>
          </w:p>
          <w:p w:rsidR="00EA01F3" w:rsidRPr="00E966C6" w:rsidRDefault="00EA01F3" w:rsidP="00E212CA">
            <w:pPr>
              <w:ind w:left="142" w:right="142"/>
              <w:jc w:val="both"/>
              <w:rPr>
                <w:bCs/>
              </w:rPr>
            </w:pPr>
            <w:r w:rsidRPr="00E966C6">
              <w:rPr>
                <w:bCs/>
              </w:rPr>
              <w:t>Likumprojekt</w:t>
            </w:r>
            <w:r w:rsidR="0082537C">
              <w:rPr>
                <w:bCs/>
              </w:rPr>
              <w:t>ā</w:t>
            </w:r>
            <w:r w:rsidRPr="00E966C6">
              <w:rPr>
                <w:bCs/>
              </w:rPr>
              <w:t xml:space="preserve"> </w:t>
            </w:r>
            <w:r w:rsidR="0082537C">
              <w:rPr>
                <w:bCs/>
              </w:rPr>
              <w:t xml:space="preserve">ir </w:t>
            </w:r>
            <w:r w:rsidRPr="00E966C6">
              <w:rPr>
                <w:bCs/>
              </w:rPr>
              <w:t>paredz</w:t>
            </w:r>
            <w:r w:rsidR="0082537C">
              <w:rPr>
                <w:bCs/>
              </w:rPr>
              <w:t>ēts</w:t>
            </w:r>
            <w:r w:rsidRPr="00E966C6">
              <w:rPr>
                <w:bCs/>
              </w:rPr>
              <w:t xml:space="preserve">, ka </w:t>
            </w:r>
            <w:r w:rsidR="0082537C">
              <w:rPr>
                <w:bCs/>
              </w:rPr>
              <w:t>tas</w:t>
            </w:r>
            <w:r w:rsidRPr="00E966C6">
              <w:rPr>
                <w:bCs/>
              </w:rPr>
              <w:t xml:space="preserve"> stāsies spēkā 201</w:t>
            </w:r>
            <w:r w:rsidR="00B61EA9" w:rsidRPr="00E966C6">
              <w:rPr>
                <w:bCs/>
              </w:rPr>
              <w:t>5</w:t>
            </w:r>
            <w:r w:rsidRPr="00E966C6">
              <w:rPr>
                <w:bCs/>
              </w:rPr>
              <w:t>.</w:t>
            </w:r>
            <w:r w:rsidR="0071261C">
              <w:rPr>
                <w:bCs/>
              </w:rPr>
              <w:t> </w:t>
            </w:r>
            <w:r w:rsidRPr="00E966C6">
              <w:rPr>
                <w:bCs/>
              </w:rPr>
              <w:t xml:space="preserve">gada </w:t>
            </w:r>
            <w:r w:rsidR="00B61EA9" w:rsidRPr="00E966C6">
              <w:rPr>
                <w:bCs/>
              </w:rPr>
              <w:t>1. janvārī</w:t>
            </w:r>
            <w:r w:rsidRPr="00E966C6">
              <w:rPr>
                <w:bCs/>
              </w:rPr>
              <w:t xml:space="preserve">. </w:t>
            </w:r>
            <w:r w:rsidR="005B35D4" w:rsidRPr="00E966C6">
              <w:rPr>
                <w:bCs/>
              </w:rPr>
              <w:t xml:space="preserve">Šāds termiņš ir </w:t>
            </w:r>
            <w:r w:rsidR="0082537C">
              <w:rPr>
                <w:bCs/>
              </w:rPr>
              <w:t>noteikts</w:t>
            </w:r>
            <w:r w:rsidR="005B35D4" w:rsidRPr="00E966C6">
              <w:rPr>
                <w:bCs/>
              </w:rPr>
              <w:t xml:space="preserve">, lai </w:t>
            </w:r>
            <w:r w:rsidR="00B61EA9" w:rsidRPr="00E966C6">
              <w:rPr>
                <w:bCs/>
              </w:rPr>
              <w:t xml:space="preserve">nodrošinātu Sodu reģistra pielāgošanu jaunajam regulējumam, kā arī lai </w:t>
            </w:r>
            <w:r w:rsidR="005B35D4" w:rsidRPr="00E966C6">
              <w:rPr>
                <w:bCs/>
              </w:rPr>
              <w:t>īstenotu sabi</w:t>
            </w:r>
            <w:r w:rsidR="00B61EA9" w:rsidRPr="00E966C6">
              <w:rPr>
                <w:bCs/>
              </w:rPr>
              <w:t xml:space="preserve">edrības informēšanas pasākumus un </w:t>
            </w:r>
            <w:r w:rsidR="005B35D4" w:rsidRPr="00E966C6">
              <w:rPr>
                <w:bCs/>
              </w:rPr>
              <w:t>nodroši</w:t>
            </w:r>
            <w:r w:rsidR="00B61EA9" w:rsidRPr="00E966C6">
              <w:rPr>
                <w:bCs/>
              </w:rPr>
              <w:t xml:space="preserve">nātu iestādēm pietiekamu laiku </w:t>
            </w:r>
            <w:r w:rsidR="00AC5B20" w:rsidRPr="00E966C6">
              <w:rPr>
                <w:bCs/>
              </w:rPr>
              <w:t>vadlīniju</w:t>
            </w:r>
            <w:r w:rsidR="005B35D4" w:rsidRPr="00E966C6">
              <w:rPr>
                <w:bCs/>
              </w:rPr>
              <w:t xml:space="preserve"> par vienošanās procesa piemērošanu</w:t>
            </w:r>
            <w:r w:rsidR="00B61EA9" w:rsidRPr="00E966C6">
              <w:rPr>
                <w:bCs/>
              </w:rPr>
              <w:t xml:space="preserve"> izstrādei</w:t>
            </w:r>
            <w:r w:rsidR="005B35D4" w:rsidRPr="00E966C6">
              <w:rPr>
                <w:bCs/>
              </w:rPr>
              <w:t>.</w:t>
            </w:r>
            <w:r w:rsidR="00A64190" w:rsidRPr="00E966C6">
              <w:rPr>
                <w:bCs/>
              </w:rPr>
              <w:t xml:space="preserve"> Vienošanos būs iespējams piemērot </w:t>
            </w:r>
            <w:r w:rsidR="0082537C">
              <w:rPr>
                <w:bCs/>
              </w:rPr>
              <w:t xml:space="preserve">administratīvo pārkāpumu </w:t>
            </w:r>
            <w:r w:rsidR="00A64190" w:rsidRPr="00E966C6">
              <w:rPr>
                <w:bCs/>
              </w:rPr>
              <w:t>lietās, kuras ir uzsāktas, sākot ar 2015. gada 1. janvāri.</w:t>
            </w:r>
          </w:p>
          <w:p w:rsidR="006D5C7E" w:rsidRPr="00E966C6" w:rsidRDefault="006D5C7E" w:rsidP="00E212CA">
            <w:pPr>
              <w:ind w:left="142" w:right="142"/>
              <w:jc w:val="both"/>
              <w:rPr>
                <w:bCs/>
              </w:rPr>
            </w:pPr>
          </w:p>
          <w:p w:rsidR="00CF3A61" w:rsidRDefault="00E45C7A" w:rsidP="00114B67">
            <w:pPr>
              <w:ind w:left="202" w:right="142"/>
              <w:jc w:val="both"/>
            </w:pPr>
            <w:r w:rsidRPr="00E966C6">
              <w:t>Likumprojektam pievienotajā Minist</w:t>
            </w:r>
            <w:r w:rsidR="00A64190" w:rsidRPr="00E966C6">
              <w:t xml:space="preserve">ru kabineta sēdes </w:t>
            </w:r>
            <w:proofErr w:type="spellStart"/>
            <w:r w:rsidR="00A64190" w:rsidRPr="00E966C6">
              <w:t>protokollēmuma</w:t>
            </w:r>
            <w:proofErr w:type="spellEnd"/>
            <w:r w:rsidR="00A64190" w:rsidRPr="00E966C6">
              <w:t xml:space="preserve"> </w:t>
            </w:r>
            <w:r w:rsidR="00A64190" w:rsidRPr="0082537C">
              <w:t>projektā</w:t>
            </w:r>
            <w:r w:rsidRPr="0082537C">
              <w:t xml:space="preserve"> </w:t>
            </w:r>
            <w:r w:rsidR="00114B67" w:rsidRPr="00114B67">
              <w:t xml:space="preserve">nozaru ministrijām sadarbībā ar iestādēm, kuras attiecīgajā nozarē piemēro administratīvos sodus, un Korupcijas novēršanas un apkarošanas birojam </w:t>
            </w:r>
            <w:r w:rsidRPr="00114B67">
              <w:t>ir</w:t>
            </w:r>
            <w:r w:rsidRPr="00E966C6">
              <w:t xml:space="preserve"> </w:t>
            </w:r>
            <w:r w:rsidRPr="0082537C">
              <w:t xml:space="preserve">uzdots </w:t>
            </w:r>
            <w:r w:rsidR="0082537C" w:rsidRPr="0082537C">
              <w:t xml:space="preserve"> līdz 2014. gada 1. oktobrim </w:t>
            </w:r>
            <w:r w:rsidRPr="0082537C">
              <w:t>sagatavot</w:t>
            </w:r>
            <w:r w:rsidRPr="00E966C6">
              <w:t xml:space="preserve"> vadlīnijas par vienošanās piemērošanu. Šīs vadlīnijas veicinās vienveidīgu jaunā mehānisma piemērošanu un samazinās nevienlīdzīgas attieksmes gadījumus. Ir paredzēts, ka iestādes vienošanos varēs piemērot tikai pēc tam, kad vadlīnijas būs saskaņotas ar Tieslietu ministriju un publicētas iestāžu interneta mājas lapās.</w:t>
            </w:r>
          </w:p>
          <w:p w:rsidR="003275F1" w:rsidRPr="00E966C6" w:rsidRDefault="003275F1" w:rsidP="00114B67">
            <w:pPr>
              <w:ind w:left="202" w:right="142"/>
              <w:jc w:val="both"/>
            </w:pPr>
          </w:p>
        </w:tc>
      </w:tr>
      <w:tr w:rsidR="00694F65" w:rsidRPr="00C93A64" w:rsidTr="001F2E6A">
        <w:trPr>
          <w:trHeight w:val="476"/>
        </w:trPr>
        <w:tc>
          <w:tcPr>
            <w:tcW w:w="431" w:type="dxa"/>
          </w:tcPr>
          <w:p w:rsidR="00694F65" w:rsidRPr="00C93A64" w:rsidRDefault="00694F65" w:rsidP="00B662AA">
            <w:pPr>
              <w:pStyle w:val="naiskr"/>
              <w:spacing w:before="0" w:after="0"/>
              <w:ind w:right="140"/>
            </w:pPr>
            <w:r w:rsidRPr="00C93A64">
              <w:lastRenderedPageBreak/>
              <w:t>5.</w:t>
            </w:r>
          </w:p>
        </w:tc>
        <w:tc>
          <w:tcPr>
            <w:tcW w:w="2409" w:type="dxa"/>
          </w:tcPr>
          <w:p w:rsidR="00694F65" w:rsidRPr="00C93A64" w:rsidRDefault="00694F65" w:rsidP="00B662AA">
            <w:pPr>
              <w:pStyle w:val="naiskr"/>
              <w:spacing w:before="0" w:after="0"/>
              <w:ind w:right="140"/>
            </w:pPr>
            <w:r w:rsidRPr="00C93A64">
              <w:t>Projekta izstrādē iesaistītās institūcijas</w:t>
            </w:r>
          </w:p>
        </w:tc>
        <w:tc>
          <w:tcPr>
            <w:tcW w:w="6830" w:type="dxa"/>
          </w:tcPr>
          <w:p w:rsidR="00A14CAA" w:rsidRPr="00C93A64" w:rsidRDefault="00BE14B2" w:rsidP="00E212CA">
            <w:pPr>
              <w:pStyle w:val="naiskr"/>
              <w:spacing w:before="0" w:after="0"/>
              <w:ind w:left="142" w:right="142"/>
              <w:jc w:val="both"/>
              <w:rPr>
                <w:iCs/>
              </w:rPr>
            </w:pPr>
            <w:r>
              <w:rPr>
                <w:iCs/>
              </w:rPr>
              <w:t>Tieslietu ministrija</w:t>
            </w:r>
          </w:p>
        </w:tc>
      </w:tr>
      <w:tr w:rsidR="00694F65" w:rsidRPr="00C93A64" w:rsidTr="001F2E6A">
        <w:trPr>
          <w:trHeight w:val="841"/>
        </w:trPr>
        <w:tc>
          <w:tcPr>
            <w:tcW w:w="431" w:type="dxa"/>
          </w:tcPr>
          <w:p w:rsidR="00694F65" w:rsidRPr="00C93A64" w:rsidRDefault="00694F65" w:rsidP="00B662AA">
            <w:pPr>
              <w:pStyle w:val="naiskr"/>
              <w:spacing w:before="0" w:after="0"/>
              <w:ind w:right="140"/>
            </w:pPr>
            <w:r w:rsidRPr="00C93A64">
              <w:t>6.</w:t>
            </w:r>
          </w:p>
        </w:tc>
        <w:tc>
          <w:tcPr>
            <w:tcW w:w="2409" w:type="dxa"/>
          </w:tcPr>
          <w:p w:rsidR="00694F65" w:rsidRPr="00C93A64" w:rsidRDefault="00694F65" w:rsidP="00B662AA">
            <w:pPr>
              <w:pStyle w:val="naiskr"/>
              <w:spacing w:before="0" w:after="0"/>
              <w:ind w:right="140"/>
              <w:rPr>
                <w:i/>
                <w:highlight w:val="yellow"/>
              </w:rPr>
            </w:pPr>
            <w:r w:rsidRPr="00C93A64">
              <w:t>Iemesli, kādēļ netika nodrošināta sabiedrības līdzdalīb</w:t>
            </w:r>
            <w:r w:rsidR="00266DB0" w:rsidRPr="00C93A64">
              <w:t>a</w:t>
            </w:r>
          </w:p>
        </w:tc>
        <w:tc>
          <w:tcPr>
            <w:tcW w:w="6830" w:type="dxa"/>
          </w:tcPr>
          <w:p w:rsidR="00E212CA" w:rsidRDefault="003E7367" w:rsidP="00E966C6">
            <w:pPr>
              <w:pStyle w:val="Vresteksts"/>
              <w:ind w:left="142" w:right="142"/>
              <w:jc w:val="both"/>
              <w:rPr>
                <w:sz w:val="24"/>
                <w:szCs w:val="24"/>
              </w:rPr>
            </w:pPr>
            <w:r w:rsidRPr="00C93A64">
              <w:rPr>
                <w:sz w:val="24"/>
                <w:szCs w:val="24"/>
              </w:rPr>
              <w:t xml:space="preserve">Administratīvo pārkāpumu vispārīgie noteikumi un procesuālais regulējums ir cieši saistīts ar administratīvo sodu piemērošanu un tādejādi ar sodīšanas funkciju, kurā publiskajai pārvaldei ir ekskluzīva kompetence. Sabiedrības intereses kopumā šis likumprojekts neskar, jo juridiskajai atbildībai ir personiska daba. </w:t>
            </w:r>
            <w:r w:rsidR="001A0F8D">
              <w:rPr>
                <w:sz w:val="24"/>
                <w:szCs w:val="24"/>
              </w:rPr>
              <w:t>Turklāt</w:t>
            </w:r>
            <w:r w:rsidRPr="00C93A64">
              <w:rPr>
                <w:sz w:val="24"/>
                <w:szCs w:val="24"/>
              </w:rPr>
              <w:t xml:space="preserve"> nepastāv tādas nevalstiskās organizācijas, kuras pārstāvētu pie administratīvās atbildības saucamo personu intereses un kuru </w:t>
            </w:r>
            <w:r w:rsidRPr="00C93A64">
              <w:rPr>
                <w:sz w:val="24"/>
                <w:szCs w:val="24"/>
              </w:rPr>
              <w:lastRenderedPageBreak/>
              <w:t>viedokli uzklausīt būtu adekvāti.</w:t>
            </w:r>
          </w:p>
          <w:p w:rsidR="003275F1" w:rsidRPr="00C93A64" w:rsidRDefault="003275F1" w:rsidP="00E966C6">
            <w:pPr>
              <w:pStyle w:val="Vresteksts"/>
              <w:ind w:left="142" w:right="142"/>
              <w:jc w:val="both"/>
              <w:rPr>
                <w:sz w:val="24"/>
                <w:szCs w:val="24"/>
              </w:rPr>
            </w:pPr>
          </w:p>
        </w:tc>
      </w:tr>
      <w:tr w:rsidR="00694F65" w:rsidRPr="00C93A64" w:rsidTr="001F2E6A">
        <w:tc>
          <w:tcPr>
            <w:tcW w:w="431" w:type="dxa"/>
          </w:tcPr>
          <w:p w:rsidR="00694F65" w:rsidRPr="00C93A64" w:rsidRDefault="00694F65" w:rsidP="00B662AA">
            <w:pPr>
              <w:pStyle w:val="naiskr"/>
              <w:spacing w:before="0" w:after="0"/>
              <w:ind w:right="140"/>
            </w:pPr>
            <w:r w:rsidRPr="00C93A64">
              <w:lastRenderedPageBreak/>
              <w:t>7.</w:t>
            </w:r>
          </w:p>
        </w:tc>
        <w:tc>
          <w:tcPr>
            <w:tcW w:w="2409" w:type="dxa"/>
          </w:tcPr>
          <w:p w:rsidR="00694F65" w:rsidRPr="00C93A64" w:rsidRDefault="00694F65" w:rsidP="00B662AA">
            <w:pPr>
              <w:pStyle w:val="naiskr"/>
              <w:spacing w:before="0" w:after="0"/>
              <w:ind w:right="140"/>
            </w:pPr>
            <w:r w:rsidRPr="00C93A64">
              <w:t>Cita informācija</w:t>
            </w:r>
          </w:p>
        </w:tc>
        <w:tc>
          <w:tcPr>
            <w:tcW w:w="6830" w:type="dxa"/>
          </w:tcPr>
          <w:p w:rsidR="00694F65" w:rsidRDefault="00E929AB" w:rsidP="007F55D4">
            <w:pPr>
              <w:pStyle w:val="naiskr"/>
              <w:spacing w:before="0" w:after="0"/>
              <w:ind w:left="142" w:right="142"/>
              <w:jc w:val="both"/>
            </w:pPr>
            <w:r>
              <w:t>Līdzīga vienošanās procedūra kopš 2012.gada 1.janvāra darbojas Lietuvā.  Lietuvā likumā no</w:t>
            </w:r>
            <w:r w:rsidR="002F46D1">
              <w:t>saukti administratīvie pārkāpumi</w:t>
            </w:r>
            <w:r>
              <w:t>, par kuriem ir jāslēdz vienošan</w:t>
            </w:r>
            <w:r w:rsidR="001A0F8D">
              <w:t>ā</w:t>
            </w:r>
            <w:r>
              <w:t xml:space="preserve">s, tomēr personai paliek tiesības arī atteikties slēgt vienošanos. Ja persona atsakās slēgt vienošanos, tad iestādei ir jāuzsāk administratīvā pārkāpuma lietvedība parastajā kārtībā. Pēc lietuviešu kolēģu atsauksmēm šāda procesuālā kārtība ievērojami palielinājusi darba apjomu policijas iestādēm. </w:t>
            </w:r>
            <w:r w:rsidR="003B38C7">
              <w:t>Sagatavojot likumprojektu</w:t>
            </w:r>
            <w:r w:rsidR="002F46D1">
              <w:t>,</w:t>
            </w:r>
            <w:r w:rsidR="003B38C7">
              <w:t xml:space="preserve"> ir ņemta vērā Lietuvas Valsts policijas pieredze vienošanās slēgšanā. </w:t>
            </w:r>
          </w:p>
          <w:p w:rsidR="003275F1" w:rsidRPr="00C93A64" w:rsidRDefault="003275F1" w:rsidP="007F55D4">
            <w:pPr>
              <w:pStyle w:val="naiskr"/>
              <w:spacing w:before="0" w:after="0"/>
              <w:ind w:left="142" w:right="142"/>
              <w:jc w:val="both"/>
            </w:pPr>
          </w:p>
        </w:tc>
      </w:tr>
    </w:tbl>
    <w:p w:rsidR="00266DB0" w:rsidRPr="00C93A64" w:rsidRDefault="00266DB0" w:rsidP="00B662AA">
      <w:pPr>
        <w:pStyle w:val="naisf"/>
        <w:spacing w:before="0" w:after="0"/>
        <w:ind w:right="-1" w:firstLine="0"/>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4137"/>
        <w:gridCol w:w="4935"/>
      </w:tblGrid>
      <w:tr w:rsidR="00694F65" w:rsidRPr="00C93A64" w:rsidTr="0082537C">
        <w:tc>
          <w:tcPr>
            <w:tcW w:w="9503" w:type="dxa"/>
            <w:gridSpan w:val="3"/>
            <w:vAlign w:val="center"/>
          </w:tcPr>
          <w:p w:rsidR="00694F65" w:rsidRPr="00C93A64" w:rsidRDefault="00694F65" w:rsidP="00B662AA">
            <w:pPr>
              <w:pStyle w:val="naisnod"/>
              <w:spacing w:before="0" w:after="0"/>
              <w:ind w:right="-1"/>
            </w:pPr>
            <w:r w:rsidRPr="00C93A64">
              <w:t>II. Tiesību akta projekta ietekme uz sabiedrību</w:t>
            </w:r>
          </w:p>
        </w:tc>
      </w:tr>
      <w:tr w:rsidR="00694F65" w:rsidRPr="00C93A64" w:rsidTr="0082537C">
        <w:trPr>
          <w:trHeight w:val="467"/>
        </w:trPr>
        <w:tc>
          <w:tcPr>
            <w:tcW w:w="431" w:type="dxa"/>
          </w:tcPr>
          <w:p w:rsidR="00694F65" w:rsidRPr="00C93A64" w:rsidRDefault="00694F65" w:rsidP="00B662AA">
            <w:pPr>
              <w:pStyle w:val="naiskr"/>
              <w:spacing w:before="0" w:after="0"/>
              <w:ind w:right="-1"/>
            </w:pPr>
            <w:r w:rsidRPr="00C93A64">
              <w:t>1.</w:t>
            </w:r>
          </w:p>
        </w:tc>
        <w:tc>
          <w:tcPr>
            <w:tcW w:w="4137" w:type="dxa"/>
          </w:tcPr>
          <w:p w:rsidR="00694F65" w:rsidRPr="00C93A64" w:rsidRDefault="00694F65" w:rsidP="00B662AA">
            <w:pPr>
              <w:pStyle w:val="naiskr"/>
              <w:spacing w:before="0" w:after="0"/>
              <w:ind w:right="-1"/>
            </w:pPr>
            <w:r w:rsidRPr="00C93A64">
              <w:t xml:space="preserve">Sabiedrības </w:t>
            </w:r>
            <w:proofErr w:type="spellStart"/>
            <w:r w:rsidRPr="00C93A64">
              <w:t>mērķgrupa</w:t>
            </w:r>
            <w:proofErr w:type="spellEnd"/>
          </w:p>
        </w:tc>
        <w:tc>
          <w:tcPr>
            <w:tcW w:w="4935" w:type="dxa"/>
          </w:tcPr>
          <w:p w:rsidR="003E7367" w:rsidRPr="00C93A64" w:rsidRDefault="002F46D1" w:rsidP="00E212CA">
            <w:pPr>
              <w:pStyle w:val="naiskr"/>
              <w:spacing w:before="0" w:after="0"/>
              <w:ind w:left="115" w:right="142"/>
              <w:jc w:val="both"/>
            </w:pPr>
            <w:r>
              <w:t xml:space="preserve">Visas personas, kuras tiek sauktas pie administratīvās atbildības. </w:t>
            </w:r>
          </w:p>
        </w:tc>
      </w:tr>
      <w:tr w:rsidR="00694F65" w:rsidRPr="00C93A64" w:rsidTr="0082537C">
        <w:trPr>
          <w:trHeight w:val="523"/>
        </w:trPr>
        <w:tc>
          <w:tcPr>
            <w:tcW w:w="431" w:type="dxa"/>
          </w:tcPr>
          <w:p w:rsidR="00694F65" w:rsidRPr="00C93A64" w:rsidRDefault="00694F65" w:rsidP="00B662AA">
            <w:pPr>
              <w:pStyle w:val="naiskr"/>
              <w:spacing w:before="0" w:after="0"/>
              <w:ind w:right="-1"/>
            </w:pPr>
            <w:r w:rsidRPr="00C93A64">
              <w:t>2.</w:t>
            </w:r>
          </w:p>
        </w:tc>
        <w:tc>
          <w:tcPr>
            <w:tcW w:w="4137" w:type="dxa"/>
          </w:tcPr>
          <w:p w:rsidR="00694F65" w:rsidRPr="00C93A64" w:rsidRDefault="00694F65" w:rsidP="00B662AA">
            <w:pPr>
              <w:pStyle w:val="naiskr"/>
              <w:spacing w:before="0" w:after="0"/>
              <w:ind w:right="-1"/>
            </w:pPr>
            <w:r w:rsidRPr="00C93A64">
              <w:t xml:space="preserve">Citas sabiedrības grupas (bez </w:t>
            </w:r>
            <w:proofErr w:type="spellStart"/>
            <w:r w:rsidRPr="00C93A64">
              <w:t>mērķgrupas</w:t>
            </w:r>
            <w:proofErr w:type="spellEnd"/>
            <w:r w:rsidRPr="00C93A64">
              <w:t>), kuras tiesiskais regulējums arī ietekmē vai varētu ietekmēt</w:t>
            </w:r>
          </w:p>
        </w:tc>
        <w:tc>
          <w:tcPr>
            <w:tcW w:w="4935" w:type="dxa"/>
          </w:tcPr>
          <w:p w:rsidR="000F207A" w:rsidRPr="00A91E1B" w:rsidRDefault="00780030" w:rsidP="00E212CA">
            <w:pPr>
              <w:pStyle w:val="naiskr"/>
              <w:spacing w:before="0" w:after="0"/>
              <w:ind w:left="115" w:right="142"/>
              <w:rPr>
                <w:iCs/>
              </w:rPr>
            </w:pPr>
            <w:r w:rsidRPr="00A91E1B">
              <w:rPr>
                <w:iCs/>
              </w:rPr>
              <w:t>Projekts šo jomu neskar</w:t>
            </w:r>
          </w:p>
          <w:p w:rsidR="00694F65" w:rsidRPr="00C93A64" w:rsidRDefault="00694F65" w:rsidP="00E212CA">
            <w:pPr>
              <w:pStyle w:val="naiskr"/>
              <w:spacing w:before="0" w:after="0"/>
              <w:ind w:left="115" w:right="142"/>
            </w:pPr>
          </w:p>
        </w:tc>
      </w:tr>
      <w:tr w:rsidR="00694F65" w:rsidRPr="00C93A64" w:rsidTr="0082537C">
        <w:trPr>
          <w:trHeight w:val="517"/>
        </w:trPr>
        <w:tc>
          <w:tcPr>
            <w:tcW w:w="431" w:type="dxa"/>
          </w:tcPr>
          <w:p w:rsidR="00694F65" w:rsidRPr="00C93A64" w:rsidRDefault="00694F65" w:rsidP="00B662AA">
            <w:pPr>
              <w:pStyle w:val="naiskr"/>
              <w:spacing w:before="0" w:after="0"/>
              <w:ind w:right="-1"/>
            </w:pPr>
            <w:r w:rsidRPr="00C93A64">
              <w:t>3.</w:t>
            </w:r>
          </w:p>
        </w:tc>
        <w:tc>
          <w:tcPr>
            <w:tcW w:w="4137" w:type="dxa"/>
          </w:tcPr>
          <w:p w:rsidR="00694F65" w:rsidRPr="00C93A64" w:rsidRDefault="00694F65" w:rsidP="00B662AA">
            <w:pPr>
              <w:pStyle w:val="naiskr"/>
              <w:spacing w:before="0" w:after="0"/>
              <w:ind w:right="-1"/>
            </w:pPr>
            <w:r w:rsidRPr="00C93A64">
              <w:t>Tiesiskā regulējuma finansiālā ietekme</w:t>
            </w:r>
          </w:p>
        </w:tc>
        <w:tc>
          <w:tcPr>
            <w:tcW w:w="4935" w:type="dxa"/>
          </w:tcPr>
          <w:p w:rsidR="003E7367" w:rsidRDefault="000466D7" w:rsidP="00E212CA">
            <w:pPr>
              <w:pStyle w:val="naiskr"/>
              <w:spacing w:before="0" w:after="0"/>
              <w:ind w:left="115" w:right="142"/>
              <w:jc w:val="both"/>
            </w:pPr>
            <w:r w:rsidRPr="00C93A64">
              <w:t>P</w:t>
            </w:r>
            <w:r w:rsidR="00CC7401" w:rsidRPr="00C93A64">
              <w:t xml:space="preserve">rojektā nav paredzēti </w:t>
            </w:r>
            <w:r w:rsidR="00F759EA" w:rsidRPr="00C93A64">
              <w:t xml:space="preserve">jauni </w:t>
            </w:r>
            <w:r w:rsidR="00CC7401" w:rsidRPr="00C93A64">
              <w:t xml:space="preserve">izdevumi, ar kuriem nepieciešams rēķināties </w:t>
            </w:r>
            <w:r w:rsidR="005613F4" w:rsidRPr="00C93A64">
              <w:t xml:space="preserve">administratīvā pārkāpuma lietvedības </w:t>
            </w:r>
            <w:r w:rsidR="00CC7401" w:rsidRPr="00C93A64">
              <w:t>procesa dalībniekiem</w:t>
            </w:r>
            <w:r w:rsidRPr="00C93A64">
              <w:t>.</w:t>
            </w:r>
          </w:p>
          <w:p w:rsidR="003B38C7" w:rsidRPr="00C93A64" w:rsidRDefault="00A64190" w:rsidP="00E966C6">
            <w:pPr>
              <w:ind w:left="115"/>
              <w:jc w:val="both"/>
            </w:pPr>
            <w:r w:rsidRPr="00E966C6">
              <w:t xml:space="preserve">Likumprojektā paredzētais mehānisms samazina privātpersonai uzlikto finansiālu slogu. Tādējādi tiek radīta labvēlīgāka situācija attiecībā uz personām ar ierobežotiem finanšu resursiem, jo privātpersonai ir vieglāk samaksāt pusi no soda nekā sodu pilnā apmērā. </w:t>
            </w:r>
          </w:p>
        </w:tc>
      </w:tr>
      <w:tr w:rsidR="00694F65" w:rsidRPr="00C93A64" w:rsidTr="0082537C">
        <w:trPr>
          <w:trHeight w:val="517"/>
        </w:trPr>
        <w:tc>
          <w:tcPr>
            <w:tcW w:w="431" w:type="dxa"/>
          </w:tcPr>
          <w:p w:rsidR="00694F65" w:rsidRPr="00C93A64" w:rsidRDefault="00694F65" w:rsidP="00B662AA">
            <w:pPr>
              <w:pStyle w:val="naiskr"/>
              <w:spacing w:before="0" w:after="0"/>
              <w:ind w:right="-1"/>
            </w:pPr>
            <w:r w:rsidRPr="00C93A64">
              <w:t>4.</w:t>
            </w:r>
          </w:p>
        </w:tc>
        <w:tc>
          <w:tcPr>
            <w:tcW w:w="4137" w:type="dxa"/>
          </w:tcPr>
          <w:p w:rsidR="00694F65" w:rsidRPr="00C93A64" w:rsidRDefault="00694F65" w:rsidP="00B662AA">
            <w:pPr>
              <w:pStyle w:val="naiskr"/>
              <w:spacing w:before="0" w:after="0"/>
              <w:ind w:right="-1"/>
            </w:pPr>
            <w:r w:rsidRPr="00C93A64">
              <w:t>Tiesiskā regulējuma nefinansiālā ietekme</w:t>
            </w:r>
          </w:p>
        </w:tc>
        <w:tc>
          <w:tcPr>
            <w:tcW w:w="4935" w:type="dxa"/>
          </w:tcPr>
          <w:p w:rsidR="00694F65" w:rsidRPr="00A91E1B" w:rsidRDefault="00780030" w:rsidP="00E212CA">
            <w:pPr>
              <w:spacing w:before="100" w:beforeAutospacing="1" w:after="100" w:afterAutospacing="1"/>
              <w:ind w:left="115" w:right="142"/>
              <w:jc w:val="both"/>
              <w:rPr>
                <w:iCs/>
              </w:rPr>
            </w:pPr>
            <w:r w:rsidRPr="00A91E1B">
              <w:rPr>
                <w:iCs/>
              </w:rPr>
              <w:t>Projekts šo jomu neskar</w:t>
            </w:r>
          </w:p>
        </w:tc>
      </w:tr>
      <w:tr w:rsidR="00694F65" w:rsidRPr="00C93A64" w:rsidTr="0082537C">
        <w:trPr>
          <w:trHeight w:val="531"/>
        </w:trPr>
        <w:tc>
          <w:tcPr>
            <w:tcW w:w="431" w:type="dxa"/>
          </w:tcPr>
          <w:p w:rsidR="00694F65" w:rsidRPr="00C93A64" w:rsidRDefault="00694F65" w:rsidP="00B662AA">
            <w:pPr>
              <w:pStyle w:val="naiskr"/>
              <w:spacing w:before="0" w:after="0"/>
              <w:ind w:right="-1"/>
            </w:pPr>
            <w:r w:rsidRPr="00C93A64">
              <w:t>5.</w:t>
            </w:r>
          </w:p>
        </w:tc>
        <w:tc>
          <w:tcPr>
            <w:tcW w:w="4137" w:type="dxa"/>
          </w:tcPr>
          <w:p w:rsidR="00694F65" w:rsidRPr="00C93A64" w:rsidRDefault="00694F65" w:rsidP="00B662AA">
            <w:pPr>
              <w:pStyle w:val="naiskr"/>
              <w:spacing w:before="0" w:after="0"/>
              <w:ind w:right="-1"/>
            </w:pPr>
            <w:r w:rsidRPr="00C93A64">
              <w:t>Administratīvās procedūras raksturojums</w:t>
            </w:r>
          </w:p>
        </w:tc>
        <w:tc>
          <w:tcPr>
            <w:tcW w:w="4935" w:type="dxa"/>
          </w:tcPr>
          <w:p w:rsidR="00694F65" w:rsidRPr="00A91E1B" w:rsidRDefault="00780030" w:rsidP="00E212CA">
            <w:pPr>
              <w:pStyle w:val="naiskr"/>
              <w:ind w:left="115" w:right="142"/>
              <w:rPr>
                <w:iCs/>
              </w:rPr>
            </w:pPr>
            <w:r w:rsidRPr="00A91E1B">
              <w:rPr>
                <w:iCs/>
              </w:rPr>
              <w:t>Projekts šo jomu neskar</w:t>
            </w:r>
          </w:p>
        </w:tc>
      </w:tr>
      <w:tr w:rsidR="00694F65" w:rsidRPr="00C93A64" w:rsidTr="0082537C">
        <w:trPr>
          <w:trHeight w:val="357"/>
        </w:trPr>
        <w:tc>
          <w:tcPr>
            <w:tcW w:w="431" w:type="dxa"/>
          </w:tcPr>
          <w:p w:rsidR="00694F65" w:rsidRPr="00C93A64" w:rsidRDefault="00694F65" w:rsidP="00B662AA">
            <w:pPr>
              <w:pStyle w:val="naiskr"/>
              <w:spacing w:before="0" w:after="0"/>
              <w:ind w:right="-1"/>
            </w:pPr>
            <w:r w:rsidRPr="00C93A64">
              <w:t>6.</w:t>
            </w:r>
          </w:p>
        </w:tc>
        <w:tc>
          <w:tcPr>
            <w:tcW w:w="4137" w:type="dxa"/>
          </w:tcPr>
          <w:p w:rsidR="00694F65" w:rsidRPr="00C93A64" w:rsidRDefault="00694F65" w:rsidP="00B662AA">
            <w:pPr>
              <w:pStyle w:val="naiskr"/>
              <w:spacing w:before="0" w:after="0"/>
              <w:ind w:right="-1"/>
            </w:pPr>
            <w:r w:rsidRPr="00C93A64">
              <w:t>Administratīvo izmaksu monetārs novērtējums</w:t>
            </w:r>
          </w:p>
        </w:tc>
        <w:tc>
          <w:tcPr>
            <w:tcW w:w="4935" w:type="dxa"/>
          </w:tcPr>
          <w:p w:rsidR="00694F65" w:rsidRPr="00A91E1B" w:rsidRDefault="00780030" w:rsidP="00E212CA">
            <w:pPr>
              <w:pStyle w:val="naiskr"/>
              <w:ind w:left="115" w:right="142"/>
              <w:rPr>
                <w:iCs/>
              </w:rPr>
            </w:pPr>
            <w:r w:rsidRPr="00A91E1B">
              <w:rPr>
                <w:iCs/>
              </w:rPr>
              <w:t>Projekts šo jomu neskar</w:t>
            </w:r>
          </w:p>
        </w:tc>
      </w:tr>
      <w:tr w:rsidR="00694F65" w:rsidRPr="00C93A64" w:rsidTr="0082537C">
        <w:tc>
          <w:tcPr>
            <w:tcW w:w="431" w:type="dxa"/>
          </w:tcPr>
          <w:p w:rsidR="00694F65" w:rsidRPr="00C93A64" w:rsidRDefault="00694F65" w:rsidP="00B662AA">
            <w:pPr>
              <w:pStyle w:val="naiskr"/>
              <w:spacing w:before="0" w:after="0"/>
              <w:ind w:right="-1"/>
            </w:pPr>
            <w:r w:rsidRPr="00C93A64">
              <w:t>7.</w:t>
            </w:r>
          </w:p>
        </w:tc>
        <w:tc>
          <w:tcPr>
            <w:tcW w:w="4137" w:type="dxa"/>
          </w:tcPr>
          <w:p w:rsidR="00694F65" w:rsidRPr="00C93A64" w:rsidRDefault="00694F65" w:rsidP="00B662AA">
            <w:pPr>
              <w:pStyle w:val="naiskr"/>
              <w:spacing w:before="0" w:after="0"/>
              <w:ind w:right="-1"/>
            </w:pPr>
            <w:r w:rsidRPr="00C93A64">
              <w:t>Cita informācija</w:t>
            </w:r>
          </w:p>
        </w:tc>
        <w:tc>
          <w:tcPr>
            <w:tcW w:w="4935" w:type="dxa"/>
          </w:tcPr>
          <w:p w:rsidR="00694F65" w:rsidRPr="00C93A64" w:rsidRDefault="00A91E1B" w:rsidP="00C061D8">
            <w:pPr>
              <w:pStyle w:val="naiskr"/>
              <w:spacing w:before="0" w:after="0"/>
              <w:ind w:left="115" w:right="-1"/>
            </w:pPr>
            <w:r>
              <w:rPr>
                <w:iCs/>
              </w:rPr>
              <w:t>Nav</w:t>
            </w:r>
          </w:p>
        </w:tc>
      </w:tr>
    </w:tbl>
    <w:p w:rsidR="00694F65" w:rsidRDefault="00694F65" w:rsidP="00B662AA">
      <w:pPr>
        <w:pStyle w:val="naisf"/>
        <w:spacing w:before="0" w:after="0"/>
        <w:ind w:right="-1"/>
      </w:pPr>
    </w:p>
    <w:tbl>
      <w:tblPr>
        <w:tblW w:w="0" w:type="auto"/>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2"/>
        <w:gridCol w:w="1253"/>
        <w:gridCol w:w="1516"/>
        <w:gridCol w:w="1310"/>
        <w:gridCol w:w="1310"/>
        <w:gridCol w:w="1310"/>
      </w:tblGrid>
      <w:tr w:rsidR="00156160" w:rsidRPr="00F80DD1" w:rsidTr="00156160">
        <w:trPr>
          <w:trHeight w:val="593"/>
        </w:trPr>
        <w:tc>
          <w:tcPr>
            <w:tcW w:w="9101" w:type="dxa"/>
            <w:gridSpan w:val="6"/>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b/>
                <w:bCs/>
              </w:rPr>
            </w:pPr>
            <w:r w:rsidRPr="00F80DD1">
              <w:rPr>
                <w:rFonts w:ascii="Times New Roman" w:hAnsi="Times New Roman"/>
                <w:b/>
                <w:bCs/>
              </w:rPr>
              <w:t>III. Tiesību akta projekta ietekme uz valsts budžetu un pašvaldību budžetiem</w:t>
            </w:r>
          </w:p>
        </w:tc>
      </w:tr>
      <w:tr w:rsidR="00156160" w:rsidRPr="00F80DD1" w:rsidTr="00156160">
        <w:trPr>
          <w:trHeight w:val="177"/>
        </w:trPr>
        <w:tc>
          <w:tcPr>
            <w:tcW w:w="2402" w:type="dxa"/>
            <w:vMerge w:val="restart"/>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b/>
                <w:bCs/>
              </w:rPr>
            </w:pPr>
            <w:r w:rsidRPr="00F80DD1">
              <w:rPr>
                <w:rFonts w:ascii="Times New Roman" w:hAnsi="Times New Roman"/>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56160" w:rsidRPr="00C22849" w:rsidRDefault="00156160" w:rsidP="00122CA5">
            <w:pPr>
              <w:pStyle w:val="Paraststmeklis"/>
              <w:jc w:val="center"/>
              <w:rPr>
                <w:rFonts w:ascii="Times New Roman" w:hAnsi="Times New Roman"/>
                <w:b/>
                <w:bCs/>
              </w:rPr>
            </w:pPr>
            <w:r w:rsidRPr="00C22849">
              <w:rPr>
                <w:rFonts w:ascii="Times New Roman" w:hAnsi="Times New Roman"/>
                <w:b/>
                <w:bCs/>
              </w:rPr>
              <w:t>2013.gads</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156160" w:rsidRPr="00C22849" w:rsidRDefault="00156160" w:rsidP="00122CA5">
            <w:pPr>
              <w:pStyle w:val="Paraststmeklis"/>
              <w:jc w:val="center"/>
              <w:rPr>
                <w:rFonts w:ascii="Times New Roman" w:hAnsi="Times New Roman"/>
              </w:rPr>
            </w:pPr>
            <w:r w:rsidRPr="00C22849">
              <w:rPr>
                <w:rFonts w:ascii="Times New Roman" w:hAnsi="Times New Roman"/>
              </w:rPr>
              <w:t>Turpmākie trīs gadi (</w:t>
            </w:r>
            <w:proofErr w:type="spellStart"/>
            <w:r w:rsidRPr="00C22849">
              <w:rPr>
                <w:rFonts w:ascii="Times New Roman" w:hAnsi="Times New Roman"/>
              </w:rPr>
              <w:t>tūkst</w:t>
            </w:r>
            <w:proofErr w:type="spellEnd"/>
            <w:r w:rsidRPr="00C22849">
              <w:rPr>
                <w:rFonts w:ascii="Times New Roman" w:hAnsi="Times New Roman"/>
              </w:rPr>
              <w:t>. latu)</w:t>
            </w:r>
          </w:p>
        </w:tc>
      </w:tr>
      <w:tr w:rsidR="00156160" w:rsidRPr="00F80DD1" w:rsidTr="00156160">
        <w:trPr>
          <w:trHeight w:val="177"/>
        </w:trPr>
        <w:tc>
          <w:tcPr>
            <w:tcW w:w="2402" w:type="dxa"/>
            <w:vMerge/>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56160" w:rsidRPr="00C22849" w:rsidRDefault="00156160" w:rsidP="00122CA5">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C22849" w:rsidRDefault="00156160" w:rsidP="00122CA5">
            <w:pPr>
              <w:pStyle w:val="Paraststmeklis"/>
              <w:jc w:val="center"/>
              <w:rPr>
                <w:rFonts w:ascii="Times New Roman" w:hAnsi="Times New Roman"/>
                <w:b/>
                <w:bCs/>
              </w:rPr>
            </w:pPr>
            <w:r w:rsidRPr="00C22849">
              <w:rPr>
                <w:rFonts w:ascii="Times New Roman" w:hAnsi="Times New Roman"/>
                <w:b/>
                <w:bCs/>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C22849" w:rsidRDefault="00156160" w:rsidP="00122CA5">
            <w:pPr>
              <w:pStyle w:val="Paraststmeklis"/>
              <w:jc w:val="center"/>
              <w:rPr>
                <w:rFonts w:ascii="Times New Roman" w:hAnsi="Times New Roman"/>
                <w:b/>
                <w:bCs/>
              </w:rPr>
            </w:pPr>
            <w:r w:rsidRPr="00C22849">
              <w:rPr>
                <w:rFonts w:ascii="Times New Roman" w:hAnsi="Times New Roman"/>
                <w:b/>
                <w:bCs/>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C22849" w:rsidRDefault="00156160" w:rsidP="00122CA5">
            <w:pPr>
              <w:pStyle w:val="Paraststmeklis"/>
              <w:jc w:val="center"/>
              <w:rPr>
                <w:rFonts w:ascii="Times New Roman" w:hAnsi="Times New Roman"/>
                <w:b/>
                <w:bCs/>
              </w:rPr>
            </w:pPr>
            <w:r w:rsidRPr="00C22849">
              <w:rPr>
                <w:rFonts w:ascii="Times New Roman" w:hAnsi="Times New Roman"/>
                <w:b/>
                <w:bCs/>
              </w:rPr>
              <w:t>2016</w:t>
            </w:r>
          </w:p>
        </w:tc>
      </w:tr>
      <w:tr w:rsidR="00156160" w:rsidRPr="00F80DD1" w:rsidTr="00156160">
        <w:trPr>
          <w:trHeight w:val="1763"/>
        </w:trPr>
        <w:tc>
          <w:tcPr>
            <w:tcW w:w="2402" w:type="dxa"/>
            <w:vMerge/>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rPr>
            </w:pPr>
            <w:r w:rsidRPr="00F80DD1">
              <w:rPr>
                <w:rFonts w:ascii="Times New Roman" w:hAnsi="Times New Roman"/>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rPr>
            </w:pPr>
            <w:r w:rsidRPr="00F80DD1">
              <w:rPr>
                <w:rFonts w:ascii="Times New Roman" w:hAnsi="Times New Roman"/>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rPr>
            </w:pPr>
            <w:r w:rsidRPr="00F80DD1">
              <w:rPr>
                <w:rFonts w:ascii="Times New Roman" w:hAnsi="Times New Roman"/>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rPr>
            </w:pPr>
            <w:r w:rsidRPr="00F80DD1">
              <w:rPr>
                <w:rFonts w:ascii="Times New Roman" w:hAnsi="Times New Roman"/>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rPr>
            </w:pPr>
            <w:r w:rsidRPr="00F80DD1">
              <w:rPr>
                <w:rFonts w:ascii="Times New Roman" w:hAnsi="Times New Roman"/>
              </w:rPr>
              <w:t>Izmaiņas, salīdzinot ar kārtējo (n) gadu</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rPr>
            </w:pPr>
            <w:r w:rsidRPr="00F80DD1">
              <w:rPr>
                <w:rFonts w:ascii="Times New Roman" w:hAnsi="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rPr>
            </w:pPr>
            <w:r w:rsidRPr="00F80DD1">
              <w:rPr>
                <w:rFonts w:ascii="Times New Roman" w:hAnsi="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rPr>
            </w:pPr>
            <w:r w:rsidRPr="00F80DD1">
              <w:rPr>
                <w:rFonts w:ascii="Times New Roman" w:hAnsi="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rPr>
            </w:pPr>
            <w:r w:rsidRPr="00F80DD1">
              <w:rPr>
                <w:rFonts w:ascii="Times New Roman" w:hAnsi="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rPr>
            </w:pPr>
            <w:r w:rsidRPr="00F80DD1">
              <w:rPr>
                <w:rFonts w:ascii="Times New Roman" w:hAnsi="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Paraststmeklis"/>
              <w:jc w:val="center"/>
              <w:rPr>
                <w:rFonts w:ascii="Times New Roman" w:hAnsi="Times New Roman"/>
              </w:rPr>
            </w:pPr>
            <w:r w:rsidRPr="00F80DD1">
              <w:rPr>
                <w:rFonts w:ascii="Times New Roman" w:hAnsi="Times New Roman"/>
              </w:rPr>
              <w:t>6</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lastRenderedPageBreak/>
              <w:t>1. Budžeta ieņēmumi: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f"/>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f"/>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f"/>
              <w:jc w:val="center"/>
            </w:pPr>
            <w:r w:rsidRPr="00F80DD1">
              <w:t>0</w:t>
            </w:r>
          </w:p>
        </w:tc>
      </w:tr>
      <w:tr w:rsidR="00156160" w:rsidRPr="00F80DD1" w:rsidTr="00156160">
        <w:trPr>
          <w:trHeight w:val="1279"/>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numPr>
                <w:ilvl w:val="1"/>
                <w:numId w:val="2"/>
              </w:numPr>
              <w:spacing w:beforeAutospacing="0" w:after="0" w:afterAutospacing="0"/>
              <w:ind w:left="0" w:firstLine="0"/>
              <w:jc w:val="both"/>
              <w:rPr>
                <w:rFonts w:ascii="Times New Roman" w:hAnsi="Times New Roman"/>
              </w:rPr>
            </w:pPr>
            <w:r w:rsidRPr="00F80DD1">
              <w:rPr>
                <w:rFonts w:ascii="Times New Roman" w:hAnsi="Times New Roman"/>
              </w:rPr>
              <w:t>valsts pamatbudžets, tai skaitā ieņēmumi no maksas pakalpojumiem un citi pašu ieņēmumi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c"/>
              <w:jc w:val="center"/>
            </w:pPr>
          </w:p>
          <w:p w:rsidR="00156160" w:rsidRPr="00F80DD1" w:rsidRDefault="00156160" w:rsidP="00122CA5">
            <w:pPr>
              <w:pStyle w:val="naisc"/>
              <w:jc w:val="center"/>
            </w:pPr>
            <w:r w:rsidRPr="00F80DD1">
              <w:t>0</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jc w:val="both"/>
              <w:rPr>
                <w:rFonts w:ascii="Times New Roman" w:hAnsi="Times New Roman"/>
              </w:rPr>
            </w:pPr>
            <w:r w:rsidRPr="00F80DD1">
              <w:rPr>
                <w:rFonts w:ascii="Times New Roman" w:hAnsi="Times New Roman"/>
              </w:rPr>
              <w:t>1.2. valsts speciālais budžets</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f"/>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f"/>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f"/>
              <w:jc w:val="center"/>
            </w:pPr>
            <w:r w:rsidRPr="00F80DD1">
              <w:t>0</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1.3.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f"/>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f"/>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f"/>
              <w:jc w:val="center"/>
            </w:pPr>
            <w:r w:rsidRPr="00F80DD1">
              <w:t>0</w:t>
            </w:r>
          </w:p>
        </w:tc>
      </w:tr>
      <w:tr w:rsidR="00156160" w:rsidRPr="009B4FA9" w:rsidTr="00156160">
        <w:trPr>
          <w:trHeight w:val="348"/>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2. Budžeta izdevumi: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AD60F6" w:rsidRDefault="00156160" w:rsidP="00122CA5">
            <w:pPr>
              <w:pStyle w:val="naisc"/>
              <w:jc w:val="center"/>
            </w:pPr>
            <w:r w:rsidRPr="00AD60F6">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AD60F6" w:rsidRDefault="00156160" w:rsidP="00122CA5">
            <w:pPr>
              <w:jc w:val="center"/>
            </w:pPr>
            <w:r w:rsidRPr="00AD60F6">
              <w:t>16,3</w:t>
            </w:r>
          </w:p>
        </w:tc>
      </w:tr>
      <w:tr w:rsidR="00156160" w:rsidRPr="00F80DD1" w:rsidTr="00156160">
        <w:trPr>
          <w:trHeight w:val="360"/>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spacing w:before="0" w:beforeAutospacing="0" w:after="0" w:afterAutospacing="0"/>
              <w:rPr>
                <w:rFonts w:ascii="Times New Roman" w:hAnsi="Times New Roman"/>
              </w:rPr>
            </w:pPr>
            <w:r w:rsidRPr="00F80DD1">
              <w:rPr>
                <w:rFonts w:ascii="Times New Roman" w:hAnsi="Times New Roman"/>
              </w:rPr>
              <w:t>2.1. valsts pamatbudžets</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spacing w:line="270" w:lineRule="atLeast"/>
              <w:jc w:val="center"/>
            </w:pPr>
            <w:r w:rsidRPr="00AD60F6">
              <w:t>163,5</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spacing w:line="270" w:lineRule="atLeast"/>
              <w:jc w:val="center"/>
            </w:pPr>
            <w:r w:rsidRPr="00AD60F6">
              <w:t>16,3</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2.2. valsts speciālais budžets</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f"/>
              <w:jc w:val="center"/>
            </w:pPr>
            <w:r w:rsidRPr="00AD60F6">
              <w:t>0</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2.3. pašvaldību budžets</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f"/>
              <w:jc w:val="center"/>
            </w:pPr>
            <w:r w:rsidRPr="00AD60F6">
              <w:t>0</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3. Finansiālā ietekme:</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c"/>
              <w:jc w:val="center"/>
            </w:pPr>
            <w:r w:rsidRPr="00AD60F6">
              <w:t>-163,5</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jc w:val="center"/>
            </w:pPr>
            <w:r w:rsidRPr="00AD60F6">
              <w:t>-16,3</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3.1. valsts pamatbudžets</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spacing w:line="270" w:lineRule="atLeast"/>
              <w:jc w:val="center"/>
            </w:pPr>
            <w:r w:rsidRPr="00AD60F6">
              <w:t>-163,5</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spacing w:line="270" w:lineRule="atLeast"/>
              <w:jc w:val="center"/>
            </w:pPr>
            <w:r w:rsidRPr="00AD60F6">
              <w:t>-16,3</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3.2. speciālais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f"/>
              <w:jc w:val="center"/>
            </w:pPr>
            <w:r w:rsidRPr="00AD60F6">
              <w:t>0</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3.3.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16288F" w:rsidRDefault="00156160" w:rsidP="00122CA5">
            <w:pPr>
              <w:pStyle w:val="naisf"/>
              <w:jc w:val="center"/>
            </w:pPr>
            <w:r w:rsidRPr="0016288F">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16288F" w:rsidRDefault="00156160" w:rsidP="00122CA5">
            <w:pPr>
              <w:pStyle w:val="naisf"/>
              <w:jc w:val="center"/>
            </w:pPr>
            <w:r w:rsidRPr="0016288F">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16288F" w:rsidRDefault="00156160" w:rsidP="00122CA5">
            <w:pPr>
              <w:pStyle w:val="naisf"/>
              <w:jc w:val="center"/>
            </w:pPr>
            <w:r w:rsidRPr="0016288F">
              <w:t>0</w:t>
            </w:r>
          </w:p>
        </w:tc>
      </w:tr>
      <w:tr w:rsidR="00156160" w:rsidRPr="00F80DD1" w:rsidTr="00156160">
        <w:trPr>
          <w:trHeight w:val="266"/>
        </w:trPr>
        <w:tc>
          <w:tcPr>
            <w:tcW w:w="2402" w:type="dxa"/>
            <w:vMerge w:val="restart"/>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jc w:val="both"/>
              <w:rPr>
                <w:rFonts w:ascii="Times New Roman" w:hAnsi="Times New Roman"/>
              </w:rPr>
            </w:pPr>
            <w:r w:rsidRPr="00F80DD1">
              <w:rPr>
                <w:rFonts w:ascii="Times New Roman" w:hAnsi="Times New Roman"/>
              </w:rPr>
              <w:t>4. Finanšu līdzekļi papildu izdevumu finansēšanai (kompensējošu izdevumu samazinājumu norāda ar "+" zīmi)</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pStyle w:val="naisc"/>
              <w:jc w:val="center"/>
            </w:pPr>
            <w:r w:rsidRPr="00F80DD1">
              <w:t>0</w:t>
            </w:r>
          </w:p>
        </w:tc>
        <w:tc>
          <w:tcPr>
            <w:tcW w:w="0" w:type="auto"/>
            <w:tcBorders>
              <w:top w:val="outset" w:sz="6" w:space="0" w:color="000000"/>
              <w:left w:val="outset" w:sz="6" w:space="0" w:color="000000"/>
              <w:bottom w:val="single" w:sz="4" w:space="0" w:color="auto"/>
              <w:right w:val="outset" w:sz="6" w:space="0" w:color="000000"/>
            </w:tcBorders>
            <w:hideMark/>
          </w:tcPr>
          <w:p w:rsidR="00156160" w:rsidRPr="007E3092" w:rsidRDefault="00156160" w:rsidP="00122CA5">
            <w:pPr>
              <w:pStyle w:val="naisc"/>
              <w:jc w:val="center"/>
            </w:pPr>
            <w:r w:rsidRPr="007E3092">
              <w:t>0</w:t>
            </w:r>
          </w:p>
        </w:tc>
        <w:tc>
          <w:tcPr>
            <w:tcW w:w="0" w:type="auto"/>
            <w:tcBorders>
              <w:top w:val="outset" w:sz="6" w:space="0" w:color="000000"/>
              <w:left w:val="outset" w:sz="6" w:space="0" w:color="000000"/>
              <w:bottom w:val="single" w:sz="4" w:space="0" w:color="auto"/>
              <w:right w:val="outset" w:sz="6" w:space="0" w:color="000000"/>
            </w:tcBorders>
            <w:hideMark/>
          </w:tcPr>
          <w:p w:rsidR="00156160" w:rsidRPr="0016288F" w:rsidRDefault="00156160" w:rsidP="00122CA5">
            <w:pPr>
              <w:pStyle w:val="naisf"/>
              <w:jc w:val="center"/>
            </w:pPr>
            <w:r w:rsidRPr="0016288F">
              <w:t>0</w:t>
            </w:r>
          </w:p>
        </w:tc>
        <w:tc>
          <w:tcPr>
            <w:tcW w:w="0" w:type="auto"/>
            <w:tcBorders>
              <w:top w:val="outset" w:sz="6" w:space="0" w:color="000000"/>
              <w:left w:val="outset" w:sz="6" w:space="0" w:color="000000"/>
              <w:bottom w:val="single" w:sz="4" w:space="0" w:color="auto"/>
              <w:right w:val="outset" w:sz="6" w:space="0" w:color="000000"/>
            </w:tcBorders>
            <w:hideMark/>
          </w:tcPr>
          <w:p w:rsidR="00156160" w:rsidRPr="0016288F" w:rsidRDefault="00156160" w:rsidP="00122CA5">
            <w:pPr>
              <w:pStyle w:val="naisf"/>
              <w:jc w:val="center"/>
            </w:pPr>
            <w:r w:rsidRPr="0016288F">
              <w:t>0</w:t>
            </w:r>
          </w:p>
        </w:tc>
        <w:tc>
          <w:tcPr>
            <w:tcW w:w="0" w:type="auto"/>
            <w:tcBorders>
              <w:top w:val="outset" w:sz="6" w:space="0" w:color="000000"/>
              <w:left w:val="outset" w:sz="6" w:space="0" w:color="000000"/>
              <w:bottom w:val="single" w:sz="4" w:space="0" w:color="auto"/>
              <w:right w:val="outset" w:sz="6" w:space="0" w:color="000000"/>
            </w:tcBorders>
            <w:hideMark/>
          </w:tcPr>
          <w:p w:rsidR="00156160" w:rsidRPr="0016288F" w:rsidRDefault="00156160" w:rsidP="00122CA5">
            <w:pPr>
              <w:pStyle w:val="naisf"/>
              <w:jc w:val="center"/>
            </w:pPr>
            <w:r w:rsidRPr="0016288F">
              <w:t>0</w:t>
            </w:r>
          </w:p>
        </w:tc>
      </w:tr>
      <w:tr w:rsidR="00156160" w:rsidRPr="00F80DD1" w:rsidTr="00156160">
        <w:trPr>
          <w:trHeight w:val="332"/>
        </w:trPr>
        <w:tc>
          <w:tcPr>
            <w:tcW w:w="2402" w:type="dxa"/>
            <w:vMerge/>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rPr>
                <w:b/>
              </w:rPr>
            </w:pPr>
          </w:p>
        </w:tc>
        <w:tc>
          <w:tcPr>
            <w:tcW w:w="0" w:type="auto"/>
            <w:tcBorders>
              <w:top w:val="single" w:sz="4" w:space="0" w:color="auto"/>
              <w:left w:val="outset" w:sz="6" w:space="0" w:color="000000"/>
              <w:bottom w:val="single" w:sz="4" w:space="0" w:color="auto"/>
              <w:right w:val="outset" w:sz="6" w:space="0" w:color="000000"/>
            </w:tcBorders>
            <w:hideMark/>
          </w:tcPr>
          <w:p w:rsidR="00156160" w:rsidRPr="00F80DD1" w:rsidRDefault="00156160" w:rsidP="00122CA5">
            <w:pPr>
              <w:spacing w:line="270" w:lineRule="atLeast"/>
              <w:jc w:val="center"/>
            </w:pPr>
            <w:r w:rsidRPr="00F80DD1">
              <w:t>0</w:t>
            </w:r>
          </w:p>
        </w:tc>
        <w:tc>
          <w:tcPr>
            <w:tcW w:w="0" w:type="auto"/>
            <w:tcBorders>
              <w:top w:val="single" w:sz="4" w:space="0" w:color="auto"/>
              <w:left w:val="outset" w:sz="6" w:space="0" w:color="000000"/>
              <w:bottom w:val="single" w:sz="4" w:space="0" w:color="auto"/>
              <w:right w:val="outset" w:sz="6" w:space="0" w:color="000000"/>
            </w:tcBorders>
            <w:hideMark/>
          </w:tcPr>
          <w:p w:rsidR="00156160" w:rsidRPr="0016288F" w:rsidRDefault="00156160" w:rsidP="00122CA5">
            <w:pPr>
              <w:spacing w:line="270" w:lineRule="atLeast"/>
              <w:jc w:val="center"/>
            </w:pPr>
            <w:r w:rsidRPr="0016288F">
              <w:t>0</w:t>
            </w:r>
          </w:p>
        </w:tc>
        <w:tc>
          <w:tcPr>
            <w:tcW w:w="0" w:type="auto"/>
            <w:tcBorders>
              <w:top w:val="single" w:sz="4" w:space="0" w:color="auto"/>
              <w:left w:val="outset" w:sz="6" w:space="0" w:color="000000"/>
              <w:bottom w:val="single" w:sz="4" w:space="0" w:color="auto"/>
              <w:right w:val="outset" w:sz="6" w:space="0" w:color="000000"/>
            </w:tcBorders>
            <w:hideMark/>
          </w:tcPr>
          <w:p w:rsidR="00156160" w:rsidRPr="0016288F" w:rsidRDefault="00156160" w:rsidP="00122CA5">
            <w:pPr>
              <w:spacing w:line="270" w:lineRule="atLeast"/>
              <w:jc w:val="center"/>
            </w:pPr>
            <w:r w:rsidRPr="0016288F">
              <w:t>0</w:t>
            </w:r>
          </w:p>
        </w:tc>
        <w:tc>
          <w:tcPr>
            <w:tcW w:w="0" w:type="auto"/>
            <w:tcBorders>
              <w:top w:val="single" w:sz="4" w:space="0" w:color="auto"/>
              <w:left w:val="outset" w:sz="6" w:space="0" w:color="000000"/>
              <w:bottom w:val="single" w:sz="4" w:space="0" w:color="auto"/>
              <w:right w:val="outset" w:sz="6" w:space="0" w:color="000000"/>
            </w:tcBorders>
            <w:hideMark/>
          </w:tcPr>
          <w:p w:rsidR="00156160" w:rsidRPr="0016288F" w:rsidRDefault="00156160" w:rsidP="00122CA5">
            <w:pPr>
              <w:spacing w:line="270" w:lineRule="atLeast"/>
              <w:jc w:val="center"/>
            </w:pPr>
            <w:r w:rsidRPr="0016288F">
              <w:t>0</w:t>
            </w:r>
          </w:p>
        </w:tc>
      </w:tr>
      <w:tr w:rsidR="00156160" w:rsidRPr="00F80DD1" w:rsidTr="00156160">
        <w:trPr>
          <w:trHeight w:val="313"/>
        </w:trPr>
        <w:tc>
          <w:tcPr>
            <w:tcW w:w="2402" w:type="dxa"/>
            <w:vMerge/>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rPr>
                <w:b/>
              </w:rPr>
            </w:pPr>
          </w:p>
        </w:tc>
        <w:tc>
          <w:tcPr>
            <w:tcW w:w="0" w:type="auto"/>
            <w:tcBorders>
              <w:top w:val="single" w:sz="4" w:space="0" w:color="auto"/>
              <w:left w:val="outset" w:sz="6" w:space="0" w:color="000000"/>
              <w:bottom w:val="nil"/>
              <w:right w:val="outset" w:sz="6" w:space="0" w:color="000000"/>
            </w:tcBorders>
            <w:hideMark/>
          </w:tcPr>
          <w:p w:rsidR="00156160" w:rsidRPr="00F80DD1" w:rsidRDefault="00156160" w:rsidP="00122CA5">
            <w:pPr>
              <w:spacing w:line="270" w:lineRule="atLeast"/>
              <w:jc w:val="center"/>
            </w:pPr>
            <w:r w:rsidRPr="00F80DD1">
              <w:t>0</w:t>
            </w:r>
          </w:p>
        </w:tc>
        <w:tc>
          <w:tcPr>
            <w:tcW w:w="0" w:type="auto"/>
            <w:tcBorders>
              <w:top w:val="single" w:sz="4" w:space="0" w:color="auto"/>
              <w:left w:val="outset" w:sz="6" w:space="0" w:color="000000"/>
              <w:bottom w:val="nil"/>
              <w:right w:val="outset" w:sz="6" w:space="0" w:color="000000"/>
            </w:tcBorders>
            <w:hideMark/>
          </w:tcPr>
          <w:p w:rsidR="00156160" w:rsidRPr="0016288F" w:rsidRDefault="00156160" w:rsidP="00122CA5">
            <w:pPr>
              <w:spacing w:line="270" w:lineRule="atLeast"/>
              <w:jc w:val="center"/>
            </w:pPr>
            <w:r w:rsidRPr="0016288F">
              <w:t>0</w:t>
            </w:r>
          </w:p>
        </w:tc>
        <w:tc>
          <w:tcPr>
            <w:tcW w:w="0" w:type="auto"/>
            <w:tcBorders>
              <w:top w:val="single" w:sz="4" w:space="0" w:color="auto"/>
              <w:left w:val="outset" w:sz="6" w:space="0" w:color="000000"/>
              <w:bottom w:val="nil"/>
              <w:right w:val="outset" w:sz="6" w:space="0" w:color="000000"/>
            </w:tcBorders>
            <w:hideMark/>
          </w:tcPr>
          <w:p w:rsidR="00156160" w:rsidRPr="0016288F" w:rsidRDefault="00156160" w:rsidP="00122CA5">
            <w:pPr>
              <w:spacing w:line="270" w:lineRule="atLeast"/>
              <w:jc w:val="center"/>
            </w:pPr>
            <w:r w:rsidRPr="0016288F">
              <w:t>0</w:t>
            </w:r>
          </w:p>
        </w:tc>
        <w:tc>
          <w:tcPr>
            <w:tcW w:w="0" w:type="auto"/>
            <w:tcBorders>
              <w:top w:val="single" w:sz="4" w:space="0" w:color="auto"/>
              <w:left w:val="outset" w:sz="6" w:space="0" w:color="000000"/>
              <w:bottom w:val="nil"/>
              <w:right w:val="outset" w:sz="6" w:space="0" w:color="000000"/>
            </w:tcBorders>
            <w:hideMark/>
          </w:tcPr>
          <w:p w:rsidR="00156160" w:rsidRPr="0016288F" w:rsidRDefault="00156160" w:rsidP="00122CA5">
            <w:pPr>
              <w:spacing w:line="270" w:lineRule="atLeast"/>
              <w:jc w:val="center"/>
            </w:pPr>
            <w:r w:rsidRPr="0016288F">
              <w:t>0</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jc w:val="both"/>
              <w:rPr>
                <w:rFonts w:ascii="Times New Roman" w:hAnsi="Times New Roman"/>
              </w:rPr>
            </w:pPr>
            <w:r w:rsidRPr="00F80DD1">
              <w:rPr>
                <w:rFonts w:ascii="Times New Roman" w:hAnsi="Times New Roman"/>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56160" w:rsidRPr="00F80DD1" w:rsidRDefault="00156160" w:rsidP="00122CA5">
            <w:pPr>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tcPr>
          <w:p w:rsidR="00156160" w:rsidRPr="00BE52F8" w:rsidRDefault="00156160" w:rsidP="00122CA5">
            <w:pPr>
              <w:pStyle w:val="naisf"/>
              <w:jc w:val="center"/>
              <w:rPr>
                <w:b/>
                <w:highlight w:val="yellow"/>
              </w:rPr>
            </w:pPr>
          </w:p>
        </w:tc>
        <w:tc>
          <w:tcPr>
            <w:tcW w:w="0" w:type="auto"/>
            <w:tcBorders>
              <w:top w:val="outset" w:sz="6" w:space="0" w:color="000000"/>
              <w:left w:val="outset" w:sz="6" w:space="0" w:color="000000"/>
              <w:bottom w:val="outset" w:sz="6" w:space="0" w:color="000000"/>
              <w:right w:val="outset" w:sz="6" w:space="0" w:color="000000"/>
            </w:tcBorders>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pStyle w:val="naisc"/>
              <w:jc w:val="center"/>
            </w:pPr>
            <w:r w:rsidRPr="00AD60F6">
              <w:t>-163,5</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jc w:val="center"/>
            </w:pPr>
            <w:r w:rsidRPr="00AD60F6">
              <w:t>-16,3</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rPr>
                <w:b/>
              </w:rPr>
            </w:pPr>
          </w:p>
        </w:tc>
        <w:tc>
          <w:tcPr>
            <w:tcW w:w="0" w:type="auto"/>
            <w:tcBorders>
              <w:top w:val="outset" w:sz="6" w:space="0" w:color="000000"/>
              <w:left w:val="outset" w:sz="6" w:space="0" w:color="000000"/>
              <w:bottom w:val="outset" w:sz="6" w:space="0" w:color="000000"/>
              <w:right w:val="outset" w:sz="6" w:space="0" w:color="000000"/>
            </w:tcBorders>
          </w:tcPr>
          <w:p w:rsidR="00156160" w:rsidRPr="00BE52F8" w:rsidRDefault="00156160" w:rsidP="00122CA5">
            <w:pPr>
              <w:pStyle w:val="naisf"/>
              <w:jc w:val="center"/>
              <w:rPr>
                <w:b/>
                <w:highlight w:val="yellow"/>
              </w:rPr>
            </w:pPr>
          </w:p>
        </w:tc>
        <w:tc>
          <w:tcPr>
            <w:tcW w:w="0" w:type="auto"/>
            <w:tcBorders>
              <w:top w:val="outset" w:sz="6" w:space="0" w:color="000000"/>
              <w:left w:val="outset" w:sz="6" w:space="0" w:color="000000"/>
              <w:bottom w:val="outset" w:sz="6" w:space="0" w:color="000000"/>
              <w:right w:val="outset" w:sz="6" w:space="0" w:color="000000"/>
            </w:tcBorders>
          </w:tcPr>
          <w:p w:rsidR="00156160" w:rsidRPr="00AD60F6" w:rsidRDefault="00156160" w:rsidP="00122CA5">
            <w:pPr>
              <w:pStyle w:val="naisf"/>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spacing w:line="270" w:lineRule="atLeast"/>
              <w:jc w:val="center"/>
            </w:pPr>
            <w:r w:rsidRPr="00AD60F6">
              <w:t>-163,5</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spacing w:line="270" w:lineRule="atLeast"/>
              <w:jc w:val="center"/>
            </w:pPr>
            <w:r w:rsidRPr="00AD60F6">
              <w:t>-16,3</w:t>
            </w:r>
          </w:p>
        </w:tc>
      </w:tr>
      <w:tr w:rsidR="00156160" w:rsidRPr="00F80DD1" w:rsidTr="00156160">
        <w:trPr>
          <w:trHeight w:val="177"/>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rPr>
                <w: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56160" w:rsidRPr="00F80DD1" w:rsidRDefault="00156160" w:rsidP="00122CA5">
            <w:pPr>
              <w:spacing w:line="270" w:lineRule="atLeast"/>
              <w:jc w:val="center"/>
            </w:pPr>
            <w:r w:rsidRPr="00F80DD1">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AD60F6" w:rsidRDefault="00156160" w:rsidP="00122CA5">
            <w:pPr>
              <w:spacing w:line="270" w:lineRule="atLeast"/>
              <w:jc w:val="center"/>
            </w:pPr>
            <w:r w:rsidRPr="00AD60F6">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16288F" w:rsidRDefault="00156160" w:rsidP="00122CA5">
            <w:pPr>
              <w:spacing w:line="270" w:lineRule="atLeast"/>
              <w:jc w:val="center"/>
            </w:pPr>
            <w:r w:rsidRPr="0016288F">
              <w:t>0</w:t>
            </w:r>
          </w:p>
        </w:tc>
        <w:tc>
          <w:tcPr>
            <w:tcW w:w="0" w:type="auto"/>
            <w:tcBorders>
              <w:top w:val="outset" w:sz="6" w:space="0" w:color="000000"/>
              <w:left w:val="outset" w:sz="6" w:space="0" w:color="000000"/>
              <w:bottom w:val="outset" w:sz="6" w:space="0" w:color="000000"/>
              <w:right w:val="outset" w:sz="6" w:space="0" w:color="000000"/>
            </w:tcBorders>
            <w:hideMark/>
          </w:tcPr>
          <w:p w:rsidR="00156160" w:rsidRPr="0016288F" w:rsidRDefault="00156160" w:rsidP="00122CA5">
            <w:pPr>
              <w:spacing w:line="270" w:lineRule="atLeast"/>
              <w:jc w:val="center"/>
            </w:pPr>
            <w:r w:rsidRPr="0016288F">
              <w:t>0</w:t>
            </w:r>
          </w:p>
        </w:tc>
      </w:tr>
      <w:tr w:rsidR="00156160" w:rsidRPr="00F80DD1" w:rsidTr="00156160">
        <w:trPr>
          <w:trHeight w:val="244"/>
        </w:trPr>
        <w:tc>
          <w:tcPr>
            <w:tcW w:w="2402" w:type="dxa"/>
            <w:tcBorders>
              <w:top w:val="outset" w:sz="6" w:space="0" w:color="000000"/>
              <w:left w:val="outset" w:sz="6" w:space="0" w:color="000000"/>
              <w:bottom w:val="single" w:sz="4" w:space="0" w:color="auto"/>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5.3.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156160" w:rsidRPr="00F80DD1" w:rsidRDefault="00156160" w:rsidP="00122CA5">
            <w:pPr>
              <w:rPr>
                <w:b/>
              </w:rPr>
            </w:pPr>
          </w:p>
        </w:tc>
        <w:tc>
          <w:tcPr>
            <w:tcW w:w="0" w:type="auto"/>
            <w:tcBorders>
              <w:top w:val="outset" w:sz="6" w:space="0" w:color="000000"/>
              <w:left w:val="outset" w:sz="6" w:space="0" w:color="000000"/>
              <w:bottom w:val="single" w:sz="4" w:space="0" w:color="auto"/>
              <w:right w:val="outset" w:sz="6" w:space="0" w:color="000000"/>
            </w:tcBorders>
            <w:hideMark/>
          </w:tcPr>
          <w:p w:rsidR="00156160" w:rsidRPr="00F80DD1" w:rsidRDefault="00156160" w:rsidP="00122CA5">
            <w:pPr>
              <w:spacing w:line="270" w:lineRule="atLeast"/>
              <w:jc w:val="center"/>
            </w:pPr>
            <w:r w:rsidRPr="00F80DD1">
              <w:t>0</w:t>
            </w:r>
          </w:p>
        </w:tc>
        <w:tc>
          <w:tcPr>
            <w:tcW w:w="0" w:type="auto"/>
            <w:tcBorders>
              <w:top w:val="outset" w:sz="6" w:space="0" w:color="000000"/>
              <w:left w:val="outset" w:sz="6" w:space="0" w:color="000000"/>
              <w:bottom w:val="single" w:sz="4" w:space="0" w:color="auto"/>
              <w:right w:val="outset" w:sz="6" w:space="0" w:color="000000"/>
            </w:tcBorders>
            <w:hideMark/>
          </w:tcPr>
          <w:p w:rsidR="00156160" w:rsidRPr="0016288F" w:rsidRDefault="00156160" w:rsidP="00122CA5">
            <w:pPr>
              <w:spacing w:line="270" w:lineRule="atLeast"/>
              <w:jc w:val="center"/>
            </w:pPr>
            <w:r w:rsidRPr="0016288F">
              <w:t>0</w:t>
            </w:r>
          </w:p>
        </w:tc>
        <w:tc>
          <w:tcPr>
            <w:tcW w:w="0" w:type="auto"/>
            <w:tcBorders>
              <w:top w:val="outset" w:sz="6" w:space="0" w:color="000000"/>
              <w:left w:val="outset" w:sz="6" w:space="0" w:color="000000"/>
              <w:bottom w:val="single" w:sz="4" w:space="0" w:color="auto"/>
              <w:right w:val="outset" w:sz="6" w:space="0" w:color="000000"/>
            </w:tcBorders>
            <w:hideMark/>
          </w:tcPr>
          <w:p w:rsidR="00156160" w:rsidRPr="0016288F" w:rsidRDefault="00156160" w:rsidP="00122CA5">
            <w:pPr>
              <w:spacing w:line="270" w:lineRule="atLeast"/>
              <w:jc w:val="center"/>
            </w:pPr>
            <w:r w:rsidRPr="0016288F">
              <w:t>0</w:t>
            </w:r>
          </w:p>
        </w:tc>
        <w:tc>
          <w:tcPr>
            <w:tcW w:w="0" w:type="auto"/>
            <w:tcBorders>
              <w:top w:val="outset" w:sz="6" w:space="0" w:color="000000"/>
              <w:left w:val="outset" w:sz="6" w:space="0" w:color="000000"/>
              <w:bottom w:val="single" w:sz="4" w:space="0" w:color="auto"/>
              <w:right w:val="outset" w:sz="6" w:space="0" w:color="000000"/>
            </w:tcBorders>
            <w:hideMark/>
          </w:tcPr>
          <w:p w:rsidR="00156160" w:rsidRPr="0016288F" w:rsidRDefault="00156160" w:rsidP="00122CA5">
            <w:pPr>
              <w:spacing w:line="270" w:lineRule="atLeast"/>
              <w:jc w:val="center"/>
            </w:pPr>
            <w:r w:rsidRPr="0016288F">
              <w:t>0</w:t>
            </w:r>
          </w:p>
        </w:tc>
      </w:tr>
      <w:tr w:rsidR="00156160" w:rsidRPr="00260B32" w:rsidTr="00156160">
        <w:trPr>
          <w:trHeight w:val="3215"/>
        </w:trPr>
        <w:tc>
          <w:tcPr>
            <w:tcW w:w="2402" w:type="dxa"/>
            <w:tcBorders>
              <w:top w:val="single" w:sz="4" w:space="0" w:color="auto"/>
              <w:left w:val="single" w:sz="4" w:space="0" w:color="auto"/>
              <w:bottom w:val="single" w:sz="4" w:space="0" w:color="auto"/>
              <w:right w:val="single" w:sz="4" w:space="0" w:color="auto"/>
            </w:tcBorders>
            <w:hideMark/>
          </w:tcPr>
          <w:p w:rsidR="00156160" w:rsidRPr="00F80DD1" w:rsidRDefault="00156160" w:rsidP="00122CA5">
            <w:pPr>
              <w:pStyle w:val="Paraststmeklis"/>
              <w:jc w:val="both"/>
              <w:rPr>
                <w:rFonts w:ascii="Times New Roman" w:hAnsi="Times New Roman"/>
              </w:rPr>
            </w:pPr>
            <w:r w:rsidRPr="00F80DD1">
              <w:rPr>
                <w:rFonts w:ascii="Times New Roman" w:hAnsi="Times New Roman"/>
              </w:rPr>
              <w:lastRenderedPageBreak/>
              <w:t>6. Detalizēts ieņēmumu un izdevumu aprēķins (ja nepieciešams, detalizētu ieņēmumu un izdevumu aprēķinu var pievienot anotācijas pielikumā):</w:t>
            </w:r>
          </w:p>
        </w:tc>
        <w:tc>
          <w:tcPr>
            <w:tcW w:w="0" w:type="auto"/>
            <w:gridSpan w:val="5"/>
            <w:vMerge w:val="restart"/>
            <w:tcBorders>
              <w:top w:val="single" w:sz="4" w:space="0" w:color="auto"/>
              <w:left w:val="single" w:sz="4" w:space="0" w:color="auto"/>
              <w:bottom w:val="single" w:sz="4" w:space="0" w:color="auto"/>
              <w:right w:val="single" w:sz="4" w:space="0" w:color="auto"/>
            </w:tcBorders>
            <w:vAlign w:val="center"/>
          </w:tcPr>
          <w:p w:rsidR="00156160" w:rsidRPr="00AD60F6" w:rsidRDefault="00156160" w:rsidP="00122CA5">
            <w:pPr>
              <w:pStyle w:val="naisf"/>
              <w:spacing w:before="0" w:after="0"/>
              <w:jc w:val="center"/>
            </w:pPr>
            <w:r w:rsidRPr="00AD60F6">
              <w:t>Iekšlietu ministrija (Iekšlietu ministrijas Informācijas centrs, budžeta apakšprogramma 02.03.00 „Vienotās sakaru un informācijas sistēmas uzturēšana un vadība”)</w:t>
            </w:r>
          </w:p>
          <w:p w:rsidR="00156160" w:rsidRDefault="00156160" w:rsidP="00122CA5">
            <w:pPr>
              <w:pStyle w:val="naisf"/>
              <w:tabs>
                <w:tab w:val="left" w:pos="546"/>
              </w:tabs>
              <w:spacing w:before="0" w:after="0"/>
              <w:ind w:firstLine="546"/>
              <w:rPr>
                <w:u w:val="single"/>
              </w:rPr>
            </w:pPr>
          </w:p>
          <w:p w:rsidR="00156160" w:rsidRDefault="00156160" w:rsidP="00122CA5">
            <w:pPr>
              <w:pStyle w:val="naisf"/>
              <w:tabs>
                <w:tab w:val="left" w:pos="546"/>
              </w:tabs>
              <w:spacing w:before="0" w:after="0"/>
              <w:ind w:firstLine="546"/>
              <w:rPr>
                <w:u w:val="single"/>
              </w:rPr>
            </w:pPr>
            <w:r w:rsidRPr="00AD60F6">
              <w:rPr>
                <w:u w:val="single"/>
              </w:rPr>
              <w:t>2015</w:t>
            </w:r>
            <w:r>
              <w:rPr>
                <w:u w:val="single"/>
              </w:rPr>
              <w:t xml:space="preserve">.gadā izdevumi kopā Ls 163 </w:t>
            </w:r>
            <w:r w:rsidRPr="00AD60F6">
              <w:rPr>
                <w:u w:val="single"/>
              </w:rPr>
              <w:t>500</w:t>
            </w:r>
          </w:p>
          <w:p w:rsidR="00156160" w:rsidRDefault="00156160" w:rsidP="00122CA5">
            <w:pPr>
              <w:pStyle w:val="naisf"/>
              <w:tabs>
                <w:tab w:val="left" w:pos="546"/>
              </w:tabs>
              <w:spacing w:before="0" w:after="0"/>
              <w:ind w:firstLine="546"/>
              <w:rPr>
                <w:u w:val="single"/>
              </w:rPr>
            </w:pPr>
            <w:proofErr w:type="spellStart"/>
            <w:r>
              <w:t>t.sk</w:t>
            </w:r>
            <w:proofErr w:type="spellEnd"/>
            <w:r>
              <w:t xml:space="preserve">. Kapitālie izdevumi Ls 163 </w:t>
            </w:r>
            <w:r w:rsidRPr="00AD60F6">
              <w:t>500</w:t>
            </w:r>
          </w:p>
          <w:p w:rsidR="00156160" w:rsidRDefault="00156160" w:rsidP="00122CA5">
            <w:pPr>
              <w:pStyle w:val="naisf"/>
              <w:tabs>
                <w:tab w:val="left" w:pos="546"/>
              </w:tabs>
              <w:spacing w:before="0" w:after="0"/>
              <w:ind w:firstLine="546"/>
            </w:pPr>
            <w:proofErr w:type="spellStart"/>
            <w:r w:rsidRPr="00AD60F6">
              <w:t>t.sk</w:t>
            </w:r>
            <w:proofErr w:type="spellEnd"/>
            <w:r w:rsidRPr="00AD60F6">
              <w:t>. IKK 5000 – Pamatkapitāla veidošana Ls 163</w:t>
            </w:r>
            <w:r>
              <w:t xml:space="preserve"> </w:t>
            </w:r>
            <w:r w:rsidRPr="00AD60F6">
              <w:t>500</w:t>
            </w:r>
          </w:p>
          <w:p w:rsidR="00156160" w:rsidRDefault="00156160" w:rsidP="00122CA5">
            <w:pPr>
              <w:pStyle w:val="naisf"/>
              <w:tabs>
                <w:tab w:val="left" w:pos="546"/>
              </w:tabs>
              <w:spacing w:before="0" w:after="0"/>
              <w:ind w:firstLine="546"/>
            </w:pPr>
          </w:p>
          <w:p w:rsidR="00156160" w:rsidRDefault="00156160" w:rsidP="00122CA5">
            <w:pPr>
              <w:pStyle w:val="naisf"/>
              <w:tabs>
                <w:tab w:val="left" w:pos="546"/>
              </w:tabs>
              <w:spacing w:before="0" w:after="0"/>
              <w:ind w:firstLine="546"/>
              <w:rPr>
                <w:u w:val="single"/>
              </w:rPr>
            </w:pPr>
            <w:r w:rsidRPr="00AD60F6">
              <w:t>Lai praksē īstenotu vienošanās procesu uzskaiti un administrēšanu</w:t>
            </w:r>
            <w:r w:rsidR="001A0F8D" w:rsidRPr="00AD60F6">
              <w:t xml:space="preserve"> administratīvo pārkāpumu lietās</w:t>
            </w:r>
            <w:r w:rsidRPr="00AD60F6">
              <w:t>, nepieciešams veikt izmaiņas Integrētās iekšlietu informācijas sistēmas (turpmāk – IIIS) apakšsistēmā „Ceļu policijas reģistrs”, „Administratīvus pārkāpumus izdarījušās personas”, „Nepilngadīgo personu atbalsta informācijas sistēma”, „Ieroču reģistrs”, Mobilajā aplikācijā (</w:t>
            </w:r>
            <w:proofErr w:type="spellStart"/>
            <w:r w:rsidRPr="00AD60F6">
              <w:t>MobApp</w:t>
            </w:r>
            <w:proofErr w:type="spellEnd"/>
            <w:r w:rsidRPr="00AD60F6">
              <w:t>)</w:t>
            </w:r>
            <w:r>
              <w:t xml:space="preserve">, datu apmaiņas kompleksos ar citu iestāžu informācijas sistēmām </w:t>
            </w:r>
            <w:r w:rsidRPr="00FD625F">
              <w:t>(piemēram, ar Ceļu satiksmes drošības direkciju, Valsts kasi</w:t>
            </w:r>
            <w:r>
              <w:t xml:space="preserve"> </w:t>
            </w:r>
            <w:proofErr w:type="spellStart"/>
            <w:r>
              <w:t>u.c</w:t>
            </w:r>
            <w:proofErr w:type="spellEnd"/>
            <w:r>
              <w:t>.</w:t>
            </w:r>
            <w:r w:rsidRPr="00FD625F">
              <w:t xml:space="preserve">), </w:t>
            </w:r>
            <w:proofErr w:type="spellStart"/>
            <w:r w:rsidRPr="00FD625F">
              <w:t>signālsistēm</w:t>
            </w:r>
            <w:r>
              <w:t>ā</w:t>
            </w:r>
            <w:proofErr w:type="spellEnd"/>
            <w:r w:rsidRPr="00FD625F">
              <w:t xml:space="preserve"> vienošanās procesa izpildes kontrolei, kā arī</w:t>
            </w:r>
            <w:r>
              <w:t xml:space="preserve"> jaunu </w:t>
            </w:r>
            <w:r w:rsidRPr="00FD625F">
              <w:t>pārskat</w:t>
            </w:r>
            <w:r>
              <w:t>u</w:t>
            </w:r>
            <w:r w:rsidRPr="00FD625F">
              <w:t xml:space="preserve"> un atskai</w:t>
            </w:r>
            <w:r>
              <w:t>šu izveide</w:t>
            </w:r>
            <w:r w:rsidRPr="00AD60F6">
              <w:t>:</w:t>
            </w:r>
            <w:r>
              <w:t xml:space="preserve"> </w:t>
            </w:r>
            <w:r w:rsidRPr="00AD60F6">
              <w:t>tehniskās specifikācijas izstrāde, analīze, projektēšana un programmatūras iz</w:t>
            </w:r>
            <w:r>
              <w:t xml:space="preserve">strāde, par kopējo summu Ls 163 </w:t>
            </w:r>
            <w:r w:rsidRPr="00AD60F6">
              <w:t>500 (500 cilvēkdienas x Ls 327) (IKK 5140).</w:t>
            </w:r>
          </w:p>
          <w:p w:rsidR="00156160" w:rsidRDefault="00156160" w:rsidP="00122CA5">
            <w:pPr>
              <w:pStyle w:val="naisf"/>
              <w:tabs>
                <w:tab w:val="left" w:pos="546"/>
              </w:tabs>
              <w:spacing w:before="0" w:after="0"/>
              <w:ind w:firstLine="546"/>
              <w:rPr>
                <w:u w:val="single"/>
              </w:rPr>
            </w:pPr>
          </w:p>
          <w:p w:rsidR="00156160" w:rsidRDefault="00156160" w:rsidP="00122CA5">
            <w:pPr>
              <w:pStyle w:val="naisf"/>
              <w:tabs>
                <w:tab w:val="left" w:pos="546"/>
              </w:tabs>
              <w:spacing w:before="0" w:after="0"/>
              <w:ind w:firstLine="546"/>
              <w:rPr>
                <w:u w:val="single"/>
              </w:rPr>
            </w:pPr>
            <w:r w:rsidRPr="00C22849">
              <w:rPr>
                <w:u w:val="single"/>
              </w:rPr>
              <w:t xml:space="preserve">2016.gadā un turpmākajos gados izdevumi kopā Ls </w:t>
            </w:r>
            <w:r>
              <w:rPr>
                <w:u w:val="single"/>
              </w:rPr>
              <w:t>16 350</w:t>
            </w:r>
          </w:p>
          <w:p w:rsidR="00156160" w:rsidRDefault="00156160" w:rsidP="00122CA5">
            <w:pPr>
              <w:pStyle w:val="naisf"/>
              <w:tabs>
                <w:tab w:val="left" w:pos="546"/>
              </w:tabs>
              <w:spacing w:before="0" w:after="0"/>
              <w:ind w:firstLine="546"/>
              <w:rPr>
                <w:u w:val="single"/>
              </w:rPr>
            </w:pPr>
            <w:proofErr w:type="spellStart"/>
            <w:r w:rsidRPr="002B5F42">
              <w:t>t.</w:t>
            </w:r>
            <w:r w:rsidRPr="00C22849">
              <w:t>sk</w:t>
            </w:r>
            <w:proofErr w:type="spellEnd"/>
            <w:r>
              <w:t>.</w:t>
            </w:r>
            <w:r w:rsidRPr="00C22849">
              <w:t xml:space="preserve"> Uzturēšanas izdevumi Ls </w:t>
            </w:r>
            <w:r>
              <w:t>16 350</w:t>
            </w:r>
            <w:r w:rsidRPr="00C22849">
              <w:t xml:space="preserve"> </w:t>
            </w:r>
          </w:p>
          <w:p w:rsidR="00156160" w:rsidRDefault="00156160" w:rsidP="00122CA5">
            <w:pPr>
              <w:pStyle w:val="naisf"/>
              <w:tabs>
                <w:tab w:val="left" w:pos="546"/>
              </w:tabs>
              <w:spacing w:before="0" w:after="0"/>
              <w:ind w:firstLine="546"/>
              <w:rPr>
                <w:u w:val="single"/>
              </w:rPr>
            </w:pPr>
            <w:proofErr w:type="spellStart"/>
            <w:r w:rsidRPr="00C22849">
              <w:t>t.sk</w:t>
            </w:r>
            <w:proofErr w:type="spellEnd"/>
            <w:r w:rsidRPr="00C22849">
              <w:t xml:space="preserve">. Kārtējie izdevumi Ls </w:t>
            </w:r>
            <w:r>
              <w:t>1</w:t>
            </w:r>
            <w:r w:rsidRPr="00C22849">
              <w:t>6</w:t>
            </w:r>
            <w:r>
              <w:t xml:space="preserve"> 350</w:t>
            </w:r>
          </w:p>
          <w:p w:rsidR="00156160" w:rsidRDefault="00156160" w:rsidP="00122CA5">
            <w:pPr>
              <w:pStyle w:val="naisf"/>
              <w:tabs>
                <w:tab w:val="left" w:pos="546"/>
              </w:tabs>
              <w:spacing w:before="0" w:after="0"/>
              <w:ind w:firstLine="546"/>
              <w:rPr>
                <w:u w:val="single"/>
              </w:rPr>
            </w:pPr>
            <w:proofErr w:type="spellStart"/>
            <w:r w:rsidRPr="00C22849">
              <w:t>t.sk</w:t>
            </w:r>
            <w:proofErr w:type="spellEnd"/>
            <w:r w:rsidRPr="00C22849">
              <w:t xml:space="preserve">. IKK </w:t>
            </w:r>
            <w:r>
              <w:t>2000 – Preces un pakalpojumi Ls 16 350</w:t>
            </w:r>
          </w:p>
          <w:p w:rsidR="00156160" w:rsidRDefault="00156160" w:rsidP="00122CA5">
            <w:pPr>
              <w:pStyle w:val="naisf"/>
              <w:tabs>
                <w:tab w:val="left" w:pos="546"/>
              </w:tabs>
              <w:spacing w:before="0" w:after="0"/>
              <w:ind w:firstLine="546"/>
              <w:rPr>
                <w:u w:val="single"/>
              </w:rPr>
            </w:pPr>
          </w:p>
          <w:p w:rsidR="00156160" w:rsidRPr="00260B32" w:rsidRDefault="00156160" w:rsidP="001A0F8D">
            <w:pPr>
              <w:pStyle w:val="naisf"/>
              <w:tabs>
                <w:tab w:val="left" w:pos="546"/>
              </w:tabs>
              <w:spacing w:before="0" w:after="0"/>
              <w:ind w:firstLine="546"/>
              <w:rPr>
                <w:u w:val="single"/>
              </w:rPr>
            </w:pPr>
            <w:r w:rsidRPr="00AD60F6">
              <w:t>Informācijas sistēmas programmatūras migrācija uz datu bāzu jaunākām versijām un sistēmas uzturēšana viena gada periodam izmaksā 16 350,00 lat</w:t>
            </w:r>
            <w:r w:rsidR="001A0F8D">
              <w:t>u</w:t>
            </w:r>
            <w:r w:rsidRPr="00AD60F6">
              <w:t xml:space="preserve"> (kas sastāda </w:t>
            </w:r>
            <w:r>
              <w:t>75</w:t>
            </w:r>
            <w:r w:rsidRPr="00AD60F6">
              <w:t xml:space="preserve"> cilvēkdienas x </w:t>
            </w:r>
            <w:r>
              <w:t>218</w:t>
            </w:r>
            <w:r w:rsidRPr="00AD60F6">
              <w:t xml:space="preserve"> lati).</w:t>
            </w:r>
            <w:r w:rsidR="001A0F8D">
              <w:t xml:space="preserve"> </w:t>
            </w:r>
            <w:r w:rsidRPr="00AD60F6">
              <w:t>Paredzēti programmatūras kļūdu labojumi, programmatūras adaptācijas labojumi, programmatūras pieejamības uzlabošana un profilaktiskie labojumi. Aprēķins balstīts uz līdzīgu sistēmu uzturēšanas izdevumiem.</w:t>
            </w:r>
          </w:p>
        </w:tc>
      </w:tr>
      <w:tr w:rsidR="00156160" w:rsidRPr="00507075" w:rsidTr="00156160">
        <w:trPr>
          <w:cantSplit/>
          <w:trHeight w:val="3815"/>
        </w:trPr>
        <w:tc>
          <w:tcPr>
            <w:tcW w:w="2402" w:type="dxa"/>
            <w:tcBorders>
              <w:top w:val="single" w:sz="4" w:space="0" w:color="auto"/>
              <w:left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6.1. detalizēts ieņēmumu aprēķins</w:t>
            </w:r>
          </w:p>
        </w:tc>
        <w:tc>
          <w:tcPr>
            <w:tcW w:w="0" w:type="auto"/>
            <w:gridSpan w:val="5"/>
            <w:vMerge/>
            <w:tcBorders>
              <w:top w:val="single" w:sz="4" w:space="0" w:color="auto"/>
              <w:left w:val="outset" w:sz="6" w:space="0" w:color="000000"/>
              <w:bottom w:val="outset" w:sz="6" w:space="0" w:color="000000"/>
              <w:right w:val="outset" w:sz="6" w:space="0" w:color="000000"/>
            </w:tcBorders>
            <w:vAlign w:val="center"/>
            <w:hideMark/>
          </w:tcPr>
          <w:p w:rsidR="00156160" w:rsidRPr="00507075" w:rsidRDefault="00156160" w:rsidP="00122CA5"/>
        </w:tc>
      </w:tr>
      <w:tr w:rsidR="00156160" w:rsidRPr="00A43980" w:rsidTr="00156160">
        <w:trPr>
          <w:trHeight w:val="200"/>
        </w:trPr>
        <w:tc>
          <w:tcPr>
            <w:tcW w:w="2402" w:type="dxa"/>
            <w:tcBorders>
              <w:top w:val="outset" w:sz="6" w:space="0" w:color="000000"/>
              <w:left w:val="outset" w:sz="6" w:space="0" w:color="000000"/>
              <w:bottom w:val="outset" w:sz="6" w:space="0" w:color="000000"/>
              <w:right w:val="outset" w:sz="6" w:space="0" w:color="000000"/>
            </w:tcBorders>
            <w:hideMark/>
          </w:tcPr>
          <w:p w:rsidR="00156160" w:rsidRPr="00F80DD1" w:rsidRDefault="00156160" w:rsidP="00122CA5">
            <w:pPr>
              <w:pStyle w:val="Paraststmeklis"/>
              <w:rPr>
                <w:rFonts w:ascii="Times New Roman" w:hAnsi="Times New Roman"/>
              </w:rPr>
            </w:pPr>
            <w:r w:rsidRPr="00F80DD1">
              <w:rPr>
                <w:rFonts w:ascii="Times New Roman" w:hAnsi="Times New Roman"/>
              </w:rPr>
              <w:t>7. Cita informācija</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156160" w:rsidRPr="00045F98" w:rsidRDefault="00E966C6" w:rsidP="00122CA5">
            <w:pPr>
              <w:jc w:val="both"/>
            </w:pPr>
            <w:r>
              <w:t>Nav</w:t>
            </w:r>
          </w:p>
        </w:tc>
      </w:tr>
    </w:tbl>
    <w:p w:rsidR="00042B92" w:rsidRDefault="00042B92" w:rsidP="00B662AA">
      <w:pPr>
        <w:pStyle w:val="naisf"/>
        <w:spacing w:before="0" w:after="0"/>
        <w:ind w:right="-1"/>
      </w:pPr>
    </w:p>
    <w:p w:rsidR="00694F65" w:rsidRDefault="00694F65" w:rsidP="00B662AA">
      <w:pPr>
        <w:pStyle w:val="naiskr"/>
        <w:tabs>
          <w:tab w:val="left" w:pos="2628"/>
        </w:tabs>
        <w:spacing w:before="0" w:after="0"/>
        <w:ind w:right="-1"/>
        <w:rPr>
          <w:i/>
        </w:rPr>
      </w:pPr>
    </w:p>
    <w:tbl>
      <w:tblPr>
        <w:tblW w:w="9172"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118"/>
        <w:gridCol w:w="5380"/>
      </w:tblGrid>
      <w:tr w:rsidR="0015469D" w:rsidRPr="0015469D" w:rsidTr="00365F83">
        <w:trPr>
          <w:jc w:val="center"/>
        </w:trPr>
        <w:tc>
          <w:tcPr>
            <w:tcW w:w="9172" w:type="dxa"/>
            <w:gridSpan w:val="3"/>
          </w:tcPr>
          <w:p w:rsidR="0015469D" w:rsidRPr="0015469D" w:rsidRDefault="0015469D" w:rsidP="001A0F8D">
            <w:pPr>
              <w:pStyle w:val="naiskr"/>
              <w:tabs>
                <w:tab w:val="left" w:pos="2628"/>
              </w:tabs>
              <w:jc w:val="center"/>
              <w:rPr>
                <w:b/>
                <w:bCs/>
              </w:rPr>
            </w:pPr>
            <w:r w:rsidRPr="0015469D">
              <w:rPr>
                <w:b/>
                <w:bCs/>
              </w:rPr>
              <w:t>IV. Tiesību akta projekta ietekme uz spēkā esošo tiesību normu sistēmu</w:t>
            </w:r>
          </w:p>
        </w:tc>
      </w:tr>
      <w:tr w:rsidR="0015469D" w:rsidRPr="0015469D" w:rsidTr="00365F83">
        <w:trPr>
          <w:jc w:val="center"/>
        </w:trPr>
        <w:tc>
          <w:tcPr>
            <w:tcW w:w="674" w:type="dxa"/>
          </w:tcPr>
          <w:p w:rsidR="0015469D" w:rsidRPr="0015469D" w:rsidRDefault="0015469D" w:rsidP="0015469D">
            <w:pPr>
              <w:pStyle w:val="naiskr"/>
              <w:rPr>
                <w:iCs/>
              </w:rPr>
            </w:pPr>
            <w:r w:rsidRPr="0015469D">
              <w:rPr>
                <w:iCs/>
              </w:rPr>
              <w:t>1.</w:t>
            </w:r>
          </w:p>
        </w:tc>
        <w:tc>
          <w:tcPr>
            <w:tcW w:w="3118" w:type="dxa"/>
          </w:tcPr>
          <w:p w:rsidR="0015469D" w:rsidRPr="0015469D" w:rsidRDefault="0015469D" w:rsidP="0015469D">
            <w:pPr>
              <w:pStyle w:val="naiskr"/>
              <w:rPr>
                <w:iCs/>
              </w:rPr>
            </w:pPr>
            <w:r w:rsidRPr="0015469D">
              <w:t>Nepieciešamie saistītie tiesību aktu projekti</w:t>
            </w:r>
          </w:p>
        </w:tc>
        <w:tc>
          <w:tcPr>
            <w:tcW w:w="5380" w:type="dxa"/>
          </w:tcPr>
          <w:p w:rsidR="00E45C7A" w:rsidRPr="00E966C6" w:rsidRDefault="00E45C7A" w:rsidP="00E212CA">
            <w:pPr>
              <w:pStyle w:val="naiskr"/>
              <w:ind w:left="69" w:right="133"/>
              <w:jc w:val="both"/>
              <w:rPr>
                <w:bCs/>
                <w:iCs/>
              </w:rPr>
            </w:pPr>
            <w:r w:rsidRPr="00E966C6">
              <w:rPr>
                <w:bCs/>
                <w:iCs/>
              </w:rPr>
              <w:t xml:space="preserve">Nepieciešams </w:t>
            </w:r>
            <w:r w:rsidR="00DA0EF8">
              <w:rPr>
                <w:bCs/>
                <w:iCs/>
              </w:rPr>
              <w:t>grozīt</w:t>
            </w:r>
            <w:r w:rsidRPr="00E966C6">
              <w:rPr>
                <w:bCs/>
                <w:iCs/>
              </w:rPr>
              <w:t xml:space="preserve"> Ministru kabineta 2005.</w:t>
            </w:r>
            <w:r w:rsidR="00DA0EF8">
              <w:rPr>
                <w:bCs/>
                <w:iCs/>
              </w:rPr>
              <w:t> </w:t>
            </w:r>
            <w:r w:rsidRPr="00E966C6">
              <w:rPr>
                <w:bCs/>
                <w:iCs/>
              </w:rPr>
              <w:t>gada 28.</w:t>
            </w:r>
            <w:r w:rsidR="00DA0EF8">
              <w:rPr>
                <w:bCs/>
                <w:iCs/>
              </w:rPr>
              <w:t> </w:t>
            </w:r>
            <w:r w:rsidRPr="00E966C6">
              <w:rPr>
                <w:bCs/>
                <w:iCs/>
              </w:rPr>
              <w:t>jūnija noteikum</w:t>
            </w:r>
            <w:r w:rsidR="007554B7">
              <w:rPr>
                <w:bCs/>
                <w:iCs/>
              </w:rPr>
              <w:t>us</w:t>
            </w:r>
            <w:r w:rsidRPr="00E966C6">
              <w:rPr>
                <w:bCs/>
                <w:iCs/>
              </w:rPr>
              <w:t xml:space="preserve"> </w:t>
            </w:r>
            <w:proofErr w:type="spellStart"/>
            <w:r w:rsidRPr="00E966C6">
              <w:rPr>
                <w:bCs/>
                <w:iCs/>
              </w:rPr>
              <w:t>Nr</w:t>
            </w:r>
            <w:proofErr w:type="spellEnd"/>
            <w:r w:rsidRPr="00E966C6">
              <w:rPr>
                <w:bCs/>
                <w:iCs/>
              </w:rPr>
              <w:t>.</w:t>
            </w:r>
            <w:r w:rsidR="00A64190" w:rsidRPr="00E966C6">
              <w:rPr>
                <w:bCs/>
                <w:iCs/>
              </w:rPr>
              <w:t> </w:t>
            </w:r>
            <w:r w:rsidRPr="00E966C6">
              <w:rPr>
                <w:bCs/>
                <w:iCs/>
              </w:rPr>
              <w:t>484 „</w:t>
            </w:r>
            <w:r w:rsidRPr="00E966C6">
              <w:rPr>
                <w:bCs/>
              </w:rPr>
              <w:t>Administratīvā pārkāpuma protokola veidlapu un naudas soda kvīts veidlapu izgatavošanas un izmantošanas kārtība”, administratīvā pārkāpuma protokola veidlapā iekļa</w:t>
            </w:r>
            <w:r w:rsidR="007554B7">
              <w:rPr>
                <w:bCs/>
              </w:rPr>
              <w:t>ujot informāciju par vienošanos un svītrojot regulējumu par naudas soda kvītīm.</w:t>
            </w:r>
          </w:p>
          <w:p w:rsidR="0015469D" w:rsidRPr="00E966C6" w:rsidRDefault="0015469D" w:rsidP="00E212CA">
            <w:pPr>
              <w:pStyle w:val="naiskr"/>
              <w:ind w:left="69" w:right="133"/>
              <w:jc w:val="both"/>
              <w:rPr>
                <w:bCs/>
                <w:iCs/>
              </w:rPr>
            </w:pPr>
            <w:r w:rsidRPr="00E966C6">
              <w:rPr>
                <w:bCs/>
                <w:iCs/>
              </w:rPr>
              <w:t xml:space="preserve">Ministru kabineta noteikumu </w:t>
            </w:r>
            <w:r w:rsidR="00DC5206" w:rsidRPr="00E966C6">
              <w:rPr>
                <w:bCs/>
                <w:iCs/>
              </w:rPr>
              <w:t xml:space="preserve">projekta </w:t>
            </w:r>
            <w:r w:rsidRPr="00E966C6">
              <w:rPr>
                <w:bCs/>
                <w:iCs/>
              </w:rPr>
              <w:t xml:space="preserve">izstrāde </w:t>
            </w:r>
            <w:r w:rsidR="00DC5206" w:rsidRPr="00E966C6">
              <w:rPr>
                <w:bCs/>
                <w:iCs/>
              </w:rPr>
              <w:t>tiks uzsākta</w:t>
            </w:r>
            <w:r w:rsidRPr="00E966C6">
              <w:rPr>
                <w:bCs/>
                <w:iCs/>
              </w:rPr>
              <w:t xml:space="preserve"> pēc likumprojekta apstiprināšanas Ministru kabinetā. Tādejādi plānojams, ka nepieciešamie Ministru kabineta noteikumi </w:t>
            </w:r>
            <w:r w:rsidR="00DC5206" w:rsidRPr="00E966C6">
              <w:rPr>
                <w:bCs/>
                <w:iCs/>
              </w:rPr>
              <w:t>tiks</w:t>
            </w:r>
            <w:r w:rsidRPr="00E966C6">
              <w:rPr>
                <w:bCs/>
                <w:iCs/>
              </w:rPr>
              <w:t xml:space="preserve"> izstrādāti un varētu stāties spēkā reizē ar </w:t>
            </w:r>
            <w:r w:rsidR="00DC5206" w:rsidRPr="00E966C6">
              <w:rPr>
                <w:bCs/>
                <w:iCs/>
              </w:rPr>
              <w:t>likuma</w:t>
            </w:r>
            <w:r w:rsidRPr="00E966C6">
              <w:rPr>
                <w:bCs/>
                <w:iCs/>
              </w:rPr>
              <w:t xml:space="preserve"> spēkā stāšanos.</w:t>
            </w:r>
          </w:p>
          <w:p w:rsidR="00C567EA" w:rsidRDefault="00C567EA" w:rsidP="00E212CA">
            <w:pPr>
              <w:pStyle w:val="naiskr"/>
              <w:ind w:left="69" w:right="133"/>
              <w:jc w:val="both"/>
              <w:rPr>
                <w:bCs/>
                <w:iCs/>
              </w:rPr>
            </w:pPr>
            <w:r w:rsidRPr="00E966C6">
              <w:rPr>
                <w:bCs/>
                <w:iCs/>
              </w:rPr>
              <w:lastRenderedPageBreak/>
              <w:t>Atbildīgā par Ministru kabineta noteikumu izstrādi ir Tieslietu ministrija.</w:t>
            </w:r>
          </w:p>
          <w:p w:rsidR="003275F1" w:rsidRPr="00E966C6" w:rsidRDefault="003275F1" w:rsidP="00E212CA">
            <w:pPr>
              <w:pStyle w:val="naiskr"/>
              <w:ind w:left="69" w:right="133"/>
              <w:jc w:val="both"/>
              <w:rPr>
                <w:iCs/>
              </w:rPr>
            </w:pPr>
          </w:p>
        </w:tc>
      </w:tr>
      <w:tr w:rsidR="0015469D" w:rsidRPr="0015469D" w:rsidTr="00365F83">
        <w:trPr>
          <w:jc w:val="center"/>
        </w:trPr>
        <w:tc>
          <w:tcPr>
            <w:tcW w:w="674" w:type="dxa"/>
          </w:tcPr>
          <w:p w:rsidR="0015469D" w:rsidRPr="0015469D" w:rsidRDefault="0015469D" w:rsidP="0015469D">
            <w:pPr>
              <w:pStyle w:val="naiskr"/>
              <w:rPr>
                <w:iCs/>
              </w:rPr>
            </w:pPr>
            <w:r w:rsidRPr="0015469D">
              <w:rPr>
                <w:iCs/>
              </w:rPr>
              <w:lastRenderedPageBreak/>
              <w:t>2.</w:t>
            </w:r>
          </w:p>
        </w:tc>
        <w:tc>
          <w:tcPr>
            <w:tcW w:w="3118" w:type="dxa"/>
          </w:tcPr>
          <w:p w:rsidR="0015469D" w:rsidRPr="0015469D" w:rsidRDefault="0015469D" w:rsidP="0015469D">
            <w:pPr>
              <w:pStyle w:val="naiskr"/>
              <w:rPr>
                <w:iCs/>
              </w:rPr>
            </w:pPr>
            <w:r w:rsidRPr="0015469D">
              <w:t>Cita informācija</w:t>
            </w:r>
          </w:p>
        </w:tc>
        <w:tc>
          <w:tcPr>
            <w:tcW w:w="5380" w:type="dxa"/>
          </w:tcPr>
          <w:p w:rsidR="0015469D" w:rsidRPr="00E966C6" w:rsidRDefault="0015469D" w:rsidP="00C061D8">
            <w:pPr>
              <w:pStyle w:val="naiskr"/>
              <w:ind w:left="69"/>
              <w:rPr>
                <w:iCs/>
              </w:rPr>
            </w:pPr>
            <w:r w:rsidRPr="00E966C6">
              <w:t>Nav</w:t>
            </w:r>
          </w:p>
        </w:tc>
      </w:tr>
    </w:tbl>
    <w:p w:rsidR="0015469D" w:rsidRPr="0015469D" w:rsidRDefault="0015469D" w:rsidP="00B662AA">
      <w:pPr>
        <w:pStyle w:val="naiskr"/>
        <w:tabs>
          <w:tab w:val="left" w:pos="2628"/>
        </w:tabs>
        <w:spacing w:before="0" w:after="0"/>
        <w:ind w:right="-1"/>
      </w:pPr>
    </w:p>
    <w:p w:rsidR="0015469D" w:rsidRDefault="0015469D" w:rsidP="00B662AA">
      <w:pPr>
        <w:pStyle w:val="naiskr"/>
        <w:tabs>
          <w:tab w:val="left" w:pos="2628"/>
        </w:tabs>
        <w:spacing w:before="0" w:after="0"/>
        <w:ind w:right="-1"/>
        <w:rPr>
          <w:i/>
        </w:rPr>
      </w:pPr>
    </w:p>
    <w:tbl>
      <w:tblPr>
        <w:tblW w:w="9169"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169"/>
      </w:tblGrid>
      <w:tr w:rsidR="00694F65" w:rsidRPr="00C93A64" w:rsidTr="00365F83">
        <w:trPr>
          <w:trHeight w:val="126"/>
        </w:trPr>
        <w:tc>
          <w:tcPr>
            <w:tcW w:w="9169" w:type="dxa"/>
            <w:tcBorders>
              <w:top w:val="outset" w:sz="6" w:space="0" w:color="auto"/>
              <w:left w:val="outset" w:sz="6" w:space="0" w:color="auto"/>
              <w:bottom w:val="outset" w:sz="6" w:space="0" w:color="auto"/>
              <w:right w:val="outset" w:sz="6" w:space="0" w:color="auto"/>
            </w:tcBorders>
            <w:vAlign w:val="center"/>
          </w:tcPr>
          <w:p w:rsidR="00694F65" w:rsidRPr="00C93A64" w:rsidRDefault="00694F65" w:rsidP="00B662AA">
            <w:pPr>
              <w:ind w:right="-1"/>
              <w:jc w:val="center"/>
              <w:rPr>
                <w:b/>
              </w:rPr>
            </w:pPr>
            <w:r w:rsidRPr="00C93A64">
              <w:rPr>
                <w:b/>
              </w:rPr>
              <w:t>V. Tiesību akta projekta atbilstība Latvijas Republikas starptautiskajām saistībām</w:t>
            </w:r>
          </w:p>
        </w:tc>
      </w:tr>
      <w:tr w:rsidR="004C7D37" w:rsidRPr="00C93A64" w:rsidTr="00365F83">
        <w:trPr>
          <w:trHeight w:val="677"/>
        </w:trPr>
        <w:tc>
          <w:tcPr>
            <w:tcW w:w="9169" w:type="dxa"/>
            <w:tcBorders>
              <w:top w:val="outset" w:sz="6" w:space="0" w:color="auto"/>
              <w:left w:val="outset" w:sz="6" w:space="0" w:color="auto"/>
              <w:right w:val="outset" w:sz="6" w:space="0" w:color="auto"/>
            </w:tcBorders>
          </w:tcPr>
          <w:p w:rsidR="004C7D37" w:rsidRDefault="004C7D37" w:rsidP="004C7D37">
            <w:pPr>
              <w:ind w:right="-1"/>
              <w:jc w:val="center"/>
              <w:rPr>
                <w:iCs/>
              </w:rPr>
            </w:pPr>
          </w:p>
          <w:p w:rsidR="004C7D37" w:rsidRPr="004C7D37" w:rsidRDefault="004C7D37" w:rsidP="004C7D37">
            <w:pPr>
              <w:ind w:right="-1"/>
              <w:jc w:val="center"/>
              <w:rPr>
                <w:iCs/>
              </w:rPr>
            </w:pPr>
            <w:r w:rsidRPr="004C7D37">
              <w:rPr>
                <w:iCs/>
              </w:rPr>
              <w:t>Projekts šo jomu neskar</w:t>
            </w:r>
          </w:p>
        </w:tc>
      </w:tr>
    </w:tbl>
    <w:p w:rsidR="00694F65" w:rsidRPr="00C93A64" w:rsidRDefault="00694F65" w:rsidP="004C7D37">
      <w:pPr>
        <w:pStyle w:val="naisf"/>
        <w:spacing w:before="0" w:after="0"/>
        <w:ind w:right="140"/>
        <w:rPr>
          <w:b/>
        </w:rPr>
      </w:pPr>
    </w:p>
    <w:tbl>
      <w:tblPr>
        <w:tblW w:w="9215"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5"/>
      </w:tblGrid>
      <w:tr w:rsidR="00694F65" w:rsidRPr="00C93A64" w:rsidTr="004C7D37">
        <w:trPr>
          <w:trHeight w:val="296"/>
          <w:jc w:val="center"/>
        </w:trPr>
        <w:tc>
          <w:tcPr>
            <w:tcW w:w="9215" w:type="dxa"/>
          </w:tcPr>
          <w:p w:rsidR="00694F65" w:rsidRPr="00C93A64" w:rsidRDefault="00694F65" w:rsidP="00B662AA">
            <w:pPr>
              <w:pStyle w:val="naisnod"/>
              <w:spacing w:before="0" w:after="0"/>
              <w:ind w:left="57" w:right="140"/>
            </w:pPr>
            <w:r w:rsidRPr="00C93A64">
              <w:t>VI. Sabiedrības līdzdalība un šīs līdzdalības rezultāti</w:t>
            </w:r>
          </w:p>
        </w:tc>
      </w:tr>
      <w:tr w:rsidR="004C7D37" w:rsidRPr="00C93A64" w:rsidTr="004C7D37">
        <w:trPr>
          <w:trHeight w:val="296"/>
          <w:jc w:val="center"/>
        </w:trPr>
        <w:tc>
          <w:tcPr>
            <w:tcW w:w="9215" w:type="dxa"/>
          </w:tcPr>
          <w:p w:rsidR="004C7D37" w:rsidRDefault="004C7D37" w:rsidP="00B662AA">
            <w:pPr>
              <w:pStyle w:val="naisnod"/>
              <w:spacing w:before="0" w:after="0"/>
              <w:ind w:left="57" w:right="140"/>
            </w:pPr>
          </w:p>
          <w:p w:rsidR="004C7D37" w:rsidRPr="00E966C6" w:rsidRDefault="004C7D37" w:rsidP="00E966C6">
            <w:pPr>
              <w:pStyle w:val="naisnod"/>
              <w:spacing w:before="0" w:after="0"/>
              <w:ind w:left="57" w:right="140"/>
              <w:rPr>
                <w:b w:val="0"/>
                <w:iCs/>
              </w:rPr>
            </w:pPr>
            <w:r w:rsidRPr="004C7D37">
              <w:rPr>
                <w:b w:val="0"/>
                <w:iCs/>
              </w:rPr>
              <w:t>Projekts šo jomu neskar</w:t>
            </w:r>
          </w:p>
        </w:tc>
      </w:tr>
    </w:tbl>
    <w:p w:rsidR="00694F65" w:rsidRPr="00C93A64" w:rsidRDefault="00694F65" w:rsidP="00B662AA">
      <w:pPr>
        <w:pStyle w:val="naisf"/>
        <w:spacing w:before="0" w:after="0"/>
        <w:ind w:right="140"/>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8"/>
        <w:gridCol w:w="4295"/>
        <w:gridCol w:w="4329"/>
      </w:tblGrid>
      <w:tr w:rsidR="00694F65" w:rsidRPr="00C93A64" w:rsidTr="00B662AA">
        <w:tc>
          <w:tcPr>
            <w:tcW w:w="9072" w:type="dxa"/>
            <w:gridSpan w:val="3"/>
            <w:tcBorders>
              <w:top w:val="single" w:sz="4" w:space="0" w:color="auto"/>
            </w:tcBorders>
          </w:tcPr>
          <w:p w:rsidR="00694F65" w:rsidRPr="00C93A64" w:rsidRDefault="00694F65" w:rsidP="00B662AA">
            <w:pPr>
              <w:pStyle w:val="naisnod"/>
              <w:spacing w:before="0" w:after="0"/>
              <w:ind w:left="57" w:right="140"/>
            </w:pPr>
            <w:r w:rsidRPr="00C93A64">
              <w:t>VII. Tiesību akta projekta izpildes nodrošināšana un tās ietekme uz institūcijām</w:t>
            </w:r>
          </w:p>
        </w:tc>
      </w:tr>
      <w:tr w:rsidR="00694F65" w:rsidRPr="00C93A64" w:rsidTr="00B662AA">
        <w:trPr>
          <w:trHeight w:val="427"/>
        </w:trPr>
        <w:tc>
          <w:tcPr>
            <w:tcW w:w="448" w:type="dxa"/>
          </w:tcPr>
          <w:p w:rsidR="00694F65" w:rsidRPr="00C93A64" w:rsidRDefault="00694F65" w:rsidP="00B662AA">
            <w:pPr>
              <w:pStyle w:val="naisnod"/>
              <w:spacing w:before="0" w:after="0"/>
              <w:ind w:left="57" w:right="140"/>
              <w:jc w:val="left"/>
              <w:rPr>
                <w:b w:val="0"/>
              </w:rPr>
            </w:pPr>
            <w:r w:rsidRPr="00C93A64">
              <w:rPr>
                <w:b w:val="0"/>
              </w:rPr>
              <w:t>1.</w:t>
            </w:r>
          </w:p>
        </w:tc>
        <w:tc>
          <w:tcPr>
            <w:tcW w:w="4295" w:type="dxa"/>
          </w:tcPr>
          <w:p w:rsidR="00694F65" w:rsidRPr="00C93A64" w:rsidRDefault="00694F65" w:rsidP="00B662AA">
            <w:pPr>
              <w:pStyle w:val="naisf"/>
              <w:spacing w:before="0" w:after="0"/>
              <w:ind w:left="57" w:right="140" w:firstLine="0"/>
              <w:jc w:val="left"/>
            </w:pPr>
            <w:r w:rsidRPr="00C93A64">
              <w:t xml:space="preserve">Projekta izpildē iesaistītās institūcijas </w:t>
            </w:r>
          </w:p>
        </w:tc>
        <w:tc>
          <w:tcPr>
            <w:tcW w:w="4329" w:type="dxa"/>
          </w:tcPr>
          <w:p w:rsidR="00E212CA" w:rsidRDefault="003E7367" w:rsidP="00E966C6">
            <w:pPr>
              <w:pStyle w:val="naisnod"/>
              <w:spacing w:before="0" w:after="0"/>
              <w:ind w:left="49" w:right="140"/>
              <w:jc w:val="both"/>
              <w:rPr>
                <w:b w:val="0"/>
              </w:rPr>
            </w:pPr>
            <w:r w:rsidRPr="00C93A64">
              <w:rPr>
                <w:b w:val="0"/>
              </w:rPr>
              <w:t xml:space="preserve">Institūcijas </w:t>
            </w:r>
            <w:r w:rsidR="00441FC5" w:rsidRPr="00C93A64">
              <w:rPr>
                <w:b w:val="0"/>
              </w:rPr>
              <w:t>(amatpersonas), kuras ir tiesīgas piemērot administratīvo sodu</w:t>
            </w:r>
            <w:r w:rsidR="006F16D4" w:rsidRPr="00C93A64">
              <w:rPr>
                <w:b w:val="0"/>
              </w:rPr>
              <w:t>.</w:t>
            </w:r>
          </w:p>
          <w:p w:rsidR="003275F1" w:rsidRPr="00C93A64" w:rsidRDefault="003275F1" w:rsidP="00E966C6">
            <w:pPr>
              <w:pStyle w:val="naisnod"/>
              <w:spacing w:before="0" w:after="0"/>
              <w:ind w:left="49" w:right="140"/>
              <w:jc w:val="both"/>
              <w:rPr>
                <w:b w:val="0"/>
              </w:rPr>
            </w:pPr>
          </w:p>
        </w:tc>
      </w:tr>
      <w:tr w:rsidR="00694F65" w:rsidRPr="00C93A64" w:rsidTr="00B662AA">
        <w:trPr>
          <w:trHeight w:val="463"/>
        </w:trPr>
        <w:tc>
          <w:tcPr>
            <w:tcW w:w="448" w:type="dxa"/>
          </w:tcPr>
          <w:p w:rsidR="00694F65" w:rsidRPr="00C93A64" w:rsidRDefault="00694F65" w:rsidP="00B662AA">
            <w:pPr>
              <w:pStyle w:val="naisnod"/>
              <w:spacing w:before="0" w:after="0"/>
              <w:ind w:left="57" w:right="140"/>
              <w:jc w:val="left"/>
              <w:rPr>
                <w:b w:val="0"/>
              </w:rPr>
            </w:pPr>
            <w:r w:rsidRPr="00C93A64">
              <w:rPr>
                <w:b w:val="0"/>
              </w:rPr>
              <w:t>2.</w:t>
            </w:r>
          </w:p>
        </w:tc>
        <w:tc>
          <w:tcPr>
            <w:tcW w:w="4295" w:type="dxa"/>
          </w:tcPr>
          <w:p w:rsidR="00694F65" w:rsidRPr="00C93A64" w:rsidRDefault="00694F65" w:rsidP="00B662AA">
            <w:pPr>
              <w:pStyle w:val="naisf"/>
              <w:spacing w:before="0" w:after="0"/>
              <w:ind w:left="57" w:right="140" w:firstLine="0"/>
              <w:jc w:val="left"/>
            </w:pPr>
            <w:r w:rsidRPr="00C93A64">
              <w:t xml:space="preserve">Projekta izpildes ietekme uz pārvaldes funkcijām </w:t>
            </w:r>
          </w:p>
        </w:tc>
        <w:tc>
          <w:tcPr>
            <w:tcW w:w="4329" w:type="dxa"/>
          </w:tcPr>
          <w:p w:rsidR="003E7367" w:rsidRPr="009A3D4F" w:rsidRDefault="009A3D4F" w:rsidP="00E212CA">
            <w:pPr>
              <w:pStyle w:val="naisnod"/>
              <w:ind w:left="49"/>
              <w:jc w:val="left"/>
              <w:rPr>
                <w:b w:val="0"/>
                <w:iCs/>
              </w:rPr>
            </w:pPr>
            <w:r w:rsidRPr="009A3D4F">
              <w:rPr>
                <w:b w:val="0"/>
                <w:iCs/>
              </w:rPr>
              <w:t>Projekts šo jomu neskar</w:t>
            </w:r>
          </w:p>
        </w:tc>
      </w:tr>
      <w:tr w:rsidR="00694F65" w:rsidRPr="00C93A64" w:rsidTr="00B662AA">
        <w:trPr>
          <w:trHeight w:val="725"/>
        </w:trPr>
        <w:tc>
          <w:tcPr>
            <w:tcW w:w="448" w:type="dxa"/>
          </w:tcPr>
          <w:p w:rsidR="00694F65" w:rsidRPr="00C93A64" w:rsidRDefault="00694F65" w:rsidP="00B662AA">
            <w:pPr>
              <w:pStyle w:val="naisnod"/>
              <w:spacing w:before="0" w:after="0"/>
              <w:ind w:left="57" w:right="140"/>
              <w:jc w:val="left"/>
              <w:rPr>
                <w:b w:val="0"/>
              </w:rPr>
            </w:pPr>
            <w:r w:rsidRPr="00C93A64">
              <w:rPr>
                <w:b w:val="0"/>
              </w:rPr>
              <w:t>3.</w:t>
            </w:r>
          </w:p>
        </w:tc>
        <w:tc>
          <w:tcPr>
            <w:tcW w:w="4295" w:type="dxa"/>
          </w:tcPr>
          <w:p w:rsidR="00694F65" w:rsidRPr="00C93A64" w:rsidRDefault="00694F65" w:rsidP="00B662AA">
            <w:pPr>
              <w:pStyle w:val="naisf"/>
              <w:spacing w:before="0" w:after="0"/>
              <w:ind w:left="57" w:right="140" w:firstLine="0"/>
              <w:jc w:val="left"/>
            </w:pPr>
            <w:r w:rsidRPr="00C93A64">
              <w:t>Projekta izpildes ietekme uz pārvaldes institucionālo struktūru.</w:t>
            </w:r>
          </w:p>
          <w:p w:rsidR="00694F65" w:rsidRPr="00C93A64" w:rsidRDefault="00694F65" w:rsidP="00B662AA">
            <w:pPr>
              <w:pStyle w:val="naisf"/>
              <w:spacing w:before="0" w:after="0"/>
              <w:ind w:left="57" w:right="140" w:firstLine="0"/>
              <w:jc w:val="left"/>
            </w:pPr>
            <w:r w:rsidRPr="00C93A64">
              <w:t>Jaunu institūciju izveide</w:t>
            </w:r>
          </w:p>
        </w:tc>
        <w:tc>
          <w:tcPr>
            <w:tcW w:w="4329" w:type="dxa"/>
          </w:tcPr>
          <w:p w:rsidR="00694F65" w:rsidRPr="009A3D4F" w:rsidRDefault="00780030" w:rsidP="00E212CA">
            <w:pPr>
              <w:pStyle w:val="naisnod"/>
              <w:ind w:left="49" w:right="140"/>
              <w:jc w:val="both"/>
              <w:rPr>
                <w:b w:val="0"/>
                <w:iCs/>
              </w:rPr>
            </w:pPr>
            <w:r w:rsidRPr="00A91E1B">
              <w:rPr>
                <w:b w:val="0"/>
                <w:iCs/>
              </w:rPr>
              <w:t>Projekts šo jomu neskar</w:t>
            </w:r>
          </w:p>
        </w:tc>
      </w:tr>
      <w:tr w:rsidR="00694F65" w:rsidRPr="00C93A64" w:rsidTr="00B662AA">
        <w:trPr>
          <w:trHeight w:val="780"/>
        </w:trPr>
        <w:tc>
          <w:tcPr>
            <w:tcW w:w="448" w:type="dxa"/>
          </w:tcPr>
          <w:p w:rsidR="00694F65" w:rsidRPr="00C93A64" w:rsidRDefault="00694F65" w:rsidP="00B662AA">
            <w:pPr>
              <w:pStyle w:val="naisnod"/>
              <w:spacing w:before="0" w:after="0"/>
              <w:ind w:left="57" w:right="140"/>
              <w:jc w:val="left"/>
              <w:rPr>
                <w:b w:val="0"/>
              </w:rPr>
            </w:pPr>
            <w:r w:rsidRPr="00C93A64">
              <w:rPr>
                <w:b w:val="0"/>
              </w:rPr>
              <w:t>4.</w:t>
            </w:r>
          </w:p>
        </w:tc>
        <w:tc>
          <w:tcPr>
            <w:tcW w:w="4295" w:type="dxa"/>
          </w:tcPr>
          <w:p w:rsidR="00694F65" w:rsidRPr="00C93A64" w:rsidRDefault="00694F65" w:rsidP="00B662AA">
            <w:pPr>
              <w:pStyle w:val="naisf"/>
              <w:spacing w:before="0" w:after="0"/>
              <w:ind w:left="57" w:right="140" w:firstLine="0"/>
              <w:jc w:val="left"/>
            </w:pPr>
            <w:r w:rsidRPr="00C93A64">
              <w:t>Projekta izpildes ietekme uz pārvaldes institucionālo struktūru.</w:t>
            </w:r>
          </w:p>
          <w:p w:rsidR="00694F65" w:rsidRPr="00C93A64" w:rsidRDefault="00694F65" w:rsidP="00B662AA">
            <w:pPr>
              <w:pStyle w:val="naisf"/>
              <w:spacing w:before="0" w:after="0"/>
              <w:ind w:left="57" w:right="140" w:firstLine="0"/>
              <w:jc w:val="left"/>
            </w:pPr>
            <w:r w:rsidRPr="00C93A64">
              <w:t>Esošu institūciju likvidācija</w:t>
            </w:r>
          </w:p>
        </w:tc>
        <w:tc>
          <w:tcPr>
            <w:tcW w:w="4329" w:type="dxa"/>
          </w:tcPr>
          <w:p w:rsidR="00694F65" w:rsidRPr="009A3D4F" w:rsidRDefault="00780030" w:rsidP="00E212CA">
            <w:pPr>
              <w:pStyle w:val="naisnod"/>
              <w:ind w:left="49" w:right="140"/>
              <w:jc w:val="both"/>
              <w:rPr>
                <w:b w:val="0"/>
                <w:iCs/>
              </w:rPr>
            </w:pPr>
            <w:r w:rsidRPr="00A91E1B">
              <w:rPr>
                <w:b w:val="0"/>
                <w:iCs/>
              </w:rPr>
              <w:t>Projekts šo jomu neskar</w:t>
            </w:r>
          </w:p>
        </w:tc>
      </w:tr>
      <w:tr w:rsidR="00694F65" w:rsidRPr="00C93A64" w:rsidTr="00B662AA">
        <w:trPr>
          <w:trHeight w:val="703"/>
        </w:trPr>
        <w:tc>
          <w:tcPr>
            <w:tcW w:w="448" w:type="dxa"/>
          </w:tcPr>
          <w:p w:rsidR="00694F65" w:rsidRPr="00C93A64" w:rsidRDefault="00694F65" w:rsidP="00B662AA">
            <w:pPr>
              <w:pStyle w:val="naisnod"/>
              <w:spacing w:before="0" w:after="0"/>
              <w:ind w:left="57" w:right="140"/>
              <w:jc w:val="left"/>
              <w:rPr>
                <w:b w:val="0"/>
              </w:rPr>
            </w:pPr>
            <w:r w:rsidRPr="00C93A64">
              <w:rPr>
                <w:b w:val="0"/>
              </w:rPr>
              <w:t>5.</w:t>
            </w:r>
          </w:p>
        </w:tc>
        <w:tc>
          <w:tcPr>
            <w:tcW w:w="4295" w:type="dxa"/>
          </w:tcPr>
          <w:p w:rsidR="00694F65" w:rsidRPr="00C93A64" w:rsidRDefault="00694F65" w:rsidP="00B662AA">
            <w:pPr>
              <w:pStyle w:val="naisf"/>
              <w:spacing w:before="0" w:after="0"/>
              <w:ind w:left="57" w:right="140" w:firstLine="0"/>
              <w:jc w:val="left"/>
            </w:pPr>
            <w:r w:rsidRPr="00C93A64">
              <w:t>Projekta izpildes ietekme uz pārvaldes institucionālo struktūru.</w:t>
            </w:r>
          </w:p>
          <w:p w:rsidR="00694F65" w:rsidRPr="00C93A64" w:rsidRDefault="00694F65" w:rsidP="00B662AA">
            <w:pPr>
              <w:pStyle w:val="naisf"/>
              <w:spacing w:before="0" w:after="0"/>
              <w:ind w:left="57" w:right="140" w:firstLine="0"/>
              <w:jc w:val="left"/>
            </w:pPr>
            <w:r w:rsidRPr="00C93A64">
              <w:t>Esošu institūciju reorganizācija</w:t>
            </w:r>
          </w:p>
        </w:tc>
        <w:tc>
          <w:tcPr>
            <w:tcW w:w="4329" w:type="dxa"/>
          </w:tcPr>
          <w:p w:rsidR="00780030" w:rsidRPr="00A91E1B" w:rsidRDefault="00780030" w:rsidP="00E212CA">
            <w:pPr>
              <w:pStyle w:val="naisnod"/>
              <w:ind w:left="49" w:right="140"/>
              <w:jc w:val="both"/>
              <w:rPr>
                <w:b w:val="0"/>
                <w:iCs/>
              </w:rPr>
            </w:pPr>
            <w:r w:rsidRPr="00A91E1B">
              <w:rPr>
                <w:b w:val="0"/>
                <w:iCs/>
              </w:rPr>
              <w:t>Projekts šo jomu neskar</w:t>
            </w:r>
          </w:p>
          <w:p w:rsidR="00694F65" w:rsidRPr="00C93A64" w:rsidRDefault="00694F65" w:rsidP="00E212CA">
            <w:pPr>
              <w:pStyle w:val="naisnod"/>
              <w:spacing w:before="0" w:after="0"/>
              <w:ind w:left="49" w:right="140"/>
              <w:jc w:val="both"/>
              <w:rPr>
                <w:b w:val="0"/>
              </w:rPr>
            </w:pPr>
          </w:p>
        </w:tc>
      </w:tr>
      <w:tr w:rsidR="00694F65" w:rsidRPr="00C93A64" w:rsidTr="00B662AA">
        <w:trPr>
          <w:trHeight w:val="476"/>
        </w:trPr>
        <w:tc>
          <w:tcPr>
            <w:tcW w:w="448" w:type="dxa"/>
          </w:tcPr>
          <w:p w:rsidR="00694F65" w:rsidRPr="00C93A64" w:rsidRDefault="00694F65" w:rsidP="00B662AA">
            <w:pPr>
              <w:pStyle w:val="naiskr"/>
              <w:spacing w:before="0" w:after="0"/>
              <w:ind w:left="57" w:right="140"/>
            </w:pPr>
            <w:r w:rsidRPr="00C93A64">
              <w:t>6.</w:t>
            </w:r>
          </w:p>
        </w:tc>
        <w:tc>
          <w:tcPr>
            <w:tcW w:w="4295" w:type="dxa"/>
          </w:tcPr>
          <w:p w:rsidR="00694F65" w:rsidRPr="00C93A64" w:rsidRDefault="00694F65" w:rsidP="00B662AA">
            <w:pPr>
              <w:pStyle w:val="naiskr"/>
              <w:spacing w:before="0" w:after="0"/>
              <w:ind w:left="57" w:right="140"/>
            </w:pPr>
            <w:r w:rsidRPr="00C93A64">
              <w:t>Cita informācija</w:t>
            </w:r>
          </w:p>
        </w:tc>
        <w:tc>
          <w:tcPr>
            <w:tcW w:w="4329" w:type="dxa"/>
          </w:tcPr>
          <w:p w:rsidR="00694F65" w:rsidRPr="00C93A64" w:rsidRDefault="00725B7D" w:rsidP="00E212CA">
            <w:pPr>
              <w:pStyle w:val="naiskr"/>
              <w:spacing w:before="0" w:after="0"/>
              <w:ind w:left="49" w:right="140"/>
            </w:pPr>
            <w:r>
              <w:t>Nav</w:t>
            </w:r>
          </w:p>
        </w:tc>
      </w:tr>
    </w:tbl>
    <w:p w:rsidR="00694F65" w:rsidRDefault="00694F65" w:rsidP="00B662AA">
      <w:pPr>
        <w:pStyle w:val="naisf"/>
        <w:tabs>
          <w:tab w:val="left" w:pos="6804"/>
        </w:tabs>
        <w:spacing w:before="0" w:after="0"/>
        <w:ind w:right="140" w:firstLine="720"/>
      </w:pPr>
    </w:p>
    <w:p w:rsidR="00E966C6" w:rsidRPr="00C93A64" w:rsidRDefault="00E966C6" w:rsidP="00B662AA">
      <w:pPr>
        <w:pStyle w:val="naisf"/>
        <w:tabs>
          <w:tab w:val="left" w:pos="6804"/>
        </w:tabs>
        <w:spacing w:before="0" w:after="0"/>
        <w:ind w:right="140" w:firstLine="720"/>
      </w:pPr>
    </w:p>
    <w:p w:rsidR="00B662AA" w:rsidRPr="00C93A64" w:rsidRDefault="00B662AA" w:rsidP="00CC0FDD">
      <w:pPr>
        <w:ind w:right="-1"/>
        <w:jc w:val="both"/>
        <w:rPr>
          <w:bCs/>
        </w:rPr>
      </w:pPr>
      <w:r w:rsidRPr="00C93A64">
        <w:rPr>
          <w:bCs/>
        </w:rPr>
        <w:t>Tieslietu ministrs</w:t>
      </w:r>
      <w:r w:rsidR="000715F8">
        <w:rPr>
          <w:bCs/>
        </w:rPr>
        <w:tab/>
      </w:r>
      <w:r w:rsidR="000715F8">
        <w:rPr>
          <w:bCs/>
        </w:rPr>
        <w:tab/>
      </w:r>
      <w:r w:rsidR="000715F8">
        <w:rPr>
          <w:bCs/>
        </w:rPr>
        <w:tab/>
      </w:r>
      <w:r w:rsidR="000715F8">
        <w:rPr>
          <w:bCs/>
        </w:rPr>
        <w:tab/>
      </w:r>
      <w:r w:rsidR="000715F8">
        <w:rPr>
          <w:bCs/>
        </w:rPr>
        <w:tab/>
      </w:r>
      <w:r w:rsidR="000715F8">
        <w:rPr>
          <w:bCs/>
        </w:rPr>
        <w:tab/>
      </w:r>
      <w:r w:rsidR="000715F8">
        <w:rPr>
          <w:bCs/>
        </w:rPr>
        <w:tab/>
      </w:r>
      <w:r w:rsidR="000715F8">
        <w:rPr>
          <w:bCs/>
        </w:rPr>
        <w:tab/>
      </w:r>
      <w:r w:rsidR="00774F69" w:rsidRPr="00C93A64">
        <w:rPr>
          <w:bCs/>
        </w:rPr>
        <w:t>J. </w:t>
      </w:r>
      <w:proofErr w:type="spellStart"/>
      <w:r w:rsidR="00774F69" w:rsidRPr="00C93A64">
        <w:rPr>
          <w:bCs/>
        </w:rPr>
        <w:t>Bordāns</w:t>
      </w:r>
      <w:proofErr w:type="spellEnd"/>
    </w:p>
    <w:p w:rsidR="00CC0FDD" w:rsidRDefault="00CC0FDD" w:rsidP="00CC0FDD">
      <w:pPr>
        <w:ind w:right="-1"/>
        <w:jc w:val="both"/>
        <w:rPr>
          <w:bCs/>
        </w:rPr>
      </w:pPr>
    </w:p>
    <w:p w:rsidR="00E966C6" w:rsidRPr="00C93A64" w:rsidRDefault="00E966C6" w:rsidP="00CC0FDD">
      <w:pPr>
        <w:ind w:right="-1"/>
        <w:jc w:val="both"/>
        <w:rPr>
          <w:bCs/>
        </w:rPr>
      </w:pPr>
    </w:p>
    <w:p w:rsidR="00E212CA" w:rsidRDefault="001F2E6A" w:rsidP="00E212CA">
      <w:pPr>
        <w:rPr>
          <w:sz w:val="20"/>
          <w:szCs w:val="20"/>
        </w:rPr>
      </w:pPr>
      <w:bookmarkStart w:id="3" w:name="OLE_LINK1"/>
      <w:bookmarkStart w:id="4" w:name="OLE_LINK2"/>
      <w:r>
        <w:rPr>
          <w:sz w:val="20"/>
          <w:szCs w:val="20"/>
        </w:rPr>
        <w:t>14</w:t>
      </w:r>
      <w:r w:rsidR="00492682">
        <w:rPr>
          <w:sz w:val="20"/>
          <w:szCs w:val="20"/>
        </w:rPr>
        <w:t>.1</w:t>
      </w:r>
      <w:r>
        <w:rPr>
          <w:sz w:val="20"/>
          <w:szCs w:val="20"/>
        </w:rPr>
        <w:t>1</w:t>
      </w:r>
      <w:r w:rsidR="00C061D8">
        <w:rPr>
          <w:sz w:val="20"/>
          <w:szCs w:val="20"/>
        </w:rPr>
        <w:t xml:space="preserve">.2013 </w:t>
      </w:r>
      <w:r>
        <w:rPr>
          <w:sz w:val="20"/>
          <w:szCs w:val="20"/>
        </w:rPr>
        <w:t>1</w:t>
      </w:r>
      <w:r w:rsidR="00391293">
        <w:rPr>
          <w:sz w:val="20"/>
          <w:szCs w:val="20"/>
        </w:rPr>
        <w:t>6</w:t>
      </w:r>
      <w:r w:rsidR="00377787">
        <w:rPr>
          <w:sz w:val="20"/>
          <w:szCs w:val="20"/>
        </w:rPr>
        <w:t>:</w:t>
      </w:r>
      <w:r w:rsidR="00391293">
        <w:rPr>
          <w:sz w:val="20"/>
          <w:szCs w:val="20"/>
        </w:rPr>
        <w:t>25</w:t>
      </w:r>
    </w:p>
    <w:p w:rsidR="00E212CA" w:rsidRDefault="00492682" w:rsidP="00E212CA">
      <w:pPr>
        <w:rPr>
          <w:sz w:val="20"/>
          <w:szCs w:val="20"/>
        </w:rPr>
      </w:pPr>
      <w:r>
        <w:rPr>
          <w:sz w:val="20"/>
          <w:szCs w:val="20"/>
        </w:rPr>
        <w:t xml:space="preserve">2 </w:t>
      </w:r>
      <w:r w:rsidR="003F024E">
        <w:rPr>
          <w:sz w:val="20"/>
          <w:szCs w:val="20"/>
        </w:rPr>
        <w:t>992</w:t>
      </w:r>
    </w:p>
    <w:p w:rsidR="00E212CA" w:rsidRDefault="00E212CA" w:rsidP="00E212CA">
      <w:pPr>
        <w:rPr>
          <w:sz w:val="20"/>
          <w:szCs w:val="20"/>
        </w:rPr>
      </w:pPr>
      <w:r>
        <w:rPr>
          <w:sz w:val="20"/>
          <w:szCs w:val="20"/>
        </w:rPr>
        <w:t>A. </w:t>
      </w:r>
      <w:proofErr w:type="spellStart"/>
      <w:r>
        <w:rPr>
          <w:sz w:val="20"/>
          <w:szCs w:val="20"/>
        </w:rPr>
        <w:t>Smiltēna</w:t>
      </w:r>
      <w:proofErr w:type="spellEnd"/>
    </w:p>
    <w:p w:rsidR="00E212CA" w:rsidRDefault="00E212CA" w:rsidP="00E212CA">
      <w:pPr>
        <w:rPr>
          <w:sz w:val="20"/>
          <w:szCs w:val="20"/>
        </w:rPr>
      </w:pPr>
      <w:r>
        <w:rPr>
          <w:sz w:val="20"/>
          <w:szCs w:val="20"/>
        </w:rPr>
        <w:t xml:space="preserve">67036937, </w:t>
      </w:r>
      <w:r w:rsidRPr="001F2E6A">
        <w:rPr>
          <w:sz w:val="20"/>
          <w:szCs w:val="20"/>
        </w:rPr>
        <w:t>Anda.Smiltena@tm.gov.lv</w:t>
      </w:r>
    </w:p>
    <w:p w:rsidR="00E212CA" w:rsidRPr="00247370" w:rsidRDefault="00E212CA" w:rsidP="00E212CA">
      <w:pPr>
        <w:rPr>
          <w:sz w:val="20"/>
          <w:szCs w:val="20"/>
        </w:rPr>
      </w:pPr>
    </w:p>
    <w:p w:rsidR="00E212CA" w:rsidRDefault="00E212CA" w:rsidP="00E212CA">
      <w:pPr>
        <w:rPr>
          <w:sz w:val="20"/>
          <w:szCs w:val="20"/>
        </w:rPr>
      </w:pPr>
      <w:bookmarkStart w:id="5" w:name="OLE_LINK3"/>
      <w:bookmarkStart w:id="6" w:name="OLE_LINK4"/>
      <w:bookmarkEnd w:id="3"/>
      <w:bookmarkEnd w:id="4"/>
      <w:r>
        <w:rPr>
          <w:sz w:val="20"/>
          <w:szCs w:val="20"/>
        </w:rPr>
        <w:t>N. Laveniece-Straupmane</w:t>
      </w:r>
    </w:p>
    <w:p w:rsidR="004D365B" w:rsidRPr="00EE32DE" w:rsidRDefault="00E212CA" w:rsidP="00E95306">
      <w:pPr>
        <w:rPr>
          <w:sz w:val="20"/>
          <w:szCs w:val="20"/>
        </w:rPr>
      </w:pPr>
      <w:r w:rsidRPr="00247370">
        <w:rPr>
          <w:sz w:val="20"/>
          <w:szCs w:val="20"/>
        </w:rPr>
        <w:t>670369</w:t>
      </w:r>
      <w:r>
        <w:rPr>
          <w:sz w:val="20"/>
          <w:szCs w:val="20"/>
        </w:rPr>
        <w:t>08</w:t>
      </w:r>
      <w:r w:rsidRPr="00247370">
        <w:rPr>
          <w:sz w:val="20"/>
          <w:szCs w:val="20"/>
        </w:rPr>
        <w:t xml:space="preserve">, </w:t>
      </w:r>
      <w:r w:rsidRPr="001F2E6A">
        <w:rPr>
          <w:sz w:val="20"/>
          <w:szCs w:val="20"/>
        </w:rPr>
        <w:t>Natalija.Laveniece-Straupmane@tm.gov.lv</w:t>
      </w:r>
      <w:bookmarkEnd w:id="5"/>
      <w:bookmarkEnd w:id="6"/>
    </w:p>
    <w:sectPr w:rsidR="004D365B" w:rsidRPr="00EE32DE" w:rsidSect="00B662AA">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C5" w:rsidRDefault="009D2CC5" w:rsidP="003E4DC9">
      <w:r>
        <w:separator/>
      </w:r>
    </w:p>
  </w:endnote>
  <w:endnote w:type="continuationSeparator" w:id="0">
    <w:p w:rsidR="009D2CC5" w:rsidRDefault="009D2CC5" w:rsidP="003E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31" w:rsidRDefault="00D33D3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31" w:rsidRPr="00377D31" w:rsidRDefault="001F2E6A" w:rsidP="00377D31">
    <w:pPr>
      <w:pStyle w:val="Kjene"/>
      <w:rPr>
        <w:sz w:val="20"/>
        <w:szCs w:val="20"/>
      </w:rPr>
    </w:pPr>
    <w:r>
      <w:rPr>
        <w:sz w:val="20"/>
        <w:szCs w:val="20"/>
      </w:rPr>
      <w:t>TMAnot_14</w:t>
    </w:r>
    <w:r w:rsidR="003275F1" w:rsidRPr="003275F1">
      <w:rPr>
        <w:sz w:val="20"/>
        <w:szCs w:val="20"/>
      </w:rPr>
      <w:t>1</w:t>
    </w:r>
    <w:r>
      <w:rPr>
        <w:sz w:val="20"/>
        <w:szCs w:val="20"/>
      </w:rPr>
      <w:t>1</w:t>
    </w:r>
    <w:r w:rsidR="003275F1" w:rsidRPr="003275F1">
      <w:rPr>
        <w:sz w:val="20"/>
        <w:szCs w:val="20"/>
      </w:rPr>
      <w:t>13_LAPK</w:t>
    </w:r>
    <w:r w:rsidR="00377D31" w:rsidRPr="00377D31">
      <w:rPr>
        <w:sz w:val="20"/>
        <w:szCs w:val="20"/>
      </w:rPr>
      <w:t>; Likumprojekta „Grozījumi Latvijas Administratīvo pārkāpumu kodeksā”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C5" w:rsidRPr="00377D31" w:rsidRDefault="00D33D31" w:rsidP="00377D31">
    <w:pPr>
      <w:pStyle w:val="naislab"/>
      <w:spacing w:before="0" w:after="0"/>
      <w:jc w:val="both"/>
      <w:rPr>
        <w:sz w:val="20"/>
        <w:szCs w:val="20"/>
      </w:rPr>
    </w:pPr>
    <w:r>
      <w:rPr>
        <w:sz w:val="20"/>
        <w:szCs w:val="20"/>
      </w:rPr>
      <w:t>TMAnot_1411</w:t>
    </w:r>
    <w:r w:rsidR="003275F1" w:rsidRPr="003275F1">
      <w:rPr>
        <w:sz w:val="20"/>
        <w:szCs w:val="20"/>
      </w:rPr>
      <w:t>13_LAPK</w:t>
    </w:r>
    <w:r w:rsidR="009D2CC5" w:rsidRPr="00B662AA">
      <w:rPr>
        <w:sz w:val="20"/>
        <w:szCs w:val="20"/>
      </w:rPr>
      <w:t xml:space="preserve">; </w:t>
    </w:r>
    <w:r w:rsidR="00B662AA" w:rsidRPr="00B662AA">
      <w:rPr>
        <w:sz w:val="20"/>
        <w:szCs w:val="20"/>
      </w:rPr>
      <w:t>Likumprojekta „Grozījumi Latvijas Administratīvo pārkāpumu kodeksā”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C5" w:rsidRDefault="009D2CC5" w:rsidP="003E4DC9">
      <w:r>
        <w:separator/>
      </w:r>
    </w:p>
  </w:footnote>
  <w:footnote w:type="continuationSeparator" w:id="0">
    <w:p w:rsidR="009D2CC5" w:rsidRDefault="009D2CC5" w:rsidP="003E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C5" w:rsidRDefault="00A43992" w:rsidP="00D31673">
    <w:pPr>
      <w:pStyle w:val="Galvene"/>
      <w:framePr w:wrap="around" w:vAnchor="text" w:hAnchor="margin" w:xAlign="center" w:y="1"/>
      <w:rPr>
        <w:rStyle w:val="Lappusesnumurs"/>
      </w:rPr>
    </w:pPr>
    <w:r>
      <w:rPr>
        <w:rStyle w:val="Lappusesnumurs"/>
      </w:rPr>
      <w:fldChar w:fldCharType="begin"/>
    </w:r>
    <w:r w:rsidR="009D2CC5">
      <w:rPr>
        <w:rStyle w:val="Lappusesnumurs"/>
      </w:rPr>
      <w:instrText xml:space="preserve">PAGE  </w:instrText>
    </w:r>
    <w:r>
      <w:rPr>
        <w:rStyle w:val="Lappusesnumurs"/>
      </w:rPr>
      <w:fldChar w:fldCharType="separate"/>
    </w:r>
    <w:r w:rsidR="009D2CC5">
      <w:rPr>
        <w:rStyle w:val="Lappusesnumurs"/>
        <w:noProof/>
      </w:rPr>
      <w:t>5</w:t>
    </w:r>
    <w:r>
      <w:rPr>
        <w:rStyle w:val="Lappusesnumurs"/>
      </w:rPr>
      <w:fldChar w:fldCharType="end"/>
    </w:r>
  </w:p>
  <w:p w:rsidR="009D2CC5" w:rsidRDefault="009D2CC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C5" w:rsidRDefault="00A43992" w:rsidP="00D31673">
    <w:pPr>
      <w:pStyle w:val="Galvene"/>
      <w:framePr w:wrap="around" w:vAnchor="text" w:hAnchor="margin" w:xAlign="center" w:y="1"/>
      <w:rPr>
        <w:rStyle w:val="Lappusesnumurs"/>
      </w:rPr>
    </w:pPr>
    <w:r>
      <w:rPr>
        <w:rStyle w:val="Lappusesnumurs"/>
      </w:rPr>
      <w:fldChar w:fldCharType="begin"/>
    </w:r>
    <w:r w:rsidR="009D2CC5">
      <w:rPr>
        <w:rStyle w:val="Lappusesnumurs"/>
      </w:rPr>
      <w:instrText xml:space="preserve">PAGE  </w:instrText>
    </w:r>
    <w:r>
      <w:rPr>
        <w:rStyle w:val="Lappusesnumurs"/>
      </w:rPr>
      <w:fldChar w:fldCharType="separate"/>
    </w:r>
    <w:r w:rsidR="004010BE">
      <w:rPr>
        <w:rStyle w:val="Lappusesnumurs"/>
        <w:noProof/>
      </w:rPr>
      <w:t>10</w:t>
    </w:r>
    <w:r>
      <w:rPr>
        <w:rStyle w:val="Lappusesnumurs"/>
      </w:rPr>
      <w:fldChar w:fldCharType="end"/>
    </w:r>
  </w:p>
  <w:p w:rsidR="009D2CC5" w:rsidRDefault="009D2CC5">
    <w:pPr>
      <w:pStyle w:val="Galvene"/>
    </w:pPr>
  </w:p>
  <w:p w:rsidR="00C93A64" w:rsidRDefault="00C93A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31" w:rsidRDefault="00D33D3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78E54C75"/>
    <w:multiLevelType w:val="hybridMultilevel"/>
    <w:tmpl w:val="5B16EF90"/>
    <w:lvl w:ilvl="0" w:tplc="D878224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65"/>
    <w:rsid w:val="00000366"/>
    <w:rsid w:val="0000188F"/>
    <w:rsid w:val="00006B9A"/>
    <w:rsid w:val="000076DB"/>
    <w:rsid w:val="00007945"/>
    <w:rsid w:val="00010C03"/>
    <w:rsid w:val="00017CF0"/>
    <w:rsid w:val="00020F74"/>
    <w:rsid w:val="00023A9C"/>
    <w:rsid w:val="00024F08"/>
    <w:rsid w:val="000408FE"/>
    <w:rsid w:val="00042B92"/>
    <w:rsid w:val="00045C90"/>
    <w:rsid w:val="000466D7"/>
    <w:rsid w:val="00051223"/>
    <w:rsid w:val="00051A1F"/>
    <w:rsid w:val="00056132"/>
    <w:rsid w:val="00056D54"/>
    <w:rsid w:val="00056D68"/>
    <w:rsid w:val="00063FF7"/>
    <w:rsid w:val="000715F8"/>
    <w:rsid w:val="00075F76"/>
    <w:rsid w:val="00076BFD"/>
    <w:rsid w:val="00081DA8"/>
    <w:rsid w:val="000873F7"/>
    <w:rsid w:val="00097E33"/>
    <w:rsid w:val="000A27D6"/>
    <w:rsid w:val="000B5A71"/>
    <w:rsid w:val="000C0D46"/>
    <w:rsid w:val="000C5C7D"/>
    <w:rsid w:val="000D1E50"/>
    <w:rsid w:val="000E102B"/>
    <w:rsid w:val="000F207A"/>
    <w:rsid w:val="00101CAC"/>
    <w:rsid w:val="00107A76"/>
    <w:rsid w:val="00110A62"/>
    <w:rsid w:val="00114B67"/>
    <w:rsid w:val="00115BB6"/>
    <w:rsid w:val="00117481"/>
    <w:rsid w:val="00123578"/>
    <w:rsid w:val="00130A33"/>
    <w:rsid w:val="0013670F"/>
    <w:rsid w:val="00136AAE"/>
    <w:rsid w:val="001373FA"/>
    <w:rsid w:val="00140632"/>
    <w:rsid w:val="00142DBC"/>
    <w:rsid w:val="001462EA"/>
    <w:rsid w:val="0015469D"/>
    <w:rsid w:val="00155D49"/>
    <w:rsid w:val="00156160"/>
    <w:rsid w:val="00162A7F"/>
    <w:rsid w:val="00165349"/>
    <w:rsid w:val="00166FEF"/>
    <w:rsid w:val="00180C7A"/>
    <w:rsid w:val="001820EB"/>
    <w:rsid w:val="00196EC6"/>
    <w:rsid w:val="001A0F8D"/>
    <w:rsid w:val="001A4745"/>
    <w:rsid w:val="001B1347"/>
    <w:rsid w:val="001D334D"/>
    <w:rsid w:val="001E3566"/>
    <w:rsid w:val="001F1884"/>
    <w:rsid w:val="001F2E6A"/>
    <w:rsid w:val="001F6B96"/>
    <w:rsid w:val="00201AA4"/>
    <w:rsid w:val="0021103C"/>
    <w:rsid w:val="00211698"/>
    <w:rsid w:val="00211DCC"/>
    <w:rsid w:val="00214570"/>
    <w:rsid w:val="00235E5E"/>
    <w:rsid w:val="00251A0D"/>
    <w:rsid w:val="0026037E"/>
    <w:rsid w:val="00260B41"/>
    <w:rsid w:val="00266DB0"/>
    <w:rsid w:val="0027452D"/>
    <w:rsid w:val="00277958"/>
    <w:rsid w:val="0028193D"/>
    <w:rsid w:val="00290630"/>
    <w:rsid w:val="002A21E6"/>
    <w:rsid w:val="002A7306"/>
    <w:rsid w:val="002B082F"/>
    <w:rsid w:val="002B1294"/>
    <w:rsid w:val="002B1BCB"/>
    <w:rsid w:val="002B3515"/>
    <w:rsid w:val="002C0C7E"/>
    <w:rsid w:val="002D44D4"/>
    <w:rsid w:val="002E1085"/>
    <w:rsid w:val="002E37C0"/>
    <w:rsid w:val="002F0234"/>
    <w:rsid w:val="002F2553"/>
    <w:rsid w:val="002F3133"/>
    <w:rsid w:val="002F46D1"/>
    <w:rsid w:val="003074E1"/>
    <w:rsid w:val="003114F2"/>
    <w:rsid w:val="003126A8"/>
    <w:rsid w:val="003145F7"/>
    <w:rsid w:val="003275F1"/>
    <w:rsid w:val="0034050E"/>
    <w:rsid w:val="00347F5A"/>
    <w:rsid w:val="00350587"/>
    <w:rsid w:val="0035110F"/>
    <w:rsid w:val="00354369"/>
    <w:rsid w:val="00365F83"/>
    <w:rsid w:val="00377787"/>
    <w:rsid w:val="00377D31"/>
    <w:rsid w:val="00381A8D"/>
    <w:rsid w:val="003839D2"/>
    <w:rsid w:val="00391293"/>
    <w:rsid w:val="003A005D"/>
    <w:rsid w:val="003A0349"/>
    <w:rsid w:val="003B38C7"/>
    <w:rsid w:val="003B724E"/>
    <w:rsid w:val="003C42C9"/>
    <w:rsid w:val="003D4D96"/>
    <w:rsid w:val="003D5D9C"/>
    <w:rsid w:val="003E02EC"/>
    <w:rsid w:val="003E0C25"/>
    <w:rsid w:val="003E1A71"/>
    <w:rsid w:val="003E4DC9"/>
    <w:rsid w:val="003E5719"/>
    <w:rsid w:val="003E7367"/>
    <w:rsid w:val="003F024E"/>
    <w:rsid w:val="003F0EC8"/>
    <w:rsid w:val="004010BE"/>
    <w:rsid w:val="00404119"/>
    <w:rsid w:val="004044BC"/>
    <w:rsid w:val="004117DE"/>
    <w:rsid w:val="00413D97"/>
    <w:rsid w:val="004154E7"/>
    <w:rsid w:val="0041761A"/>
    <w:rsid w:val="004318A6"/>
    <w:rsid w:val="0043216F"/>
    <w:rsid w:val="004362F0"/>
    <w:rsid w:val="00436481"/>
    <w:rsid w:val="00441FC5"/>
    <w:rsid w:val="00457A79"/>
    <w:rsid w:val="00463804"/>
    <w:rsid w:val="00475B0A"/>
    <w:rsid w:val="0048387A"/>
    <w:rsid w:val="004903FF"/>
    <w:rsid w:val="00490E26"/>
    <w:rsid w:val="00490F2D"/>
    <w:rsid w:val="0049144B"/>
    <w:rsid w:val="00492682"/>
    <w:rsid w:val="00493BCF"/>
    <w:rsid w:val="004A2680"/>
    <w:rsid w:val="004A7325"/>
    <w:rsid w:val="004B501D"/>
    <w:rsid w:val="004C37A0"/>
    <w:rsid w:val="004C447B"/>
    <w:rsid w:val="004C7D37"/>
    <w:rsid w:val="004D26A0"/>
    <w:rsid w:val="004D365B"/>
    <w:rsid w:val="004D4343"/>
    <w:rsid w:val="004D6768"/>
    <w:rsid w:val="004F11C9"/>
    <w:rsid w:val="005013E0"/>
    <w:rsid w:val="00503DC6"/>
    <w:rsid w:val="005142E1"/>
    <w:rsid w:val="0052020E"/>
    <w:rsid w:val="005229BD"/>
    <w:rsid w:val="005247C7"/>
    <w:rsid w:val="005324CF"/>
    <w:rsid w:val="0053576B"/>
    <w:rsid w:val="0053685F"/>
    <w:rsid w:val="00537FB6"/>
    <w:rsid w:val="005529C5"/>
    <w:rsid w:val="00556D32"/>
    <w:rsid w:val="00557768"/>
    <w:rsid w:val="005613F4"/>
    <w:rsid w:val="0059001D"/>
    <w:rsid w:val="00594686"/>
    <w:rsid w:val="005A41D8"/>
    <w:rsid w:val="005B35D4"/>
    <w:rsid w:val="005B6BC5"/>
    <w:rsid w:val="005D0D16"/>
    <w:rsid w:val="005D1505"/>
    <w:rsid w:val="005E0517"/>
    <w:rsid w:val="005E3BDB"/>
    <w:rsid w:val="005E74C4"/>
    <w:rsid w:val="005F1C39"/>
    <w:rsid w:val="005F1E85"/>
    <w:rsid w:val="005F667B"/>
    <w:rsid w:val="005F7E1F"/>
    <w:rsid w:val="0060305E"/>
    <w:rsid w:val="00604ADC"/>
    <w:rsid w:val="006053B3"/>
    <w:rsid w:val="00620CD8"/>
    <w:rsid w:val="006364EB"/>
    <w:rsid w:val="006434FB"/>
    <w:rsid w:val="006438C7"/>
    <w:rsid w:val="00644560"/>
    <w:rsid w:val="0065056F"/>
    <w:rsid w:val="006516AC"/>
    <w:rsid w:val="006558F3"/>
    <w:rsid w:val="0067402B"/>
    <w:rsid w:val="00674AFB"/>
    <w:rsid w:val="006818F4"/>
    <w:rsid w:val="00684E1F"/>
    <w:rsid w:val="00685C63"/>
    <w:rsid w:val="0068728F"/>
    <w:rsid w:val="00694F65"/>
    <w:rsid w:val="00697008"/>
    <w:rsid w:val="006A6FF3"/>
    <w:rsid w:val="006B67DC"/>
    <w:rsid w:val="006C1517"/>
    <w:rsid w:val="006C3883"/>
    <w:rsid w:val="006C4FBF"/>
    <w:rsid w:val="006D2FE5"/>
    <w:rsid w:val="006D426F"/>
    <w:rsid w:val="006D568C"/>
    <w:rsid w:val="006D5C7E"/>
    <w:rsid w:val="006E1C99"/>
    <w:rsid w:val="006F1049"/>
    <w:rsid w:val="006F16D4"/>
    <w:rsid w:val="00701255"/>
    <w:rsid w:val="007016FF"/>
    <w:rsid w:val="0071261C"/>
    <w:rsid w:val="0072109B"/>
    <w:rsid w:val="00722D11"/>
    <w:rsid w:val="00724CFF"/>
    <w:rsid w:val="00724D2D"/>
    <w:rsid w:val="00725135"/>
    <w:rsid w:val="00725B4D"/>
    <w:rsid w:val="00725B7D"/>
    <w:rsid w:val="007376C6"/>
    <w:rsid w:val="00741182"/>
    <w:rsid w:val="00742204"/>
    <w:rsid w:val="0074585D"/>
    <w:rsid w:val="007475C6"/>
    <w:rsid w:val="007554B7"/>
    <w:rsid w:val="007718F3"/>
    <w:rsid w:val="007733C7"/>
    <w:rsid w:val="00774F69"/>
    <w:rsid w:val="00776169"/>
    <w:rsid w:val="00780030"/>
    <w:rsid w:val="00784A99"/>
    <w:rsid w:val="007925AB"/>
    <w:rsid w:val="00792FB8"/>
    <w:rsid w:val="007946FF"/>
    <w:rsid w:val="00794B92"/>
    <w:rsid w:val="007A28C3"/>
    <w:rsid w:val="007A51CC"/>
    <w:rsid w:val="007A5568"/>
    <w:rsid w:val="007A5689"/>
    <w:rsid w:val="007A6679"/>
    <w:rsid w:val="007B2BF4"/>
    <w:rsid w:val="007C0CE8"/>
    <w:rsid w:val="007C4E5E"/>
    <w:rsid w:val="007D6101"/>
    <w:rsid w:val="007D7881"/>
    <w:rsid w:val="007D793F"/>
    <w:rsid w:val="007F066E"/>
    <w:rsid w:val="007F2B07"/>
    <w:rsid w:val="007F55D4"/>
    <w:rsid w:val="007F5668"/>
    <w:rsid w:val="008031AF"/>
    <w:rsid w:val="008060B3"/>
    <w:rsid w:val="008077FD"/>
    <w:rsid w:val="00814CA8"/>
    <w:rsid w:val="00823C9E"/>
    <w:rsid w:val="0082537C"/>
    <w:rsid w:val="00844254"/>
    <w:rsid w:val="008517A3"/>
    <w:rsid w:val="00856C41"/>
    <w:rsid w:val="0085744F"/>
    <w:rsid w:val="00864554"/>
    <w:rsid w:val="0088068D"/>
    <w:rsid w:val="00880945"/>
    <w:rsid w:val="0088106B"/>
    <w:rsid w:val="008872F8"/>
    <w:rsid w:val="00891110"/>
    <w:rsid w:val="0089192B"/>
    <w:rsid w:val="0089279E"/>
    <w:rsid w:val="008938AD"/>
    <w:rsid w:val="00894AF2"/>
    <w:rsid w:val="008C2014"/>
    <w:rsid w:val="008C3E34"/>
    <w:rsid w:val="008C72CA"/>
    <w:rsid w:val="008D28FB"/>
    <w:rsid w:val="008D2B97"/>
    <w:rsid w:val="008D30E1"/>
    <w:rsid w:val="008E032B"/>
    <w:rsid w:val="008E2495"/>
    <w:rsid w:val="008F0504"/>
    <w:rsid w:val="008F1C44"/>
    <w:rsid w:val="008F468D"/>
    <w:rsid w:val="00917D3E"/>
    <w:rsid w:val="00922F48"/>
    <w:rsid w:val="00924D5C"/>
    <w:rsid w:val="00925A0D"/>
    <w:rsid w:val="00927B39"/>
    <w:rsid w:val="0093061C"/>
    <w:rsid w:val="00936325"/>
    <w:rsid w:val="009416E7"/>
    <w:rsid w:val="00947EFB"/>
    <w:rsid w:val="0095127B"/>
    <w:rsid w:val="0096444E"/>
    <w:rsid w:val="00967293"/>
    <w:rsid w:val="0097080F"/>
    <w:rsid w:val="00970F06"/>
    <w:rsid w:val="00972825"/>
    <w:rsid w:val="009734A2"/>
    <w:rsid w:val="009739CC"/>
    <w:rsid w:val="009841A1"/>
    <w:rsid w:val="00984C4F"/>
    <w:rsid w:val="009900A2"/>
    <w:rsid w:val="00990565"/>
    <w:rsid w:val="0099613A"/>
    <w:rsid w:val="009966CE"/>
    <w:rsid w:val="009A3D4F"/>
    <w:rsid w:val="009A45A0"/>
    <w:rsid w:val="009B2E0E"/>
    <w:rsid w:val="009C5123"/>
    <w:rsid w:val="009D2CC5"/>
    <w:rsid w:val="009E1E8E"/>
    <w:rsid w:val="009E2662"/>
    <w:rsid w:val="009E4B37"/>
    <w:rsid w:val="009E617E"/>
    <w:rsid w:val="009F38D3"/>
    <w:rsid w:val="009F56B1"/>
    <w:rsid w:val="009F778E"/>
    <w:rsid w:val="00A11FB2"/>
    <w:rsid w:val="00A135A7"/>
    <w:rsid w:val="00A14CAA"/>
    <w:rsid w:val="00A26528"/>
    <w:rsid w:val="00A43992"/>
    <w:rsid w:val="00A54182"/>
    <w:rsid w:val="00A61611"/>
    <w:rsid w:val="00A6163F"/>
    <w:rsid w:val="00A64190"/>
    <w:rsid w:val="00A759E6"/>
    <w:rsid w:val="00A8565F"/>
    <w:rsid w:val="00A86720"/>
    <w:rsid w:val="00A9157C"/>
    <w:rsid w:val="00A91E1B"/>
    <w:rsid w:val="00A937DC"/>
    <w:rsid w:val="00AA253D"/>
    <w:rsid w:val="00AB2222"/>
    <w:rsid w:val="00AB7110"/>
    <w:rsid w:val="00AB7449"/>
    <w:rsid w:val="00AC0165"/>
    <w:rsid w:val="00AC5AF3"/>
    <w:rsid w:val="00AC5B20"/>
    <w:rsid w:val="00AD3EBA"/>
    <w:rsid w:val="00AD4D8C"/>
    <w:rsid w:val="00AE3330"/>
    <w:rsid w:val="00AF2F47"/>
    <w:rsid w:val="00AF6C8A"/>
    <w:rsid w:val="00B00935"/>
    <w:rsid w:val="00B03844"/>
    <w:rsid w:val="00B10326"/>
    <w:rsid w:val="00B11809"/>
    <w:rsid w:val="00B174D0"/>
    <w:rsid w:val="00B20B92"/>
    <w:rsid w:val="00B42F8B"/>
    <w:rsid w:val="00B61EA9"/>
    <w:rsid w:val="00B662AA"/>
    <w:rsid w:val="00B85A9D"/>
    <w:rsid w:val="00BA5A02"/>
    <w:rsid w:val="00BB1EC8"/>
    <w:rsid w:val="00BB58C9"/>
    <w:rsid w:val="00BB6230"/>
    <w:rsid w:val="00BB6617"/>
    <w:rsid w:val="00BB6D76"/>
    <w:rsid w:val="00BC7313"/>
    <w:rsid w:val="00BD20F2"/>
    <w:rsid w:val="00BD6138"/>
    <w:rsid w:val="00BD6B10"/>
    <w:rsid w:val="00BE14B2"/>
    <w:rsid w:val="00BE5DA5"/>
    <w:rsid w:val="00BE7E6A"/>
    <w:rsid w:val="00BF0D58"/>
    <w:rsid w:val="00C061D8"/>
    <w:rsid w:val="00C134A3"/>
    <w:rsid w:val="00C15168"/>
    <w:rsid w:val="00C20B0F"/>
    <w:rsid w:val="00C27888"/>
    <w:rsid w:val="00C35726"/>
    <w:rsid w:val="00C411D3"/>
    <w:rsid w:val="00C419E7"/>
    <w:rsid w:val="00C567EA"/>
    <w:rsid w:val="00C61C91"/>
    <w:rsid w:val="00C67F60"/>
    <w:rsid w:val="00C70A30"/>
    <w:rsid w:val="00C730D1"/>
    <w:rsid w:val="00C83348"/>
    <w:rsid w:val="00C93A64"/>
    <w:rsid w:val="00C95C7E"/>
    <w:rsid w:val="00CA0D38"/>
    <w:rsid w:val="00CA1FE8"/>
    <w:rsid w:val="00CA5B86"/>
    <w:rsid w:val="00CA7EE4"/>
    <w:rsid w:val="00CC0FDD"/>
    <w:rsid w:val="00CC123D"/>
    <w:rsid w:val="00CC4F25"/>
    <w:rsid w:val="00CC7401"/>
    <w:rsid w:val="00CD5DDA"/>
    <w:rsid w:val="00CD62B7"/>
    <w:rsid w:val="00CE3BEE"/>
    <w:rsid w:val="00CE4B09"/>
    <w:rsid w:val="00CE718F"/>
    <w:rsid w:val="00CE7795"/>
    <w:rsid w:val="00CF3A61"/>
    <w:rsid w:val="00CF7D86"/>
    <w:rsid w:val="00D046AB"/>
    <w:rsid w:val="00D07402"/>
    <w:rsid w:val="00D10B7C"/>
    <w:rsid w:val="00D11E3E"/>
    <w:rsid w:val="00D17CF2"/>
    <w:rsid w:val="00D21687"/>
    <w:rsid w:val="00D31673"/>
    <w:rsid w:val="00D33D31"/>
    <w:rsid w:val="00D40E4C"/>
    <w:rsid w:val="00D419E6"/>
    <w:rsid w:val="00D41E49"/>
    <w:rsid w:val="00D42898"/>
    <w:rsid w:val="00D43E1B"/>
    <w:rsid w:val="00D54A93"/>
    <w:rsid w:val="00D57C0C"/>
    <w:rsid w:val="00D67CB3"/>
    <w:rsid w:val="00D7620C"/>
    <w:rsid w:val="00D80A53"/>
    <w:rsid w:val="00D819A0"/>
    <w:rsid w:val="00D87A27"/>
    <w:rsid w:val="00D87F58"/>
    <w:rsid w:val="00D91454"/>
    <w:rsid w:val="00D97728"/>
    <w:rsid w:val="00DA0EF8"/>
    <w:rsid w:val="00DA5AF7"/>
    <w:rsid w:val="00DC1EB9"/>
    <w:rsid w:val="00DC308A"/>
    <w:rsid w:val="00DC3118"/>
    <w:rsid w:val="00DC3474"/>
    <w:rsid w:val="00DC5206"/>
    <w:rsid w:val="00DD2B55"/>
    <w:rsid w:val="00DD4AAD"/>
    <w:rsid w:val="00DD4F05"/>
    <w:rsid w:val="00E04104"/>
    <w:rsid w:val="00E212CA"/>
    <w:rsid w:val="00E23691"/>
    <w:rsid w:val="00E23700"/>
    <w:rsid w:val="00E4361E"/>
    <w:rsid w:val="00E45C7A"/>
    <w:rsid w:val="00E47721"/>
    <w:rsid w:val="00E52202"/>
    <w:rsid w:val="00E5458F"/>
    <w:rsid w:val="00E576CD"/>
    <w:rsid w:val="00E65EF0"/>
    <w:rsid w:val="00E71B98"/>
    <w:rsid w:val="00E872D4"/>
    <w:rsid w:val="00E92718"/>
    <w:rsid w:val="00E929AB"/>
    <w:rsid w:val="00E92CBF"/>
    <w:rsid w:val="00E95306"/>
    <w:rsid w:val="00E966C6"/>
    <w:rsid w:val="00EA01F3"/>
    <w:rsid w:val="00EA14E4"/>
    <w:rsid w:val="00EA1951"/>
    <w:rsid w:val="00EB241E"/>
    <w:rsid w:val="00EB6A31"/>
    <w:rsid w:val="00EC193B"/>
    <w:rsid w:val="00EC1BF6"/>
    <w:rsid w:val="00EC7F51"/>
    <w:rsid w:val="00EE2355"/>
    <w:rsid w:val="00EE2AE3"/>
    <w:rsid w:val="00EE32DE"/>
    <w:rsid w:val="00EF0768"/>
    <w:rsid w:val="00EF370A"/>
    <w:rsid w:val="00EF50CE"/>
    <w:rsid w:val="00EF659E"/>
    <w:rsid w:val="00EF7B87"/>
    <w:rsid w:val="00F00023"/>
    <w:rsid w:val="00F1603C"/>
    <w:rsid w:val="00F224E3"/>
    <w:rsid w:val="00F2547C"/>
    <w:rsid w:val="00F27F14"/>
    <w:rsid w:val="00F36883"/>
    <w:rsid w:val="00F503C8"/>
    <w:rsid w:val="00F52898"/>
    <w:rsid w:val="00F61EC1"/>
    <w:rsid w:val="00F6560C"/>
    <w:rsid w:val="00F66370"/>
    <w:rsid w:val="00F74CDA"/>
    <w:rsid w:val="00F759EA"/>
    <w:rsid w:val="00F810A4"/>
    <w:rsid w:val="00F82943"/>
    <w:rsid w:val="00F82BED"/>
    <w:rsid w:val="00F869D0"/>
    <w:rsid w:val="00F97600"/>
    <w:rsid w:val="00FA25A9"/>
    <w:rsid w:val="00FA4E3C"/>
    <w:rsid w:val="00FA5791"/>
    <w:rsid w:val="00FA788A"/>
    <w:rsid w:val="00FB01A1"/>
    <w:rsid w:val="00FB3E10"/>
    <w:rsid w:val="00FB45CB"/>
    <w:rsid w:val="00FC3C7E"/>
    <w:rsid w:val="00FD61BF"/>
    <w:rsid w:val="00FE002F"/>
    <w:rsid w:val="00FE18C7"/>
    <w:rsid w:val="00FE1A1A"/>
    <w:rsid w:val="00FE1CBE"/>
    <w:rsid w:val="00FE405F"/>
    <w:rsid w:val="00FE739D"/>
    <w:rsid w:val="00FF0AD0"/>
    <w:rsid w:val="00FF1F66"/>
    <w:rsid w:val="00FF69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4F6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94F65"/>
    <w:pPr>
      <w:tabs>
        <w:tab w:val="center" w:pos="4153"/>
        <w:tab w:val="right" w:pos="8306"/>
      </w:tabs>
    </w:pPr>
  </w:style>
  <w:style w:type="character" w:customStyle="1" w:styleId="GalveneRakstz">
    <w:name w:val="Galvene Rakstz."/>
    <w:basedOn w:val="Noklusjumarindkopasfonts"/>
    <w:link w:val="Galvene"/>
    <w:rsid w:val="00694F65"/>
    <w:rPr>
      <w:rFonts w:ascii="Times New Roman" w:eastAsia="Times New Roman" w:hAnsi="Times New Roman" w:cs="Times New Roman"/>
      <w:sz w:val="24"/>
      <w:szCs w:val="24"/>
      <w:lang w:eastAsia="lv-LV"/>
    </w:rPr>
  </w:style>
  <w:style w:type="character" w:styleId="Lappusesnumurs">
    <w:name w:val="page number"/>
    <w:basedOn w:val="Noklusjumarindkopasfonts"/>
    <w:rsid w:val="00694F65"/>
  </w:style>
  <w:style w:type="paragraph" w:customStyle="1" w:styleId="naisf">
    <w:name w:val="naisf"/>
    <w:basedOn w:val="Parasts"/>
    <w:rsid w:val="00694F65"/>
    <w:pPr>
      <w:spacing w:before="75" w:after="75"/>
      <w:ind w:firstLine="375"/>
      <w:jc w:val="both"/>
    </w:pPr>
  </w:style>
  <w:style w:type="paragraph" w:customStyle="1" w:styleId="naisnod">
    <w:name w:val="naisnod"/>
    <w:basedOn w:val="Parasts"/>
    <w:rsid w:val="00694F65"/>
    <w:pPr>
      <w:spacing w:before="150" w:after="150"/>
      <w:jc w:val="center"/>
    </w:pPr>
    <w:rPr>
      <w:b/>
      <w:bCs/>
    </w:rPr>
  </w:style>
  <w:style w:type="paragraph" w:customStyle="1" w:styleId="naislab">
    <w:name w:val="naislab"/>
    <w:basedOn w:val="Parasts"/>
    <w:rsid w:val="00694F65"/>
    <w:pPr>
      <w:spacing w:before="75" w:after="75"/>
      <w:jc w:val="right"/>
    </w:pPr>
  </w:style>
  <w:style w:type="paragraph" w:customStyle="1" w:styleId="naiskr">
    <w:name w:val="naiskr"/>
    <w:basedOn w:val="Parasts"/>
    <w:rsid w:val="00694F65"/>
    <w:pPr>
      <w:spacing w:before="75" w:after="75"/>
    </w:pPr>
  </w:style>
  <w:style w:type="paragraph" w:styleId="Vresteksts">
    <w:name w:val="footnote text"/>
    <w:basedOn w:val="Parasts"/>
    <w:link w:val="VrestekstsRakstz"/>
    <w:semiHidden/>
    <w:rsid w:val="00694F65"/>
    <w:rPr>
      <w:sz w:val="20"/>
      <w:szCs w:val="20"/>
    </w:rPr>
  </w:style>
  <w:style w:type="character" w:customStyle="1" w:styleId="VrestekstsRakstz">
    <w:name w:val="Vēres teksts Rakstz."/>
    <w:basedOn w:val="Noklusjumarindkopasfonts"/>
    <w:link w:val="Vresteksts"/>
    <w:semiHidden/>
    <w:rsid w:val="00694F65"/>
    <w:rPr>
      <w:rFonts w:ascii="Times New Roman" w:eastAsia="Times New Roman" w:hAnsi="Times New Roman" w:cs="Times New Roman"/>
      <w:sz w:val="20"/>
      <w:szCs w:val="20"/>
      <w:lang w:eastAsia="lv-LV"/>
    </w:rPr>
  </w:style>
  <w:style w:type="paragraph" w:styleId="Kjene">
    <w:name w:val="footer"/>
    <w:basedOn w:val="Parasts"/>
    <w:link w:val="KjeneRakstz"/>
    <w:rsid w:val="00694F65"/>
    <w:pPr>
      <w:tabs>
        <w:tab w:val="center" w:pos="4153"/>
        <w:tab w:val="right" w:pos="8306"/>
      </w:tabs>
    </w:pPr>
  </w:style>
  <w:style w:type="character" w:customStyle="1" w:styleId="KjeneRakstz">
    <w:name w:val="Kājene Rakstz."/>
    <w:basedOn w:val="Noklusjumarindkopasfonts"/>
    <w:link w:val="Kjene"/>
    <w:rsid w:val="00694F65"/>
    <w:rPr>
      <w:rFonts w:ascii="Times New Roman" w:eastAsia="Times New Roman" w:hAnsi="Times New Roman" w:cs="Times New Roman"/>
      <w:sz w:val="24"/>
      <w:szCs w:val="24"/>
      <w:lang w:eastAsia="lv-LV"/>
    </w:rPr>
  </w:style>
  <w:style w:type="character" w:styleId="Vresatsauce">
    <w:name w:val="footnote reference"/>
    <w:basedOn w:val="Noklusjumarindkopasfonts"/>
    <w:semiHidden/>
    <w:rsid w:val="008517A3"/>
    <w:rPr>
      <w:vertAlign w:val="superscript"/>
    </w:rPr>
  </w:style>
  <w:style w:type="paragraph" w:styleId="Pamatteksts">
    <w:name w:val="Body Text"/>
    <w:basedOn w:val="Parasts"/>
    <w:link w:val="PamattekstsRakstz"/>
    <w:rsid w:val="00722D11"/>
    <w:pPr>
      <w:jc w:val="center"/>
    </w:pPr>
    <w:rPr>
      <w:b/>
      <w:bCs/>
      <w:sz w:val="26"/>
      <w:lang w:val="de-DE" w:eastAsia="en-US"/>
    </w:rPr>
  </w:style>
  <w:style w:type="character" w:customStyle="1" w:styleId="PamattekstsRakstz">
    <w:name w:val="Pamatteksts Rakstz."/>
    <w:basedOn w:val="Noklusjumarindkopasfonts"/>
    <w:link w:val="Pamatteksts"/>
    <w:rsid w:val="00722D11"/>
    <w:rPr>
      <w:rFonts w:ascii="Times New Roman" w:eastAsia="Times New Roman" w:hAnsi="Times New Roman" w:cs="Times New Roman"/>
      <w:b/>
      <w:bCs/>
      <w:sz w:val="26"/>
      <w:szCs w:val="24"/>
      <w:lang w:val="de-DE"/>
    </w:rPr>
  </w:style>
  <w:style w:type="character" w:styleId="Komentraatsauce">
    <w:name w:val="annotation reference"/>
    <w:basedOn w:val="Noklusjumarindkopasfonts"/>
    <w:uiPriority w:val="99"/>
    <w:semiHidden/>
    <w:unhideWhenUsed/>
    <w:rsid w:val="003145F7"/>
    <w:rPr>
      <w:sz w:val="16"/>
      <w:szCs w:val="16"/>
    </w:rPr>
  </w:style>
  <w:style w:type="paragraph" w:styleId="Komentrateksts">
    <w:name w:val="annotation text"/>
    <w:basedOn w:val="Parasts"/>
    <w:link w:val="KomentratekstsRakstz"/>
    <w:uiPriority w:val="99"/>
    <w:unhideWhenUsed/>
    <w:rsid w:val="003145F7"/>
    <w:rPr>
      <w:sz w:val="20"/>
      <w:szCs w:val="20"/>
    </w:rPr>
  </w:style>
  <w:style w:type="character" w:customStyle="1" w:styleId="KomentratekstsRakstz">
    <w:name w:val="Komentāra teksts Rakstz."/>
    <w:basedOn w:val="Noklusjumarindkopasfonts"/>
    <w:link w:val="Komentrateksts"/>
    <w:uiPriority w:val="99"/>
    <w:rsid w:val="003145F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145F7"/>
    <w:rPr>
      <w:b/>
      <w:bCs/>
    </w:rPr>
  </w:style>
  <w:style w:type="character" w:customStyle="1" w:styleId="KomentratmaRakstz">
    <w:name w:val="Komentāra tēma Rakstz."/>
    <w:basedOn w:val="KomentratekstsRakstz"/>
    <w:link w:val="Komentratma"/>
    <w:uiPriority w:val="99"/>
    <w:semiHidden/>
    <w:rsid w:val="003145F7"/>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3145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45F7"/>
    <w:rPr>
      <w:rFonts w:ascii="Tahoma" w:eastAsia="Times New Roman" w:hAnsi="Tahoma" w:cs="Tahoma"/>
      <w:sz w:val="16"/>
      <w:szCs w:val="16"/>
      <w:lang w:eastAsia="lv-LV"/>
    </w:rPr>
  </w:style>
  <w:style w:type="paragraph" w:customStyle="1" w:styleId="naispant">
    <w:name w:val="naispant"/>
    <w:basedOn w:val="Parasts"/>
    <w:rsid w:val="00B662AA"/>
    <w:pPr>
      <w:spacing w:before="100" w:beforeAutospacing="1" w:after="100" w:afterAutospacing="1"/>
    </w:pPr>
  </w:style>
  <w:style w:type="character" w:styleId="Hipersaite">
    <w:name w:val="Hyperlink"/>
    <w:basedOn w:val="Noklusjumarindkopasfonts"/>
    <w:unhideWhenUsed/>
    <w:rsid w:val="00B662AA"/>
    <w:rPr>
      <w:color w:val="0000FF"/>
      <w:u w:val="single"/>
    </w:rPr>
  </w:style>
  <w:style w:type="paragraph" w:styleId="Pamattekstsaratkpi">
    <w:name w:val="Body Text Indent"/>
    <w:basedOn w:val="Parasts"/>
    <w:link w:val="PamattekstsaratkpiRakstz"/>
    <w:uiPriority w:val="99"/>
    <w:unhideWhenUsed/>
    <w:rsid w:val="008D2B97"/>
    <w:pPr>
      <w:spacing w:after="120"/>
      <w:ind w:left="283"/>
    </w:pPr>
  </w:style>
  <w:style w:type="character" w:customStyle="1" w:styleId="PamattekstsaratkpiRakstz">
    <w:name w:val="Pamatteksts ar atkāpi Rakstz."/>
    <w:basedOn w:val="Noklusjumarindkopasfonts"/>
    <w:link w:val="Pamattekstsaratkpi"/>
    <w:uiPriority w:val="99"/>
    <w:rsid w:val="008D2B97"/>
    <w:rPr>
      <w:rFonts w:ascii="Times New Roman" w:eastAsia="Times New Roman" w:hAnsi="Times New Roman" w:cs="Times New Roman"/>
      <w:sz w:val="24"/>
      <w:szCs w:val="24"/>
      <w:lang w:eastAsia="lv-LV"/>
    </w:rPr>
  </w:style>
  <w:style w:type="paragraph" w:styleId="Paraststmeklis">
    <w:name w:val="Normal (Web)"/>
    <w:basedOn w:val="Parasts"/>
    <w:link w:val="ParaststmeklisRakstz"/>
    <w:rsid w:val="00156160"/>
    <w:pPr>
      <w:spacing w:before="100" w:beforeAutospacing="1" w:after="100" w:afterAutospacing="1"/>
    </w:pPr>
    <w:rPr>
      <w:rFonts w:ascii="Verdana" w:hAnsi="Verdana"/>
    </w:rPr>
  </w:style>
  <w:style w:type="character" w:customStyle="1" w:styleId="ParaststmeklisRakstz">
    <w:name w:val="Parasts (tīmeklis) Rakstz."/>
    <w:basedOn w:val="Noklusjumarindkopasfonts"/>
    <w:link w:val="Paraststmeklis"/>
    <w:locked/>
    <w:rsid w:val="00156160"/>
    <w:rPr>
      <w:rFonts w:ascii="Verdana" w:eastAsia="Times New Roman" w:hAnsi="Verdana" w:cs="Times New Roman"/>
      <w:sz w:val="24"/>
      <w:szCs w:val="24"/>
      <w:lang w:eastAsia="lv-LV"/>
    </w:rPr>
  </w:style>
  <w:style w:type="paragraph" w:customStyle="1" w:styleId="naisc">
    <w:name w:val="naisc"/>
    <w:basedOn w:val="Parasts"/>
    <w:rsid w:val="001561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4F6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94F65"/>
    <w:pPr>
      <w:tabs>
        <w:tab w:val="center" w:pos="4153"/>
        <w:tab w:val="right" w:pos="8306"/>
      </w:tabs>
    </w:pPr>
  </w:style>
  <w:style w:type="character" w:customStyle="1" w:styleId="GalveneRakstz">
    <w:name w:val="Galvene Rakstz."/>
    <w:basedOn w:val="Noklusjumarindkopasfonts"/>
    <w:link w:val="Galvene"/>
    <w:rsid w:val="00694F65"/>
    <w:rPr>
      <w:rFonts w:ascii="Times New Roman" w:eastAsia="Times New Roman" w:hAnsi="Times New Roman" w:cs="Times New Roman"/>
      <w:sz w:val="24"/>
      <w:szCs w:val="24"/>
      <w:lang w:eastAsia="lv-LV"/>
    </w:rPr>
  </w:style>
  <w:style w:type="character" w:styleId="Lappusesnumurs">
    <w:name w:val="page number"/>
    <w:basedOn w:val="Noklusjumarindkopasfonts"/>
    <w:rsid w:val="00694F65"/>
  </w:style>
  <w:style w:type="paragraph" w:customStyle="1" w:styleId="naisf">
    <w:name w:val="naisf"/>
    <w:basedOn w:val="Parasts"/>
    <w:rsid w:val="00694F65"/>
    <w:pPr>
      <w:spacing w:before="75" w:after="75"/>
      <w:ind w:firstLine="375"/>
      <w:jc w:val="both"/>
    </w:pPr>
  </w:style>
  <w:style w:type="paragraph" w:customStyle="1" w:styleId="naisnod">
    <w:name w:val="naisnod"/>
    <w:basedOn w:val="Parasts"/>
    <w:rsid w:val="00694F65"/>
    <w:pPr>
      <w:spacing w:before="150" w:after="150"/>
      <w:jc w:val="center"/>
    </w:pPr>
    <w:rPr>
      <w:b/>
      <w:bCs/>
    </w:rPr>
  </w:style>
  <w:style w:type="paragraph" w:customStyle="1" w:styleId="naislab">
    <w:name w:val="naislab"/>
    <w:basedOn w:val="Parasts"/>
    <w:rsid w:val="00694F65"/>
    <w:pPr>
      <w:spacing w:before="75" w:after="75"/>
      <w:jc w:val="right"/>
    </w:pPr>
  </w:style>
  <w:style w:type="paragraph" w:customStyle="1" w:styleId="naiskr">
    <w:name w:val="naiskr"/>
    <w:basedOn w:val="Parasts"/>
    <w:rsid w:val="00694F65"/>
    <w:pPr>
      <w:spacing w:before="75" w:after="75"/>
    </w:pPr>
  </w:style>
  <w:style w:type="paragraph" w:styleId="Vresteksts">
    <w:name w:val="footnote text"/>
    <w:basedOn w:val="Parasts"/>
    <w:link w:val="VrestekstsRakstz"/>
    <w:semiHidden/>
    <w:rsid w:val="00694F65"/>
    <w:rPr>
      <w:sz w:val="20"/>
      <w:szCs w:val="20"/>
    </w:rPr>
  </w:style>
  <w:style w:type="character" w:customStyle="1" w:styleId="VrestekstsRakstz">
    <w:name w:val="Vēres teksts Rakstz."/>
    <w:basedOn w:val="Noklusjumarindkopasfonts"/>
    <w:link w:val="Vresteksts"/>
    <w:semiHidden/>
    <w:rsid w:val="00694F65"/>
    <w:rPr>
      <w:rFonts w:ascii="Times New Roman" w:eastAsia="Times New Roman" w:hAnsi="Times New Roman" w:cs="Times New Roman"/>
      <w:sz w:val="20"/>
      <w:szCs w:val="20"/>
      <w:lang w:eastAsia="lv-LV"/>
    </w:rPr>
  </w:style>
  <w:style w:type="paragraph" w:styleId="Kjene">
    <w:name w:val="footer"/>
    <w:basedOn w:val="Parasts"/>
    <w:link w:val="KjeneRakstz"/>
    <w:rsid w:val="00694F65"/>
    <w:pPr>
      <w:tabs>
        <w:tab w:val="center" w:pos="4153"/>
        <w:tab w:val="right" w:pos="8306"/>
      </w:tabs>
    </w:pPr>
  </w:style>
  <w:style w:type="character" w:customStyle="1" w:styleId="KjeneRakstz">
    <w:name w:val="Kājene Rakstz."/>
    <w:basedOn w:val="Noklusjumarindkopasfonts"/>
    <w:link w:val="Kjene"/>
    <w:rsid w:val="00694F65"/>
    <w:rPr>
      <w:rFonts w:ascii="Times New Roman" w:eastAsia="Times New Roman" w:hAnsi="Times New Roman" w:cs="Times New Roman"/>
      <w:sz w:val="24"/>
      <w:szCs w:val="24"/>
      <w:lang w:eastAsia="lv-LV"/>
    </w:rPr>
  </w:style>
  <w:style w:type="character" w:styleId="Vresatsauce">
    <w:name w:val="footnote reference"/>
    <w:basedOn w:val="Noklusjumarindkopasfonts"/>
    <w:semiHidden/>
    <w:rsid w:val="008517A3"/>
    <w:rPr>
      <w:vertAlign w:val="superscript"/>
    </w:rPr>
  </w:style>
  <w:style w:type="paragraph" w:styleId="Pamatteksts">
    <w:name w:val="Body Text"/>
    <w:basedOn w:val="Parasts"/>
    <w:link w:val="PamattekstsRakstz"/>
    <w:rsid w:val="00722D11"/>
    <w:pPr>
      <w:jc w:val="center"/>
    </w:pPr>
    <w:rPr>
      <w:b/>
      <w:bCs/>
      <w:sz w:val="26"/>
      <w:lang w:val="de-DE" w:eastAsia="en-US"/>
    </w:rPr>
  </w:style>
  <w:style w:type="character" w:customStyle="1" w:styleId="PamattekstsRakstz">
    <w:name w:val="Pamatteksts Rakstz."/>
    <w:basedOn w:val="Noklusjumarindkopasfonts"/>
    <w:link w:val="Pamatteksts"/>
    <w:rsid w:val="00722D11"/>
    <w:rPr>
      <w:rFonts w:ascii="Times New Roman" w:eastAsia="Times New Roman" w:hAnsi="Times New Roman" w:cs="Times New Roman"/>
      <w:b/>
      <w:bCs/>
      <w:sz w:val="26"/>
      <w:szCs w:val="24"/>
      <w:lang w:val="de-DE"/>
    </w:rPr>
  </w:style>
  <w:style w:type="character" w:styleId="Komentraatsauce">
    <w:name w:val="annotation reference"/>
    <w:basedOn w:val="Noklusjumarindkopasfonts"/>
    <w:uiPriority w:val="99"/>
    <w:semiHidden/>
    <w:unhideWhenUsed/>
    <w:rsid w:val="003145F7"/>
    <w:rPr>
      <w:sz w:val="16"/>
      <w:szCs w:val="16"/>
    </w:rPr>
  </w:style>
  <w:style w:type="paragraph" w:styleId="Komentrateksts">
    <w:name w:val="annotation text"/>
    <w:basedOn w:val="Parasts"/>
    <w:link w:val="KomentratekstsRakstz"/>
    <w:uiPriority w:val="99"/>
    <w:unhideWhenUsed/>
    <w:rsid w:val="003145F7"/>
    <w:rPr>
      <w:sz w:val="20"/>
      <w:szCs w:val="20"/>
    </w:rPr>
  </w:style>
  <w:style w:type="character" w:customStyle="1" w:styleId="KomentratekstsRakstz">
    <w:name w:val="Komentāra teksts Rakstz."/>
    <w:basedOn w:val="Noklusjumarindkopasfonts"/>
    <w:link w:val="Komentrateksts"/>
    <w:uiPriority w:val="99"/>
    <w:rsid w:val="003145F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145F7"/>
    <w:rPr>
      <w:b/>
      <w:bCs/>
    </w:rPr>
  </w:style>
  <w:style w:type="character" w:customStyle="1" w:styleId="KomentratmaRakstz">
    <w:name w:val="Komentāra tēma Rakstz."/>
    <w:basedOn w:val="KomentratekstsRakstz"/>
    <w:link w:val="Komentratma"/>
    <w:uiPriority w:val="99"/>
    <w:semiHidden/>
    <w:rsid w:val="003145F7"/>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3145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45F7"/>
    <w:rPr>
      <w:rFonts w:ascii="Tahoma" w:eastAsia="Times New Roman" w:hAnsi="Tahoma" w:cs="Tahoma"/>
      <w:sz w:val="16"/>
      <w:szCs w:val="16"/>
      <w:lang w:eastAsia="lv-LV"/>
    </w:rPr>
  </w:style>
  <w:style w:type="paragraph" w:customStyle="1" w:styleId="naispant">
    <w:name w:val="naispant"/>
    <w:basedOn w:val="Parasts"/>
    <w:rsid w:val="00B662AA"/>
    <w:pPr>
      <w:spacing w:before="100" w:beforeAutospacing="1" w:after="100" w:afterAutospacing="1"/>
    </w:pPr>
  </w:style>
  <w:style w:type="character" w:styleId="Hipersaite">
    <w:name w:val="Hyperlink"/>
    <w:basedOn w:val="Noklusjumarindkopasfonts"/>
    <w:unhideWhenUsed/>
    <w:rsid w:val="00B662AA"/>
    <w:rPr>
      <w:color w:val="0000FF"/>
      <w:u w:val="single"/>
    </w:rPr>
  </w:style>
  <w:style w:type="paragraph" w:styleId="Pamattekstsaratkpi">
    <w:name w:val="Body Text Indent"/>
    <w:basedOn w:val="Parasts"/>
    <w:link w:val="PamattekstsaratkpiRakstz"/>
    <w:uiPriority w:val="99"/>
    <w:unhideWhenUsed/>
    <w:rsid w:val="008D2B97"/>
    <w:pPr>
      <w:spacing w:after="120"/>
      <w:ind w:left="283"/>
    </w:pPr>
  </w:style>
  <w:style w:type="character" w:customStyle="1" w:styleId="PamattekstsaratkpiRakstz">
    <w:name w:val="Pamatteksts ar atkāpi Rakstz."/>
    <w:basedOn w:val="Noklusjumarindkopasfonts"/>
    <w:link w:val="Pamattekstsaratkpi"/>
    <w:uiPriority w:val="99"/>
    <w:rsid w:val="008D2B97"/>
    <w:rPr>
      <w:rFonts w:ascii="Times New Roman" w:eastAsia="Times New Roman" w:hAnsi="Times New Roman" w:cs="Times New Roman"/>
      <w:sz w:val="24"/>
      <w:szCs w:val="24"/>
      <w:lang w:eastAsia="lv-LV"/>
    </w:rPr>
  </w:style>
  <w:style w:type="paragraph" w:styleId="Paraststmeklis">
    <w:name w:val="Normal (Web)"/>
    <w:basedOn w:val="Parasts"/>
    <w:link w:val="ParaststmeklisRakstz"/>
    <w:rsid w:val="00156160"/>
    <w:pPr>
      <w:spacing w:before="100" w:beforeAutospacing="1" w:after="100" w:afterAutospacing="1"/>
    </w:pPr>
    <w:rPr>
      <w:rFonts w:ascii="Verdana" w:hAnsi="Verdana"/>
    </w:rPr>
  </w:style>
  <w:style w:type="character" w:customStyle="1" w:styleId="ParaststmeklisRakstz">
    <w:name w:val="Parasts (tīmeklis) Rakstz."/>
    <w:basedOn w:val="Noklusjumarindkopasfonts"/>
    <w:link w:val="Paraststmeklis"/>
    <w:locked/>
    <w:rsid w:val="00156160"/>
    <w:rPr>
      <w:rFonts w:ascii="Verdana" w:eastAsia="Times New Roman" w:hAnsi="Verdana" w:cs="Times New Roman"/>
      <w:sz w:val="24"/>
      <w:szCs w:val="24"/>
      <w:lang w:eastAsia="lv-LV"/>
    </w:rPr>
  </w:style>
  <w:style w:type="paragraph" w:customStyle="1" w:styleId="naisc">
    <w:name w:val="naisc"/>
    <w:basedOn w:val="Parasts"/>
    <w:rsid w:val="001561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89648"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FCA1-2B19-4588-9344-C0BA0280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14890</Words>
  <Characters>8488</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Latvijas Administratīvo pārkāpumu kodeksā” sākotnējās ietekmes novērtējuma ziņojums (anotācija)</vt:lpstr>
      <vt:lpstr/>
    </vt:vector>
  </TitlesOfParts>
  <Company>Tieslietu Ministrija</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Likumprojekta anotācija</dc:subject>
  <dc:creator>Natālija Laveniece-Straupmane</dc:creator>
  <dc:description>Natalija.Laveniece-Straupmane@tm.gov.lv_x000d_
67036908</dc:description>
  <cp:lastModifiedBy>Guna Kukle</cp:lastModifiedBy>
  <cp:revision>5</cp:revision>
  <cp:lastPrinted>2013-08-07T12:15:00Z</cp:lastPrinted>
  <dcterms:created xsi:type="dcterms:W3CDTF">2013-11-14T14:25:00Z</dcterms:created>
  <dcterms:modified xsi:type="dcterms:W3CDTF">2013-11-14T14:33:00Z</dcterms:modified>
</cp:coreProperties>
</file>