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C2" w:rsidRPr="00AC7D13" w:rsidRDefault="00C05FC2" w:rsidP="00C05FC2">
      <w:pPr>
        <w:jc w:val="center"/>
        <w:rPr>
          <w:b/>
        </w:rPr>
      </w:pPr>
      <w:bookmarkStart w:id="0" w:name="OLE_LINK5"/>
      <w:bookmarkStart w:id="1" w:name="OLE_LINK6"/>
      <w:bookmarkStart w:id="2" w:name="OLE_LINK1"/>
      <w:bookmarkStart w:id="3" w:name="OLE_LINK2"/>
      <w:bookmarkStart w:id="4" w:name="OLE_LINK3"/>
      <w:bookmarkStart w:id="5" w:name="OLE_LINK4"/>
      <w:r w:rsidRPr="00AC7D13">
        <w:rPr>
          <w:b/>
        </w:rPr>
        <w:t>Ministru kabineta noteikumu projekta „</w:t>
      </w:r>
      <w:r w:rsidRPr="00AC7D13">
        <w:rPr>
          <w:b/>
          <w:bCs/>
        </w:rPr>
        <w:t>Grozījumi Ministru kabineta 2009. gada 22. decembra noteikumos Nr. 1493 „Noteikumi par valsts nodrošinātās juridiskās palīdzības apjomu, samaksas apmēru, atlīdzināmajiem izdevumiem un to izmaksas kārtību”</w:t>
      </w:r>
      <w:bookmarkEnd w:id="0"/>
      <w:bookmarkEnd w:id="1"/>
      <w:r w:rsidRPr="00AC7D13">
        <w:rPr>
          <w:b/>
          <w:bCs/>
        </w:rPr>
        <w:t xml:space="preserve">” </w:t>
      </w:r>
      <w:r w:rsidRPr="00AC7D13">
        <w:rPr>
          <w:b/>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432"/>
        <w:gridCol w:w="6743"/>
      </w:tblGrid>
      <w:tr w:rsidR="00852042" w:rsidRPr="00AC7D13">
        <w:tc>
          <w:tcPr>
            <w:tcW w:w="9725" w:type="dxa"/>
            <w:gridSpan w:val="3"/>
            <w:vAlign w:val="center"/>
          </w:tcPr>
          <w:bookmarkEnd w:id="2"/>
          <w:bookmarkEnd w:id="3"/>
          <w:bookmarkEnd w:id="4"/>
          <w:bookmarkEnd w:id="5"/>
          <w:p w:rsidR="00852042" w:rsidRPr="00AC7D13" w:rsidRDefault="00852042" w:rsidP="006C4607">
            <w:pPr>
              <w:pStyle w:val="naisnod"/>
              <w:spacing w:before="0" w:after="0"/>
            </w:pPr>
            <w:r w:rsidRPr="00AC7D13">
              <w:t>I</w:t>
            </w:r>
            <w:r w:rsidR="000941C5" w:rsidRPr="00AC7D13">
              <w:t>.</w:t>
            </w:r>
            <w:r w:rsidRPr="00AC7D13">
              <w:t xml:space="preserve"> Tiesību akta </w:t>
            </w:r>
            <w:r w:rsidR="002E3FF4" w:rsidRPr="00AC7D13">
              <w:t xml:space="preserve">projekta </w:t>
            </w:r>
            <w:r w:rsidRPr="00AC7D13">
              <w:t>izstrādes nepieciešamība</w:t>
            </w:r>
          </w:p>
        </w:tc>
      </w:tr>
      <w:tr w:rsidR="00262E2B" w:rsidRPr="00AC7D13" w:rsidTr="00AC7D13">
        <w:trPr>
          <w:trHeight w:val="630"/>
        </w:trPr>
        <w:tc>
          <w:tcPr>
            <w:tcW w:w="550" w:type="dxa"/>
          </w:tcPr>
          <w:p w:rsidR="00262E2B" w:rsidRPr="00AC7D13" w:rsidRDefault="00262E2B" w:rsidP="006C4607">
            <w:pPr>
              <w:pStyle w:val="naiskr"/>
              <w:spacing w:before="0" w:after="0"/>
            </w:pPr>
            <w:r w:rsidRPr="00AC7D13">
              <w:t>1.</w:t>
            </w:r>
          </w:p>
        </w:tc>
        <w:tc>
          <w:tcPr>
            <w:tcW w:w="2432" w:type="dxa"/>
          </w:tcPr>
          <w:p w:rsidR="00262E2B" w:rsidRPr="00AC7D13" w:rsidRDefault="002D7F54" w:rsidP="006C4607">
            <w:pPr>
              <w:pStyle w:val="naiskr"/>
              <w:spacing w:before="0" w:after="0"/>
              <w:ind w:hanging="10"/>
            </w:pPr>
            <w:r w:rsidRPr="00AC7D13">
              <w:t>Pamatojums</w:t>
            </w:r>
          </w:p>
        </w:tc>
        <w:tc>
          <w:tcPr>
            <w:tcW w:w="6743" w:type="dxa"/>
          </w:tcPr>
          <w:p w:rsidR="00AC7D13" w:rsidRPr="00AC7D13" w:rsidRDefault="00AC7D13" w:rsidP="00C05FC2">
            <w:pPr>
              <w:autoSpaceDE w:val="0"/>
              <w:autoSpaceDN w:val="0"/>
              <w:adjustRightInd w:val="0"/>
              <w:ind w:firstLine="567"/>
              <w:jc w:val="both"/>
              <w:rPr>
                <w:bCs/>
                <w:spacing w:val="1"/>
              </w:rPr>
            </w:pPr>
            <w:r w:rsidRPr="00AC7D13">
              <w:rPr>
                <w:bCs/>
                <w:spacing w:val="1"/>
              </w:rPr>
              <w:t xml:space="preserve">Kriminālprocesa likuma 84. panta otrā daļa un 104. panta piektā daļa, Valsts nodrošinātās juridiskās palīdzības likuma 5. panta piektā daļa. </w:t>
            </w:r>
          </w:p>
          <w:p w:rsidR="00262E2B" w:rsidRPr="00AC7D13" w:rsidRDefault="00AC7D13" w:rsidP="00AC7D13">
            <w:pPr>
              <w:autoSpaceDE w:val="0"/>
              <w:autoSpaceDN w:val="0"/>
              <w:adjustRightInd w:val="0"/>
              <w:ind w:firstLine="567"/>
              <w:jc w:val="both"/>
              <w:rPr>
                <w:bCs/>
                <w:spacing w:val="1"/>
              </w:rPr>
            </w:pPr>
            <w:r w:rsidRPr="00AC7D13">
              <w:rPr>
                <w:bCs/>
                <w:spacing w:val="-4"/>
              </w:rPr>
              <w:t>Eiropas Parlamenta un Padomes</w:t>
            </w:r>
            <w:r w:rsidRPr="00AC7D13">
              <w:rPr>
                <w:bCs/>
                <w:spacing w:val="1"/>
              </w:rPr>
              <w:t xml:space="preserve"> direktīva 2008/115/EK par kopīgiem standartiem un procedūrām dalībvalstīs attiecībā uz to trešo valstu valstspiederīgo atgriešanu, kas dalībvalstī uzturas nelikumīgi (turpmāk – Direktīva)</w:t>
            </w:r>
            <w:r w:rsidR="006C63E6">
              <w:rPr>
                <w:bCs/>
                <w:spacing w:val="1"/>
              </w:rPr>
              <w:t xml:space="preserve"> 13.panta 4. punkts.</w:t>
            </w:r>
          </w:p>
        </w:tc>
      </w:tr>
      <w:tr w:rsidR="00262E2B" w:rsidRPr="00AC7D13" w:rsidTr="00AC7D13">
        <w:trPr>
          <w:trHeight w:val="472"/>
        </w:trPr>
        <w:tc>
          <w:tcPr>
            <w:tcW w:w="550" w:type="dxa"/>
          </w:tcPr>
          <w:p w:rsidR="00262E2B" w:rsidRPr="00AC7D13" w:rsidRDefault="00262E2B" w:rsidP="006C4607">
            <w:pPr>
              <w:pStyle w:val="naiskr"/>
              <w:spacing w:before="0" w:after="0"/>
            </w:pPr>
            <w:r w:rsidRPr="00AC7D13">
              <w:t>2.</w:t>
            </w:r>
          </w:p>
        </w:tc>
        <w:tc>
          <w:tcPr>
            <w:tcW w:w="2432" w:type="dxa"/>
          </w:tcPr>
          <w:p w:rsidR="00262E2B" w:rsidRPr="00AC7D13" w:rsidRDefault="00262E2B" w:rsidP="006C4607">
            <w:pPr>
              <w:pStyle w:val="naiskr"/>
              <w:tabs>
                <w:tab w:val="left" w:pos="170"/>
              </w:tabs>
              <w:spacing w:before="0" w:after="0"/>
            </w:pPr>
            <w:r w:rsidRPr="00AC7D13">
              <w:t>Pašreizējā situācija</w:t>
            </w:r>
            <w:r w:rsidR="001F5CD6" w:rsidRPr="00AC7D13">
              <w:t xml:space="preserve"> un problēmas</w:t>
            </w:r>
          </w:p>
        </w:tc>
        <w:tc>
          <w:tcPr>
            <w:tcW w:w="6743" w:type="dxa"/>
          </w:tcPr>
          <w:p w:rsidR="00AC7D13" w:rsidRPr="00B571D1" w:rsidRDefault="00AC7D13" w:rsidP="00AC7D13">
            <w:pPr>
              <w:jc w:val="both"/>
              <w:rPr>
                <w:rFonts w:ascii="Verdana" w:hAnsi="Verdana"/>
                <w:b/>
                <w:bCs/>
                <w:sz w:val="28"/>
                <w:szCs w:val="28"/>
              </w:rPr>
            </w:pPr>
            <w:r>
              <w:rPr>
                <w:bCs/>
                <w:color w:val="FF0000"/>
                <w:spacing w:val="1"/>
              </w:rPr>
              <w:t xml:space="preserve">        </w:t>
            </w:r>
            <w:r w:rsidRPr="00B571D1">
              <w:rPr>
                <w:bCs/>
                <w:spacing w:val="1"/>
              </w:rPr>
              <w:t>Šobrīd Ministru kabineta 2009. gada 22. decembra noteikumi Nr. 1493 „Noteikumi par valsts nodrošinātās juridiskās palīdzības apjomu, samaksas apmēru, atlīdzināmajiem izdevumiem un to izmaksas kārtību”</w:t>
            </w:r>
            <w:r w:rsidR="00F8496C">
              <w:rPr>
                <w:bCs/>
                <w:spacing w:val="1"/>
              </w:rPr>
              <w:t xml:space="preserve"> (turpmāk – Ministru kabineta noteikumi Nr. 1493)</w:t>
            </w:r>
            <w:r w:rsidR="00321D0B" w:rsidRPr="00B571D1">
              <w:rPr>
                <w:bCs/>
                <w:spacing w:val="1"/>
              </w:rPr>
              <w:t xml:space="preserve"> nosaka valsts nodrošinātās juridiskās palīdzības</w:t>
            </w:r>
            <w:r w:rsidR="005D0389">
              <w:rPr>
                <w:bCs/>
                <w:spacing w:val="1"/>
              </w:rPr>
              <w:t xml:space="preserve"> (turpmāk – juridiskās palīdzības)</w:t>
            </w:r>
            <w:r w:rsidR="00321D0B" w:rsidRPr="00B571D1">
              <w:rPr>
                <w:bCs/>
                <w:spacing w:val="1"/>
              </w:rPr>
              <w:t xml:space="preserve"> veidus, apjomu, samaksas apmēru un ar juridiskās palīdzības sniegšanu saistītos atlīdzināmos izdevumus, to apmēru un izmaksas kārtību.</w:t>
            </w:r>
            <w:r w:rsidRPr="00B571D1">
              <w:rPr>
                <w:bCs/>
                <w:spacing w:val="1"/>
              </w:rPr>
              <w:t xml:space="preserve"> </w:t>
            </w:r>
          </w:p>
          <w:p w:rsidR="00AC7D13" w:rsidRPr="00B571D1" w:rsidRDefault="002562C0" w:rsidP="00AC7D13">
            <w:pPr>
              <w:autoSpaceDE w:val="0"/>
              <w:autoSpaceDN w:val="0"/>
              <w:adjustRightInd w:val="0"/>
              <w:ind w:firstLine="567"/>
              <w:jc w:val="both"/>
            </w:pPr>
            <w:r w:rsidRPr="003E5974">
              <w:rPr>
                <w:bCs/>
                <w:spacing w:val="1"/>
              </w:rPr>
              <w:t xml:space="preserve">2008. gada 16. decembrī ir </w:t>
            </w:r>
            <w:r w:rsidRPr="002562C0">
              <w:rPr>
                <w:bCs/>
                <w:spacing w:val="1"/>
              </w:rPr>
              <w:t xml:space="preserve">pieņemta </w:t>
            </w:r>
            <w:r w:rsidRPr="002562C0">
              <w:rPr>
                <w:spacing w:val="-4"/>
              </w:rPr>
              <w:t>Eiropas Parlamenta</w:t>
            </w:r>
            <w:r w:rsidRPr="00C5251A">
              <w:rPr>
                <w:spacing w:val="-4"/>
              </w:rPr>
              <w:t xml:space="preserve"> un Padomes</w:t>
            </w:r>
            <w:r w:rsidRPr="00C5251A">
              <w:rPr>
                <w:spacing w:val="1"/>
              </w:rPr>
              <w:t xml:space="preserve"> direktīva 2008/115/EK par kopīgiem standartiem un procedūrām dalībvalstīs attiecībā uz to trešo valstu valstspiederīgo atgriešanu, kas dalībvalstī uzturas nelikumīgi (turpmāk - Direktīva)</w:t>
            </w:r>
            <w:r w:rsidRPr="00C5251A">
              <w:rPr>
                <w:bCs/>
                <w:spacing w:val="1"/>
              </w:rPr>
              <w:t>,</w:t>
            </w:r>
            <w:r w:rsidR="00321D0B">
              <w:rPr>
                <w:bCs/>
                <w:spacing w:val="1"/>
              </w:rPr>
              <w:t xml:space="preserve"> kuras</w:t>
            </w:r>
            <w:bookmarkStart w:id="6" w:name="bkm35"/>
            <w:r w:rsidR="00AC7D13" w:rsidRPr="00AC7D13">
              <w:rPr>
                <w:bCs/>
                <w:spacing w:val="1"/>
              </w:rPr>
              <w:t xml:space="preserve"> 13. panta </w:t>
            </w:r>
            <w:r w:rsidR="006C63E6">
              <w:rPr>
                <w:bCs/>
                <w:spacing w:val="1"/>
              </w:rPr>
              <w:t xml:space="preserve">4. punkts </w:t>
            </w:r>
            <w:r w:rsidR="00AC7D13" w:rsidRPr="00AC7D13">
              <w:rPr>
                <w:bCs/>
                <w:spacing w:val="1"/>
              </w:rPr>
              <w:t xml:space="preserve">noteic, ka dalībvalstis pēc pieprasījuma nodrošina ārzemniekam nepieciešamo juridisko palīdzību bez maksas. Saskaņā ar Direktīvā noteikto </w:t>
            </w:r>
            <w:r w:rsidR="00AC7D13" w:rsidRPr="00AC7D13">
              <w:t xml:space="preserve">dalībvalstīm līdz 2010. gada beigām nepieciešams iestrādāt Direktīvas prasības nacionālajos normatīvajos aktos. Direktīvas prasības attiecībā uz valsts garantētās juridiskās palīdzības nodrošināšanu (Direktīvas 13. panta 4. punkts) dalībvalstīm ir jāievieš līdz </w:t>
            </w:r>
            <w:r w:rsidR="00AC7D13" w:rsidRPr="00B571D1">
              <w:t xml:space="preserve">2011. gada 24. decembrim (Direktīvas 20. panta </w:t>
            </w:r>
            <w:r>
              <w:t>pirmais</w:t>
            </w:r>
            <w:r w:rsidR="00AC7D13" w:rsidRPr="00B571D1">
              <w:t xml:space="preserve"> </w:t>
            </w:r>
            <w:r>
              <w:t>punkts</w:t>
            </w:r>
            <w:r w:rsidR="00AC7D13" w:rsidRPr="00B571D1">
              <w:t>).</w:t>
            </w:r>
          </w:p>
          <w:p w:rsidR="004738C3" w:rsidRDefault="00B571D1" w:rsidP="00F8496C">
            <w:pPr>
              <w:pStyle w:val="naisf"/>
              <w:spacing w:before="0" w:after="0"/>
              <w:ind w:firstLine="567"/>
              <w:rPr>
                <w:rStyle w:val="Izteiksmgs"/>
                <w:b w:val="0"/>
              </w:rPr>
            </w:pPr>
            <w:r w:rsidRPr="00B571D1">
              <w:rPr>
                <w:rStyle w:val="Izteiksmgs"/>
                <w:b w:val="0"/>
              </w:rPr>
              <w:t xml:space="preserve">Direktīvas prasību ieviešanai </w:t>
            </w:r>
            <w:r w:rsidR="00AC7D13" w:rsidRPr="00B571D1">
              <w:rPr>
                <w:rStyle w:val="Izteiksmgs"/>
                <w:b w:val="0"/>
              </w:rPr>
              <w:t xml:space="preserve">nacionālajos normatīvajos aktos, </w:t>
            </w:r>
            <w:r w:rsidRPr="00B571D1">
              <w:rPr>
                <w:rStyle w:val="Izteiksmgs"/>
                <w:b w:val="0"/>
              </w:rPr>
              <w:t>tika izstrādāti</w:t>
            </w:r>
            <w:r w:rsidR="00AC7D13" w:rsidRPr="00B571D1">
              <w:rPr>
                <w:rStyle w:val="Izteiksmgs"/>
                <w:b w:val="0"/>
              </w:rPr>
              <w:t xml:space="preserve"> grozījumi </w:t>
            </w:r>
            <w:r w:rsidR="00AC7D13" w:rsidRPr="00F8496C">
              <w:rPr>
                <w:rStyle w:val="Izteiksmgs"/>
                <w:b w:val="0"/>
              </w:rPr>
              <w:t>Imigrācijas likumā un Valsts nodrošināt</w:t>
            </w:r>
            <w:r w:rsidRPr="00F8496C">
              <w:rPr>
                <w:rStyle w:val="Izteiksmgs"/>
                <w:b w:val="0"/>
              </w:rPr>
              <w:t>ās juridiskās palīdzības likumā.</w:t>
            </w:r>
          </w:p>
          <w:p w:rsidR="004738C3" w:rsidRPr="00D71353" w:rsidRDefault="004738C3" w:rsidP="004738C3">
            <w:pPr>
              <w:pStyle w:val="naisf"/>
              <w:spacing w:before="0" w:after="0"/>
              <w:ind w:firstLine="567"/>
            </w:pPr>
            <w:r w:rsidRPr="00AC7D13">
              <w:t>Likumprojekts „Grozījumi Valsts nodrošinātās juridiskās palīdzības likumā”</w:t>
            </w:r>
            <w:r>
              <w:t xml:space="preserve"> (</w:t>
            </w:r>
            <w:r w:rsidRPr="00E534EF">
              <w:t>Nr. 320/Lp10</w:t>
            </w:r>
            <w:r>
              <w:t>)</w:t>
            </w:r>
            <w:r w:rsidR="00E107E4">
              <w:t xml:space="preserve"> </w:t>
            </w:r>
            <w:r w:rsidRPr="00AC7D13">
              <w:t>ap</w:t>
            </w:r>
            <w:r w:rsidRPr="00D71353">
              <w:t>stiprināts Ministru kabineta 2011. gada 29. marta sēdē</w:t>
            </w:r>
            <w:r w:rsidRPr="00D71353">
              <w:rPr>
                <w:rStyle w:val="Vresatsauce"/>
              </w:rPr>
              <w:footnoteReference w:id="1"/>
            </w:r>
            <w:r w:rsidRPr="00D71353">
              <w:t xml:space="preserve"> un </w:t>
            </w:r>
            <w:r w:rsidR="002562C0" w:rsidRPr="00D71353">
              <w:t xml:space="preserve">Saeimā </w:t>
            </w:r>
            <w:r w:rsidR="00E107E4">
              <w:t>2011. gada 4</w:t>
            </w:r>
            <w:r w:rsidR="00E107E4" w:rsidRPr="00C5251A">
              <w:t>. </w:t>
            </w:r>
            <w:r w:rsidR="00E107E4">
              <w:t>augustā</w:t>
            </w:r>
            <w:r w:rsidR="00E107E4" w:rsidRPr="00C5251A">
              <w:t xml:space="preserve"> pieņemts </w:t>
            </w:r>
            <w:r w:rsidR="00E107E4">
              <w:t>trešajā</w:t>
            </w:r>
            <w:r w:rsidR="00E107E4" w:rsidRPr="00C5251A">
              <w:t xml:space="preserve"> lasījumā</w:t>
            </w:r>
            <w:r w:rsidR="00E107E4" w:rsidRPr="00C5251A">
              <w:rPr>
                <w:rStyle w:val="Vresatsauce"/>
              </w:rPr>
              <w:t xml:space="preserve"> </w:t>
            </w:r>
            <w:r w:rsidR="002562C0" w:rsidRPr="00C5251A">
              <w:rPr>
                <w:rStyle w:val="Vresatsauce"/>
              </w:rPr>
              <w:footnoteReference w:id="2"/>
            </w:r>
            <w:r w:rsidRPr="00D71353">
              <w:t xml:space="preserve">. </w:t>
            </w:r>
          </w:p>
          <w:p w:rsidR="00F8496C" w:rsidRPr="00F8496C" w:rsidRDefault="00A93BBB" w:rsidP="00F8496C">
            <w:pPr>
              <w:pStyle w:val="naisf"/>
              <w:spacing w:before="0" w:after="0"/>
              <w:ind w:firstLine="567"/>
              <w:rPr>
                <w:rStyle w:val="Izteiksmgs"/>
                <w:b w:val="0"/>
              </w:rPr>
            </w:pPr>
            <w:r>
              <w:rPr>
                <w:rStyle w:val="Izteiksmgs"/>
                <w:b w:val="0"/>
              </w:rPr>
              <w:t>Grozījumi</w:t>
            </w:r>
            <w:r w:rsidR="00E107E4">
              <w:rPr>
                <w:rStyle w:val="Izteiksmgs"/>
                <w:b w:val="0"/>
              </w:rPr>
              <w:t xml:space="preserve"> </w:t>
            </w:r>
            <w:r w:rsidRPr="00F8496C">
              <w:rPr>
                <w:rStyle w:val="Izteiksmgs"/>
                <w:b w:val="0"/>
              </w:rPr>
              <w:t xml:space="preserve">Valsts nodrošinātās juridiskās palīdzības likumā </w:t>
            </w:r>
            <w:r>
              <w:rPr>
                <w:rStyle w:val="Izteiksmgs"/>
                <w:b w:val="0"/>
              </w:rPr>
              <w:t>paredz</w:t>
            </w:r>
            <w:r w:rsidR="00B571D1" w:rsidRPr="00F8496C">
              <w:rPr>
                <w:rStyle w:val="Izteiksmgs"/>
                <w:b w:val="0"/>
              </w:rPr>
              <w:t xml:space="preserve">, ka </w:t>
            </w:r>
            <w:r w:rsidR="00B571D1" w:rsidRPr="00E107E4">
              <w:rPr>
                <w:rStyle w:val="Izteiksmgs"/>
                <w:b w:val="0"/>
              </w:rPr>
              <w:t>izraidāmajam</w:t>
            </w:r>
            <w:r w:rsidR="00E107E4" w:rsidRPr="00E107E4">
              <w:rPr>
                <w:rStyle w:val="Izteiksmgs"/>
                <w:b w:val="0"/>
              </w:rPr>
              <w:t xml:space="preserve"> </w:t>
            </w:r>
            <w:r w:rsidR="004604EC" w:rsidRPr="00E107E4">
              <w:rPr>
                <w:rStyle w:val="Izteiksmgs"/>
                <w:b w:val="0"/>
              </w:rPr>
              <w:t xml:space="preserve">ārzemniekam, kas uzturas Latvijas Republikā, Imigrācijas likumā noteiktajos gadījumos valsts nodrošina juridisko palīdzību lēmuma par apstrīdēto izbraukšanas rīkojumu vai </w:t>
            </w:r>
            <w:r w:rsidR="004604EC" w:rsidRPr="00E107E4">
              <w:rPr>
                <w:rStyle w:val="Izteiksmgs"/>
                <w:b w:val="0"/>
              </w:rPr>
              <w:lastRenderedPageBreak/>
              <w:t>lēmuma par apstrīdēto lēmumu par piespiedu izraidīšanu pārsūdzēšanas procedūras ietvaros</w:t>
            </w:r>
            <w:r w:rsidR="00B571D1" w:rsidRPr="00E107E4">
              <w:rPr>
                <w:rStyle w:val="Izteiksmgs"/>
                <w:b w:val="0"/>
              </w:rPr>
              <w:t xml:space="preserve">. </w:t>
            </w:r>
            <w:r w:rsidR="00B571D1" w:rsidRPr="00F8496C">
              <w:rPr>
                <w:rStyle w:val="Izteiksmgs"/>
                <w:b w:val="0"/>
              </w:rPr>
              <w:t>Iestāde, kas Imigrācijas likumā noteiktajos gadījumos un kārtībā aiztur izraidāmo ārzemnieku, nodrošina juridiskās palīdzības pieprasītāja</w:t>
            </w:r>
            <w:r w:rsidR="005D0389">
              <w:rPr>
                <w:rStyle w:val="Izteiksmgs"/>
                <w:b w:val="0"/>
              </w:rPr>
              <w:t xml:space="preserve"> (turpmāk - pieprasītājs)</w:t>
            </w:r>
            <w:r w:rsidR="00B571D1" w:rsidRPr="00F8496C">
              <w:rPr>
                <w:rStyle w:val="Izteiksmgs"/>
                <w:b w:val="0"/>
              </w:rPr>
              <w:t xml:space="preserve"> saziņu ar</w:t>
            </w:r>
            <w:r w:rsidR="006F0EEF" w:rsidRPr="00F8496C">
              <w:rPr>
                <w:rStyle w:val="Izteiksmgs"/>
                <w:b w:val="0"/>
              </w:rPr>
              <w:t xml:space="preserve"> </w:t>
            </w:r>
            <w:r w:rsidR="00B571D1" w:rsidRPr="00F8496C">
              <w:rPr>
                <w:rStyle w:val="Izteiksmgs"/>
                <w:b w:val="0"/>
              </w:rPr>
              <w:t>juridiskās palīdzības sniedzēju, kuru</w:t>
            </w:r>
            <w:proofErr w:type="gramStart"/>
            <w:r w:rsidR="005D0389">
              <w:rPr>
                <w:rStyle w:val="Izteiksmgs"/>
                <w:b w:val="0"/>
              </w:rPr>
              <w:t xml:space="preserve"> </w:t>
            </w:r>
            <w:r w:rsidR="005D0389" w:rsidRPr="00B571D1">
              <w:rPr>
                <w:bCs/>
                <w:spacing w:val="1"/>
              </w:rPr>
              <w:t xml:space="preserve"> </w:t>
            </w:r>
            <w:proofErr w:type="gramEnd"/>
            <w:r w:rsidR="00B571D1" w:rsidRPr="00F8496C">
              <w:rPr>
                <w:rStyle w:val="Izteiksmgs"/>
                <w:b w:val="0"/>
              </w:rPr>
              <w:t>juridiskās palīdzības sniegšanai uzaicina atbilstoši šā likuma 33.</w:t>
            </w:r>
            <w:r w:rsidR="00B571D1" w:rsidRPr="00217A53">
              <w:rPr>
                <w:rStyle w:val="Izteiksmgs"/>
                <w:b w:val="0"/>
                <w:vertAlign w:val="superscript"/>
              </w:rPr>
              <w:t>1</w:t>
            </w:r>
            <w:r w:rsidR="00B571D1" w:rsidRPr="00F8496C">
              <w:rPr>
                <w:rStyle w:val="Izteiksmgs"/>
                <w:b w:val="0"/>
              </w:rPr>
              <w:t xml:space="preserve"> pantā minētajam </w:t>
            </w:r>
            <w:r w:rsidR="005D0389" w:rsidRPr="00B571D1">
              <w:rPr>
                <w:bCs/>
                <w:spacing w:val="1"/>
              </w:rPr>
              <w:t xml:space="preserve"> </w:t>
            </w:r>
            <w:r w:rsidR="00B571D1" w:rsidRPr="00F8496C">
              <w:rPr>
                <w:rStyle w:val="Izteiksmgs"/>
                <w:b w:val="0"/>
              </w:rPr>
              <w:t>juridiskās palīdzības sniedzēju sarakstam. Ja juridiskās palīdzības sniedzējs juridisko palīdzību sniedz savā prakses vietā, pieprasītāja saziņu ar juridiskās palīdzības sniedzēju nodrošina Juridiskās palīdzības administrācija.</w:t>
            </w:r>
            <w:r w:rsidR="00F8496C" w:rsidRPr="00F8496C">
              <w:rPr>
                <w:rStyle w:val="Izteiksmgs"/>
                <w:b w:val="0"/>
              </w:rPr>
              <w:t xml:space="preserve"> </w:t>
            </w:r>
          </w:p>
          <w:p w:rsidR="00F8496C" w:rsidRPr="00F8496C" w:rsidRDefault="00F8496C" w:rsidP="00F8496C">
            <w:pPr>
              <w:pStyle w:val="naisf"/>
              <w:spacing w:before="0" w:after="0"/>
              <w:ind w:firstLine="567"/>
              <w:rPr>
                <w:bCs/>
              </w:rPr>
            </w:pPr>
            <w:r w:rsidRPr="00F8496C">
              <w:rPr>
                <w:rStyle w:val="Izteiksmgs"/>
                <w:b w:val="0"/>
              </w:rPr>
              <w:t xml:space="preserve">Savukārt grozījumi </w:t>
            </w:r>
            <w:r w:rsidR="00B571D1" w:rsidRPr="00F8496C">
              <w:rPr>
                <w:rStyle w:val="Izteiksmgs"/>
                <w:b w:val="0"/>
              </w:rPr>
              <w:t>Imigrācijas likumā</w:t>
            </w:r>
            <w:r w:rsidR="004738C3">
              <w:rPr>
                <w:rStyle w:val="Izteiksmgs"/>
                <w:b w:val="0"/>
              </w:rPr>
              <w:t xml:space="preserve"> (izsludināti </w:t>
            </w:r>
            <w:r w:rsidR="004738C3" w:rsidRPr="004738C3">
              <w:rPr>
                <w:rStyle w:val="Izteiksmgs"/>
                <w:b w:val="0"/>
              </w:rPr>
              <w:t>"</w:t>
            </w:r>
            <w:r w:rsidR="004C6AC0">
              <w:rPr>
                <w:rStyle w:val="Izteiksmgs"/>
                <w:b w:val="0"/>
              </w:rPr>
              <w:t>Latvijas Vēstnesis</w:t>
            </w:r>
            <w:r w:rsidR="004738C3" w:rsidRPr="004738C3">
              <w:rPr>
                <w:rStyle w:val="Izteiksmgs"/>
                <w:b w:val="0"/>
              </w:rPr>
              <w:t>", 93 (4491), 15.06.2011.</w:t>
            </w:r>
            <w:r w:rsidR="004738C3">
              <w:rPr>
                <w:rStyle w:val="Izteiksmgs"/>
                <w:b w:val="0"/>
              </w:rPr>
              <w:t>)</w:t>
            </w:r>
            <w:r w:rsidR="00B571D1" w:rsidRPr="00F8496C">
              <w:rPr>
                <w:rStyle w:val="Izteiksmgs"/>
                <w:b w:val="0"/>
              </w:rPr>
              <w:t xml:space="preserve"> </w:t>
            </w:r>
            <w:r w:rsidRPr="00F8496C">
              <w:rPr>
                <w:rStyle w:val="Izteiksmgs"/>
                <w:b w:val="0"/>
              </w:rPr>
              <w:t>paredz, ka ā</w:t>
            </w:r>
            <w:r w:rsidRPr="00F8496C">
              <w:rPr>
                <w:bCs/>
                <w:color w:val="000000"/>
              </w:rPr>
              <w:t>rzemniekam tiesības uz juridisko palīdzību Valsts nodrošinātās juridiskās palīdzības likumā noteiktajā gadījumā un apjomā ir, ja:</w:t>
            </w:r>
          </w:p>
          <w:p w:rsidR="00F8496C" w:rsidRPr="00F8496C" w:rsidRDefault="00F8496C" w:rsidP="00F8496C">
            <w:pPr>
              <w:ind w:firstLine="567"/>
              <w:jc w:val="both"/>
              <w:rPr>
                <w:bCs/>
                <w:color w:val="000000"/>
              </w:rPr>
            </w:pPr>
            <w:r w:rsidRPr="00F8496C">
              <w:rPr>
                <w:bCs/>
                <w:color w:val="000000"/>
              </w:rPr>
              <w:t>1) viņam nepietiek līdzekļu, viņš uzturas Latvijas Republikā un attiecībā uz viņu izdotā izbraukšanas rīkojuma vai lēmuma par piespiedu izraidīšanu izpilde tiek apturēta;</w:t>
            </w:r>
          </w:p>
          <w:p w:rsidR="00F8496C" w:rsidRDefault="00F8496C" w:rsidP="00F8496C">
            <w:pPr>
              <w:ind w:firstLine="567"/>
              <w:jc w:val="both"/>
              <w:rPr>
                <w:bCs/>
                <w:color w:val="000000"/>
              </w:rPr>
            </w:pPr>
            <w:r w:rsidRPr="00F8496C">
              <w:rPr>
                <w:bCs/>
                <w:color w:val="000000"/>
              </w:rPr>
              <w:t xml:space="preserve">2) viņš šajā likumā noteiktajos gadījumos un kārtībā aizturēts un uzturas Latvijas Republikā speciāli iekārtotās telpās vai izmitināšanas centrā. </w:t>
            </w:r>
          </w:p>
          <w:p w:rsidR="00F8496C" w:rsidRPr="00F8496C" w:rsidRDefault="00F8496C" w:rsidP="00F8496C">
            <w:pPr>
              <w:ind w:firstLine="567"/>
              <w:jc w:val="both"/>
              <w:rPr>
                <w:bCs/>
                <w:color w:val="000000"/>
              </w:rPr>
            </w:pPr>
            <w:r>
              <w:rPr>
                <w:bCs/>
                <w:color w:val="000000"/>
              </w:rPr>
              <w:t xml:space="preserve">Tāpat minētie Imigrācijas likuma grozījumi paredz iesnieguma </w:t>
            </w:r>
            <w:r>
              <w:rPr>
                <w:bCs/>
              </w:rPr>
              <w:t xml:space="preserve">par juridiskās palīdzības pieprasījumu un ienākumiem iesniegšanas kārtību. </w:t>
            </w:r>
            <w:r>
              <w:rPr>
                <w:bCs/>
                <w:color w:val="000000"/>
              </w:rPr>
              <w:t xml:space="preserve"> </w:t>
            </w:r>
          </w:p>
          <w:p w:rsidR="00C05FC2" w:rsidRDefault="00F8496C" w:rsidP="00DA6714">
            <w:pPr>
              <w:pStyle w:val="naisf"/>
              <w:spacing w:before="0" w:after="0"/>
              <w:ind w:firstLine="567"/>
            </w:pPr>
            <w:r>
              <w:rPr>
                <w:rStyle w:val="Izteiksmgs"/>
                <w:b w:val="0"/>
              </w:rPr>
              <w:t>Ņemot vērā minētajos likumos veiktos grozījumus, nepieciešams izdarīt atbilstošus grozījumus</w:t>
            </w:r>
            <w:r w:rsidR="00DA6714">
              <w:rPr>
                <w:rStyle w:val="Izteiksmgs"/>
                <w:b w:val="0"/>
              </w:rPr>
              <w:t xml:space="preserve"> Ministru kabineta noteikumos Nr. 1493, paredzot</w:t>
            </w:r>
            <w:bookmarkEnd w:id="6"/>
            <w:r w:rsidR="00E107E4">
              <w:rPr>
                <w:rStyle w:val="Izteiksmgs"/>
                <w:b w:val="0"/>
              </w:rPr>
              <w:t xml:space="preserve"> </w:t>
            </w:r>
            <w:r w:rsidR="00C05FC2" w:rsidRPr="00AC7D13">
              <w:t>jaun</w:t>
            </w:r>
            <w:r w:rsidR="00DA6714">
              <w:t>u</w:t>
            </w:r>
            <w:r w:rsidR="00C05FC2" w:rsidRPr="00AC7D13">
              <w:t xml:space="preserve"> juridiskās palīdzības saņemšanas </w:t>
            </w:r>
            <w:r w:rsidR="005D0389">
              <w:t>lietu kategoriju</w:t>
            </w:r>
            <w:r w:rsidR="00C05FC2" w:rsidRPr="00AC7D13">
              <w:t xml:space="preserve"> administratīvajās lietās izraidāmajam ārzemniekam. Šob</w:t>
            </w:r>
            <w:r w:rsidR="004E5A52">
              <w:t>rīd juridiskās palīdzības veidi, apjoms un</w:t>
            </w:r>
            <w:r w:rsidR="00C05FC2" w:rsidRPr="00AC7D13">
              <w:t xml:space="preserve"> samaksas apmērs</w:t>
            </w:r>
            <w:r w:rsidR="004E5A52">
              <w:t xml:space="preserve"> administratīvajās lietās</w:t>
            </w:r>
            <w:r w:rsidR="00C05FC2" w:rsidRPr="00AC7D13">
              <w:t xml:space="preserve"> noteikt</w:t>
            </w:r>
            <w:r w:rsidR="004E5A52">
              <w:t>s</w:t>
            </w:r>
            <w:r w:rsidR="00C05FC2" w:rsidRPr="00AC7D13">
              <w:t xml:space="preserve"> tikai attiecībā uz juridiskās palīdzības sniegšanu apelācijas procedūrās patvēruma piešķiršanas procesa ietvaros</w:t>
            </w:r>
            <w:r w:rsidR="00B51457" w:rsidRPr="00AC7D13">
              <w:t>.</w:t>
            </w:r>
          </w:p>
          <w:p w:rsidR="004738C3" w:rsidRDefault="004738C3" w:rsidP="00A93BBB">
            <w:pPr>
              <w:pStyle w:val="naisf"/>
              <w:spacing w:before="0" w:after="0"/>
              <w:ind w:firstLine="567"/>
            </w:pPr>
          </w:p>
          <w:p w:rsidR="00DD6DDC" w:rsidRDefault="00DA6714" w:rsidP="00A93BBB">
            <w:pPr>
              <w:pStyle w:val="naisf"/>
              <w:spacing w:before="0" w:after="0"/>
              <w:ind w:firstLine="567"/>
            </w:pPr>
            <w:r>
              <w:t>Vienlaikus Ministru kabineta noteikumos Nr. 1493 nepieciešams izdarīt grozījumus saistībā ar 2010. gada 21. oktobra grozījumiem Kriminālprocesa likumā</w:t>
            </w:r>
            <w:r w:rsidR="00EB156E">
              <w:t>, Krimināllikumā un Valsts nodrošinātās juridiskās palīdzības likumā (spēkā ar 2011. gada 1. janvāri)</w:t>
            </w:r>
            <w:r>
              <w:t>. Ar minētajiem likuma grozījumiem no Kriminālprocesa likuma tika izslēgts privātās apsūdzības institūts, paredzot, ka turpmāk tiks veikts tikai publiskās apsūdzības kriminālprocess.</w:t>
            </w:r>
            <w:r w:rsidR="00DD6DDC">
              <w:t xml:space="preserve"> Savukārt Krimināllikumā un Valsts nodrošinātās juridiskās palīdzības likumā ar minētajiem grozījumiem tiek noteikts pārejas regulējums attiecībā uz </w:t>
            </w:r>
            <w:r w:rsidR="00DD6DDC" w:rsidRPr="0030095D">
              <w:t xml:space="preserve"> tiesvedībā esošajām privātās apsūdzības lietām.</w:t>
            </w:r>
            <w:r w:rsidR="00DD6DDC">
              <w:t xml:space="preserve"> </w:t>
            </w:r>
          </w:p>
          <w:p w:rsidR="00EB156E" w:rsidRDefault="00DA6714" w:rsidP="00A93BBB">
            <w:pPr>
              <w:pStyle w:val="naisf"/>
              <w:spacing w:before="0" w:after="0"/>
              <w:ind w:firstLine="567"/>
            </w:pPr>
            <w:r>
              <w:t xml:space="preserve"> Ņemot vērā to, ka spēkā esošajos Ministru kabineta noteikumos Nr.</w:t>
            </w:r>
            <w:r w:rsidR="00DD6DDC">
              <w:t> </w:t>
            </w:r>
            <w:r>
              <w:t>1493 paredzēts regulējums attiecībā uz samaksas apmēru par sniegto juridisko palīdzību personai privātās apsūdzī</w:t>
            </w:r>
            <w:r w:rsidR="007F210B">
              <w:t>bas kriminālprocesa uzsākšanai, nepieciešams veikt attiecīgus groz</w:t>
            </w:r>
            <w:r w:rsidR="00BA4E1E">
              <w:t>ījumus</w:t>
            </w:r>
            <w:r w:rsidR="00DD6DDC">
              <w:t xml:space="preserve">. </w:t>
            </w:r>
            <w:r w:rsidR="007F210B">
              <w:t xml:space="preserve"> </w:t>
            </w:r>
          </w:p>
          <w:p w:rsidR="007F210B" w:rsidRDefault="007F210B" w:rsidP="00A93BBB">
            <w:pPr>
              <w:pStyle w:val="naisf"/>
              <w:spacing w:before="0" w:after="0"/>
              <w:ind w:firstLine="567"/>
            </w:pPr>
            <w:r>
              <w:t>Turklāt, ņ</w:t>
            </w:r>
            <w:r w:rsidRPr="00AC7D13">
              <w:t>emot vē</w:t>
            </w:r>
            <w:r>
              <w:t>rā to, ka Kriminālprocesa likumā tiek</w:t>
            </w:r>
            <w:r w:rsidRPr="00AC7D13">
              <w:t xml:space="preserve"> </w:t>
            </w:r>
            <w:r>
              <w:t>paredzēti jauni</w:t>
            </w:r>
            <w:r w:rsidRPr="00AC7D13">
              <w:t xml:space="preserve"> gadījum</w:t>
            </w:r>
            <w:r>
              <w:t>i</w:t>
            </w:r>
            <w:r w:rsidRPr="00AC7D13">
              <w:t xml:space="preserve">, kad krimināllietas </w:t>
            </w:r>
            <w:r>
              <w:t xml:space="preserve">tiek </w:t>
            </w:r>
            <w:r w:rsidRPr="00AC7D13">
              <w:t>iztiesā</w:t>
            </w:r>
            <w:r>
              <w:t>tas</w:t>
            </w:r>
            <w:r w:rsidRPr="00AC7D13">
              <w:t xml:space="preserve"> rakstveida procesā</w:t>
            </w:r>
            <w:r w:rsidR="00DD6DDC">
              <w:t xml:space="preserve"> (Kriminālprocesa likuma 368. panta 6.</w:t>
            </w:r>
            <w:r w:rsidR="00DD6DDC" w:rsidRPr="00DD6DDC">
              <w:rPr>
                <w:vertAlign w:val="superscript"/>
              </w:rPr>
              <w:t>1</w:t>
            </w:r>
            <w:r w:rsidR="00DD6DDC">
              <w:t> daļa un 559. pants)</w:t>
            </w:r>
            <w:r w:rsidRPr="00AC7D13">
              <w:t xml:space="preserve">, </w:t>
            </w:r>
            <w:r>
              <w:lastRenderedPageBreak/>
              <w:t xml:space="preserve">Ministru kabineta noteikumos Nr. 1493 </w:t>
            </w:r>
            <w:r w:rsidRPr="00AC7D13">
              <w:t>nepieciešams precizēt arī gadījumus, kad dokumenti tiek sastā</w:t>
            </w:r>
            <w:r w:rsidR="009869B2">
              <w:t xml:space="preserve">dīti rakstveida procesā. </w:t>
            </w:r>
          </w:p>
          <w:p w:rsidR="00247451" w:rsidRPr="00AC7D13" w:rsidRDefault="00A93BBB" w:rsidP="00A93BBB">
            <w:pPr>
              <w:pStyle w:val="naisf"/>
              <w:spacing w:before="0" w:after="0"/>
              <w:ind w:firstLine="567"/>
            </w:pPr>
            <w:r>
              <w:t>Papildus</w:t>
            </w:r>
            <w:r w:rsidR="00E107E4">
              <w:t xml:space="preserve"> </w:t>
            </w:r>
            <w:r>
              <w:t>projekts paredz izdarīt tehniska rakstura grozījumus Ministru kabineta noteikumos Nr. 1493.</w:t>
            </w:r>
          </w:p>
        </w:tc>
      </w:tr>
      <w:tr w:rsidR="00262E2B" w:rsidRPr="00AC7D13" w:rsidTr="00AC7D13">
        <w:trPr>
          <w:trHeight w:val="1071"/>
        </w:trPr>
        <w:tc>
          <w:tcPr>
            <w:tcW w:w="550" w:type="dxa"/>
          </w:tcPr>
          <w:p w:rsidR="00262E2B" w:rsidRPr="00AC7D13" w:rsidRDefault="00262E2B" w:rsidP="006C4607">
            <w:pPr>
              <w:pStyle w:val="naiskr"/>
              <w:spacing w:before="0" w:after="0"/>
            </w:pPr>
            <w:r w:rsidRPr="00AC7D13">
              <w:lastRenderedPageBreak/>
              <w:t>3.</w:t>
            </w:r>
          </w:p>
        </w:tc>
        <w:tc>
          <w:tcPr>
            <w:tcW w:w="2432" w:type="dxa"/>
          </w:tcPr>
          <w:p w:rsidR="00262E2B" w:rsidRPr="00AC7D13" w:rsidRDefault="00420870" w:rsidP="006C4607">
            <w:pPr>
              <w:pStyle w:val="naiskr"/>
              <w:spacing w:before="0" w:after="0"/>
            </w:pPr>
            <w:r w:rsidRPr="00AC7D13">
              <w:t>S</w:t>
            </w:r>
            <w:r w:rsidR="000B69CF" w:rsidRPr="00AC7D13">
              <w:t xml:space="preserve">aistītie </w:t>
            </w:r>
            <w:r w:rsidR="001A6AE4" w:rsidRPr="00AC7D13">
              <w:t>politikas ietekmes novērtējumi</w:t>
            </w:r>
            <w:r w:rsidR="00CB0247" w:rsidRPr="00AC7D13">
              <w:t xml:space="preserve"> un</w:t>
            </w:r>
            <w:r w:rsidR="001A6AE4" w:rsidRPr="00AC7D13">
              <w:t xml:space="preserve"> </w:t>
            </w:r>
            <w:r w:rsidR="000B69CF" w:rsidRPr="00AC7D13">
              <w:t>pētījumi</w:t>
            </w:r>
          </w:p>
        </w:tc>
        <w:tc>
          <w:tcPr>
            <w:tcW w:w="6743" w:type="dxa"/>
          </w:tcPr>
          <w:p w:rsidR="00D20FF4" w:rsidRPr="00AC7D13" w:rsidRDefault="00FB19F1" w:rsidP="00194BE5">
            <w:pPr>
              <w:pStyle w:val="Vresteksts"/>
              <w:jc w:val="both"/>
              <w:rPr>
                <w:sz w:val="24"/>
                <w:szCs w:val="24"/>
              </w:rPr>
            </w:pPr>
            <w:r w:rsidRPr="00AC7D13">
              <w:rPr>
                <w:sz w:val="24"/>
                <w:szCs w:val="24"/>
              </w:rPr>
              <w:t>Nav</w:t>
            </w:r>
          </w:p>
        </w:tc>
      </w:tr>
      <w:tr w:rsidR="00262E2B" w:rsidRPr="00AC7D13" w:rsidTr="00AC7D13">
        <w:trPr>
          <w:trHeight w:val="384"/>
        </w:trPr>
        <w:tc>
          <w:tcPr>
            <w:tcW w:w="550" w:type="dxa"/>
          </w:tcPr>
          <w:p w:rsidR="00262E2B" w:rsidRPr="00AC7D13" w:rsidRDefault="00262E2B" w:rsidP="006C4607">
            <w:pPr>
              <w:pStyle w:val="naiskr"/>
              <w:spacing w:before="0" w:after="0"/>
            </w:pPr>
            <w:r w:rsidRPr="00AC7D13">
              <w:t>4.</w:t>
            </w:r>
          </w:p>
        </w:tc>
        <w:tc>
          <w:tcPr>
            <w:tcW w:w="2432" w:type="dxa"/>
          </w:tcPr>
          <w:p w:rsidR="00262E2B" w:rsidRPr="00AC7D13" w:rsidRDefault="000C790C" w:rsidP="006C4607">
            <w:pPr>
              <w:pStyle w:val="naiskr"/>
              <w:spacing w:before="0" w:after="0"/>
            </w:pPr>
            <w:r w:rsidRPr="00AC7D13">
              <w:t>Tiesiskā r</w:t>
            </w:r>
            <w:r w:rsidR="00400032" w:rsidRPr="00AC7D13">
              <w:t xml:space="preserve">egulējuma </w:t>
            </w:r>
            <w:r w:rsidR="00262E2B" w:rsidRPr="00AC7D13">
              <w:t>mērķis un būtība</w:t>
            </w:r>
          </w:p>
        </w:tc>
        <w:tc>
          <w:tcPr>
            <w:tcW w:w="6743" w:type="dxa"/>
          </w:tcPr>
          <w:p w:rsidR="00E72FB8" w:rsidRPr="00FB3DEC" w:rsidRDefault="00E72FB8" w:rsidP="00AC7D13">
            <w:pPr>
              <w:pStyle w:val="naisf"/>
              <w:spacing w:before="0" w:after="0"/>
            </w:pPr>
            <w:r w:rsidRPr="00FB3DEC">
              <w:t xml:space="preserve">Projektā ietvertā tiesiskā regulējuma mērķis ir precizēt spēkā esošos Ministru kabineta noteikumus Nr. 1493 atbilstoši Imigrācijas likumā, </w:t>
            </w:r>
            <w:r w:rsidRPr="00FB3DEC">
              <w:rPr>
                <w:rStyle w:val="Izteiksmgs"/>
                <w:b w:val="0"/>
              </w:rPr>
              <w:t>Valsts nodrošinātās juridiskās palīdzības likumā, kā arī Kriminālprocesa likumā</w:t>
            </w:r>
            <w:r w:rsidR="00A46CCB" w:rsidRPr="00FB3DEC">
              <w:rPr>
                <w:rStyle w:val="Izteiksmgs"/>
                <w:b w:val="0"/>
              </w:rPr>
              <w:t xml:space="preserve"> un Krimināllikumā</w:t>
            </w:r>
            <w:r w:rsidRPr="00FB3DEC">
              <w:rPr>
                <w:rStyle w:val="Izteiksmgs"/>
                <w:b w:val="0"/>
              </w:rPr>
              <w:t xml:space="preserve"> veiktajiem grozījumiem.</w:t>
            </w:r>
          </w:p>
          <w:p w:rsidR="00E72FB8" w:rsidRPr="00FB3DEC" w:rsidRDefault="00E72FB8" w:rsidP="00AC7D13">
            <w:pPr>
              <w:pStyle w:val="naisf"/>
              <w:spacing w:before="0" w:after="0"/>
            </w:pPr>
            <w:r w:rsidRPr="00FB3DEC">
              <w:t>Projekts paredz:</w:t>
            </w:r>
          </w:p>
          <w:p w:rsidR="00D7376C" w:rsidRPr="00FB3DEC" w:rsidRDefault="00D7376C" w:rsidP="00D7376C">
            <w:pPr>
              <w:pStyle w:val="naisf"/>
              <w:numPr>
                <w:ilvl w:val="0"/>
                <w:numId w:val="14"/>
              </w:numPr>
              <w:spacing w:before="0" w:after="0"/>
              <w:ind w:left="0" w:firstLine="425"/>
            </w:pPr>
            <w:r w:rsidRPr="00FB3DEC">
              <w:t>papildināt Ministru kabineta noteikumus Nr. 1493 ar jaunu juridiskās palīdzības lietu kategoriju administratīvajā</w:t>
            </w:r>
            <w:r w:rsidR="00A46CCB" w:rsidRPr="00FB3DEC">
              <w:t>s</w:t>
            </w:r>
            <w:r w:rsidRPr="00FB3DEC">
              <w:t xml:space="preserve"> lietās izraidāmajiem ārzemniekiem;</w:t>
            </w:r>
          </w:p>
          <w:p w:rsidR="00E72FB8" w:rsidRPr="00FB3DEC" w:rsidRDefault="00E72FB8" w:rsidP="006C77BA">
            <w:pPr>
              <w:pStyle w:val="naisf"/>
              <w:numPr>
                <w:ilvl w:val="0"/>
                <w:numId w:val="14"/>
              </w:numPr>
              <w:spacing w:before="0" w:after="0"/>
              <w:ind w:left="0" w:firstLine="425"/>
            </w:pPr>
            <w:r w:rsidRPr="00FB3DEC">
              <w:t>svītrot no Ministru kabineta noteikumiem Nr. 1493 tiesisko regulējumu attiecībā uz valsts nodrošinātās</w:t>
            </w:r>
            <w:r w:rsidR="00AC7D13" w:rsidRPr="00FB3DEC">
              <w:t xml:space="preserve"> juridiskās palīdzības sniegšanu privātās apsūdzības kriminālprocesā</w:t>
            </w:r>
            <w:r w:rsidRPr="00FB3DEC">
              <w:t>;</w:t>
            </w:r>
          </w:p>
          <w:p w:rsidR="004537E2" w:rsidRPr="00FB3DEC" w:rsidRDefault="00E72FB8" w:rsidP="006C77BA">
            <w:pPr>
              <w:pStyle w:val="naisf"/>
              <w:numPr>
                <w:ilvl w:val="0"/>
                <w:numId w:val="14"/>
              </w:numPr>
              <w:spacing w:before="0" w:after="0"/>
              <w:ind w:left="0" w:firstLine="425"/>
            </w:pPr>
            <w:r w:rsidRPr="00FB3DEC">
              <w:t>pārejas regulējumu</w:t>
            </w:r>
            <w:r w:rsidR="00181A9B" w:rsidRPr="00FB3DEC">
              <w:t xml:space="preserve"> juridiskās palīdzības sniegšanā tiesvedībā esoš</w:t>
            </w:r>
            <w:r w:rsidR="00A93BBB" w:rsidRPr="00FB3DEC">
              <w:t>ajā</w:t>
            </w:r>
            <w:r w:rsidR="00181A9B" w:rsidRPr="00FB3DEC">
              <w:t>s</w:t>
            </w:r>
            <w:r w:rsidRPr="00FB3DEC">
              <w:t xml:space="preserve"> privātās apsūdzības </w:t>
            </w:r>
            <w:r w:rsidR="00181A9B" w:rsidRPr="00FB3DEC">
              <w:t>kriminālprocesos.</w:t>
            </w:r>
            <w:r w:rsidR="004537E2" w:rsidRPr="00FB3DEC">
              <w:t xml:space="preserve"> P</w:t>
            </w:r>
            <w:r w:rsidR="004537E2" w:rsidRPr="00FB3DEC">
              <w:rPr>
                <w:color w:val="000000"/>
              </w:rPr>
              <w:t>ārejas regulējums noteic, kādā kārtībā un apjomā tiek nodrošināta valsts nodrošinātā juridiskā palīdzība tajos privātās apsūdzības kriminālprocesos, kas uzsākti līdz privātās apsūdzības institūta izslēgšanai. Tiek paredzēts, ka</w:t>
            </w:r>
            <w:proofErr w:type="gramStart"/>
            <w:r w:rsidR="004537E2" w:rsidRPr="00FB3DEC">
              <w:rPr>
                <w:color w:val="000000"/>
              </w:rPr>
              <w:t xml:space="preserve"> </w:t>
            </w:r>
            <w:r w:rsidR="004C6AC0" w:rsidRPr="00FB3DEC">
              <w:rPr>
                <w:color w:val="000000"/>
              </w:rPr>
              <w:t xml:space="preserve"> </w:t>
            </w:r>
            <w:proofErr w:type="gramEnd"/>
            <w:r w:rsidR="004C6AC0" w:rsidRPr="00FB3DEC">
              <w:rPr>
                <w:color w:val="000000"/>
              </w:rPr>
              <w:t xml:space="preserve">tiesvedībā esošajās privātās apsūdzības lietās valsts nodrošina juridisko palīdzību tādā apjomā un juridiskās palīdzības sniedzējiem samaksu un atlīdzināmos izdevumus sedz tādā apmērā un kārtībā, kādu noteica tiesiskais regulējums, kas bija spēkā līdz 2011. gada </w:t>
            </w:r>
            <w:r w:rsidR="00F924F3">
              <w:rPr>
                <w:color w:val="000000"/>
              </w:rPr>
              <w:t>30</w:t>
            </w:r>
            <w:r w:rsidR="004C6AC0" w:rsidRPr="00FB3DEC">
              <w:rPr>
                <w:color w:val="000000"/>
              </w:rPr>
              <w:t>. </w:t>
            </w:r>
            <w:r w:rsidR="00F924F3">
              <w:rPr>
                <w:color w:val="000000"/>
              </w:rPr>
              <w:t>septembrim</w:t>
            </w:r>
            <w:r w:rsidR="002F63A2" w:rsidRPr="00FB3DEC">
              <w:rPr>
                <w:color w:val="000000"/>
              </w:rPr>
              <w:t>;</w:t>
            </w:r>
          </w:p>
          <w:p w:rsidR="00D7376C" w:rsidRPr="00FB3DEC" w:rsidRDefault="00D7376C" w:rsidP="00D7376C">
            <w:pPr>
              <w:pStyle w:val="naisf"/>
              <w:numPr>
                <w:ilvl w:val="0"/>
                <w:numId w:val="14"/>
              </w:numPr>
              <w:spacing w:before="0" w:after="0"/>
              <w:ind w:left="0" w:firstLine="425"/>
            </w:pPr>
            <w:r w:rsidRPr="00FB3DEC">
              <w:t xml:space="preserve">precizēt Ministru kabineta noteikumu Nr. 1493 2. pielikumu, izslēdzot no tā </w:t>
            </w:r>
            <w:r w:rsidR="00E439BC" w:rsidRPr="00FB3DEC">
              <w:t>norādes</w:t>
            </w:r>
            <w:r w:rsidRPr="00FB3DEC">
              <w:t>, kas satur informāciju par privātās apsūdzības kriminālprocesu</w:t>
            </w:r>
            <w:r w:rsidR="00CB4FF6" w:rsidRPr="00FB3DEC">
              <w:t xml:space="preserve"> un papildinot ar jaunu juridiskās palīdzības veidu</w:t>
            </w:r>
            <w:r w:rsidR="002F63A2" w:rsidRPr="00FB3DEC">
              <w:t>;</w:t>
            </w:r>
          </w:p>
          <w:p w:rsidR="00776312" w:rsidRPr="00FB3DEC" w:rsidRDefault="00E439BC" w:rsidP="008050B3">
            <w:pPr>
              <w:pStyle w:val="naisf"/>
              <w:numPr>
                <w:ilvl w:val="0"/>
                <w:numId w:val="14"/>
              </w:numPr>
              <w:spacing w:before="0" w:after="0"/>
              <w:ind w:left="0" w:firstLine="425"/>
            </w:pPr>
            <w:r w:rsidRPr="00FB3DEC">
              <w:t xml:space="preserve">samaksas apmēru par </w:t>
            </w:r>
            <w:r w:rsidR="00D7376C" w:rsidRPr="00FB3DEC">
              <w:t>juridiskās palīdzības sniegšanu kri</w:t>
            </w:r>
            <w:r w:rsidRPr="00FB3DEC">
              <w:t>mināllietās rakstveida procesā</w:t>
            </w:r>
            <w:r w:rsidR="00776312" w:rsidRPr="00FB3DEC">
              <w:t>.</w:t>
            </w:r>
            <w:r w:rsidR="0095778A">
              <w:t xml:space="preserve"> </w:t>
            </w:r>
            <w:r w:rsidR="00FB3DEC" w:rsidRPr="008050B3">
              <w:t>Kriminālprocesa likumā  noteiktaj</w:t>
            </w:r>
            <w:r w:rsidR="002879BB" w:rsidRPr="008050B3">
              <w:t>os gadījumos rakstveida procesā</w:t>
            </w:r>
            <w:r w:rsidR="00FB3DEC" w:rsidRPr="008050B3">
              <w:t xml:space="preserve"> </w:t>
            </w:r>
            <w:r w:rsidR="00B452E4" w:rsidRPr="008050B3">
              <w:t xml:space="preserve">var </w:t>
            </w:r>
            <w:r w:rsidR="00FB3DEC" w:rsidRPr="008050B3">
              <w:t xml:space="preserve"> </w:t>
            </w:r>
            <w:r w:rsidR="002879BB" w:rsidRPr="008050B3">
              <w:t>ie</w:t>
            </w:r>
            <w:r w:rsidR="00FB3DEC" w:rsidRPr="008050B3">
              <w:t>sniegt iebildumus</w:t>
            </w:r>
            <w:r w:rsidR="00D11ED6">
              <w:t>,</w:t>
            </w:r>
            <w:r w:rsidR="00FB3DEC" w:rsidRPr="008050B3">
              <w:t xml:space="preserve"> paskaidrojumus</w:t>
            </w:r>
            <w:r w:rsidR="00D11ED6">
              <w:t xml:space="preserve"> vai viedokļus</w:t>
            </w:r>
            <w:r w:rsidR="008050B3" w:rsidRPr="008050B3">
              <w:t>, piemēram,</w:t>
            </w:r>
            <w:r w:rsidR="00FB3DEC" w:rsidRPr="008050B3">
              <w:t xml:space="preserve"> par iesniegto apelācijas vai</w:t>
            </w:r>
            <w:r w:rsidR="002C638A" w:rsidRPr="008050B3">
              <w:t xml:space="preserve"> kasācijas sūdzību vai protestu</w:t>
            </w:r>
            <w:r w:rsidR="008050B3" w:rsidRPr="008050B3">
              <w:t>.</w:t>
            </w:r>
            <w:r w:rsidR="008050B3">
              <w:t xml:space="preserve"> </w:t>
            </w:r>
            <w:r w:rsidR="002879BB" w:rsidRPr="008050B3">
              <w:t>S</w:t>
            </w:r>
            <w:r w:rsidR="00FB3DEC" w:rsidRPr="008050B3">
              <w:t xml:space="preserve">akarā ar </w:t>
            </w:r>
            <w:r w:rsidR="002879BB" w:rsidRPr="008050B3">
              <w:t xml:space="preserve">to, ka </w:t>
            </w:r>
            <w:r w:rsidR="00EF3A2E" w:rsidRPr="008050B3">
              <w:t>nenotiek</w:t>
            </w:r>
            <w:r w:rsidR="002879BB" w:rsidRPr="008050B3">
              <w:t xml:space="preserve"> lietas </w:t>
            </w:r>
            <w:r w:rsidR="00EF3A2E" w:rsidRPr="008050B3">
              <w:t>izskatīšana</w:t>
            </w:r>
            <w:r w:rsidR="002879BB" w:rsidRPr="008050B3">
              <w:t xml:space="preserve"> mutvārdu procesā, aizstāvim vai pārstāvim īstenojot personas tiesības</w:t>
            </w:r>
            <w:r w:rsidR="00B0574B" w:rsidRPr="008050B3">
              <w:t>, viedokļa paušana notiek iesniedzot rakstveida iebildumus vai paskaidrojumus</w:t>
            </w:r>
            <w:r w:rsidR="008050B3" w:rsidRPr="008050B3">
              <w:t>.</w:t>
            </w:r>
            <w:r w:rsidR="00B0574B" w:rsidRPr="008050B3">
              <w:t xml:space="preserve"> </w:t>
            </w:r>
            <w:r w:rsidR="008050B3" w:rsidRPr="008050B3">
              <w:t>Savukārt</w:t>
            </w:r>
            <w:r w:rsidR="00B0574B" w:rsidRPr="008050B3">
              <w:t xml:space="preserve"> apelācijas vai kasācijas s</w:t>
            </w:r>
            <w:r w:rsidR="008050B3" w:rsidRPr="008050B3">
              <w:t>ūdzība vai protests</w:t>
            </w:r>
            <w:r w:rsidR="00B0574B" w:rsidRPr="008050B3">
              <w:t>, neatkarīgi no procesa veida (mutvārdu vai rakstveida),</w:t>
            </w:r>
            <w:r w:rsidR="00EF3A2E" w:rsidRPr="008050B3">
              <w:t xml:space="preserve"> kā juridiskās palīdzības veids </w:t>
            </w:r>
            <w:r w:rsidR="008050B3" w:rsidRPr="008050B3">
              <w:t xml:space="preserve">jau </w:t>
            </w:r>
            <w:r w:rsidR="00EF3A2E" w:rsidRPr="008050B3">
              <w:t xml:space="preserve">ir noteikts </w:t>
            </w:r>
            <w:r w:rsidR="00F7798F">
              <w:t xml:space="preserve">spēkā esošajos </w:t>
            </w:r>
            <w:r w:rsidR="00EF3A2E" w:rsidRPr="008050B3">
              <w:t>Ministru kabineta noteikumos.</w:t>
            </w:r>
            <w:r w:rsidR="00B0574B" w:rsidRPr="008050B3">
              <w:rPr>
                <w:color w:val="FF0000"/>
              </w:rPr>
              <w:t xml:space="preserve"> </w:t>
            </w:r>
            <w:r w:rsidR="002879BB" w:rsidRPr="008050B3">
              <w:rPr>
                <w:color w:val="FF0000"/>
              </w:rPr>
              <w:t xml:space="preserve">  </w:t>
            </w:r>
            <w:r w:rsidR="00FB3DEC">
              <w:t xml:space="preserve"> </w:t>
            </w:r>
          </w:p>
          <w:p w:rsidR="00DD75CF" w:rsidRPr="00AC7D13" w:rsidRDefault="00181A9B" w:rsidP="00776312">
            <w:pPr>
              <w:pStyle w:val="naisf"/>
              <w:spacing w:before="0" w:after="0"/>
            </w:pPr>
            <w:r w:rsidRPr="00FB3DEC">
              <w:t xml:space="preserve">Anotācijas I. sadaļas 2. punktā minētās problēmas ar projektu tiek atrisinātas pilnībā. </w:t>
            </w:r>
          </w:p>
        </w:tc>
      </w:tr>
      <w:tr w:rsidR="00262E2B" w:rsidRPr="00AC7D13" w:rsidTr="00AC7D13">
        <w:trPr>
          <w:trHeight w:val="476"/>
        </w:trPr>
        <w:tc>
          <w:tcPr>
            <w:tcW w:w="550" w:type="dxa"/>
          </w:tcPr>
          <w:p w:rsidR="00262E2B" w:rsidRPr="00AC7D13" w:rsidRDefault="00262E2B" w:rsidP="006C4607">
            <w:pPr>
              <w:pStyle w:val="naiskr"/>
              <w:spacing w:before="0" w:after="0"/>
            </w:pPr>
            <w:r w:rsidRPr="00AC7D13">
              <w:t>5.</w:t>
            </w:r>
          </w:p>
        </w:tc>
        <w:tc>
          <w:tcPr>
            <w:tcW w:w="2432" w:type="dxa"/>
          </w:tcPr>
          <w:p w:rsidR="00262E2B" w:rsidRPr="00AC7D13" w:rsidRDefault="001A4066" w:rsidP="006C4607">
            <w:pPr>
              <w:pStyle w:val="naiskr"/>
              <w:spacing w:before="0" w:after="0"/>
            </w:pPr>
            <w:r w:rsidRPr="00AC7D13">
              <w:t>Projekta i</w:t>
            </w:r>
            <w:r w:rsidR="00262E2B" w:rsidRPr="00AC7D13">
              <w:t>zstrād</w:t>
            </w:r>
            <w:r w:rsidR="00420870" w:rsidRPr="00AC7D13">
              <w:t xml:space="preserve">ē </w:t>
            </w:r>
            <w:r w:rsidR="00262E2B" w:rsidRPr="00AC7D13">
              <w:t>iesaistītās institūcijas</w:t>
            </w:r>
          </w:p>
        </w:tc>
        <w:tc>
          <w:tcPr>
            <w:tcW w:w="6743" w:type="dxa"/>
          </w:tcPr>
          <w:p w:rsidR="00262E2B" w:rsidRPr="00AC7D13" w:rsidRDefault="00FB19F1" w:rsidP="00194BE5">
            <w:pPr>
              <w:pStyle w:val="naiskr"/>
              <w:spacing w:before="0" w:after="0"/>
              <w:jc w:val="both"/>
            </w:pPr>
            <w:r w:rsidRPr="00AC7D13">
              <w:rPr>
                <w:iCs/>
              </w:rPr>
              <w:t>Tieslietu ministrija</w:t>
            </w:r>
            <w:r w:rsidR="00B107AD" w:rsidRPr="00AC7D13">
              <w:rPr>
                <w:iCs/>
              </w:rPr>
              <w:t xml:space="preserve"> un Juridiskās palīdzības administrācija</w:t>
            </w:r>
          </w:p>
        </w:tc>
      </w:tr>
      <w:tr w:rsidR="00262E2B" w:rsidRPr="00AC7D13" w:rsidTr="00AC7D13">
        <w:trPr>
          <w:trHeight w:val="1340"/>
        </w:trPr>
        <w:tc>
          <w:tcPr>
            <w:tcW w:w="550" w:type="dxa"/>
          </w:tcPr>
          <w:p w:rsidR="00262E2B" w:rsidRPr="00AC7D13" w:rsidRDefault="00262E2B" w:rsidP="006C4607">
            <w:pPr>
              <w:pStyle w:val="naiskr"/>
              <w:spacing w:before="0" w:after="0"/>
            </w:pPr>
            <w:r w:rsidRPr="00AC7D13">
              <w:lastRenderedPageBreak/>
              <w:t>6.</w:t>
            </w:r>
          </w:p>
        </w:tc>
        <w:tc>
          <w:tcPr>
            <w:tcW w:w="2432" w:type="dxa"/>
          </w:tcPr>
          <w:p w:rsidR="00262E2B" w:rsidRPr="00AC7D13" w:rsidRDefault="00BB7C94" w:rsidP="006C4607">
            <w:pPr>
              <w:pStyle w:val="naiskr"/>
              <w:spacing w:before="0" w:after="0"/>
              <w:rPr>
                <w:i/>
                <w:highlight w:val="yellow"/>
              </w:rPr>
            </w:pPr>
            <w:r w:rsidRPr="00AC7D13">
              <w:t xml:space="preserve">Iemesli, kādēļ netika nodrošināta </w:t>
            </w:r>
            <w:r w:rsidR="00262E2B" w:rsidRPr="00AC7D13">
              <w:t xml:space="preserve">sabiedrības </w:t>
            </w:r>
            <w:r w:rsidRPr="00AC7D13">
              <w:t>līdzdalība</w:t>
            </w:r>
          </w:p>
        </w:tc>
        <w:tc>
          <w:tcPr>
            <w:tcW w:w="6743" w:type="dxa"/>
          </w:tcPr>
          <w:p w:rsidR="00D20FF4" w:rsidRPr="00AC7D13" w:rsidRDefault="002F63A2" w:rsidP="002F63A2">
            <w:pPr>
              <w:pStyle w:val="Vresteksts"/>
              <w:jc w:val="both"/>
              <w:rPr>
                <w:sz w:val="24"/>
                <w:szCs w:val="24"/>
              </w:rPr>
            </w:pPr>
            <w:r>
              <w:rPr>
                <w:sz w:val="24"/>
                <w:szCs w:val="24"/>
              </w:rPr>
              <w:t xml:space="preserve">Sabiedrības līdzdalība tika nodrošināta likumprojektu „Grozījumi </w:t>
            </w:r>
            <w:r w:rsidRPr="00DF5DD1">
              <w:rPr>
                <w:sz w:val="24"/>
                <w:szCs w:val="24"/>
              </w:rPr>
              <w:t>Valsts nodrošinātās juridiskās palīdzības likumā” (Nr.</w:t>
            </w:r>
            <w:r w:rsidRPr="00E534EF">
              <w:rPr>
                <w:sz w:val="24"/>
                <w:szCs w:val="24"/>
              </w:rPr>
              <w:t xml:space="preserve"> 320/Lp10</w:t>
            </w:r>
            <w:r>
              <w:rPr>
                <w:sz w:val="24"/>
                <w:szCs w:val="24"/>
              </w:rPr>
              <w:t xml:space="preserve">), </w:t>
            </w:r>
            <w:r w:rsidRPr="00DF5DD1">
              <w:rPr>
                <w:sz w:val="24"/>
                <w:szCs w:val="24"/>
              </w:rPr>
              <w:t>„Grozījumi Imigrācijas likumā</w:t>
            </w:r>
            <w:r>
              <w:rPr>
                <w:sz w:val="24"/>
                <w:szCs w:val="24"/>
              </w:rPr>
              <w:t xml:space="preserve">” </w:t>
            </w:r>
            <w:r w:rsidRPr="00DF5DD1">
              <w:rPr>
                <w:sz w:val="24"/>
                <w:szCs w:val="24"/>
              </w:rPr>
              <w:t>(</w:t>
            </w:r>
            <w:proofErr w:type="spellStart"/>
            <w:r w:rsidRPr="00DF5DD1">
              <w:rPr>
                <w:sz w:val="24"/>
                <w:szCs w:val="24"/>
              </w:rPr>
              <w:t>Nr</w:t>
            </w:r>
            <w:proofErr w:type="spellEnd"/>
            <w:r w:rsidRPr="00DF5DD1">
              <w:rPr>
                <w:sz w:val="24"/>
                <w:szCs w:val="24"/>
              </w:rPr>
              <w:t>: 185/Lp10)</w:t>
            </w:r>
            <w:r w:rsidR="00E439BC">
              <w:rPr>
                <w:sz w:val="24"/>
                <w:szCs w:val="24"/>
              </w:rPr>
              <w:t>, kā arī normatīvo aktu par privātās apsūdzības institūta izslēgšanu</w:t>
            </w:r>
            <w:r w:rsidRPr="00DF5DD1">
              <w:rPr>
                <w:sz w:val="24"/>
                <w:szCs w:val="24"/>
              </w:rPr>
              <w:t xml:space="preserve"> </w:t>
            </w:r>
            <w:r>
              <w:rPr>
                <w:sz w:val="24"/>
                <w:szCs w:val="24"/>
              </w:rPr>
              <w:t xml:space="preserve"> izstrādes procesā. Ņemot vērā to, ka projekta izstrādes nepieciešamība izriet no grozījumiem minētajos likumprojektos, sabiedrības līdzdalība šī projekta izstrādē nav nepieciešama.</w:t>
            </w:r>
          </w:p>
        </w:tc>
      </w:tr>
      <w:tr w:rsidR="00262E2B" w:rsidRPr="00AC7D13" w:rsidTr="00AC7D13">
        <w:tc>
          <w:tcPr>
            <w:tcW w:w="550" w:type="dxa"/>
          </w:tcPr>
          <w:p w:rsidR="00262E2B" w:rsidRPr="00AC7D13" w:rsidRDefault="00262E2B" w:rsidP="006C4607">
            <w:pPr>
              <w:pStyle w:val="naiskr"/>
              <w:spacing w:before="0" w:after="0"/>
            </w:pPr>
            <w:r w:rsidRPr="00AC7D13">
              <w:t>7.</w:t>
            </w:r>
          </w:p>
        </w:tc>
        <w:tc>
          <w:tcPr>
            <w:tcW w:w="2432" w:type="dxa"/>
          </w:tcPr>
          <w:p w:rsidR="00262E2B" w:rsidRPr="00AC7D13" w:rsidRDefault="00262E2B" w:rsidP="006C4607">
            <w:pPr>
              <w:pStyle w:val="naiskr"/>
              <w:spacing w:before="0" w:after="0"/>
            </w:pPr>
            <w:r w:rsidRPr="00AC7D13">
              <w:t>Cita informācija</w:t>
            </w:r>
          </w:p>
        </w:tc>
        <w:tc>
          <w:tcPr>
            <w:tcW w:w="6743" w:type="dxa"/>
          </w:tcPr>
          <w:p w:rsidR="00262E2B" w:rsidRPr="00AC7D13" w:rsidRDefault="00262E2B" w:rsidP="006C4607">
            <w:pPr>
              <w:pStyle w:val="naiskr"/>
              <w:spacing w:before="0" w:after="0"/>
            </w:pPr>
            <w:r w:rsidRPr="00AC7D13">
              <w:t>Nav</w:t>
            </w:r>
          </w:p>
        </w:tc>
      </w:tr>
    </w:tbl>
    <w:p w:rsidR="004738C3" w:rsidRDefault="004738C3" w:rsidP="004738C3">
      <w:pPr>
        <w:pStyle w:val="naisf"/>
        <w:spacing w:before="0" w:after="0"/>
        <w:ind w:firstLine="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410"/>
        <w:gridCol w:w="6776"/>
      </w:tblGrid>
      <w:tr w:rsidR="004738C3" w:rsidRPr="007C0F2C" w:rsidTr="004738C3">
        <w:tc>
          <w:tcPr>
            <w:tcW w:w="9758" w:type="dxa"/>
            <w:gridSpan w:val="3"/>
            <w:vAlign w:val="center"/>
          </w:tcPr>
          <w:p w:rsidR="004738C3" w:rsidRPr="007C0F2C" w:rsidRDefault="004738C3" w:rsidP="004738C3">
            <w:pPr>
              <w:pStyle w:val="naisnod"/>
              <w:spacing w:before="0" w:after="0"/>
            </w:pPr>
            <w:r w:rsidRPr="007C0F2C">
              <w:t>II. Tiesību akta projekta ietekme uz sabiedrību</w:t>
            </w:r>
          </w:p>
        </w:tc>
      </w:tr>
      <w:tr w:rsidR="004738C3" w:rsidRPr="007C0F2C" w:rsidTr="00D7376C">
        <w:trPr>
          <w:trHeight w:val="467"/>
        </w:trPr>
        <w:tc>
          <w:tcPr>
            <w:tcW w:w="572" w:type="dxa"/>
          </w:tcPr>
          <w:p w:rsidR="004738C3" w:rsidRPr="00C80E8F" w:rsidRDefault="004738C3" w:rsidP="004738C3">
            <w:pPr>
              <w:pStyle w:val="naiskr"/>
              <w:spacing w:before="0" w:after="0"/>
            </w:pPr>
            <w:r w:rsidRPr="00C80E8F">
              <w:t>1.</w:t>
            </w:r>
          </w:p>
        </w:tc>
        <w:tc>
          <w:tcPr>
            <w:tcW w:w="2410" w:type="dxa"/>
          </w:tcPr>
          <w:p w:rsidR="004738C3" w:rsidRPr="007C0F2C" w:rsidRDefault="004738C3" w:rsidP="004738C3">
            <w:pPr>
              <w:jc w:val="both"/>
              <w:rPr>
                <w:sz w:val="22"/>
                <w:szCs w:val="22"/>
              </w:rPr>
            </w:pPr>
            <w:r w:rsidRPr="00C80E8F">
              <w:rPr>
                <w:iCs/>
              </w:rPr>
              <w:t>Sabiedrības mērķgrupa</w:t>
            </w:r>
          </w:p>
        </w:tc>
        <w:tc>
          <w:tcPr>
            <w:tcW w:w="6776" w:type="dxa"/>
          </w:tcPr>
          <w:p w:rsidR="004738C3" w:rsidRPr="003C281D" w:rsidRDefault="004738C3" w:rsidP="004738C3">
            <w:pPr>
              <w:ind w:firstLine="284"/>
              <w:jc w:val="both"/>
              <w:rPr>
                <w:iCs/>
              </w:rPr>
            </w:pPr>
            <w:r w:rsidRPr="007C0F2C">
              <w:rPr>
                <w:iCs/>
                <w:sz w:val="22"/>
                <w:szCs w:val="22"/>
              </w:rPr>
              <w:t> </w:t>
            </w:r>
            <w:r>
              <w:rPr>
                <w:iCs/>
              </w:rPr>
              <w:t xml:space="preserve"> Projekta tiesiskais regulējums attiecināms uz </w:t>
            </w:r>
            <w:r w:rsidR="00D7376C">
              <w:rPr>
                <w:iCs/>
              </w:rPr>
              <w:t>juridiskās palīdzības pieprasītājiem</w:t>
            </w:r>
            <w:r>
              <w:rPr>
                <w:iCs/>
              </w:rPr>
              <w:t xml:space="preserve">, </w:t>
            </w:r>
            <w:r w:rsidR="00D7376C">
              <w:rPr>
                <w:iCs/>
              </w:rPr>
              <w:t>tai skaitā</w:t>
            </w:r>
            <w:r>
              <w:rPr>
                <w:iCs/>
              </w:rPr>
              <w:t xml:space="preserve"> ārzemniekiem</w:t>
            </w:r>
            <w:r w:rsidRPr="00B960D9">
              <w:rPr>
                <w:iCs/>
              </w:rPr>
              <w:t>, kur</w:t>
            </w:r>
            <w:r>
              <w:rPr>
                <w:iCs/>
              </w:rPr>
              <w:t>i</w:t>
            </w:r>
            <w:r w:rsidRPr="00B960D9">
              <w:rPr>
                <w:iCs/>
              </w:rPr>
              <w:t xml:space="preserve"> Imigrācijas likumā noteiktajos gadījumos un kārtībā ir pa</w:t>
            </w:r>
            <w:r w:rsidRPr="003C281D">
              <w:rPr>
                <w:iCs/>
              </w:rPr>
              <w:t>kļauti izraidīšanas procedūrai.</w:t>
            </w:r>
          </w:p>
          <w:p w:rsidR="004738C3" w:rsidRDefault="004738C3" w:rsidP="004738C3">
            <w:pPr>
              <w:ind w:firstLine="284"/>
              <w:jc w:val="both"/>
            </w:pPr>
            <w:r w:rsidRPr="003C281D">
              <w:t>Saskaņā ar Juridiskās palīdzības administrācijas statistikas datiem</w:t>
            </w:r>
            <w:r w:rsidRPr="003C281D">
              <w:rPr>
                <w:rStyle w:val="Vresatsauce"/>
              </w:rPr>
              <w:footnoteReference w:id="3"/>
            </w:r>
            <w:r w:rsidRPr="003C281D">
              <w:t xml:space="preserve"> 2010. gadā reģistrēts 2641 iesniegums par valsts nodrošinātās juridiskās palīdzības pieprasījumu</w:t>
            </w:r>
            <w:r>
              <w:t>. No 2010. gadā pieņemtajiem 2948 lēmumiem par valsts nodrošināto juridisko palīdzību 2277 jeb 77% gadījumos pieņemts lēmums par valsts nodrošinātās juridiskās palīdzības piešķiršanu.</w:t>
            </w:r>
          </w:p>
          <w:p w:rsidR="004738C3" w:rsidRPr="00BA109B" w:rsidRDefault="000E7479" w:rsidP="001F3FDD">
            <w:pPr>
              <w:ind w:firstLine="410"/>
              <w:jc w:val="both"/>
            </w:pPr>
            <w:r>
              <w:t xml:space="preserve">Savukārt izraidīšanas procedūrai pakļauto  ārzemnieku  </w:t>
            </w:r>
            <w:r w:rsidRPr="003C281D">
              <w:t xml:space="preserve"> </w:t>
            </w:r>
            <w:r>
              <w:t>aptuvenā lieluma (īpatsvara) prognoze norādīta likumprojekta „Grozījumi Valsts nodrošinātās juridiskās palīdzības likumā”</w:t>
            </w:r>
            <w:r>
              <w:rPr>
                <w:rStyle w:val="Vresatsauce"/>
              </w:rPr>
              <w:footnoteReference w:id="4"/>
            </w:r>
            <w:r>
              <w:t xml:space="preserve"> (</w:t>
            </w:r>
            <w:r w:rsidRPr="00E534EF">
              <w:t>Nr. 320/Lp10</w:t>
            </w:r>
            <w:r>
              <w:t>) anotācijas III. sadaļā.</w:t>
            </w:r>
          </w:p>
        </w:tc>
      </w:tr>
      <w:tr w:rsidR="004738C3" w:rsidRPr="007C0F2C" w:rsidTr="00D7376C">
        <w:trPr>
          <w:trHeight w:val="523"/>
        </w:trPr>
        <w:tc>
          <w:tcPr>
            <w:tcW w:w="572" w:type="dxa"/>
          </w:tcPr>
          <w:p w:rsidR="004738C3" w:rsidRPr="00C80E8F" w:rsidRDefault="004738C3" w:rsidP="004738C3">
            <w:r w:rsidRPr="00C80E8F">
              <w:t>2.</w:t>
            </w:r>
          </w:p>
        </w:tc>
        <w:tc>
          <w:tcPr>
            <w:tcW w:w="2410" w:type="dxa"/>
          </w:tcPr>
          <w:p w:rsidR="004738C3" w:rsidRPr="00C80E8F" w:rsidRDefault="004738C3" w:rsidP="004738C3">
            <w:r w:rsidRPr="00C80E8F">
              <w:t>Citas sabiedrības grupas (bez mērķgrupas), kuras tiesiskais regulējums arī ietekmē vai varētu ietekmēt</w:t>
            </w:r>
          </w:p>
        </w:tc>
        <w:tc>
          <w:tcPr>
            <w:tcW w:w="6776" w:type="dxa"/>
          </w:tcPr>
          <w:p w:rsidR="004738C3" w:rsidRDefault="004738C3" w:rsidP="004738C3">
            <w:r w:rsidRPr="00F03D91">
              <w:t>Projekts šo jomu neskar.</w:t>
            </w:r>
          </w:p>
        </w:tc>
      </w:tr>
      <w:tr w:rsidR="004738C3" w:rsidRPr="007C0F2C" w:rsidTr="00D7376C">
        <w:trPr>
          <w:trHeight w:val="517"/>
        </w:trPr>
        <w:tc>
          <w:tcPr>
            <w:tcW w:w="572" w:type="dxa"/>
          </w:tcPr>
          <w:p w:rsidR="004738C3" w:rsidRPr="00C80E8F" w:rsidRDefault="004738C3" w:rsidP="004738C3">
            <w:r w:rsidRPr="00C80E8F">
              <w:t>3.</w:t>
            </w:r>
          </w:p>
        </w:tc>
        <w:tc>
          <w:tcPr>
            <w:tcW w:w="2410" w:type="dxa"/>
          </w:tcPr>
          <w:p w:rsidR="004738C3" w:rsidRPr="00C80E8F" w:rsidRDefault="004738C3" w:rsidP="004738C3">
            <w:r w:rsidRPr="00C80E8F">
              <w:t>Tiesiskā regulējuma finansiālā ietekme</w:t>
            </w:r>
          </w:p>
        </w:tc>
        <w:tc>
          <w:tcPr>
            <w:tcW w:w="6776" w:type="dxa"/>
          </w:tcPr>
          <w:p w:rsidR="004738C3" w:rsidRDefault="004738C3" w:rsidP="004738C3">
            <w:r w:rsidRPr="00F03D91">
              <w:t>Projekts šo jomu neskar.</w:t>
            </w:r>
          </w:p>
        </w:tc>
      </w:tr>
      <w:tr w:rsidR="004738C3" w:rsidRPr="007C0F2C" w:rsidTr="00D7376C">
        <w:trPr>
          <w:trHeight w:val="517"/>
        </w:trPr>
        <w:tc>
          <w:tcPr>
            <w:tcW w:w="572" w:type="dxa"/>
          </w:tcPr>
          <w:p w:rsidR="004738C3" w:rsidRPr="00C80E8F" w:rsidRDefault="004738C3" w:rsidP="004738C3">
            <w:r w:rsidRPr="00C80E8F">
              <w:t>4.</w:t>
            </w:r>
          </w:p>
        </w:tc>
        <w:tc>
          <w:tcPr>
            <w:tcW w:w="2410" w:type="dxa"/>
          </w:tcPr>
          <w:p w:rsidR="004738C3" w:rsidRPr="00C80E8F" w:rsidRDefault="004738C3" w:rsidP="004738C3">
            <w:r w:rsidRPr="00C80E8F">
              <w:t>Tiesiskā regulējuma nefinansiālā ietekme</w:t>
            </w:r>
          </w:p>
        </w:tc>
        <w:tc>
          <w:tcPr>
            <w:tcW w:w="6776" w:type="dxa"/>
          </w:tcPr>
          <w:p w:rsidR="004738C3" w:rsidRDefault="004738C3" w:rsidP="004738C3">
            <w:r w:rsidRPr="00F03D91">
              <w:t>Projekts šo jomu neskar.</w:t>
            </w:r>
          </w:p>
        </w:tc>
      </w:tr>
      <w:tr w:rsidR="004738C3" w:rsidRPr="007C0F2C" w:rsidTr="00D7376C">
        <w:trPr>
          <w:trHeight w:val="531"/>
        </w:trPr>
        <w:tc>
          <w:tcPr>
            <w:tcW w:w="572" w:type="dxa"/>
          </w:tcPr>
          <w:p w:rsidR="004738C3" w:rsidRPr="00C80E8F" w:rsidRDefault="004738C3" w:rsidP="004738C3">
            <w:r w:rsidRPr="00C80E8F">
              <w:t>5.</w:t>
            </w:r>
          </w:p>
        </w:tc>
        <w:tc>
          <w:tcPr>
            <w:tcW w:w="2410" w:type="dxa"/>
          </w:tcPr>
          <w:p w:rsidR="004738C3" w:rsidRPr="00C80E8F" w:rsidRDefault="004738C3" w:rsidP="004738C3">
            <w:r w:rsidRPr="00C80E8F">
              <w:t>Administratīvās procedūras raksturojums</w:t>
            </w:r>
          </w:p>
        </w:tc>
        <w:tc>
          <w:tcPr>
            <w:tcW w:w="6776" w:type="dxa"/>
          </w:tcPr>
          <w:p w:rsidR="004738C3" w:rsidRDefault="004738C3" w:rsidP="004738C3">
            <w:r w:rsidRPr="00F03D91">
              <w:t>Projekts šo jomu neskar.</w:t>
            </w:r>
          </w:p>
        </w:tc>
      </w:tr>
      <w:tr w:rsidR="004738C3" w:rsidRPr="007C0F2C" w:rsidTr="00D7376C">
        <w:trPr>
          <w:trHeight w:val="357"/>
        </w:trPr>
        <w:tc>
          <w:tcPr>
            <w:tcW w:w="572" w:type="dxa"/>
          </w:tcPr>
          <w:p w:rsidR="004738C3" w:rsidRPr="00C80E8F" w:rsidRDefault="004738C3" w:rsidP="004738C3">
            <w:r w:rsidRPr="00C80E8F">
              <w:t>6.</w:t>
            </w:r>
          </w:p>
        </w:tc>
        <w:tc>
          <w:tcPr>
            <w:tcW w:w="2410" w:type="dxa"/>
          </w:tcPr>
          <w:p w:rsidR="004738C3" w:rsidRPr="00C80E8F" w:rsidRDefault="004738C3" w:rsidP="004738C3">
            <w:r w:rsidRPr="00C80E8F">
              <w:t>Administratīvo izmaksu monetārs novērtējums</w:t>
            </w:r>
          </w:p>
        </w:tc>
        <w:tc>
          <w:tcPr>
            <w:tcW w:w="6776" w:type="dxa"/>
          </w:tcPr>
          <w:p w:rsidR="004738C3" w:rsidRDefault="004738C3" w:rsidP="004738C3">
            <w:r w:rsidRPr="00F03D91">
              <w:t>Projekts šo jomu neskar.</w:t>
            </w:r>
          </w:p>
        </w:tc>
      </w:tr>
      <w:tr w:rsidR="004738C3" w:rsidRPr="007C0F2C" w:rsidTr="00D7376C">
        <w:tc>
          <w:tcPr>
            <w:tcW w:w="572" w:type="dxa"/>
          </w:tcPr>
          <w:p w:rsidR="004738C3" w:rsidRPr="00C80E8F" w:rsidRDefault="004738C3" w:rsidP="004738C3">
            <w:r w:rsidRPr="00C80E8F">
              <w:t>7.</w:t>
            </w:r>
          </w:p>
        </w:tc>
        <w:tc>
          <w:tcPr>
            <w:tcW w:w="2410" w:type="dxa"/>
          </w:tcPr>
          <w:p w:rsidR="004738C3" w:rsidRPr="00C80E8F" w:rsidRDefault="004738C3" w:rsidP="004738C3">
            <w:r w:rsidRPr="00C80E8F">
              <w:t>Cita informācija</w:t>
            </w:r>
          </w:p>
        </w:tc>
        <w:tc>
          <w:tcPr>
            <w:tcW w:w="6776" w:type="dxa"/>
          </w:tcPr>
          <w:p w:rsidR="004738C3" w:rsidRPr="00C80E8F" w:rsidRDefault="004738C3" w:rsidP="004738C3">
            <w:pPr>
              <w:pStyle w:val="naiskr"/>
              <w:spacing w:before="0" w:after="0"/>
            </w:pPr>
            <w:r w:rsidRPr="00C80E8F">
              <w:t>Nav</w:t>
            </w:r>
          </w:p>
        </w:tc>
      </w:tr>
    </w:tbl>
    <w:p w:rsidR="004738C3" w:rsidRDefault="004738C3" w:rsidP="004738C3">
      <w:pPr>
        <w:pStyle w:val="naisf"/>
        <w:spacing w:before="0" w:after="0"/>
        <w:ind w:firstLine="0"/>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1292"/>
        <w:gridCol w:w="1325"/>
        <w:gridCol w:w="1325"/>
        <w:gridCol w:w="1326"/>
        <w:gridCol w:w="1369"/>
      </w:tblGrid>
      <w:tr w:rsidR="00124F12" w:rsidRPr="00AC7D13" w:rsidTr="004738C3">
        <w:trPr>
          <w:trHeight w:val="652"/>
          <w:jc w:val="center"/>
        </w:trPr>
        <w:tc>
          <w:tcPr>
            <w:tcW w:w="9724" w:type="dxa"/>
            <w:gridSpan w:val="6"/>
          </w:tcPr>
          <w:p w:rsidR="00124F12" w:rsidRPr="00AC7D13" w:rsidRDefault="00124F12" w:rsidP="006C4607">
            <w:pPr>
              <w:pStyle w:val="naisnod"/>
              <w:spacing w:before="0" w:after="0"/>
              <w:rPr>
                <w:i/>
              </w:rPr>
            </w:pPr>
            <w:r w:rsidRPr="00AC7D13">
              <w:br w:type="page"/>
              <w:t>III</w:t>
            </w:r>
            <w:r w:rsidR="000941C5" w:rsidRPr="00AC7D13">
              <w:t>.</w:t>
            </w:r>
            <w:r w:rsidRPr="00AC7D13">
              <w:t xml:space="preserve"> Tiesību akta projekta ietekme uz valsts budžetu un pašvaldību budžetiem</w:t>
            </w:r>
          </w:p>
        </w:tc>
      </w:tr>
      <w:tr w:rsidR="00124F12" w:rsidRPr="00AC7D13" w:rsidTr="004738C3">
        <w:trPr>
          <w:jc w:val="center"/>
        </w:trPr>
        <w:tc>
          <w:tcPr>
            <w:tcW w:w="3087" w:type="dxa"/>
            <w:vMerge w:val="restart"/>
            <w:vAlign w:val="center"/>
          </w:tcPr>
          <w:p w:rsidR="00124F12" w:rsidRPr="00AC7D13" w:rsidRDefault="00124F12" w:rsidP="006C4607">
            <w:pPr>
              <w:pStyle w:val="naisf"/>
              <w:spacing w:before="0" w:after="0"/>
              <w:ind w:firstLine="0"/>
              <w:jc w:val="center"/>
              <w:rPr>
                <w:b/>
              </w:rPr>
            </w:pPr>
            <w:r w:rsidRPr="00AC7D13">
              <w:rPr>
                <w:b/>
              </w:rPr>
              <w:t>Rādītāji</w:t>
            </w:r>
          </w:p>
        </w:tc>
        <w:tc>
          <w:tcPr>
            <w:tcW w:w="2617" w:type="dxa"/>
            <w:gridSpan w:val="2"/>
            <w:vMerge w:val="restart"/>
            <w:vAlign w:val="center"/>
          </w:tcPr>
          <w:p w:rsidR="00124F12" w:rsidRPr="00AC7D13" w:rsidRDefault="00124F12" w:rsidP="006C4607">
            <w:pPr>
              <w:pStyle w:val="naisf"/>
              <w:spacing w:before="0" w:after="0"/>
              <w:ind w:firstLine="0"/>
              <w:jc w:val="center"/>
              <w:rPr>
                <w:b/>
              </w:rPr>
            </w:pPr>
            <w:r w:rsidRPr="00AC7D13">
              <w:rPr>
                <w:b/>
              </w:rPr>
              <w:t>n-tais gads</w:t>
            </w:r>
          </w:p>
        </w:tc>
        <w:tc>
          <w:tcPr>
            <w:tcW w:w="4020" w:type="dxa"/>
            <w:gridSpan w:val="3"/>
            <w:vAlign w:val="center"/>
          </w:tcPr>
          <w:p w:rsidR="00124F12" w:rsidRPr="00AC7D13" w:rsidRDefault="00124F12" w:rsidP="006C4607">
            <w:pPr>
              <w:pStyle w:val="naisf"/>
              <w:spacing w:before="0" w:after="0"/>
              <w:ind w:firstLine="0"/>
              <w:jc w:val="center"/>
              <w:rPr>
                <w:b/>
                <w:i/>
              </w:rPr>
            </w:pPr>
            <w:r w:rsidRPr="00AC7D13">
              <w:t>Turpmākie trīs gadi</w:t>
            </w:r>
            <w:r w:rsidR="009E12D7" w:rsidRPr="00AC7D13">
              <w:t xml:space="preserve"> (tūkst</w:t>
            </w:r>
            <w:smartTag w:uri="schemas-tilde-lv/tildestengine" w:element="currency2">
              <w:smartTagPr>
                <w:attr w:name="currency_id" w:val="48"/>
                <w:attr w:name="currency_key" w:val="LVL"/>
                <w:attr w:name="currency_value" w:val="."/>
                <w:attr w:name="currency_text" w:val="latu"/>
              </w:smartTagPr>
              <w:r w:rsidR="009E12D7" w:rsidRPr="00AC7D13">
                <w:t>. latu</w:t>
              </w:r>
            </w:smartTag>
            <w:r w:rsidR="009E12D7" w:rsidRPr="00AC7D13">
              <w:t>)</w:t>
            </w:r>
          </w:p>
        </w:tc>
      </w:tr>
      <w:tr w:rsidR="00124F12" w:rsidRPr="00AC7D13" w:rsidTr="004738C3">
        <w:trPr>
          <w:jc w:val="center"/>
        </w:trPr>
        <w:tc>
          <w:tcPr>
            <w:tcW w:w="3087" w:type="dxa"/>
            <w:vMerge/>
            <w:vAlign w:val="center"/>
          </w:tcPr>
          <w:p w:rsidR="00124F12" w:rsidRPr="00AC7D13" w:rsidRDefault="00124F12" w:rsidP="006C4607">
            <w:pPr>
              <w:pStyle w:val="naisf"/>
              <w:spacing w:before="0" w:after="0"/>
              <w:ind w:firstLine="0"/>
              <w:jc w:val="center"/>
              <w:rPr>
                <w:b/>
                <w:i/>
              </w:rPr>
            </w:pPr>
          </w:p>
        </w:tc>
        <w:tc>
          <w:tcPr>
            <w:tcW w:w="2617" w:type="dxa"/>
            <w:gridSpan w:val="2"/>
            <w:vMerge/>
            <w:vAlign w:val="center"/>
          </w:tcPr>
          <w:p w:rsidR="00124F12" w:rsidRPr="00AC7D13" w:rsidRDefault="00124F12" w:rsidP="006C4607">
            <w:pPr>
              <w:pStyle w:val="naisf"/>
              <w:spacing w:before="0" w:after="0"/>
              <w:ind w:firstLine="0"/>
              <w:jc w:val="center"/>
              <w:rPr>
                <w:b/>
                <w:i/>
              </w:rPr>
            </w:pPr>
          </w:p>
        </w:tc>
        <w:tc>
          <w:tcPr>
            <w:tcW w:w="1325" w:type="dxa"/>
            <w:vAlign w:val="center"/>
          </w:tcPr>
          <w:p w:rsidR="00124F12" w:rsidRPr="00AC7D13" w:rsidRDefault="00124F12" w:rsidP="006C4607">
            <w:pPr>
              <w:pStyle w:val="naisf"/>
              <w:spacing w:before="0" w:after="0"/>
              <w:ind w:firstLine="0"/>
              <w:jc w:val="center"/>
              <w:rPr>
                <w:b/>
                <w:i/>
              </w:rPr>
            </w:pPr>
            <w:r w:rsidRPr="00AC7D13">
              <w:rPr>
                <w:b/>
                <w:bCs/>
              </w:rPr>
              <w:t>n+1</w:t>
            </w:r>
          </w:p>
        </w:tc>
        <w:tc>
          <w:tcPr>
            <w:tcW w:w="1326" w:type="dxa"/>
            <w:vAlign w:val="center"/>
          </w:tcPr>
          <w:p w:rsidR="00124F12" w:rsidRPr="00AC7D13" w:rsidRDefault="00124F12" w:rsidP="006C4607">
            <w:pPr>
              <w:pStyle w:val="naisf"/>
              <w:spacing w:before="0" w:after="0"/>
              <w:ind w:firstLine="0"/>
              <w:jc w:val="center"/>
              <w:rPr>
                <w:b/>
                <w:i/>
              </w:rPr>
            </w:pPr>
            <w:r w:rsidRPr="00AC7D13">
              <w:rPr>
                <w:b/>
                <w:bCs/>
              </w:rPr>
              <w:t>n+2</w:t>
            </w:r>
          </w:p>
        </w:tc>
        <w:tc>
          <w:tcPr>
            <w:tcW w:w="1369" w:type="dxa"/>
            <w:vAlign w:val="center"/>
          </w:tcPr>
          <w:p w:rsidR="00124F12" w:rsidRPr="00AC7D13" w:rsidRDefault="00124F12" w:rsidP="006C4607">
            <w:pPr>
              <w:pStyle w:val="naisf"/>
              <w:spacing w:before="0" w:after="0"/>
              <w:ind w:firstLine="0"/>
              <w:jc w:val="center"/>
              <w:rPr>
                <w:b/>
                <w:i/>
              </w:rPr>
            </w:pPr>
            <w:r w:rsidRPr="00AC7D13">
              <w:rPr>
                <w:b/>
                <w:bCs/>
              </w:rPr>
              <w:t>n+3</w:t>
            </w:r>
          </w:p>
        </w:tc>
      </w:tr>
      <w:tr w:rsidR="00124F12" w:rsidRPr="00AC7D13" w:rsidTr="004738C3">
        <w:trPr>
          <w:jc w:val="center"/>
        </w:trPr>
        <w:tc>
          <w:tcPr>
            <w:tcW w:w="3087" w:type="dxa"/>
            <w:vMerge/>
            <w:vAlign w:val="center"/>
          </w:tcPr>
          <w:p w:rsidR="00124F12" w:rsidRPr="00AC7D13" w:rsidRDefault="00124F12" w:rsidP="006C4607">
            <w:pPr>
              <w:pStyle w:val="naisf"/>
              <w:spacing w:before="0" w:after="0"/>
              <w:ind w:firstLine="0"/>
              <w:jc w:val="center"/>
              <w:rPr>
                <w:b/>
                <w:i/>
              </w:rPr>
            </w:pPr>
          </w:p>
        </w:tc>
        <w:tc>
          <w:tcPr>
            <w:tcW w:w="1292" w:type="dxa"/>
            <w:vAlign w:val="center"/>
          </w:tcPr>
          <w:p w:rsidR="00124F12" w:rsidRPr="00AC7D13" w:rsidRDefault="00124F12" w:rsidP="006C4607">
            <w:pPr>
              <w:pStyle w:val="naisf"/>
              <w:spacing w:before="0" w:after="0"/>
              <w:ind w:firstLine="0"/>
              <w:jc w:val="center"/>
              <w:rPr>
                <w:b/>
                <w:i/>
              </w:rPr>
            </w:pPr>
            <w:r w:rsidRPr="00AC7D13">
              <w:t xml:space="preserve">Saskaņā ar valsts budžetu kārtējam </w:t>
            </w:r>
            <w:r w:rsidRPr="00AC7D13">
              <w:lastRenderedPageBreak/>
              <w:t>gadam</w:t>
            </w:r>
          </w:p>
        </w:tc>
        <w:tc>
          <w:tcPr>
            <w:tcW w:w="1325" w:type="dxa"/>
            <w:vAlign w:val="center"/>
          </w:tcPr>
          <w:p w:rsidR="00124F12" w:rsidRPr="00AC7D13" w:rsidRDefault="00124F12" w:rsidP="006C4607">
            <w:pPr>
              <w:pStyle w:val="naisf"/>
              <w:spacing w:before="0" w:after="0"/>
              <w:ind w:firstLine="0"/>
              <w:jc w:val="center"/>
              <w:rPr>
                <w:b/>
                <w:i/>
              </w:rPr>
            </w:pPr>
            <w:r w:rsidRPr="00AC7D13">
              <w:lastRenderedPageBreak/>
              <w:t>Izmaiņas kārtējā gadā</w:t>
            </w:r>
            <w:r w:rsidR="009E12D7" w:rsidRPr="00AC7D13">
              <w:t>,</w:t>
            </w:r>
            <w:r w:rsidRPr="00AC7D13">
              <w:t xml:space="preserve"> salīdzinot </w:t>
            </w:r>
            <w:r w:rsidRPr="00AC7D13">
              <w:lastRenderedPageBreak/>
              <w:t>ar budžetu kārtējam gadam</w:t>
            </w:r>
          </w:p>
        </w:tc>
        <w:tc>
          <w:tcPr>
            <w:tcW w:w="1325" w:type="dxa"/>
            <w:vAlign w:val="center"/>
          </w:tcPr>
          <w:p w:rsidR="00124F12" w:rsidRPr="00AC7D13" w:rsidRDefault="00124F12" w:rsidP="006C4607">
            <w:pPr>
              <w:pStyle w:val="naisf"/>
              <w:spacing w:before="0" w:after="0"/>
              <w:ind w:firstLine="0"/>
              <w:jc w:val="center"/>
              <w:rPr>
                <w:b/>
                <w:i/>
              </w:rPr>
            </w:pPr>
            <w:r w:rsidRPr="00AC7D13">
              <w:lastRenderedPageBreak/>
              <w:t>Izmaiņas</w:t>
            </w:r>
            <w:r w:rsidR="00182C18" w:rsidRPr="00AC7D13">
              <w:t>,</w:t>
            </w:r>
            <w:r w:rsidRPr="00AC7D13">
              <w:t xml:space="preserve"> salīdzinot ar kārtējo (n) gadu</w:t>
            </w:r>
          </w:p>
        </w:tc>
        <w:tc>
          <w:tcPr>
            <w:tcW w:w="1326" w:type="dxa"/>
            <w:vAlign w:val="center"/>
          </w:tcPr>
          <w:p w:rsidR="00124F12" w:rsidRPr="00AC7D13" w:rsidRDefault="00124F12" w:rsidP="006C4607">
            <w:pPr>
              <w:pStyle w:val="naisf"/>
              <w:spacing w:before="0" w:after="0"/>
              <w:ind w:firstLine="0"/>
              <w:jc w:val="center"/>
              <w:rPr>
                <w:b/>
                <w:i/>
              </w:rPr>
            </w:pPr>
            <w:r w:rsidRPr="00AC7D13">
              <w:t>Izmaiņas</w:t>
            </w:r>
            <w:r w:rsidR="00182C18" w:rsidRPr="00AC7D13">
              <w:t>,</w:t>
            </w:r>
            <w:r w:rsidRPr="00AC7D13">
              <w:t xml:space="preserve"> salīdzinot ar kārtējo (n) gadu</w:t>
            </w:r>
          </w:p>
        </w:tc>
        <w:tc>
          <w:tcPr>
            <w:tcW w:w="1369" w:type="dxa"/>
            <w:vAlign w:val="center"/>
          </w:tcPr>
          <w:p w:rsidR="00124F12" w:rsidRPr="00AC7D13" w:rsidRDefault="00124F12" w:rsidP="006C4607">
            <w:pPr>
              <w:pStyle w:val="naisf"/>
              <w:spacing w:before="0" w:after="0"/>
              <w:ind w:firstLine="0"/>
              <w:jc w:val="center"/>
              <w:rPr>
                <w:b/>
                <w:i/>
              </w:rPr>
            </w:pPr>
            <w:r w:rsidRPr="00AC7D13">
              <w:t>Izmaiņas</w:t>
            </w:r>
            <w:r w:rsidR="00182C18" w:rsidRPr="00AC7D13">
              <w:t>,</w:t>
            </w:r>
            <w:r w:rsidRPr="00AC7D13">
              <w:t xml:space="preserve"> salīdzinot ar kārtējo (n) gadu</w:t>
            </w:r>
          </w:p>
        </w:tc>
      </w:tr>
      <w:tr w:rsidR="00124F12" w:rsidRPr="00AC7D13" w:rsidTr="004738C3">
        <w:trPr>
          <w:jc w:val="center"/>
        </w:trPr>
        <w:tc>
          <w:tcPr>
            <w:tcW w:w="3087" w:type="dxa"/>
            <w:vAlign w:val="center"/>
          </w:tcPr>
          <w:p w:rsidR="00124F12" w:rsidRPr="00AC7D13" w:rsidRDefault="00124F12" w:rsidP="006C4607">
            <w:pPr>
              <w:pStyle w:val="naisf"/>
              <w:spacing w:before="0" w:after="0"/>
              <w:ind w:firstLine="0"/>
              <w:jc w:val="center"/>
              <w:rPr>
                <w:bCs/>
              </w:rPr>
            </w:pPr>
            <w:r w:rsidRPr="00AC7D13">
              <w:rPr>
                <w:bCs/>
              </w:rPr>
              <w:lastRenderedPageBreak/>
              <w:t>1</w:t>
            </w:r>
          </w:p>
        </w:tc>
        <w:tc>
          <w:tcPr>
            <w:tcW w:w="1292" w:type="dxa"/>
            <w:vAlign w:val="center"/>
          </w:tcPr>
          <w:p w:rsidR="00124F12" w:rsidRPr="00AC7D13" w:rsidRDefault="00124F12" w:rsidP="006C4607">
            <w:pPr>
              <w:pStyle w:val="naisf"/>
              <w:spacing w:before="0" w:after="0"/>
              <w:ind w:firstLine="0"/>
              <w:jc w:val="center"/>
              <w:rPr>
                <w:bCs/>
              </w:rPr>
            </w:pPr>
            <w:r w:rsidRPr="00AC7D13">
              <w:rPr>
                <w:bCs/>
              </w:rPr>
              <w:t>2</w:t>
            </w:r>
          </w:p>
        </w:tc>
        <w:tc>
          <w:tcPr>
            <w:tcW w:w="1325" w:type="dxa"/>
            <w:vAlign w:val="center"/>
          </w:tcPr>
          <w:p w:rsidR="00124F12" w:rsidRPr="00AC7D13" w:rsidRDefault="00124F12" w:rsidP="006C4607">
            <w:pPr>
              <w:pStyle w:val="naisf"/>
              <w:spacing w:before="0" w:after="0"/>
              <w:ind w:firstLine="0"/>
              <w:jc w:val="center"/>
              <w:rPr>
                <w:bCs/>
              </w:rPr>
            </w:pPr>
            <w:r w:rsidRPr="00AC7D13">
              <w:rPr>
                <w:bCs/>
              </w:rPr>
              <w:t>3</w:t>
            </w:r>
          </w:p>
        </w:tc>
        <w:tc>
          <w:tcPr>
            <w:tcW w:w="1325" w:type="dxa"/>
            <w:vAlign w:val="center"/>
          </w:tcPr>
          <w:p w:rsidR="00124F12" w:rsidRPr="00AC7D13" w:rsidRDefault="00124F12" w:rsidP="006C4607">
            <w:pPr>
              <w:pStyle w:val="naisf"/>
              <w:spacing w:before="0" w:after="0"/>
              <w:ind w:firstLine="0"/>
              <w:jc w:val="center"/>
              <w:rPr>
                <w:bCs/>
              </w:rPr>
            </w:pPr>
            <w:r w:rsidRPr="00AC7D13">
              <w:rPr>
                <w:bCs/>
              </w:rPr>
              <w:t>4</w:t>
            </w:r>
          </w:p>
        </w:tc>
        <w:tc>
          <w:tcPr>
            <w:tcW w:w="1326" w:type="dxa"/>
            <w:vAlign w:val="center"/>
          </w:tcPr>
          <w:p w:rsidR="00124F12" w:rsidRPr="00AC7D13" w:rsidRDefault="00124F12" w:rsidP="006C4607">
            <w:pPr>
              <w:pStyle w:val="naisf"/>
              <w:spacing w:before="0" w:after="0"/>
              <w:ind w:firstLine="0"/>
              <w:jc w:val="center"/>
              <w:rPr>
                <w:bCs/>
              </w:rPr>
            </w:pPr>
            <w:r w:rsidRPr="00AC7D13">
              <w:rPr>
                <w:bCs/>
              </w:rPr>
              <w:t>5</w:t>
            </w:r>
          </w:p>
        </w:tc>
        <w:tc>
          <w:tcPr>
            <w:tcW w:w="1369" w:type="dxa"/>
            <w:vAlign w:val="center"/>
          </w:tcPr>
          <w:p w:rsidR="00124F12" w:rsidRPr="00AC7D13" w:rsidRDefault="00124F12" w:rsidP="006C4607">
            <w:pPr>
              <w:pStyle w:val="naisf"/>
              <w:spacing w:before="0" w:after="0"/>
              <w:ind w:firstLine="0"/>
              <w:jc w:val="center"/>
              <w:rPr>
                <w:bCs/>
              </w:rPr>
            </w:pPr>
            <w:r w:rsidRPr="00AC7D13">
              <w:rPr>
                <w:bCs/>
              </w:rPr>
              <w:t>6</w:t>
            </w:r>
          </w:p>
        </w:tc>
      </w:tr>
      <w:tr w:rsidR="00124F12" w:rsidRPr="00AC7D13" w:rsidTr="004738C3">
        <w:trPr>
          <w:jc w:val="center"/>
        </w:trPr>
        <w:tc>
          <w:tcPr>
            <w:tcW w:w="3087" w:type="dxa"/>
          </w:tcPr>
          <w:p w:rsidR="00124F12" w:rsidRPr="00AC7D13" w:rsidRDefault="00124F12" w:rsidP="006C4607">
            <w:pPr>
              <w:pStyle w:val="naisf"/>
              <w:spacing w:before="0" w:after="0"/>
              <w:ind w:firstLine="0"/>
              <w:rPr>
                <w:i/>
              </w:rPr>
            </w:pPr>
            <w:r w:rsidRPr="00AC7D13">
              <w:t>1. Budžeta ieņēmumi:</w:t>
            </w:r>
          </w:p>
        </w:tc>
        <w:tc>
          <w:tcPr>
            <w:tcW w:w="1292"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124F12" w:rsidP="006C4607">
            <w:pPr>
              <w:pStyle w:val="naisf"/>
              <w:spacing w:before="0" w:after="0"/>
              <w:ind w:firstLine="0"/>
              <w:rPr>
                <w:i/>
              </w:rPr>
            </w:pPr>
            <w:r w:rsidRPr="00AC7D13">
              <w:t>1.1. valsts pamatbudžets, tai skaitā ieņēmumi no maksas pakalpo</w:t>
            </w:r>
            <w:r w:rsidR="005060A1" w:rsidRPr="00AC7D13">
              <w:t>-</w:t>
            </w:r>
            <w:proofErr w:type="spellStart"/>
            <w:r w:rsidRPr="00AC7D13">
              <w:t>jumiem</w:t>
            </w:r>
            <w:proofErr w:type="spellEnd"/>
            <w:r w:rsidRPr="00AC7D13">
              <w:t xml:space="preserve"> un citi pašu ieņēmumi</w:t>
            </w:r>
          </w:p>
        </w:tc>
        <w:tc>
          <w:tcPr>
            <w:tcW w:w="1292"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124F12" w:rsidP="006C4607">
            <w:pPr>
              <w:pStyle w:val="naisf"/>
              <w:spacing w:before="0" w:after="0"/>
              <w:ind w:firstLine="0"/>
              <w:rPr>
                <w:i/>
              </w:rPr>
            </w:pPr>
            <w:r w:rsidRPr="00AC7D13">
              <w:t>1.2. valsts speciālais budžets</w:t>
            </w:r>
          </w:p>
        </w:tc>
        <w:tc>
          <w:tcPr>
            <w:tcW w:w="1292"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124F12" w:rsidP="006C4607">
            <w:pPr>
              <w:pStyle w:val="naisf"/>
              <w:spacing w:before="0" w:after="0"/>
              <w:ind w:firstLine="0"/>
              <w:rPr>
                <w:i/>
              </w:rPr>
            </w:pPr>
            <w:r w:rsidRPr="00AC7D13">
              <w:t>1.3. pašvaldību budžets</w:t>
            </w:r>
          </w:p>
        </w:tc>
        <w:tc>
          <w:tcPr>
            <w:tcW w:w="1292"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124F12" w:rsidP="006C4607">
            <w:pPr>
              <w:jc w:val="both"/>
            </w:pPr>
            <w:r w:rsidRPr="00AC7D13">
              <w:t>2. Budžeta izdevumi:</w:t>
            </w:r>
          </w:p>
        </w:tc>
        <w:tc>
          <w:tcPr>
            <w:tcW w:w="1292"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5060A1" w:rsidP="006C4607">
            <w:pPr>
              <w:jc w:val="both"/>
            </w:pPr>
            <w:r w:rsidRPr="00AC7D13">
              <w:t>2.1. valsts pamatbudžets</w:t>
            </w:r>
          </w:p>
        </w:tc>
        <w:tc>
          <w:tcPr>
            <w:tcW w:w="1292"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5060A1" w:rsidP="006C4607">
            <w:pPr>
              <w:jc w:val="both"/>
            </w:pPr>
            <w:r w:rsidRPr="00AC7D13">
              <w:t>2.2.</w:t>
            </w:r>
            <w:r w:rsidR="00D00059" w:rsidRPr="00AC7D13">
              <w:t xml:space="preserve"> </w:t>
            </w:r>
            <w:r w:rsidRPr="00AC7D13">
              <w:t>valsts speciālais budžets</w:t>
            </w:r>
          </w:p>
        </w:tc>
        <w:tc>
          <w:tcPr>
            <w:tcW w:w="1292"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124F12" w:rsidP="006C4607">
            <w:pPr>
              <w:jc w:val="both"/>
            </w:pPr>
            <w:r w:rsidRPr="00AC7D13">
              <w:t xml:space="preserve">2.3. pašvaldību budžets </w:t>
            </w:r>
          </w:p>
        </w:tc>
        <w:tc>
          <w:tcPr>
            <w:tcW w:w="1292"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124F12" w:rsidP="006C4607">
            <w:pPr>
              <w:jc w:val="both"/>
            </w:pPr>
            <w:r w:rsidRPr="00AC7D13">
              <w:t>3. Finansiālā ietekme:</w:t>
            </w:r>
          </w:p>
        </w:tc>
        <w:tc>
          <w:tcPr>
            <w:tcW w:w="1292" w:type="dxa"/>
            <w:shd w:val="clear" w:color="auto" w:fill="auto"/>
            <w:vAlign w:val="center"/>
          </w:tcPr>
          <w:p w:rsidR="00124F12" w:rsidRPr="00AC7D13" w:rsidRDefault="00124F12" w:rsidP="006C4607">
            <w:pPr>
              <w:pStyle w:val="naisf"/>
              <w:spacing w:before="0" w:after="0"/>
              <w:ind w:firstLine="0"/>
              <w:jc w:val="cente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124F12" w:rsidP="006C4607">
            <w:pPr>
              <w:jc w:val="both"/>
            </w:pPr>
            <w:r w:rsidRPr="00AC7D13">
              <w:t>3.1. valsts pamatbud</w:t>
            </w:r>
            <w:r w:rsidR="005060A1" w:rsidRPr="00AC7D13">
              <w:t>žets</w:t>
            </w:r>
          </w:p>
        </w:tc>
        <w:tc>
          <w:tcPr>
            <w:tcW w:w="1292" w:type="dxa"/>
            <w:shd w:val="clear" w:color="auto" w:fill="auto"/>
          </w:tcPr>
          <w:p w:rsidR="00124F12" w:rsidRPr="00AC7D13" w:rsidRDefault="00124F12" w:rsidP="006C4607">
            <w:pPr>
              <w:pStyle w:val="naisf"/>
              <w:spacing w:before="0" w:after="0"/>
              <w:ind w:firstLine="0"/>
              <w:rPr>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5060A1" w:rsidP="006C4607">
            <w:pPr>
              <w:jc w:val="both"/>
            </w:pPr>
            <w:r w:rsidRPr="00AC7D13">
              <w:t>3.2. speciālais budžets</w:t>
            </w:r>
          </w:p>
        </w:tc>
        <w:tc>
          <w:tcPr>
            <w:tcW w:w="1292" w:type="dxa"/>
            <w:shd w:val="clear" w:color="auto" w:fill="auto"/>
          </w:tcPr>
          <w:p w:rsidR="00124F12" w:rsidRPr="00AC7D13" w:rsidRDefault="00124F12" w:rsidP="006C4607">
            <w:pPr>
              <w:pStyle w:val="naisf"/>
              <w:spacing w:before="0" w:after="0"/>
              <w:ind w:firstLine="0"/>
              <w:rPr>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124F12" w:rsidP="006C4607">
            <w:pPr>
              <w:jc w:val="both"/>
            </w:pPr>
            <w:r w:rsidRPr="00AC7D13">
              <w:t xml:space="preserve">3.3. pašvaldību budžets </w:t>
            </w:r>
          </w:p>
        </w:tc>
        <w:tc>
          <w:tcPr>
            <w:tcW w:w="1292" w:type="dxa"/>
            <w:shd w:val="clear" w:color="auto" w:fill="auto"/>
          </w:tcPr>
          <w:p w:rsidR="00124F12" w:rsidRPr="00AC7D13" w:rsidRDefault="00124F12" w:rsidP="006C4607">
            <w:pPr>
              <w:pStyle w:val="naisf"/>
              <w:spacing w:before="0" w:after="0"/>
              <w:ind w:firstLine="0"/>
              <w:rPr>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8B5FDB" w:rsidRPr="00AC7D13" w:rsidTr="004738C3">
        <w:trPr>
          <w:jc w:val="center"/>
        </w:trPr>
        <w:tc>
          <w:tcPr>
            <w:tcW w:w="3087" w:type="dxa"/>
            <w:vMerge w:val="restart"/>
          </w:tcPr>
          <w:p w:rsidR="008B5FDB" w:rsidRPr="00AC7D13" w:rsidRDefault="008B5FDB" w:rsidP="006C4607">
            <w:pPr>
              <w:jc w:val="both"/>
            </w:pPr>
            <w:r w:rsidRPr="00AC7D13">
              <w:t>4. Finanšu līdzekļi papildu izde</w:t>
            </w:r>
            <w:r w:rsidR="009E12D7" w:rsidRPr="00AC7D13">
              <w:softHyphen/>
            </w:r>
            <w:r w:rsidRPr="00AC7D13">
              <w:t>vumu finansēšanai (kompensēj</w:t>
            </w:r>
            <w:r w:rsidR="009E12D7" w:rsidRPr="00AC7D13">
              <w:t>o</w:t>
            </w:r>
            <w:r w:rsidRPr="00AC7D13">
              <w:t xml:space="preserve">šu izdevumu samazinājumu norāda ar </w:t>
            </w:r>
            <w:r w:rsidR="003C449B" w:rsidRPr="00AC7D13">
              <w:t>"</w:t>
            </w:r>
            <w:r w:rsidRPr="00AC7D13">
              <w:t>+</w:t>
            </w:r>
            <w:r w:rsidR="003C449B" w:rsidRPr="00AC7D13">
              <w:t>"</w:t>
            </w:r>
            <w:r w:rsidRPr="00AC7D13">
              <w:t xml:space="preserve"> zīmi)</w:t>
            </w:r>
          </w:p>
        </w:tc>
        <w:tc>
          <w:tcPr>
            <w:tcW w:w="1292" w:type="dxa"/>
            <w:vMerge w:val="restart"/>
          </w:tcPr>
          <w:p w:rsidR="008B5FDB" w:rsidRPr="00AC7D13" w:rsidRDefault="008B5FDB" w:rsidP="006C4607">
            <w:pPr>
              <w:pStyle w:val="naisf"/>
              <w:spacing w:before="0" w:after="0"/>
              <w:ind w:firstLine="0"/>
              <w:jc w:val="center"/>
              <w:rPr>
                <w:i/>
              </w:rPr>
            </w:pPr>
            <w:r w:rsidRPr="00AC7D13">
              <w:t>X</w:t>
            </w:r>
          </w:p>
        </w:tc>
        <w:tc>
          <w:tcPr>
            <w:tcW w:w="1325" w:type="dxa"/>
          </w:tcPr>
          <w:p w:rsidR="008B5FDB" w:rsidRPr="00AC7D13" w:rsidRDefault="008B5FDB" w:rsidP="006C4607">
            <w:pPr>
              <w:pStyle w:val="naisf"/>
              <w:spacing w:before="0" w:after="0"/>
              <w:ind w:firstLine="0"/>
              <w:jc w:val="left"/>
              <w:rPr>
                <w:b/>
                <w:i/>
              </w:rPr>
            </w:pPr>
          </w:p>
        </w:tc>
        <w:tc>
          <w:tcPr>
            <w:tcW w:w="1325" w:type="dxa"/>
          </w:tcPr>
          <w:p w:rsidR="008B5FDB" w:rsidRPr="00AC7D13" w:rsidRDefault="008B5FDB" w:rsidP="006C4607">
            <w:pPr>
              <w:pStyle w:val="naisf"/>
              <w:spacing w:before="0" w:after="0"/>
              <w:ind w:firstLine="0"/>
              <w:jc w:val="left"/>
              <w:rPr>
                <w:b/>
                <w:i/>
              </w:rPr>
            </w:pPr>
          </w:p>
        </w:tc>
        <w:tc>
          <w:tcPr>
            <w:tcW w:w="1326" w:type="dxa"/>
          </w:tcPr>
          <w:p w:rsidR="008B5FDB" w:rsidRPr="00AC7D13" w:rsidRDefault="008B5FDB" w:rsidP="006C4607">
            <w:pPr>
              <w:pStyle w:val="naisf"/>
              <w:spacing w:before="0" w:after="0"/>
              <w:ind w:firstLine="0"/>
              <w:jc w:val="left"/>
              <w:rPr>
                <w:b/>
                <w:i/>
              </w:rPr>
            </w:pPr>
          </w:p>
        </w:tc>
        <w:tc>
          <w:tcPr>
            <w:tcW w:w="1369" w:type="dxa"/>
          </w:tcPr>
          <w:p w:rsidR="008B5FDB" w:rsidRPr="00AC7D13" w:rsidRDefault="008B5FDB" w:rsidP="006C4607">
            <w:pPr>
              <w:pStyle w:val="naisf"/>
              <w:spacing w:before="0" w:after="0"/>
              <w:ind w:firstLine="0"/>
              <w:jc w:val="left"/>
              <w:rPr>
                <w:b/>
                <w:i/>
              </w:rPr>
            </w:pPr>
          </w:p>
        </w:tc>
      </w:tr>
      <w:tr w:rsidR="008B5FDB" w:rsidRPr="00AC7D13" w:rsidTr="004738C3">
        <w:trPr>
          <w:jc w:val="center"/>
        </w:trPr>
        <w:tc>
          <w:tcPr>
            <w:tcW w:w="3087" w:type="dxa"/>
            <w:vMerge/>
          </w:tcPr>
          <w:p w:rsidR="008B5FDB" w:rsidRPr="00AC7D13" w:rsidRDefault="008B5FDB" w:rsidP="006C4607">
            <w:pPr>
              <w:jc w:val="both"/>
            </w:pPr>
          </w:p>
        </w:tc>
        <w:tc>
          <w:tcPr>
            <w:tcW w:w="1292" w:type="dxa"/>
            <w:vMerge/>
          </w:tcPr>
          <w:p w:rsidR="008B5FDB" w:rsidRPr="00AC7D13" w:rsidRDefault="008B5FDB" w:rsidP="006C4607">
            <w:pPr>
              <w:pStyle w:val="naisf"/>
              <w:spacing w:before="0" w:after="0"/>
              <w:ind w:firstLine="0"/>
              <w:jc w:val="center"/>
              <w:rPr>
                <w:i/>
              </w:rPr>
            </w:pPr>
          </w:p>
        </w:tc>
        <w:tc>
          <w:tcPr>
            <w:tcW w:w="1325" w:type="dxa"/>
          </w:tcPr>
          <w:p w:rsidR="008B5FDB" w:rsidRPr="00AC7D13" w:rsidRDefault="008B5FDB" w:rsidP="006C4607">
            <w:pPr>
              <w:pStyle w:val="naisf"/>
              <w:spacing w:before="0" w:after="0"/>
              <w:ind w:firstLine="0"/>
              <w:jc w:val="left"/>
              <w:rPr>
                <w:b/>
                <w:i/>
              </w:rPr>
            </w:pPr>
          </w:p>
        </w:tc>
        <w:tc>
          <w:tcPr>
            <w:tcW w:w="1325" w:type="dxa"/>
          </w:tcPr>
          <w:p w:rsidR="008B5FDB" w:rsidRPr="00AC7D13" w:rsidRDefault="008B5FDB" w:rsidP="006C4607">
            <w:pPr>
              <w:pStyle w:val="naisf"/>
              <w:spacing w:before="0" w:after="0"/>
              <w:ind w:firstLine="0"/>
              <w:jc w:val="left"/>
              <w:rPr>
                <w:b/>
                <w:i/>
              </w:rPr>
            </w:pPr>
          </w:p>
        </w:tc>
        <w:tc>
          <w:tcPr>
            <w:tcW w:w="1326" w:type="dxa"/>
          </w:tcPr>
          <w:p w:rsidR="008B5FDB" w:rsidRPr="00AC7D13" w:rsidRDefault="008B5FDB" w:rsidP="006C4607">
            <w:pPr>
              <w:pStyle w:val="naisf"/>
              <w:spacing w:before="0" w:after="0"/>
              <w:ind w:firstLine="0"/>
              <w:jc w:val="left"/>
              <w:rPr>
                <w:b/>
                <w:i/>
              </w:rPr>
            </w:pPr>
          </w:p>
        </w:tc>
        <w:tc>
          <w:tcPr>
            <w:tcW w:w="1369" w:type="dxa"/>
          </w:tcPr>
          <w:p w:rsidR="008B5FDB" w:rsidRPr="00AC7D13" w:rsidRDefault="008B5FDB" w:rsidP="006C4607">
            <w:pPr>
              <w:pStyle w:val="naisf"/>
              <w:spacing w:before="0" w:after="0"/>
              <w:ind w:firstLine="0"/>
              <w:jc w:val="left"/>
              <w:rPr>
                <w:b/>
                <w:i/>
              </w:rPr>
            </w:pPr>
          </w:p>
        </w:tc>
      </w:tr>
      <w:tr w:rsidR="008B5FDB" w:rsidRPr="00AC7D13" w:rsidTr="004738C3">
        <w:trPr>
          <w:jc w:val="center"/>
        </w:trPr>
        <w:tc>
          <w:tcPr>
            <w:tcW w:w="3087" w:type="dxa"/>
            <w:vMerge/>
          </w:tcPr>
          <w:p w:rsidR="008B5FDB" w:rsidRPr="00AC7D13" w:rsidRDefault="008B5FDB" w:rsidP="006C4607">
            <w:pPr>
              <w:jc w:val="both"/>
            </w:pPr>
          </w:p>
        </w:tc>
        <w:tc>
          <w:tcPr>
            <w:tcW w:w="1292" w:type="dxa"/>
            <w:vMerge/>
          </w:tcPr>
          <w:p w:rsidR="008B5FDB" w:rsidRPr="00AC7D13" w:rsidRDefault="008B5FDB" w:rsidP="006C4607">
            <w:pPr>
              <w:pStyle w:val="naisf"/>
              <w:spacing w:before="0" w:after="0"/>
              <w:ind w:firstLine="0"/>
              <w:jc w:val="center"/>
              <w:rPr>
                <w:i/>
              </w:rPr>
            </w:pPr>
          </w:p>
        </w:tc>
        <w:tc>
          <w:tcPr>
            <w:tcW w:w="1325" w:type="dxa"/>
          </w:tcPr>
          <w:p w:rsidR="008B5FDB" w:rsidRPr="00AC7D13" w:rsidRDefault="008B5FDB" w:rsidP="006C4607">
            <w:pPr>
              <w:pStyle w:val="naisf"/>
              <w:spacing w:before="0" w:after="0"/>
              <w:ind w:firstLine="0"/>
              <w:jc w:val="left"/>
              <w:rPr>
                <w:b/>
                <w:i/>
              </w:rPr>
            </w:pPr>
          </w:p>
        </w:tc>
        <w:tc>
          <w:tcPr>
            <w:tcW w:w="1325" w:type="dxa"/>
          </w:tcPr>
          <w:p w:rsidR="008B5FDB" w:rsidRPr="00AC7D13" w:rsidRDefault="008B5FDB" w:rsidP="006C4607">
            <w:pPr>
              <w:pStyle w:val="naisf"/>
              <w:spacing w:before="0" w:after="0"/>
              <w:ind w:firstLine="0"/>
              <w:jc w:val="left"/>
              <w:rPr>
                <w:b/>
                <w:i/>
              </w:rPr>
            </w:pPr>
          </w:p>
        </w:tc>
        <w:tc>
          <w:tcPr>
            <w:tcW w:w="1326" w:type="dxa"/>
          </w:tcPr>
          <w:p w:rsidR="008B5FDB" w:rsidRPr="00AC7D13" w:rsidRDefault="008B5FDB" w:rsidP="006C4607">
            <w:pPr>
              <w:pStyle w:val="naisf"/>
              <w:spacing w:before="0" w:after="0"/>
              <w:ind w:firstLine="0"/>
              <w:jc w:val="left"/>
              <w:rPr>
                <w:b/>
                <w:i/>
              </w:rPr>
            </w:pPr>
          </w:p>
        </w:tc>
        <w:tc>
          <w:tcPr>
            <w:tcW w:w="1369" w:type="dxa"/>
          </w:tcPr>
          <w:p w:rsidR="008B5FDB" w:rsidRPr="00AC7D13" w:rsidRDefault="008B5FDB" w:rsidP="006C4607">
            <w:pPr>
              <w:pStyle w:val="naisf"/>
              <w:spacing w:before="0" w:after="0"/>
              <w:ind w:firstLine="0"/>
              <w:jc w:val="left"/>
              <w:rPr>
                <w:b/>
                <w:i/>
              </w:rPr>
            </w:pPr>
          </w:p>
        </w:tc>
      </w:tr>
      <w:tr w:rsidR="00124F12" w:rsidRPr="00AC7D13" w:rsidTr="004738C3">
        <w:trPr>
          <w:jc w:val="center"/>
        </w:trPr>
        <w:tc>
          <w:tcPr>
            <w:tcW w:w="3087" w:type="dxa"/>
          </w:tcPr>
          <w:p w:rsidR="00124F12" w:rsidRPr="00AC7D13" w:rsidRDefault="00124F12" w:rsidP="006C4607">
            <w:pPr>
              <w:jc w:val="both"/>
            </w:pPr>
            <w:r w:rsidRPr="00AC7D13">
              <w:t>5. Precizēta finansiālā ietekme:</w:t>
            </w:r>
          </w:p>
        </w:tc>
        <w:tc>
          <w:tcPr>
            <w:tcW w:w="1292" w:type="dxa"/>
            <w:vMerge w:val="restart"/>
          </w:tcPr>
          <w:p w:rsidR="00124F12" w:rsidRPr="00AC7D13" w:rsidRDefault="00124F12" w:rsidP="006C4607">
            <w:pPr>
              <w:pStyle w:val="naisf"/>
              <w:spacing w:before="0" w:after="0"/>
              <w:ind w:firstLine="0"/>
              <w:jc w:val="center"/>
              <w:rPr>
                <w:i/>
              </w:rPr>
            </w:pPr>
            <w:r w:rsidRPr="00AC7D13">
              <w:t>X</w:t>
            </w: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124F12" w:rsidP="006C4607">
            <w:pPr>
              <w:jc w:val="both"/>
            </w:pPr>
            <w:r w:rsidRPr="00AC7D13">
              <w:t>5.1. valsts pa</w:t>
            </w:r>
            <w:r w:rsidR="005060A1" w:rsidRPr="00AC7D13">
              <w:t>matbudžets</w:t>
            </w:r>
          </w:p>
        </w:tc>
        <w:tc>
          <w:tcPr>
            <w:tcW w:w="1292" w:type="dxa"/>
            <w:vMerge/>
            <w:vAlign w:val="center"/>
          </w:tcPr>
          <w:p w:rsidR="00124F12" w:rsidRPr="00AC7D13" w:rsidRDefault="00124F12" w:rsidP="006C4607">
            <w:pPr>
              <w:pStyle w:val="naisf"/>
              <w:spacing w:before="0" w:after="0"/>
              <w:ind w:firstLine="0"/>
              <w:jc w:val="center"/>
              <w:rPr>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5060A1" w:rsidP="006C4607">
            <w:pPr>
              <w:jc w:val="both"/>
            </w:pPr>
            <w:r w:rsidRPr="00AC7D13">
              <w:t>5.2. speciālais budžets</w:t>
            </w:r>
          </w:p>
        </w:tc>
        <w:tc>
          <w:tcPr>
            <w:tcW w:w="1292" w:type="dxa"/>
            <w:vMerge/>
            <w:vAlign w:val="center"/>
          </w:tcPr>
          <w:p w:rsidR="00124F12" w:rsidRPr="00AC7D13" w:rsidRDefault="00124F12" w:rsidP="006C4607">
            <w:pPr>
              <w:pStyle w:val="naisf"/>
              <w:spacing w:before="0" w:after="0"/>
              <w:ind w:firstLine="0"/>
              <w:jc w:val="center"/>
              <w:rPr>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124F12" w:rsidP="006C4607">
            <w:pPr>
              <w:jc w:val="both"/>
            </w:pPr>
            <w:r w:rsidRPr="00AC7D13">
              <w:t xml:space="preserve">5.3. pašvaldību budžets </w:t>
            </w:r>
          </w:p>
        </w:tc>
        <w:tc>
          <w:tcPr>
            <w:tcW w:w="1292" w:type="dxa"/>
            <w:vMerge/>
            <w:vAlign w:val="center"/>
          </w:tcPr>
          <w:p w:rsidR="00124F12" w:rsidRPr="00AC7D13" w:rsidRDefault="00124F12" w:rsidP="006C4607">
            <w:pPr>
              <w:pStyle w:val="naisf"/>
              <w:spacing w:before="0" w:after="0"/>
              <w:ind w:firstLine="0"/>
              <w:jc w:val="center"/>
              <w:rPr>
                <w:i/>
              </w:rPr>
            </w:pPr>
          </w:p>
        </w:tc>
        <w:tc>
          <w:tcPr>
            <w:tcW w:w="1325" w:type="dxa"/>
          </w:tcPr>
          <w:p w:rsidR="00124F12" w:rsidRPr="00AC7D13" w:rsidRDefault="00124F12" w:rsidP="006C4607">
            <w:pPr>
              <w:pStyle w:val="naisf"/>
              <w:spacing w:before="0" w:after="0"/>
              <w:ind w:firstLine="0"/>
              <w:rPr>
                <w:b/>
                <w:i/>
              </w:rPr>
            </w:pPr>
          </w:p>
        </w:tc>
        <w:tc>
          <w:tcPr>
            <w:tcW w:w="1325" w:type="dxa"/>
          </w:tcPr>
          <w:p w:rsidR="00124F12" w:rsidRPr="00AC7D13" w:rsidRDefault="00124F12" w:rsidP="006C4607">
            <w:pPr>
              <w:pStyle w:val="naisf"/>
              <w:spacing w:before="0" w:after="0"/>
              <w:ind w:firstLine="0"/>
              <w:rPr>
                <w:b/>
                <w:i/>
              </w:rPr>
            </w:pPr>
          </w:p>
        </w:tc>
        <w:tc>
          <w:tcPr>
            <w:tcW w:w="1326" w:type="dxa"/>
          </w:tcPr>
          <w:p w:rsidR="00124F12" w:rsidRPr="00AC7D13" w:rsidRDefault="00124F12" w:rsidP="006C4607">
            <w:pPr>
              <w:pStyle w:val="naisf"/>
              <w:spacing w:before="0" w:after="0"/>
              <w:ind w:firstLine="0"/>
              <w:rPr>
                <w:b/>
                <w:i/>
              </w:rPr>
            </w:pPr>
          </w:p>
        </w:tc>
        <w:tc>
          <w:tcPr>
            <w:tcW w:w="1369" w:type="dxa"/>
          </w:tcPr>
          <w:p w:rsidR="00124F12" w:rsidRPr="00AC7D13" w:rsidRDefault="00124F12" w:rsidP="006C4607">
            <w:pPr>
              <w:pStyle w:val="naisf"/>
              <w:spacing w:before="0" w:after="0"/>
              <w:ind w:firstLine="0"/>
              <w:rPr>
                <w:b/>
                <w:i/>
              </w:rPr>
            </w:pPr>
          </w:p>
        </w:tc>
      </w:tr>
      <w:tr w:rsidR="0095334F" w:rsidRPr="00AC7D13" w:rsidTr="004738C3">
        <w:trPr>
          <w:jc w:val="center"/>
        </w:trPr>
        <w:tc>
          <w:tcPr>
            <w:tcW w:w="3087" w:type="dxa"/>
          </w:tcPr>
          <w:p w:rsidR="0095334F" w:rsidRPr="00AC7D13" w:rsidRDefault="0095334F" w:rsidP="006C4607">
            <w:pPr>
              <w:jc w:val="both"/>
            </w:pPr>
            <w:r w:rsidRPr="00AC7D13">
              <w:t>6.</w:t>
            </w:r>
            <w:r w:rsidR="00F5139D" w:rsidRPr="00AC7D13">
              <w:t> </w:t>
            </w:r>
            <w:r w:rsidRPr="00AC7D13">
              <w:t>Detalizēts ieņēmumu un izdevu</w:t>
            </w:r>
            <w:r w:rsidR="009E12D7" w:rsidRPr="00AC7D13">
              <w:softHyphen/>
            </w:r>
            <w:r w:rsidRPr="00AC7D13">
              <w:t>mu aprēķins (ja nepieciešams, detalizētu ieņēmumu un izdevumu aprēķinu var pievienot anotācijas pielikumā):</w:t>
            </w:r>
          </w:p>
        </w:tc>
        <w:tc>
          <w:tcPr>
            <w:tcW w:w="6637" w:type="dxa"/>
            <w:gridSpan w:val="5"/>
            <w:vMerge w:val="restart"/>
            <w:vAlign w:val="center"/>
          </w:tcPr>
          <w:p w:rsidR="0095334F" w:rsidRPr="00AC7D13" w:rsidRDefault="0095334F" w:rsidP="006C4607">
            <w:pPr>
              <w:pStyle w:val="naisf"/>
              <w:spacing w:before="0" w:after="0"/>
              <w:ind w:firstLine="0"/>
              <w:rPr>
                <w:b/>
                <w:i/>
              </w:rPr>
            </w:pPr>
          </w:p>
        </w:tc>
      </w:tr>
      <w:tr w:rsidR="0095334F" w:rsidRPr="00AC7D13" w:rsidTr="004738C3">
        <w:trPr>
          <w:jc w:val="center"/>
        </w:trPr>
        <w:tc>
          <w:tcPr>
            <w:tcW w:w="3087" w:type="dxa"/>
          </w:tcPr>
          <w:p w:rsidR="0095334F" w:rsidRPr="00AC7D13" w:rsidRDefault="0095334F" w:rsidP="006C4607">
            <w:pPr>
              <w:jc w:val="both"/>
            </w:pPr>
            <w:r w:rsidRPr="00AC7D13">
              <w:t>6.1.</w:t>
            </w:r>
            <w:r w:rsidR="00F5139D" w:rsidRPr="00AC7D13">
              <w:t> </w:t>
            </w:r>
            <w:r w:rsidR="00D00059" w:rsidRPr="00AC7D13">
              <w:t>d</w:t>
            </w:r>
            <w:r w:rsidRPr="00AC7D13">
              <w:t>etalizēts ieņēmumu aprēķins</w:t>
            </w:r>
          </w:p>
        </w:tc>
        <w:tc>
          <w:tcPr>
            <w:tcW w:w="6637" w:type="dxa"/>
            <w:gridSpan w:val="5"/>
            <w:vMerge/>
          </w:tcPr>
          <w:p w:rsidR="0095334F" w:rsidRPr="00AC7D13" w:rsidRDefault="0095334F" w:rsidP="006C4607">
            <w:pPr>
              <w:pStyle w:val="naisf"/>
              <w:spacing w:before="0" w:after="0"/>
              <w:ind w:firstLine="0"/>
              <w:rPr>
                <w:b/>
                <w:i/>
              </w:rPr>
            </w:pPr>
          </w:p>
        </w:tc>
      </w:tr>
      <w:tr w:rsidR="0095334F" w:rsidRPr="00AC7D13" w:rsidTr="004738C3">
        <w:trPr>
          <w:jc w:val="center"/>
        </w:trPr>
        <w:tc>
          <w:tcPr>
            <w:tcW w:w="3087" w:type="dxa"/>
          </w:tcPr>
          <w:p w:rsidR="0095334F" w:rsidRPr="00AC7D13" w:rsidRDefault="0095334F" w:rsidP="006C4607">
            <w:pPr>
              <w:jc w:val="both"/>
            </w:pPr>
            <w:r w:rsidRPr="00AC7D13">
              <w:t xml:space="preserve">6.2. </w:t>
            </w:r>
            <w:r w:rsidR="00D00059" w:rsidRPr="00AC7D13">
              <w:t>d</w:t>
            </w:r>
            <w:r w:rsidRPr="00AC7D13">
              <w:t>etalizēts izdevumu aprēķins</w:t>
            </w:r>
          </w:p>
        </w:tc>
        <w:tc>
          <w:tcPr>
            <w:tcW w:w="6637" w:type="dxa"/>
            <w:gridSpan w:val="5"/>
            <w:vMerge/>
          </w:tcPr>
          <w:p w:rsidR="0095334F" w:rsidRPr="00AC7D13" w:rsidRDefault="0095334F" w:rsidP="006C4607">
            <w:pPr>
              <w:pStyle w:val="naisf"/>
              <w:spacing w:before="0" w:after="0"/>
              <w:ind w:firstLine="0"/>
              <w:rPr>
                <w:b/>
                <w:i/>
              </w:rPr>
            </w:pPr>
          </w:p>
        </w:tc>
      </w:tr>
      <w:tr w:rsidR="00124F12" w:rsidRPr="00AC7D13" w:rsidTr="004738C3">
        <w:trPr>
          <w:jc w:val="center"/>
        </w:trPr>
        <w:tc>
          <w:tcPr>
            <w:tcW w:w="3087" w:type="dxa"/>
          </w:tcPr>
          <w:p w:rsidR="00124F12" w:rsidRPr="00AC7D13" w:rsidRDefault="00124F12" w:rsidP="00FB19F1">
            <w:pPr>
              <w:jc w:val="both"/>
            </w:pPr>
            <w:r w:rsidRPr="00AC7D13">
              <w:t>7. Cita informācija</w:t>
            </w:r>
          </w:p>
        </w:tc>
        <w:tc>
          <w:tcPr>
            <w:tcW w:w="6637" w:type="dxa"/>
            <w:gridSpan w:val="5"/>
          </w:tcPr>
          <w:p w:rsidR="002719B4" w:rsidRDefault="002719B4" w:rsidP="002719B4">
            <w:pPr>
              <w:pStyle w:val="naisf"/>
              <w:tabs>
                <w:tab w:val="left" w:pos="4644"/>
              </w:tabs>
              <w:spacing w:before="0" w:after="0"/>
              <w:ind w:left="-33" w:firstLine="425"/>
            </w:pPr>
            <w:r>
              <w:t>Ņemot vērā to, ka šī projekta izstrādes nepieciešamība izriet no likumprojekta „Grozījumi Valsts nodrošinātās juridiskā palīdzības likumā” (</w:t>
            </w:r>
            <w:r w:rsidRPr="00DF5DD1">
              <w:t>Nr.</w:t>
            </w:r>
            <w:r w:rsidRPr="00E534EF">
              <w:t xml:space="preserve"> 320/Lp10</w:t>
            </w:r>
            <w:r>
              <w:t xml:space="preserve">), tā ietekme uz valsts budžetu skatāma minētā likumprojekta anotācijas III. sadaļā.    </w:t>
            </w:r>
          </w:p>
          <w:p w:rsidR="00A4692B" w:rsidRPr="00655814" w:rsidRDefault="001A2BAA" w:rsidP="00A4692B">
            <w:pPr>
              <w:pStyle w:val="naisf"/>
              <w:tabs>
                <w:tab w:val="left" w:pos="4644"/>
              </w:tabs>
              <w:spacing w:before="0" w:after="0"/>
              <w:ind w:left="-33" w:firstLine="425"/>
            </w:pPr>
            <w:r>
              <w:t>Ar projektu tie</w:t>
            </w:r>
            <w:r w:rsidR="00722382">
              <w:t>k</w:t>
            </w:r>
            <w:r>
              <w:t xml:space="preserve"> paredzēts jauns juridiskās palīdzības veids uzsāktā kriminālprocesā – dokumenta sastādīšana, kas nepieciešams lietas iztiesāšanai rakstveida proces</w:t>
            </w:r>
            <w:r w:rsidR="00F64496">
              <w:t>ā (iebildums vai paskaidrojums), nosakot tā samaksas apmēru.</w:t>
            </w:r>
            <w:r w:rsidR="00ED43A6">
              <w:t xml:space="preserve"> Samaksas apmērs tiek noteikts pēc līdzības ar spēkā esošajos Ministru kabineta noteikumos Nr. 1493 noteiktajiem juridiskās palīdzības veidiem </w:t>
            </w:r>
            <w:r w:rsidR="00ED43A6">
              <w:lastRenderedPageBreak/>
              <w:t>civillietās, administratīvajās lietās un pārrobežu strīdu lietās (minēt</w:t>
            </w:r>
            <w:r w:rsidR="00E439BC">
              <w:t xml:space="preserve">o noteikumu 9.5. apakšpunkts). </w:t>
            </w:r>
            <w:r w:rsidR="00F64496">
              <w:t>Ņ</w:t>
            </w:r>
            <w:r>
              <w:t xml:space="preserve">emot vērā to, ka ar 2010. gada 21. oktobra grozījumiem Kriminālprocesa likumā tiek ieviesti jauni gadījumi, kad lietas tiek izskatītas rakstveida procesā, konstatējams, ka </w:t>
            </w:r>
            <w:r w:rsidR="00F64496">
              <w:t xml:space="preserve">projektā ietvertais regulējums </w:t>
            </w:r>
            <w:r>
              <w:t>ietekm</w:t>
            </w:r>
            <w:r w:rsidR="00F64496">
              <w:t>i</w:t>
            </w:r>
            <w:r>
              <w:t xml:space="preserve"> uz valsts budžetu </w:t>
            </w:r>
            <w:r w:rsidR="00F64496">
              <w:t>neradīs</w:t>
            </w:r>
            <w:r>
              <w:t xml:space="preserve">, jo </w:t>
            </w:r>
            <w:r w:rsidR="00E439BC">
              <w:t xml:space="preserve">tādos gadījumos juridiskā palīdzība tiek sniegta </w:t>
            </w:r>
            <w:r w:rsidR="00F64496">
              <w:t>rakstveida procesā</w:t>
            </w:r>
            <w:r w:rsidR="00E439BC">
              <w:t xml:space="preserve">, nevis mutvārdu procesā kā </w:t>
            </w:r>
            <w:r w:rsidR="002719B4">
              <w:t xml:space="preserve">līdz attiecīgo </w:t>
            </w:r>
            <w:r w:rsidR="002719B4" w:rsidRPr="00655814">
              <w:t>grozījumu spēkā stāšanās brīdim.</w:t>
            </w:r>
          </w:p>
          <w:p w:rsidR="00A4692B" w:rsidRPr="00DF7FDA" w:rsidRDefault="00E107E4" w:rsidP="00E107E4">
            <w:pPr>
              <w:pStyle w:val="naisf"/>
              <w:tabs>
                <w:tab w:val="left" w:pos="4644"/>
              </w:tabs>
              <w:spacing w:before="0" w:after="0"/>
              <w:ind w:left="-33" w:firstLine="425"/>
              <w:rPr>
                <w:b/>
              </w:rPr>
            </w:pPr>
            <w:r w:rsidRPr="00655814">
              <w:t>Jautājums par projekta īstenošanai papildu nepieciešamo finansējumu 2012. gadā 31 597 latu apmērā (Tieslietu ministrijai (Juridiskās palīdzības administrācijai) – 25 297 lati – viena juriskonsulta atlīdzības izmaksai, pasta izdevumiem, tulkošanas darbiem un uzturēšanas izdevumiem; Iekšlietu ministrijai (Valsts Robežsardzei) – 6 300 lati – saziņas nodrošināšanai personai, kura ir aizturēta un atrodas Latvijas Republikā speciāli iekārtotās telpās vai izmitināšanas centrā) un 2013. gadā un turpmākajiem gadiem 40 745 latu apmērā (Tieslietu ministrijai – 34 445 lati un Iekšlietu ministrijai – 6 300 lati) jāizskata Ministru kabinetā kopā ar citu ministriju priekšlikumiem valsts budžeta likumprojekta 2012. gadam sagatavošanas procesā atbilstoši Ministru kabineta 2011. gada 29. marta sēdes prot. Nr. 20 34.§ 2. punktā noteiktajam (likumprojekts „Grozījumi Valsts nodrošinātās juridiskās palīdzības likumā” TA-3255).</w:t>
            </w:r>
            <w:r w:rsidR="00AB60C4" w:rsidRPr="00DF7FDA">
              <w:rPr>
                <w:b/>
              </w:rPr>
              <w:t xml:space="preserve"> </w:t>
            </w:r>
          </w:p>
        </w:tc>
      </w:tr>
    </w:tbl>
    <w:p w:rsidR="00924023" w:rsidRDefault="00924023" w:rsidP="006C4607">
      <w:pPr>
        <w:pStyle w:val="naiskr"/>
        <w:tabs>
          <w:tab w:val="left" w:pos="2628"/>
        </w:tabs>
        <w:spacing w:before="0" w:after="0"/>
        <w:rPr>
          <w:i/>
        </w:rPr>
      </w:pPr>
    </w:p>
    <w:p w:rsidR="001349A1" w:rsidRPr="00AC7D13" w:rsidRDefault="00CB4FF6" w:rsidP="006C4607">
      <w:pPr>
        <w:pStyle w:val="naiskr"/>
        <w:tabs>
          <w:tab w:val="left" w:pos="2628"/>
        </w:tabs>
        <w:spacing w:before="0" w:after="0"/>
        <w:rPr>
          <w:i/>
        </w:rPr>
      </w:pPr>
      <w:r>
        <w:rPr>
          <w:i/>
        </w:rPr>
        <w:t>Anotācijas IV, V</w:t>
      </w:r>
      <w:r w:rsidR="001349A1">
        <w:rPr>
          <w:i/>
        </w:rPr>
        <w:t xml:space="preserve"> </w:t>
      </w:r>
      <w:r>
        <w:rPr>
          <w:i/>
        </w:rPr>
        <w:t>un VI</w:t>
      </w:r>
      <w:r w:rsidR="004738C3">
        <w:rPr>
          <w:i/>
        </w:rPr>
        <w:t> </w:t>
      </w:r>
      <w:r w:rsidR="001349A1">
        <w:rPr>
          <w:i/>
        </w:rPr>
        <w:t>sadaļa – projekts šo jomu neskar.</w:t>
      </w:r>
    </w:p>
    <w:p w:rsidR="00E46559" w:rsidRPr="00AC7D13" w:rsidRDefault="00E46559" w:rsidP="00FB19F1">
      <w:pPr>
        <w:pStyle w:val="naisf"/>
        <w:spacing w:before="0" w:after="0"/>
        <w:rPr>
          <w:b/>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68"/>
        <w:gridCol w:w="4258"/>
        <w:gridCol w:w="4998"/>
      </w:tblGrid>
      <w:tr w:rsidR="0023436E" w:rsidRPr="00AC7D13" w:rsidTr="00DD75CF">
        <w:trPr>
          <w:jc w:val="center"/>
        </w:trPr>
        <w:tc>
          <w:tcPr>
            <w:tcW w:w="9724" w:type="dxa"/>
            <w:gridSpan w:val="3"/>
            <w:tcBorders>
              <w:top w:val="single" w:sz="4" w:space="0" w:color="auto"/>
            </w:tcBorders>
          </w:tcPr>
          <w:p w:rsidR="0023436E" w:rsidRPr="00AC7D13" w:rsidRDefault="0023436E" w:rsidP="007D099D">
            <w:pPr>
              <w:pStyle w:val="naisnod"/>
              <w:spacing w:before="0" w:after="0"/>
              <w:ind w:left="57" w:right="57"/>
            </w:pPr>
            <w:r w:rsidRPr="00AC7D13">
              <w:t>VII</w:t>
            </w:r>
            <w:r w:rsidR="000941C5" w:rsidRPr="00AC7D13">
              <w:t>.</w:t>
            </w:r>
            <w:r w:rsidRPr="00AC7D13">
              <w:t xml:space="preserve"> Tiesību akta projekta izpildes nodrošināšana un tās ietekme uz institūcijām</w:t>
            </w:r>
          </w:p>
        </w:tc>
      </w:tr>
      <w:tr w:rsidR="0023436E" w:rsidRPr="00AC7D13" w:rsidTr="00DD75CF">
        <w:trPr>
          <w:trHeight w:val="427"/>
          <w:jc w:val="center"/>
        </w:trPr>
        <w:tc>
          <w:tcPr>
            <w:tcW w:w="468" w:type="dxa"/>
          </w:tcPr>
          <w:p w:rsidR="0023436E" w:rsidRPr="00AC7D13" w:rsidRDefault="0023436E" w:rsidP="007D099D">
            <w:pPr>
              <w:pStyle w:val="naisnod"/>
              <w:spacing w:before="0" w:after="0"/>
              <w:ind w:left="57" w:right="57"/>
              <w:jc w:val="left"/>
              <w:rPr>
                <w:b w:val="0"/>
              </w:rPr>
            </w:pPr>
            <w:r w:rsidRPr="00AC7D13">
              <w:rPr>
                <w:b w:val="0"/>
              </w:rPr>
              <w:t>1.</w:t>
            </w:r>
          </w:p>
        </w:tc>
        <w:tc>
          <w:tcPr>
            <w:tcW w:w="4258" w:type="dxa"/>
          </w:tcPr>
          <w:p w:rsidR="0023436E" w:rsidRPr="00AC7D13" w:rsidRDefault="001A4066" w:rsidP="007D099D">
            <w:pPr>
              <w:pStyle w:val="naisf"/>
              <w:spacing w:before="0" w:after="0"/>
              <w:ind w:left="57" w:right="57" w:firstLine="0"/>
              <w:jc w:val="left"/>
            </w:pPr>
            <w:r w:rsidRPr="00AC7D13">
              <w:t>P</w:t>
            </w:r>
            <w:r w:rsidR="0023436E" w:rsidRPr="00AC7D13">
              <w:t xml:space="preserve">rojekta izpildē iesaistītās institūcijas </w:t>
            </w:r>
          </w:p>
        </w:tc>
        <w:tc>
          <w:tcPr>
            <w:tcW w:w="4998" w:type="dxa"/>
          </w:tcPr>
          <w:p w:rsidR="0023436E" w:rsidRPr="00AC7D13" w:rsidRDefault="004738C3" w:rsidP="004738C3">
            <w:pPr>
              <w:pStyle w:val="naisnod"/>
              <w:spacing w:before="0" w:after="0"/>
              <w:ind w:left="57" w:right="57"/>
              <w:jc w:val="both"/>
              <w:rPr>
                <w:b w:val="0"/>
              </w:rPr>
            </w:pPr>
            <w:r>
              <w:rPr>
                <w:b w:val="0"/>
                <w:iCs/>
              </w:rPr>
              <w:t xml:space="preserve">Tieslietu ministrija, </w:t>
            </w:r>
            <w:r w:rsidR="00C05FC2" w:rsidRPr="00AC7D13">
              <w:rPr>
                <w:b w:val="0"/>
                <w:iCs/>
              </w:rPr>
              <w:t>Juridiskās palīdzības administrācija</w:t>
            </w:r>
            <w:r>
              <w:rPr>
                <w:b w:val="0"/>
                <w:iCs/>
              </w:rPr>
              <w:t xml:space="preserve"> un juridiskās palīdzības sniedzēji.</w:t>
            </w:r>
          </w:p>
        </w:tc>
      </w:tr>
      <w:tr w:rsidR="0023436E" w:rsidRPr="00AC7D13" w:rsidTr="00DD75CF">
        <w:trPr>
          <w:trHeight w:val="463"/>
          <w:jc w:val="center"/>
        </w:trPr>
        <w:tc>
          <w:tcPr>
            <w:tcW w:w="468" w:type="dxa"/>
          </w:tcPr>
          <w:p w:rsidR="0023436E" w:rsidRPr="00AC7D13" w:rsidRDefault="0023436E" w:rsidP="007D099D">
            <w:pPr>
              <w:pStyle w:val="naisnod"/>
              <w:spacing w:before="0" w:after="0"/>
              <w:ind w:left="57" w:right="57"/>
              <w:jc w:val="left"/>
              <w:rPr>
                <w:b w:val="0"/>
              </w:rPr>
            </w:pPr>
            <w:r w:rsidRPr="00AC7D13">
              <w:rPr>
                <w:b w:val="0"/>
              </w:rPr>
              <w:t>2.</w:t>
            </w:r>
          </w:p>
        </w:tc>
        <w:tc>
          <w:tcPr>
            <w:tcW w:w="4258" w:type="dxa"/>
          </w:tcPr>
          <w:p w:rsidR="0023436E" w:rsidRPr="00AC7D13" w:rsidRDefault="001A4066" w:rsidP="007D099D">
            <w:pPr>
              <w:pStyle w:val="naisf"/>
              <w:spacing w:before="0" w:after="0"/>
              <w:ind w:left="57" w:right="57" w:firstLine="0"/>
              <w:jc w:val="left"/>
            </w:pPr>
            <w:r w:rsidRPr="00AC7D13">
              <w:t>Projekta i</w:t>
            </w:r>
            <w:r w:rsidR="0023436E" w:rsidRPr="00AC7D13">
              <w:t xml:space="preserve">zpildes ietekme uz pārvaldes funkcijām </w:t>
            </w:r>
          </w:p>
        </w:tc>
        <w:tc>
          <w:tcPr>
            <w:tcW w:w="4998" w:type="dxa"/>
          </w:tcPr>
          <w:p w:rsidR="0023436E" w:rsidRPr="00AC7D13" w:rsidRDefault="00C05FC2" w:rsidP="007D099D">
            <w:pPr>
              <w:pStyle w:val="naisnod"/>
              <w:spacing w:before="0" w:after="0"/>
              <w:ind w:left="57" w:right="57"/>
              <w:jc w:val="left"/>
              <w:rPr>
                <w:b w:val="0"/>
              </w:rPr>
            </w:pPr>
            <w:r w:rsidRPr="00AC7D13">
              <w:rPr>
                <w:b w:val="0"/>
                <w:iCs/>
              </w:rPr>
              <w:t>Projekts šo jomu neskar</w:t>
            </w:r>
          </w:p>
        </w:tc>
      </w:tr>
      <w:tr w:rsidR="0023436E" w:rsidRPr="00AC7D13" w:rsidTr="00DD75CF">
        <w:trPr>
          <w:trHeight w:val="725"/>
          <w:jc w:val="center"/>
        </w:trPr>
        <w:tc>
          <w:tcPr>
            <w:tcW w:w="468" w:type="dxa"/>
          </w:tcPr>
          <w:p w:rsidR="0023436E" w:rsidRPr="00AC7D13" w:rsidRDefault="0023436E" w:rsidP="007D099D">
            <w:pPr>
              <w:pStyle w:val="naisnod"/>
              <w:spacing w:before="0" w:after="0"/>
              <w:ind w:left="57" w:right="57"/>
              <w:jc w:val="left"/>
              <w:rPr>
                <w:b w:val="0"/>
              </w:rPr>
            </w:pPr>
            <w:r w:rsidRPr="00AC7D13">
              <w:rPr>
                <w:b w:val="0"/>
              </w:rPr>
              <w:t>3.</w:t>
            </w:r>
          </w:p>
        </w:tc>
        <w:tc>
          <w:tcPr>
            <w:tcW w:w="4258" w:type="dxa"/>
          </w:tcPr>
          <w:p w:rsidR="0023436E" w:rsidRPr="00AC7D13" w:rsidRDefault="001A4066" w:rsidP="007D099D">
            <w:pPr>
              <w:pStyle w:val="naisf"/>
              <w:spacing w:before="0" w:after="0"/>
              <w:ind w:left="57" w:right="57" w:firstLine="0"/>
              <w:jc w:val="left"/>
            </w:pPr>
            <w:r w:rsidRPr="00AC7D13">
              <w:t>Projekta iz</w:t>
            </w:r>
            <w:r w:rsidR="0023436E" w:rsidRPr="00AC7D13">
              <w:t>pildes ietekme uz pārvaldes institucionālo struktūru.</w:t>
            </w:r>
          </w:p>
          <w:p w:rsidR="0023436E" w:rsidRPr="00AC7D13" w:rsidRDefault="006C4607" w:rsidP="007D099D">
            <w:pPr>
              <w:pStyle w:val="naisf"/>
              <w:spacing w:before="0" w:after="0"/>
              <w:ind w:left="57" w:right="57" w:firstLine="0"/>
              <w:jc w:val="left"/>
            </w:pPr>
            <w:r w:rsidRPr="00AC7D13">
              <w:t>Jaunu institūciju izveide</w:t>
            </w:r>
          </w:p>
        </w:tc>
        <w:tc>
          <w:tcPr>
            <w:tcW w:w="4998" w:type="dxa"/>
          </w:tcPr>
          <w:p w:rsidR="0023436E" w:rsidRPr="00AC7D13" w:rsidRDefault="00C05FC2" w:rsidP="007D099D">
            <w:pPr>
              <w:pStyle w:val="naisnod"/>
              <w:spacing w:before="0" w:after="0"/>
              <w:ind w:left="57" w:right="57"/>
              <w:jc w:val="left"/>
              <w:rPr>
                <w:b w:val="0"/>
              </w:rPr>
            </w:pPr>
            <w:r w:rsidRPr="00AC7D13">
              <w:rPr>
                <w:b w:val="0"/>
                <w:iCs/>
              </w:rPr>
              <w:t>Projekts šo jomu neskar</w:t>
            </w:r>
          </w:p>
        </w:tc>
      </w:tr>
      <w:tr w:rsidR="0023436E" w:rsidRPr="00AC7D13" w:rsidTr="00DD75CF">
        <w:trPr>
          <w:trHeight w:val="780"/>
          <w:jc w:val="center"/>
        </w:trPr>
        <w:tc>
          <w:tcPr>
            <w:tcW w:w="468" w:type="dxa"/>
          </w:tcPr>
          <w:p w:rsidR="0023436E" w:rsidRPr="00AC7D13" w:rsidRDefault="0023436E" w:rsidP="007D099D">
            <w:pPr>
              <w:pStyle w:val="naisnod"/>
              <w:spacing w:before="0" w:after="0"/>
              <w:ind w:left="57" w:right="57"/>
              <w:jc w:val="left"/>
              <w:rPr>
                <w:b w:val="0"/>
              </w:rPr>
            </w:pPr>
            <w:r w:rsidRPr="00AC7D13">
              <w:rPr>
                <w:b w:val="0"/>
              </w:rPr>
              <w:t>4.</w:t>
            </w:r>
          </w:p>
        </w:tc>
        <w:tc>
          <w:tcPr>
            <w:tcW w:w="4258" w:type="dxa"/>
          </w:tcPr>
          <w:p w:rsidR="0023436E" w:rsidRPr="00AC7D13" w:rsidRDefault="001A4066" w:rsidP="007D099D">
            <w:pPr>
              <w:pStyle w:val="naisf"/>
              <w:spacing w:before="0" w:after="0"/>
              <w:ind w:left="57" w:right="57" w:firstLine="0"/>
              <w:jc w:val="left"/>
            </w:pPr>
            <w:r w:rsidRPr="00AC7D13">
              <w:t>Projekta i</w:t>
            </w:r>
            <w:r w:rsidR="0023436E" w:rsidRPr="00AC7D13">
              <w:t>zpildes ietekme uz pārvaldes institucionālo struktūru.</w:t>
            </w:r>
          </w:p>
          <w:p w:rsidR="0023436E" w:rsidRPr="00AC7D13" w:rsidRDefault="006C4607" w:rsidP="007D099D">
            <w:pPr>
              <w:pStyle w:val="naisf"/>
              <w:spacing w:before="0" w:after="0"/>
              <w:ind w:left="57" w:right="57" w:firstLine="0"/>
              <w:jc w:val="left"/>
            </w:pPr>
            <w:r w:rsidRPr="00AC7D13">
              <w:t>Esošu institūciju likvidācija</w:t>
            </w:r>
          </w:p>
        </w:tc>
        <w:tc>
          <w:tcPr>
            <w:tcW w:w="4998" w:type="dxa"/>
          </w:tcPr>
          <w:p w:rsidR="0023436E" w:rsidRPr="00AC7D13" w:rsidRDefault="00C05FC2" w:rsidP="007D099D">
            <w:pPr>
              <w:pStyle w:val="naisnod"/>
              <w:spacing w:before="0" w:after="0"/>
              <w:ind w:left="57" w:right="57"/>
              <w:jc w:val="left"/>
              <w:rPr>
                <w:b w:val="0"/>
              </w:rPr>
            </w:pPr>
            <w:r w:rsidRPr="00AC7D13">
              <w:rPr>
                <w:b w:val="0"/>
                <w:iCs/>
              </w:rPr>
              <w:t>Projekts šo jomu neskar</w:t>
            </w:r>
          </w:p>
        </w:tc>
      </w:tr>
      <w:tr w:rsidR="0023436E" w:rsidRPr="00AC7D13" w:rsidTr="00DD75CF">
        <w:trPr>
          <w:trHeight w:val="703"/>
          <w:jc w:val="center"/>
        </w:trPr>
        <w:tc>
          <w:tcPr>
            <w:tcW w:w="468" w:type="dxa"/>
          </w:tcPr>
          <w:p w:rsidR="0023436E" w:rsidRPr="00AC7D13" w:rsidRDefault="0023436E" w:rsidP="007D099D">
            <w:pPr>
              <w:pStyle w:val="naisnod"/>
              <w:spacing w:before="0" w:after="0"/>
              <w:ind w:left="57" w:right="57"/>
              <w:jc w:val="left"/>
              <w:rPr>
                <w:b w:val="0"/>
              </w:rPr>
            </w:pPr>
            <w:r w:rsidRPr="00AC7D13">
              <w:rPr>
                <w:b w:val="0"/>
              </w:rPr>
              <w:t>5.</w:t>
            </w:r>
          </w:p>
        </w:tc>
        <w:tc>
          <w:tcPr>
            <w:tcW w:w="4258" w:type="dxa"/>
          </w:tcPr>
          <w:p w:rsidR="0023436E" w:rsidRPr="00AC7D13" w:rsidRDefault="001A4066" w:rsidP="007D099D">
            <w:pPr>
              <w:pStyle w:val="naisf"/>
              <w:spacing w:before="0" w:after="0"/>
              <w:ind w:left="57" w:right="57" w:firstLine="0"/>
              <w:jc w:val="left"/>
            </w:pPr>
            <w:r w:rsidRPr="00AC7D13">
              <w:t>Projekta i</w:t>
            </w:r>
            <w:r w:rsidR="0023436E" w:rsidRPr="00AC7D13">
              <w:t>zpildes ietekme uz pārvaldes institucionālo struktūru.</w:t>
            </w:r>
          </w:p>
          <w:p w:rsidR="0023436E" w:rsidRPr="00AC7D13" w:rsidRDefault="0023436E" w:rsidP="007D099D">
            <w:pPr>
              <w:pStyle w:val="naisf"/>
              <w:spacing w:before="0" w:after="0"/>
              <w:ind w:left="57" w:right="57" w:firstLine="0"/>
              <w:jc w:val="left"/>
            </w:pPr>
            <w:r w:rsidRPr="00AC7D13">
              <w:t>Esošu institūciju reorganizācija</w:t>
            </w:r>
          </w:p>
        </w:tc>
        <w:tc>
          <w:tcPr>
            <w:tcW w:w="4998" w:type="dxa"/>
          </w:tcPr>
          <w:p w:rsidR="0023436E" w:rsidRPr="00AC7D13" w:rsidRDefault="00C05FC2" w:rsidP="007D099D">
            <w:pPr>
              <w:pStyle w:val="naisnod"/>
              <w:spacing w:before="0" w:after="0"/>
              <w:ind w:left="57" w:right="57"/>
              <w:jc w:val="left"/>
              <w:rPr>
                <w:b w:val="0"/>
              </w:rPr>
            </w:pPr>
            <w:r w:rsidRPr="00AC7D13">
              <w:rPr>
                <w:b w:val="0"/>
                <w:iCs/>
              </w:rPr>
              <w:t>Projekts šo jomu neskar</w:t>
            </w:r>
          </w:p>
        </w:tc>
      </w:tr>
      <w:tr w:rsidR="0023436E" w:rsidRPr="00AC7D13" w:rsidTr="00DD75CF">
        <w:trPr>
          <w:trHeight w:val="476"/>
          <w:jc w:val="center"/>
        </w:trPr>
        <w:tc>
          <w:tcPr>
            <w:tcW w:w="468" w:type="dxa"/>
          </w:tcPr>
          <w:p w:rsidR="0023436E" w:rsidRPr="00AC7D13" w:rsidRDefault="00F63DAC" w:rsidP="007D099D">
            <w:pPr>
              <w:pStyle w:val="naiskr"/>
              <w:spacing w:before="0" w:after="0"/>
              <w:ind w:left="57" w:right="57"/>
            </w:pPr>
            <w:r w:rsidRPr="00AC7D13">
              <w:t>6</w:t>
            </w:r>
            <w:r w:rsidR="0023436E" w:rsidRPr="00AC7D13">
              <w:t>.</w:t>
            </w:r>
          </w:p>
        </w:tc>
        <w:tc>
          <w:tcPr>
            <w:tcW w:w="4258" w:type="dxa"/>
          </w:tcPr>
          <w:p w:rsidR="0023436E" w:rsidRPr="00AC7D13" w:rsidRDefault="006C4607" w:rsidP="007D099D">
            <w:pPr>
              <w:pStyle w:val="naiskr"/>
              <w:spacing w:before="0" w:after="0"/>
              <w:ind w:left="57" w:right="57"/>
            </w:pPr>
            <w:r w:rsidRPr="00AC7D13">
              <w:t>Cita informācija</w:t>
            </w:r>
          </w:p>
        </w:tc>
        <w:tc>
          <w:tcPr>
            <w:tcW w:w="4998" w:type="dxa"/>
          </w:tcPr>
          <w:p w:rsidR="0023436E" w:rsidRPr="00AC7D13" w:rsidRDefault="0023436E" w:rsidP="007D099D">
            <w:pPr>
              <w:pStyle w:val="naiskr"/>
              <w:spacing w:before="0" w:after="0"/>
              <w:ind w:left="57" w:right="57"/>
            </w:pPr>
            <w:r w:rsidRPr="00AC7D13">
              <w:t>Nav</w:t>
            </w:r>
          </w:p>
        </w:tc>
      </w:tr>
    </w:tbl>
    <w:p w:rsidR="00214094" w:rsidRPr="00AC7D13" w:rsidRDefault="00214094" w:rsidP="006C4607">
      <w:pPr>
        <w:pStyle w:val="naisf"/>
        <w:tabs>
          <w:tab w:val="left" w:pos="5760"/>
        </w:tabs>
        <w:spacing w:before="0" w:after="0"/>
        <w:ind w:firstLine="720"/>
      </w:pPr>
    </w:p>
    <w:p w:rsidR="0015060C" w:rsidRPr="00AC7D13" w:rsidRDefault="0015060C" w:rsidP="00845811">
      <w:pPr>
        <w:pStyle w:val="naisf"/>
        <w:tabs>
          <w:tab w:val="left" w:pos="6804"/>
        </w:tabs>
        <w:spacing w:before="0" w:after="0"/>
        <w:ind w:firstLine="720"/>
      </w:pPr>
      <w:r w:rsidRPr="00AC7D13">
        <w:t>Tieslietu ministrs</w:t>
      </w:r>
      <w:r w:rsidR="00214094" w:rsidRPr="00AC7D13">
        <w:tab/>
      </w:r>
      <w:r w:rsidR="00C05FC2" w:rsidRPr="00AC7D13">
        <w:t>A. Štokenbergs</w:t>
      </w:r>
    </w:p>
    <w:p w:rsidR="00C05FC2" w:rsidRPr="00AC7D13" w:rsidRDefault="00C05FC2" w:rsidP="00845811">
      <w:pPr>
        <w:pStyle w:val="naisf"/>
        <w:tabs>
          <w:tab w:val="left" w:pos="6804"/>
        </w:tabs>
        <w:spacing w:before="0" w:after="0"/>
        <w:ind w:firstLine="720"/>
      </w:pPr>
    </w:p>
    <w:p w:rsidR="00C05FC2" w:rsidRPr="001D7C5A" w:rsidRDefault="00DF7FDA" w:rsidP="00C05FC2">
      <w:pPr>
        <w:ind w:left="-284"/>
        <w:jc w:val="both"/>
        <w:rPr>
          <w:sz w:val="20"/>
          <w:szCs w:val="20"/>
        </w:rPr>
      </w:pPr>
      <w:r>
        <w:rPr>
          <w:sz w:val="20"/>
          <w:szCs w:val="20"/>
          <w:lang w:val="sv-SE"/>
        </w:rPr>
        <w:t>1</w:t>
      </w:r>
      <w:r w:rsidR="006F0EEF">
        <w:rPr>
          <w:sz w:val="20"/>
          <w:szCs w:val="20"/>
          <w:lang w:val="sv-SE"/>
        </w:rPr>
        <w:t>6</w:t>
      </w:r>
      <w:r w:rsidR="00C05FC2" w:rsidRPr="001D7C5A">
        <w:rPr>
          <w:sz w:val="20"/>
          <w:szCs w:val="20"/>
          <w:lang w:val="sv-SE"/>
        </w:rPr>
        <w:t>.0</w:t>
      </w:r>
      <w:r w:rsidR="006D32E7">
        <w:rPr>
          <w:sz w:val="20"/>
          <w:szCs w:val="20"/>
          <w:lang w:val="sv-SE"/>
        </w:rPr>
        <w:t>8</w:t>
      </w:r>
      <w:r w:rsidR="00C05FC2" w:rsidRPr="001D7C5A">
        <w:rPr>
          <w:sz w:val="20"/>
          <w:szCs w:val="20"/>
          <w:lang w:val="sv-SE"/>
        </w:rPr>
        <w:t xml:space="preserve">.2011. </w:t>
      </w:r>
      <w:r w:rsidR="006F0EEF">
        <w:rPr>
          <w:sz w:val="20"/>
          <w:szCs w:val="20"/>
          <w:lang w:val="sv-SE"/>
        </w:rPr>
        <w:t>09</w:t>
      </w:r>
      <w:r w:rsidR="00C05FC2" w:rsidRPr="001D7C5A">
        <w:rPr>
          <w:sz w:val="20"/>
          <w:szCs w:val="20"/>
          <w:lang w:val="sv-SE"/>
        </w:rPr>
        <w:t>:</w:t>
      </w:r>
      <w:r w:rsidR="006F0EEF">
        <w:rPr>
          <w:sz w:val="20"/>
          <w:szCs w:val="20"/>
          <w:lang w:val="sv-SE"/>
        </w:rPr>
        <w:t>32</w:t>
      </w:r>
    </w:p>
    <w:p w:rsidR="00C05FC2" w:rsidRPr="001D7C5A" w:rsidRDefault="006D32E7" w:rsidP="00C05FC2">
      <w:pPr>
        <w:ind w:left="-284"/>
        <w:jc w:val="both"/>
        <w:rPr>
          <w:sz w:val="20"/>
          <w:szCs w:val="20"/>
        </w:rPr>
      </w:pPr>
      <w:r>
        <w:rPr>
          <w:sz w:val="20"/>
          <w:szCs w:val="20"/>
        </w:rPr>
        <w:t>16</w:t>
      </w:r>
      <w:r w:rsidR="006F0EEF">
        <w:rPr>
          <w:sz w:val="20"/>
          <w:szCs w:val="20"/>
        </w:rPr>
        <w:t>94</w:t>
      </w:r>
    </w:p>
    <w:p w:rsidR="00C05FC2" w:rsidRPr="001D7C5A" w:rsidRDefault="006F0EEF" w:rsidP="00C05FC2">
      <w:pPr>
        <w:pStyle w:val="HTMLiepriekformattais"/>
        <w:ind w:left="-284"/>
        <w:jc w:val="both"/>
        <w:rPr>
          <w:rFonts w:ascii="Times New Roman" w:hAnsi="Times New Roman" w:cs="Times New Roman"/>
        </w:rPr>
      </w:pPr>
      <w:r>
        <w:rPr>
          <w:rFonts w:ascii="Times New Roman" w:hAnsi="Times New Roman" w:cs="Times New Roman"/>
        </w:rPr>
        <w:t>R.</w:t>
      </w:r>
      <w:r w:rsidR="00181A9B" w:rsidRPr="001D7C5A">
        <w:rPr>
          <w:rFonts w:ascii="Times New Roman" w:hAnsi="Times New Roman" w:cs="Times New Roman"/>
        </w:rPr>
        <w:t>Kalnača</w:t>
      </w:r>
    </w:p>
    <w:p w:rsidR="00C05FC2" w:rsidRPr="00AC7D13" w:rsidRDefault="00C05FC2" w:rsidP="00DF7FDA">
      <w:pPr>
        <w:pStyle w:val="HTMLiepriekformattais"/>
        <w:ind w:left="-284"/>
        <w:jc w:val="both"/>
      </w:pPr>
      <w:r w:rsidRPr="001D7C5A">
        <w:rPr>
          <w:rFonts w:ascii="Times New Roman" w:hAnsi="Times New Roman" w:cs="Times New Roman"/>
        </w:rPr>
        <w:t xml:space="preserve">67036769, </w:t>
      </w:r>
      <w:hyperlink r:id="rId8" w:history="1">
        <w:r w:rsidR="00181A9B" w:rsidRPr="001D7C5A">
          <w:rPr>
            <w:rStyle w:val="Hipersaite"/>
            <w:rFonts w:ascii="Times New Roman" w:hAnsi="Times New Roman" w:cs="Times New Roman"/>
          </w:rPr>
          <w:t>Ruta.Kalnaca@tm.gov.lv</w:t>
        </w:r>
      </w:hyperlink>
    </w:p>
    <w:sectPr w:rsidR="00C05FC2" w:rsidRPr="00AC7D13" w:rsidSect="006F0EEF">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E4" w:rsidRDefault="00E107E4">
      <w:r>
        <w:separator/>
      </w:r>
    </w:p>
  </w:endnote>
  <w:endnote w:type="continuationSeparator" w:id="0">
    <w:p w:rsidR="00E107E4" w:rsidRDefault="00E1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7E4" w:rsidRPr="00271110" w:rsidRDefault="00E107E4" w:rsidP="00C05FC2">
    <w:pPr>
      <w:ind w:left="-284" w:right="-142"/>
      <w:jc w:val="both"/>
      <w:rPr>
        <w:sz w:val="20"/>
        <w:szCs w:val="20"/>
      </w:rPr>
    </w:pPr>
    <w:r w:rsidRPr="00271110">
      <w:rPr>
        <w:sz w:val="20"/>
        <w:szCs w:val="20"/>
      </w:rPr>
      <w:t>TMAnot_</w:t>
    </w:r>
    <w:r w:rsidR="006F0EEF">
      <w:rPr>
        <w:sz w:val="20"/>
        <w:szCs w:val="20"/>
      </w:rPr>
      <w:t>16</w:t>
    </w:r>
    <w:r>
      <w:rPr>
        <w:sz w:val="20"/>
        <w:szCs w:val="20"/>
      </w:rPr>
      <w:t>0811</w:t>
    </w:r>
    <w:r w:rsidRPr="00271110">
      <w:rPr>
        <w:sz w:val="20"/>
        <w:szCs w:val="20"/>
      </w:rPr>
      <w:t>_</w:t>
    </w:r>
    <w:r>
      <w:rPr>
        <w:sz w:val="20"/>
        <w:szCs w:val="20"/>
      </w:rPr>
      <w:t xml:space="preserve">MK1493groz; </w:t>
    </w:r>
    <w:r w:rsidRPr="00271110">
      <w:rPr>
        <w:sz w:val="20"/>
        <w:szCs w:val="20"/>
      </w:rPr>
      <w:t>Ministru kabineta noteikumu projekta „</w:t>
    </w:r>
    <w:r w:rsidRPr="00271110">
      <w:rPr>
        <w:bCs/>
        <w:sz w:val="20"/>
        <w:szCs w:val="20"/>
      </w:rPr>
      <w:t>Grozījumi Ministru kabineta 200</w:t>
    </w:r>
    <w:r>
      <w:rPr>
        <w:bCs/>
        <w:sz w:val="20"/>
        <w:szCs w:val="20"/>
      </w:rPr>
      <w:t>9</w:t>
    </w:r>
    <w:r w:rsidRPr="00271110">
      <w:rPr>
        <w:bCs/>
        <w:sz w:val="20"/>
        <w:szCs w:val="20"/>
      </w:rPr>
      <w:t>.</w:t>
    </w:r>
    <w:r>
      <w:rPr>
        <w:bCs/>
        <w:sz w:val="20"/>
        <w:szCs w:val="20"/>
      </w:rPr>
      <w:t> gada 22. decembra noteikumos Nr. 1493</w:t>
    </w:r>
    <w:r w:rsidRPr="00271110">
      <w:rPr>
        <w:bCs/>
        <w:sz w:val="20"/>
        <w:szCs w:val="20"/>
      </w:rPr>
      <w:t xml:space="preserve"> „</w:t>
    </w:r>
    <w:r>
      <w:rPr>
        <w:bCs/>
        <w:sz w:val="20"/>
        <w:szCs w:val="20"/>
      </w:rPr>
      <w:t>Noteikumi par valsts nodrošinātās juridiskās palīdzības apjomu, samaksas apmēru, atlīdzināmajiem izdevumiem un to izmaksas kārtību</w:t>
    </w:r>
    <w:r w:rsidRPr="00271110">
      <w:rPr>
        <w:bCs/>
        <w:sz w:val="20"/>
        <w:szCs w:val="20"/>
      </w:rPr>
      <w:t>”</w:t>
    </w:r>
    <w:r>
      <w:rPr>
        <w:bCs/>
        <w:sz w:val="20"/>
        <w:szCs w:val="20"/>
      </w:rPr>
      <w:t>”</w:t>
    </w:r>
    <w:r w:rsidRPr="00271110">
      <w:rPr>
        <w:bCs/>
        <w:sz w:val="20"/>
        <w:szCs w:val="20"/>
      </w:rPr>
      <w:t xml:space="preserve"> </w:t>
    </w:r>
    <w:r w:rsidRPr="00271110">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7E4" w:rsidRPr="00271110" w:rsidRDefault="00E107E4" w:rsidP="00C05FC2">
    <w:pPr>
      <w:ind w:left="-284" w:right="-142"/>
      <w:jc w:val="both"/>
      <w:rPr>
        <w:sz w:val="20"/>
        <w:szCs w:val="20"/>
      </w:rPr>
    </w:pPr>
    <w:r w:rsidRPr="00271110">
      <w:rPr>
        <w:sz w:val="20"/>
        <w:szCs w:val="20"/>
      </w:rPr>
      <w:t>TMAnot_</w:t>
    </w:r>
    <w:r w:rsidR="006F0EEF">
      <w:rPr>
        <w:sz w:val="20"/>
        <w:szCs w:val="20"/>
      </w:rPr>
      <w:t>16</w:t>
    </w:r>
    <w:r>
      <w:rPr>
        <w:sz w:val="20"/>
        <w:szCs w:val="20"/>
      </w:rPr>
      <w:t>0811</w:t>
    </w:r>
    <w:r w:rsidRPr="00271110">
      <w:rPr>
        <w:sz w:val="20"/>
        <w:szCs w:val="20"/>
      </w:rPr>
      <w:t>_</w:t>
    </w:r>
    <w:r>
      <w:rPr>
        <w:sz w:val="20"/>
        <w:szCs w:val="20"/>
      </w:rPr>
      <w:t xml:space="preserve">MK1493groz; </w:t>
    </w:r>
    <w:r w:rsidRPr="00271110">
      <w:rPr>
        <w:sz w:val="20"/>
        <w:szCs w:val="20"/>
      </w:rPr>
      <w:t>Ministru kabineta noteikumu projekta „</w:t>
    </w:r>
    <w:r w:rsidRPr="00271110">
      <w:rPr>
        <w:bCs/>
        <w:sz w:val="20"/>
        <w:szCs w:val="20"/>
      </w:rPr>
      <w:t>Grozījumi Ministru kabineta 200</w:t>
    </w:r>
    <w:r>
      <w:rPr>
        <w:bCs/>
        <w:sz w:val="20"/>
        <w:szCs w:val="20"/>
      </w:rPr>
      <w:t>9</w:t>
    </w:r>
    <w:r w:rsidRPr="00271110">
      <w:rPr>
        <w:bCs/>
        <w:sz w:val="20"/>
        <w:szCs w:val="20"/>
      </w:rPr>
      <w:t>.</w:t>
    </w:r>
    <w:r>
      <w:rPr>
        <w:bCs/>
        <w:sz w:val="20"/>
        <w:szCs w:val="20"/>
      </w:rPr>
      <w:t> gada 22. decembra noteikumos Nr. 1493</w:t>
    </w:r>
    <w:r w:rsidRPr="00271110">
      <w:rPr>
        <w:bCs/>
        <w:sz w:val="20"/>
        <w:szCs w:val="20"/>
      </w:rPr>
      <w:t xml:space="preserve"> „</w:t>
    </w:r>
    <w:r>
      <w:rPr>
        <w:bCs/>
        <w:sz w:val="20"/>
        <w:szCs w:val="20"/>
      </w:rPr>
      <w:t>Noteikumi par valsts nodrošinātās juridiskās palīdzības apjomu, samaksas apmēru, atlīdzināmajiem izdevumiem un to izmaksas kārtību</w:t>
    </w:r>
    <w:r w:rsidRPr="00271110">
      <w:rPr>
        <w:bCs/>
        <w:sz w:val="20"/>
        <w:szCs w:val="20"/>
      </w:rPr>
      <w:t>”</w:t>
    </w:r>
    <w:r>
      <w:rPr>
        <w:bCs/>
        <w:sz w:val="20"/>
        <w:szCs w:val="20"/>
      </w:rPr>
      <w:t>”</w:t>
    </w:r>
    <w:r w:rsidRPr="00271110">
      <w:rPr>
        <w:bCs/>
        <w:sz w:val="20"/>
        <w:szCs w:val="20"/>
      </w:rPr>
      <w:t xml:space="preserve"> </w:t>
    </w:r>
    <w:r w:rsidRPr="00271110">
      <w:rPr>
        <w:sz w:val="20"/>
        <w:szCs w:val="20"/>
      </w:rPr>
      <w:t>sākotnējās ietekmes novērtējuma ziņojums (anotācija)</w:t>
    </w:r>
  </w:p>
  <w:p w:rsidR="00E107E4" w:rsidRDefault="00E107E4">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E4" w:rsidRDefault="00E107E4">
      <w:r>
        <w:separator/>
      </w:r>
    </w:p>
  </w:footnote>
  <w:footnote w:type="continuationSeparator" w:id="0">
    <w:p w:rsidR="00E107E4" w:rsidRDefault="00E107E4">
      <w:r>
        <w:continuationSeparator/>
      </w:r>
    </w:p>
  </w:footnote>
  <w:footnote w:id="1">
    <w:p w:rsidR="00E107E4" w:rsidRDefault="00E107E4" w:rsidP="004738C3">
      <w:pPr>
        <w:pStyle w:val="Vresteksts"/>
        <w:ind w:left="-284"/>
        <w:jc w:val="both"/>
      </w:pPr>
      <w:r>
        <w:rPr>
          <w:rStyle w:val="Vresatsauce"/>
        </w:rPr>
        <w:footnoteRef/>
      </w:r>
      <w:hyperlink r:id="rId1" w:history="1">
        <w:r w:rsidRPr="00B14D5B">
          <w:rPr>
            <w:rStyle w:val="Hipersaite"/>
          </w:rPr>
          <w:t>http://www.mk.gov.lv/lv/mk/tap/?dateFrom=2010-05-30&amp;dateTo=2011-05-30&amp;text=groz%C4%ABjumi+valsts+nodro%C5%A1in%C4%81t%C4%81s&amp;org=0&amp;area=0&amp;type=0</w:t>
        </w:r>
      </w:hyperlink>
    </w:p>
    <w:p w:rsidR="00E107E4" w:rsidRDefault="00E107E4" w:rsidP="004738C3">
      <w:pPr>
        <w:pStyle w:val="Vresteksts"/>
        <w:ind w:left="-284"/>
        <w:jc w:val="both"/>
      </w:pPr>
    </w:p>
  </w:footnote>
  <w:footnote w:id="2">
    <w:p w:rsidR="00E107E4" w:rsidRDefault="00E107E4" w:rsidP="002562C0">
      <w:pPr>
        <w:pStyle w:val="Vresteksts"/>
        <w:ind w:left="-284"/>
        <w:jc w:val="both"/>
      </w:pPr>
      <w:r>
        <w:rPr>
          <w:rStyle w:val="Vresatsauce"/>
        </w:rPr>
        <w:footnoteRef/>
      </w:r>
      <w:hyperlink r:id="rId2" w:history="1">
        <w:r w:rsidRPr="006834E7">
          <w:rPr>
            <w:rStyle w:val="Hipersaite"/>
          </w:rPr>
          <w:t>http://titania.saeima.lv/LIVS10/SaeimaLIVS10.nsf/webAll?SearchView&amp;Query=([Title]=*Valsts+nodr*)&amp;SearchMax=0&amp;SearchOrder=4</w:t>
        </w:r>
      </w:hyperlink>
    </w:p>
  </w:footnote>
  <w:footnote w:id="3">
    <w:p w:rsidR="00E107E4" w:rsidRDefault="00E107E4" w:rsidP="004738C3">
      <w:pPr>
        <w:pStyle w:val="Vresteksts"/>
        <w:ind w:left="-284"/>
      </w:pPr>
      <w:r>
        <w:rPr>
          <w:rStyle w:val="Vresatsauce"/>
        </w:rPr>
        <w:footnoteRef/>
      </w:r>
      <w:r>
        <w:t xml:space="preserve"> </w:t>
      </w:r>
      <w:hyperlink r:id="rId3" w:history="1">
        <w:r w:rsidRPr="00FE625A">
          <w:rPr>
            <w:rStyle w:val="Hipersaite"/>
          </w:rPr>
          <w:t>http://jpa.gov.lv/uploads/filedir/jpa_2011_publiskais_parskats.pdf</w:t>
        </w:r>
      </w:hyperlink>
    </w:p>
  </w:footnote>
  <w:footnote w:id="4">
    <w:p w:rsidR="00E107E4" w:rsidRDefault="00E107E4" w:rsidP="000E7479">
      <w:pPr>
        <w:pStyle w:val="Vresteksts"/>
        <w:ind w:left="-284"/>
      </w:pPr>
      <w:r>
        <w:rPr>
          <w:rStyle w:val="Vresatsauce"/>
        </w:rPr>
        <w:footnoteRef/>
      </w:r>
      <w:r>
        <w:t xml:space="preserve"> </w:t>
      </w:r>
      <w:hyperlink r:id="rId4" w:history="1">
        <w:r w:rsidRPr="00FE625A">
          <w:rPr>
            <w:rStyle w:val="Hipersaite"/>
          </w:rPr>
          <w:t>http://titania.saeima.lv/LIVS10/SaeimaLIVS10.nsf/0/886E858DF0D3F7DDC22578730031AD68?OpenDocument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7E4" w:rsidRDefault="005C6BDC" w:rsidP="003C449B">
    <w:pPr>
      <w:pStyle w:val="Galvene"/>
      <w:framePr w:wrap="around" w:vAnchor="text" w:hAnchor="margin" w:xAlign="center" w:y="1"/>
      <w:rPr>
        <w:rStyle w:val="Lappusesnumurs"/>
      </w:rPr>
    </w:pPr>
    <w:r>
      <w:rPr>
        <w:rStyle w:val="Lappusesnumurs"/>
      </w:rPr>
      <w:fldChar w:fldCharType="begin"/>
    </w:r>
    <w:r w:rsidR="00E107E4">
      <w:rPr>
        <w:rStyle w:val="Lappusesnumurs"/>
      </w:rPr>
      <w:instrText xml:space="preserve">PAGE  </w:instrText>
    </w:r>
    <w:r>
      <w:rPr>
        <w:rStyle w:val="Lappusesnumurs"/>
      </w:rPr>
      <w:fldChar w:fldCharType="end"/>
    </w:r>
  </w:p>
  <w:p w:rsidR="00E107E4" w:rsidRDefault="00E107E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7E4" w:rsidRDefault="005C6BDC" w:rsidP="003C449B">
    <w:pPr>
      <w:pStyle w:val="Galvene"/>
      <w:framePr w:wrap="around" w:vAnchor="text" w:hAnchor="margin" w:xAlign="center" w:y="1"/>
      <w:rPr>
        <w:rStyle w:val="Lappusesnumurs"/>
      </w:rPr>
    </w:pPr>
    <w:r>
      <w:rPr>
        <w:rStyle w:val="Lappusesnumurs"/>
      </w:rPr>
      <w:fldChar w:fldCharType="begin"/>
    </w:r>
    <w:r w:rsidR="00E107E4">
      <w:rPr>
        <w:rStyle w:val="Lappusesnumurs"/>
      </w:rPr>
      <w:instrText xml:space="preserve">PAGE  </w:instrText>
    </w:r>
    <w:r>
      <w:rPr>
        <w:rStyle w:val="Lappusesnumurs"/>
      </w:rPr>
      <w:fldChar w:fldCharType="separate"/>
    </w:r>
    <w:r w:rsidR="006F0EEF">
      <w:rPr>
        <w:rStyle w:val="Lappusesnumurs"/>
        <w:noProof/>
      </w:rPr>
      <w:t>6</w:t>
    </w:r>
    <w:r>
      <w:rPr>
        <w:rStyle w:val="Lappusesnumurs"/>
      </w:rPr>
      <w:fldChar w:fldCharType="end"/>
    </w:r>
  </w:p>
  <w:p w:rsidR="00E107E4" w:rsidRDefault="00E107E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04C1090"/>
    <w:multiLevelType w:val="hybridMultilevel"/>
    <w:tmpl w:val="85488B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rsids>
    <w:rsidRoot w:val="008C5649"/>
    <w:rsid w:val="00011D24"/>
    <w:rsid w:val="00013FF4"/>
    <w:rsid w:val="00020FE1"/>
    <w:rsid w:val="00022E13"/>
    <w:rsid w:val="000245C6"/>
    <w:rsid w:val="00032388"/>
    <w:rsid w:val="00035CE2"/>
    <w:rsid w:val="0005165A"/>
    <w:rsid w:val="0005553B"/>
    <w:rsid w:val="000604D2"/>
    <w:rsid w:val="0009005E"/>
    <w:rsid w:val="00093736"/>
    <w:rsid w:val="000941C5"/>
    <w:rsid w:val="000A47F9"/>
    <w:rsid w:val="000A6451"/>
    <w:rsid w:val="000B064E"/>
    <w:rsid w:val="000B69CF"/>
    <w:rsid w:val="000C790C"/>
    <w:rsid w:val="000E7479"/>
    <w:rsid w:val="000F061D"/>
    <w:rsid w:val="000F4794"/>
    <w:rsid w:val="0010169F"/>
    <w:rsid w:val="00124F12"/>
    <w:rsid w:val="001349A1"/>
    <w:rsid w:val="00144E3A"/>
    <w:rsid w:val="0015060C"/>
    <w:rsid w:val="0016018A"/>
    <w:rsid w:val="00161F0E"/>
    <w:rsid w:val="001632B1"/>
    <w:rsid w:val="00164B86"/>
    <w:rsid w:val="00170E2A"/>
    <w:rsid w:val="00177394"/>
    <w:rsid w:val="00181A9B"/>
    <w:rsid w:val="00182C18"/>
    <w:rsid w:val="00183CC2"/>
    <w:rsid w:val="001900E4"/>
    <w:rsid w:val="00190F88"/>
    <w:rsid w:val="00194BE5"/>
    <w:rsid w:val="001A2BAA"/>
    <w:rsid w:val="001A4066"/>
    <w:rsid w:val="001A6AE4"/>
    <w:rsid w:val="001B01FD"/>
    <w:rsid w:val="001B4A71"/>
    <w:rsid w:val="001C2A43"/>
    <w:rsid w:val="001D0848"/>
    <w:rsid w:val="001D5B54"/>
    <w:rsid w:val="001D5EF7"/>
    <w:rsid w:val="001D7C5A"/>
    <w:rsid w:val="001E0148"/>
    <w:rsid w:val="001E1DBF"/>
    <w:rsid w:val="001E4639"/>
    <w:rsid w:val="001E4A7D"/>
    <w:rsid w:val="001F3FDD"/>
    <w:rsid w:val="001F43A8"/>
    <w:rsid w:val="001F5CD6"/>
    <w:rsid w:val="0021263D"/>
    <w:rsid w:val="00213F0C"/>
    <w:rsid w:val="00214094"/>
    <w:rsid w:val="0021592D"/>
    <w:rsid w:val="00217A53"/>
    <w:rsid w:val="00222C87"/>
    <w:rsid w:val="00222D76"/>
    <w:rsid w:val="00223EB1"/>
    <w:rsid w:val="00231344"/>
    <w:rsid w:val="0023436E"/>
    <w:rsid w:val="002347C0"/>
    <w:rsid w:val="00241A6C"/>
    <w:rsid w:val="00242D2B"/>
    <w:rsid w:val="00247451"/>
    <w:rsid w:val="0025097C"/>
    <w:rsid w:val="002562C0"/>
    <w:rsid w:val="002606E7"/>
    <w:rsid w:val="00262E2B"/>
    <w:rsid w:val="00270429"/>
    <w:rsid w:val="002719B4"/>
    <w:rsid w:val="002723E9"/>
    <w:rsid w:val="00277929"/>
    <w:rsid w:val="00281CB5"/>
    <w:rsid w:val="00283B82"/>
    <w:rsid w:val="002846E9"/>
    <w:rsid w:val="00284C34"/>
    <w:rsid w:val="002879BB"/>
    <w:rsid w:val="0029066C"/>
    <w:rsid w:val="002B50DB"/>
    <w:rsid w:val="002C12AB"/>
    <w:rsid w:val="002C4A74"/>
    <w:rsid w:val="002C638A"/>
    <w:rsid w:val="002C7CAC"/>
    <w:rsid w:val="002D3306"/>
    <w:rsid w:val="002D48AA"/>
    <w:rsid w:val="002D7BAA"/>
    <w:rsid w:val="002D7F54"/>
    <w:rsid w:val="002E3FF4"/>
    <w:rsid w:val="002F63A2"/>
    <w:rsid w:val="002F78C8"/>
    <w:rsid w:val="0030095D"/>
    <w:rsid w:val="00301CF3"/>
    <w:rsid w:val="00321D0B"/>
    <w:rsid w:val="0032715C"/>
    <w:rsid w:val="003360DA"/>
    <w:rsid w:val="00337CA5"/>
    <w:rsid w:val="00362478"/>
    <w:rsid w:val="00375B25"/>
    <w:rsid w:val="00396542"/>
    <w:rsid w:val="0039685B"/>
    <w:rsid w:val="003A31A6"/>
    <w:rsid w:val="003A7F0C"/>
    <w:rsid w:val="003A7F79"/>
    <w:rsid w:val="003B6404"/>
    <w:rsid w:val="003C449B"/>
    <w:rsid w:val="003D21FF"/>
    <w:rsid w:val="003D2D5F"/>
    <w:rsid w:val="003F0112"/>
    <w:rsid w:val="003F071A"/>
    <w:rsid w:val="003F160B"/>
    <w:rsid w:val="003F4BE8"/>
    <w:rsid w:val="00400032"/>
    <w:rsid w:val="00400B5B"/>
    <w:rsid w:val="00405A00"/>
    <w:rsid w:val="00420870"/>
    <w:rsid w:val="0043791B"/>
    <w:rsid w:val="00441483"/>
    <w:rsid w:val="00441BCB"/>
    <w:rsid w:val="0045176A"/>
    <w:rsid w:val="004537E2"/>
    <w:rsid w:val="00456332"/>
    <w:rsid w:val="004604EC"/>
    <w:rsid w:val="00461826"/>
    <w:rsid w:val="004738C3"/>
    <w:rsid w:val="004800F9"/>
    <w:rsid w:val="00484DBD"/>
    <w:rsid w:val="0049134A"/>
    <w:rsid w:val="00491F22"/>
    <w:rsid w:val="004A58CB"/>
    <w:rsid w:val="004A60CD"/>
    <w:rsid w:val="004B1795"/>
    <w:rsid w:val="004B56DD"/>
    <w:rsid w:val="004C020F"/>
    <w:rsid w:val="004C1AFD"/>
    <w:rsid w:val="004C558B"/>
    <w:rsid w:val="004C6AC0"/>
    <w:rsid w:val="004E49F6"/>
    <w:rsid w:val="004E5A52"/>
    <w:rsid w:val="004F1F88"/>
    <w:rsid w:val="004F5F1B"/>
    <w:rsid w:val="004F73A7"/>
    <w:rsid w:val="00502374"/>
    <w:rsid w:val="005060A1"/>
    <w:rsid w:val="00516072"/>
    <w:rsid w:val="005332EC"/>
    <w:rsid w:val="00534418"/>
    <w:rsid w:val="005353AB"/>
    <w:rsid w:val="00541DEC"/>
    <w:rsid w:val="00544E79"/>
    <w:rsid w:val="005560BC"/>
    <w:rsid w:val="005573BE"/>
    <w:rsid w:val="00572700"/>
    <w:rsid w:val="00580468"/>
    <w:rsid w:val="00582231"/>
    <w:rsid w:val="0058603B"/>
    <w:rsid w:val="0059431B"/>
    <w:rsid w:val="005A39CC"/>
    <w:rsid w:val="005A4114"/>
    <w:rsid w:val="005B4730"/>
    <w:rsid w:val="005C5049"/>
    <w:rsid w:val="005C6BDC"/>
    <w:rsid w:val="005D0389"/>
    <w:rsid w:val="005D7CE1"/>
    <w:rsid w:val="005E05D7"/>
    <w:rsid w:val="005E3C07"/>
    <w:rsid w:val="005E41E7"/>
    <w:rsid w:val="005E450F"/>
    <w:rsid w:val="0062298A"/>
    <w:rsid w:val="00626514"/>
    <w:rsid w:val="00626589"/>
    <w:rsid w:val="006339A0"/>
    <w:rsid w:val="006413A8"/>
    <w:rsid w:val="00642E56"/>
    <w:rsid w:val="00651E00"/>
    <w:rsid w:val="006529E1"/>
    <w:rsid w:val="00655814"/>
    <w:rsid w:val="00674572"/>
    <w:rsid w:val="00687763"/>
    <w:rsid w:val="00692B0D"/>
    <w:rsid w:val="00693E0E"/>
    <w:rsid w:val="006959AF"/>
    <w:rsid w:val="006A1AE3"/>
    <w:rsid w:val="006B090B"/>
    <w:rsid w:val="006C30E1"/>
    <w:rsid w:val="006C420B"/>
    <w:rsid w:val="006C4607"/>
    <w:rsid w:val="006C63E6"/>
    <w:rsid w:val="006C77BA"/>
    <w:rsid w:val="006D32E7"/>
    <w:rsid w:val="006D48F1"/>
    <w:rsid w:val="006D63AB"/>
    <w:rsid w:val="006F0EEF"/>
    <w:rsid w:val="006F45BE"/>
    <w:rsid w:val="007004FC"/>
    <w:rsid w:val="00706670"/>
    <w:rsid w:val="00711F59"/>
    <w:rsid w:val="00722382"/>
    <w:rsid w:val="0072417C"/>
    <w:rsid w:val="00734450"/>
    <w:rsid w:val="00740B91"/>
    <w:rsid w:val="00745F67"/>
    <w:rsid w:val="0075039E"/>
    <w:rsid w:val="00752D9D"/>
    <w:rsid w:val="00754784"/>
    <w:rsid w:val="007577A9"/>
    <w:rsid w:val="00757C6E"/>
    <w:rsid w:val="00762BDA"/>
    <w:rsid w:val="00776312"/>
    <w:rsid w:val="007805FD"/>
    <w:rsid w:val="007815C7"/>
    <w:rsid w:val="00784422"/>
    <w:rsid w:val="007866D5"/>
    <w:rsid w:val="007B3B54"/>
    <w:rsid w:val="007B3FA0"/>
    <w:rsid w:val="007C0F2C"/>
    <w:rsid w:val="007C2BCC"/>
    <w:rsid w:val="007C4EF0"/>
    <w:rsid w:val="007D099D"/>
    <w:rsid w:val="007E2664"/>
    <w:rsid w:val="007E3ABF"/>
    <w:rsid w:val="007E5BFA"/>
    <w:rsid w:val="007E6689"/>
    <w:rsid w:val="007E731C"/>
    <w:rsid w:val="007F0A03"/>
    <w:rsid w:val="007F210B"/>
    <w:rsid w:val="00804631"/>
    <w:rsid w:val="008050B3"/>
    <w:rsid w:val="00810040"/>
    <w:rsid w:val="0081437A"/>
    <w:rsid w:val="0082023A"/>
    <w:rsid w:val="00821A7A"/>
    <w:rsid w:val="008253F8"/>
    <w:rsid w:val="0082716B"/>
    <w:rsid w:val="008325E4"/>
    <w:rsid w:val="00832A2B"/>
    <w:rsid w:val="00845811"/>
    <w:rsid w:val="00846994"/>
    <w:rsid w:val="00850451"/>
    <w:rsid w:val="00852042"/>
    <w:rsid w:val="008534C9"/>
    <w:rsid w:val="0085599D"/>
    <w:rsid w:val="0087510C"/>
    <w:rsid w:val="00884249"/>
    <w:rsid w:val="00894CF6"/>
    <w:rsid w:val="008968D2"/>
    <w:rsid w:val="0089738E"/>
    <w:rsid w:val="008B5FDB"/>
    <w:rsid w:val="008C50F4"/>
    <w:rsid w:val="008C5649"/>
    <w:rsid w:val="008D58D7"/>
    <w:rsid w:val="008E44A2"/>
    <w:rsid w:val="008E697D"/>
    <w:rsid w:val="00903263"/>
    <w:rsid w:val="00903E15"/>
    <w:rsid w:val="00906A21"/>
    <w:rsid w:val="009079C3"/>
    <w:rsid w:val="00910462"/>
    <w:rsid w:val="009104C2"/>
    <w:rsid w:val="00915AB1"/>
    <w:rsid w:val="00917532"/>
    <w:rsid w:val="009235BA"/>
    <w:rsid w:val="00924023"/>
    <w:rsid w:val="00924CE2"/>
    <w:rsid w:val="00925B9F"/>
    <w:rsid w:val="00931AED"/>
    <w:rsid w:val="009476A3"/>
    <w:rsid w:val="0095334F"/>
    <w:rsid w:val="0095778A"/>
    <w:rsid w:val="00965897"/>
    <w:rsid w:val="0096765C"/>
    <w:rsid w:val="009727E4"/>
    <w:rsid w:val="009772AF"/>
    <w:rsid w:val="009869B2"/>
    <w:rsid w:val="009934C5"/>
    <w:rsid w:val="00994C0F"/>
    <w:rsid w:val="009B22D7"/>
    <w:rsid w:val="009B72ED"/>
    <w:rsid w:val="009C6DEB"/>
    <w:rsid w:val="009D6504"/>
    <w:rsid w:val="009E12D7"/>
    <w:rsid w:val="009E28E0"/>
    <w:rsid w:val="009E661A"/>
    <w:rsid w:val="00A06781"/>
    <w:rsid w:val="00A06C5A"/>
    <w:rsid w:val="00A074C3"/>
    <w:rsid w:val="00A136F8"/>
    <w:rsid w:val="00A1509C"/>
    <w:rsid w:val="00A26471"/>
    <w:rsid w:val="00A34260"/>
    <w:rsid w:val="00A4692B"/>
    <w:rsid w:val="00A46CCB"/>
    <w:rsid w:val="00A70CFD"/>
    <w:rsid w:val="00A72A0B"/>
    <w:rsid w:val="00A81E42"/>
    <w:rsid w:val="00A864FE"/>
    <w:rsid w:val="00A86F41"/>
    <w:rsid w:val="00A87D04"/>
    <w:rsid w:val="00A93BBB"/>
    <w:rsid w:val="00A950C5"/>
    <w:rsid w:val="00AA1D25"/>
    <w:rsid w:val="00AB2B1A"/>
    <w:rsid w:val="00AB397F"/>
    <w:rsid w:val="00AB5832"/>
    <w:rsid w:val="00AB60C4"/>
    <w:rsid w:val="00AC51F2"/>
    <w:rsid w:val="00AC7D13"/>
    <w:rsid w:val="00AE347E"/>
    <w:rsid w:val="00AE5066"/>
    <w:rsid w:val="00AE5E24"/>
    <w:rsid w:val="00AE61B7"/>
    <w:rsid w:val="00AE6CBA"/>
    <w:rsid w:val="00AE79AD"/>
    <w:rsid w:val="00AF35E4"/>
    <w:rsid w:val="00AF5CDE"/>
    <w:rsid w:val="00B0574B"/>
    <w:rsid w:val="00B107AD"/>
    <w:rsid w:val="00B11A57"/>
    <w:rsid w:val="00B123F8"/>
    <w:rsid w:val="00B142A5"/>
    <w:rsid w:val="00B20BB9"/>
    <w:rsid w:val="00B211C3"/>
    <w:rsid w:val="00B237B0"/>
    <w:rsid w:val="00B25597"/>
    <w:rsid w:val="00B267B9"/>
    <w:rsid w:val="00B33E09"/>
    <w:rsid w:val="00B452E4"/>
    <w:rsid w:val="00B50708"/>
    <w:rsid w:val="00B50C68"/>
    <w:rsid w:val="00B51293"/>
    <w:rsid w:val="00B51457"/>
    <w:rsid w:val="00B52B1E"/>
    <w:rsid w:val="00B55481"/>
    <w:rsid w:val="00B56779"/>
    <w:rsid w:val="00B56C32"/>
    <w:rsid w:val="00B571D1"/>
    <w:rsid w:val="00B57ACF"/>
    <w:rsid w:val="00B64BB1"/>
    <w:rsid w:val="00B73166"/>
    <w:rsid w:val="00B75A8B"/>
    <w:rsid w:val="00B76263"/>
    <w:rsid w:val="00B8426C"/>
    <w:rsid w:val="00B91B8D"/>
    <w:rsid w:val="00B9467A"/>
    <w:rsid w:val="00B94E90"/>
    <w:rsid w:val="00BA4E1E"/>
    <w:rsid w:val="00BA5C4B"/>
    <w:rsid w:val="00BB0A82"/>
    <w:rsid w:val="00BB3DB1"/>
    <w:rsid w:val="00BB7C94"/>
    <w:rsid w:val="00BC0A9D"/>
    <w:rsid w:val="00BF3CA6"/>
    <w:rsid w:val="00BF40ED"/>
    <w:rsid w:val="00BF5BC2"/>
    <w:rsid w:val="00C05FC2"/>
    <w:rsid w:val="00C1133D"/>
    <w:rsid w:val="00C13F7C"/>
    <w:rsid w:val="00C27A08"/>
    <w:rsid w:val="00C31312"/>
    <w:rsid w:val="00C31DDC"/>
    <w:rsid w:val="00C31E36"/>
    <w:rsid w:val="00C326C6"/>
    <w:rsid w:val="00C35295"/>
    <w:rsid w:val="00C36ADD"/>
    <w:rsid w:val="00C36E74"/>
    <w:rsid w:val="00C40595"/>
    <w:rsid w:val="00C41621"/>
    <w:rsid w:val="00C449FA"/>
    <w:rsid w:val="00C5384F"/>
    <w:rsid w:val="00C56964"/>
    <w:rsid w:val="00C656D5"/>
    <w:rsid w:val="00C67103"/>
    <w:rsid w:val="00C71BB9"/>
    <w:rsid w:val="00C72D84"/>
    <w:rsid w:val="00C94C28"/>
    <w:rsid w:val="00CB0247"/>
    <w:rsid w:val="00CB288E"/>
    <w:rsid w:val="00CB3440"/>
    <w:rsid w:val="00CB414C"/>
    <w:rsid w:val="00CB4FF6"/>
    <w:rsid w:val="00CC1692"/>
    <w:rsid w:val="00CD138B"/>
    <w:rsid w:val="00CD3E31"/>
    <w:rsid w:val="00CD74A3"/>
    <w:rsid w:val="00CE0527"/>
    <w:rsid w:val="00CE5B23"/>
    <w:rsid w:val="00CF70AD"/>
    <w:rsid w:val="00CF7729"/>
    <w:rsid w:val="00D00059"/>
    <w:rsid w:val="00D107FA"/>
    <w:rsid w:val="00D11ED6"/>
    <w:rsid w:val="00D12275"/>
    <w:rsid w:val="00D12766"/>
    <w:rsid w:val="00D20FF4"/>
    <w:rsid w:val="00D24D2C"/>
    <w:rsid w:val="00D30071"/>
    <w:rsid w:val="00D35881"/>
    <w:rsid w:val="00D7376C"/>
    <w:rsid w:val="00D8647C"/>
    <w:rsid w:val="00DA6714"/>
    <w:rsid w:val="00DA7DA5"/>
    <w:rsid w:val="00DB073B"/>
    <w:rsid w:val="00DB78F0"/>
    <w:rsid w:val="00DC2E43"/>
    <w:rsid w:val="00DD095C"/>
    <w:rsid w:val="00DD1020"/>
    <w:rsid w:val="00DD1330"/>
    <w:rsid w:val="00DD5204"/>
    <w:rsid w:val="00DD6DDC"/>
    <w:rsid w:val="00DD75CF"/>
    <w:rsid w:val="00DD7A9F"/>
    <w:rsid w:val="00DE0B83"/>
    <w:rsid w:val="00DE1A81"/>
    <w:rsid w:val="00DE1C13"/>
    <w:rsid w:val="00DE4E10"/>
    <w:rsid w:val="00DF7FDA"/>
    <w:rsid w:val="00E02ABF"/>
    <w:rsid w:val="00E02C36"/>
    <w:rsid w:val="00E107E4"/>
    <w:rsid w:val="00E147F8"/>
    <w:rsid w:val="00E14995"/>
    <w:rsid w:val="00E179CD"/>
    <w:rsid w:val="00E23E8D"/>
    <w:rsid w:val="00E37F98"/>
    <w:rsid w:val="00E439BC"/>
    <w:rsid w:val="00E46559"/>
    <w:rsid w:val="00E6670C"/>
    <w:rsid w:val="00E72FB8"/>
    <w:rsid w:val="00E73D78"/>
    <w:rsid w:val="00E776E8"/>
    <w:rsid w:val="00E804DF"/>
    <w:rsid w:val="00E92C1F"/>
    <w:rsid w:val="00E95D4B"/>
    <w:rsid w:val="00E969C7"/>
    <w:rsid w:val="00EB156E"/>
    <w:rsid w:val="00EB199F"/>
    <w:rsid w:val="00EC0EE0"/>
    <w:rsid w:val="00EC23F7"/>
    <w:rsid w:val="00EC4BD8"/>
    <w:rsid w:val="00EC63EB"/>
    <w:rsid w:val="00ED412F"/>
    <w:rsid w:val="00ED43A6"/>
    <w:rsid w:val="00EF36B2"/>
    <w:rsid w:val="00EF3A2E"/>
    <w:rsid w:val="00F1246B"/>
    <w:rsid w:val="00F1617F"/>
    <w:rsid w:val="00F201EC"/>
    <w:rsid w:val="00F208A9"/>
    <w:rsid w:val="00F25404"/>
    <w:rsid w:val="00F332C5"/>
    <w:rsid w:val="00F41D75"/>
    <w:rsid w:val="00F5139D"/>
    <w:rsid w:val="00F63DAC"/>
    <w:rsid w:val="00F64496"/>
    <w:rsid w:val="00F7454F"/>
    <w:rsid w:val="00F77988"/>
    <w:rsid w:val="00F7798F"/>
    <w:rsid w:val="00F77F48"/>
    <w:rsid w:val="00F8496C"/>
    <w:rsid w:val="00F87A19"/>
    <w:rsid w:val="00F924F3"/>
    <w:rsid w:val="00F97A36"/>
    <w:rsid w:val="00FA730C"/>
    <w:rsid w:val="00FB1216"/>
    <w:rsid w:val="00FB19F1"/>
    <w:rsid w:val="00FB30F1"/>
    <w:rsid w:val="00FB3DEC"/>
    <w:rsid w:val="00FB53E7"/>
    <w:rsid w:val="00FD2A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character" w:styleId="Izteiksmgs">
    <w:name w:val="Strong"/>
    <w:basedOn w:val="Noklusjumarindkopasfonts"/>
    <w:uiPriority w:val="22"/>
    <w:qFormat/>
    <w:rsid w:val="00C05FC2"/>
    <w:rPr>
      <w:b/>
      <w:bCs/>
    </w:rPr>
  </w:style>
  <w:style w:type="paragraph" w:styleId="HTMLiepriekformattais">
    <w:name w:val="HTML Preformatted"/>
    <w:basedOn w:val="Parastais"/>
    <w:link w:val="HTMLiepriekformattaisRakstz"/>
    <w:rsid w:val="00C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rsid w:val="00C05FC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69450989">
      <w:bodyDiv w:val="1"/>
      <w:marLeft w:val="41"/>
      <w:marRight w:val="41"/>
      <w:marTop w:val="82"/>
      <w:marBottom w:val="82"/>
      <w:divBdr>
        <w:top w:val="none" w:sz="0" w:space="0" w:color="auto"/>
        <w:left w:val="none" w:sz="0" w:space="0" w:color="auto"/>
        <w:bottom w:val="none" w:sz="0" w:space="0" w:color="auto"/>
        <w:right w:val="none" w:sz="0" w:space="0" w:color="auto"/>
      </w:divBdr>
      <w:divsChild>
        <w:div w:id="565799514">
          <w:marLeft w:val="0"/>
          <w:marRight w:val="0"/>
          <w:marTop w:val="0"/>
          <w:marBottom w:val="567"/>
          <w:divBdr>
            <w:top w:val="none" w:sz="0" w:space="0" w:color="auto"/>
            <w:left w:val="none" w:sz="0" w:space="0" w:color="auto"/>
            <w:bottom w:val="none" w:sz="0" w:space="0" w:color="auto"/>
            <w:right w:val="none" w:sz="0" w:space="0" w:color="auto"/>
          </w:divBdr>
        </w:div>
      </w:divsChild>
    </w:div>
    <w:div w:id="8943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a.Kalnac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jpa.gov.lv/uploads/filedir/jpa_2011_publiskais_parskats.pdf" TargetMode="External"/><Relationship Id="rId2" Type="http://schemas.openxmlformats.org/officeDocument/2006/relationships/hyperlink" Target="http://titania.saeima.lv/LIVS10/SaeimaLIVS10.nsf/webAll?SearchView&amp;Query=(%5bTitle%5d=*Valsts+nodr*)&amp;SearchMax=0&amp;SearchOrder=4" TargetMode="External"/><Relationship Id="rId1" Type="http://schemas.openxmlformats.org/officeDocument/2006/relationships/hyperlink" Target="http://www.mk.gov.lv/lv/mk/tap/?dateFrom=2010-05-30&amp;dateTo=2011-05-30&amp;text=groz%C4%ABjumi+valsts+nodro%C5%A1in%C4%81t%C4%81s&amp;org=0&amp;area=0&amp;type=0" TargetMode="External"/><Relationship Id="rId4" Type="http://schemas.openxmlformats.org/officeDocument/2006/relationships/hyperlink" Target="http://titania.saeima.lv/LIVS10/SaeimaLIVS10.nsf/0/886E858DF0D3F7DDC22578730031AD68?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B0AF-7047-4D33-9765-AE4C86A6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9007</Words>
  <Characters>5134</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22. decembra noteikumos Nr. 1493 „Noteikumi par valsts nodrošinātās juridiskās palīdzības apjomu, samaksas apmēru, atlīdzināmajiem izdevumiem un to izmaksas kārtību”” sākotnējās </vt:lpstr>
      <vt:lpstr>Ministru kabineta noteikumu projekta „Grozījumi Ministru kabineta 2009. gada 22. decembra noteikumos Nr. 1493 „Noteikumi par valsts nodrošinātās juridiskās palīdzības apjomu, samaksas apmēru, atlīdzināmajiem izdevumiem un to izmaksas kārtību”” sākotnējās </vt:lpstr>
    </vt:vector>
  </TitlesOfParts>
  <Company>Valsts kanceleja, Politikas koordinācijas departaments</Company>
  <LinksUpToDate>false</LinksUpToDate>
  <CharactersWithSpaces>14113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22. decembra noteikumos Nr. 1493 „Noteikumi par valsts nodrošinātās juridiskās palīdzības apjomu, samaksas apmēru, atlīdzināmajiem izdevumiem un to izmaksas kārtību”” sākotnējās ietekmes novērtējuma ziņojums (anotācija)</dc:title>
  <dc:subject>Anotācija</dc:subject>
  <dc:creator>Nils Bīlands</dc:creator>
  <dc:description>Sagatavotājs: N.Bīlands 
Nils.Bilands@tm.gov.lv; 
tel. 67036769, fakss 67036852</dc:description>
  <cp:lastModifiedBy>rp1201</cp:lastModifiedBy>
  <cp:revision>16</cp:revision>
  <cp:lastPrinted>2011-07-07T11:22:00Z</cp:lastPrinted>
  <dcterms:created xsi:type="dcterms:W3CDTF">2011-07-08T12:02:00Z</dcterms:created>
  <dcterms:modified xsi:type="dcterms:W3CDTF">2011-08-16T06:33:00Z</dcterms:modified>
</cp:coreProperties>
</file>