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65" w:rsidRDefault="00B662AA" w:rsidP="00B662AA">
      <w:pPr>
        <w:pStyle w:val="naislab"/>
        <w:spacing w:before="0" w:after="0"/>
        <w:ind w:right="140"/>
        <w:jc w:val="center"/>
        <w:rPr>
          <w:b/>
          <w:sz w:val="26"/>
          <w:szCs w:val="26"/>
        </w:rPr>
      </w:pPr>
      <w:bookmarkStart w:id="0" w:name="OLE_LINK5"/>
      <w:bookmarkStart w:id="1" w:name="OLE_LINK6"/>
      <w:r w:rsidRPr="00B662AA">
        <w:rPr>
          <w:b/>
          <w:sz w:val="26"/>
          <w:szCs w:val="26"/>
        </w:rPr>
        <w:t xml:space="preserve">Likumprojekta „Grozījumi Latvijas Administratīvo pārkāpumu kodeksā” </w:t>
      </w:r>
      <w:r w:rsidR="00694F65" w:rsidRPr="00B662AA">
        <w:rPr>
          <w:b/>
          <w:sz w:val="26"/>
          <w:szCs w:val="26"/>
        </w:rPr>
        <w:t xml:space="preserve">sākotnējās ietekmes novērtējuma </w:t>
      </w:r>
      <w:smartTag w:uri="schemas-tilde-lv/tildestengine" w:element="veidnes">
        <w:smartTagPr>
          <w:attr w:name="id" w:val="-1"/>
          <w:attr w:name="baseform" w:val="ziņojums"/>
          <w:attr w:name="text" w:val="ziņojums"/>
        </w:smartTagPr>
        <w:r w:rsidR="00694F65" w:rsidRPr="00B662AA">
          <w:rPr>
            <w:b/>
            <w:sz w:val="26"/>
            <w:szCs w:val="26"/>
          </w:rPr>
          <w:t>ziņojums</w:t>
        </w:r>
      </w:smartTag>
      <w:r w:rsidR="00694F65" w:rsidRPr="00B662AA">
        <w:rPr>
          <w:b/>
          <w:sz w:val="26"/>
          <w:szCs w:val="26"/>
        </w:rPr>
        <w:t xml:space="preserve"> (anotācija)</w:t>
      </w:r>
    </w:p>
    <w:bookmarkEnd w:id="0"/>
    <w:bookmarkEnd w:id="1"/>
    <w:p w:rsidR="00B662AA" w:rsidRPr="00B662AA" w:rsidRDefault="00B662AA" w:rsidP="00B662AA">
      <w:pPr>
        <w:pStyle w:val="naislab"/>
        <w:spacing w:before="0" w:after="0"/>
        <w:ind w:right="140"/>
        <w:jc w:val="center"/>
        <w:rPr>
          <w:b/>
          <w:sz w:val="26"/>
          <w:szCs w:val="26"/>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1865"/>
        <w:gridCol w:w="6804"/>
      </w:tblGrid>
      <w:tr w:rsidR="00694F65" w:rsidRPr="00B662AA" w:rsidTr="00B662AA">
        <w:tc>
          <w:tcPr>
            <w:tcW w:w="9219" w:type="dxa"/>
            <w:gridSpan w:val="3"/>
            <w:vAlign w:val="center"/>
          </w:tcPr>
          <w:p w:rsidR="00694F65" w:rsidRPr="00B662AA" w:rsidRDefault="00694F65" w:rsidP="00B662AA">
            <w:pPr>
              <w:pStyle w:val="naisnod"/>
              <w:spacing w:before="0" w:after="0"/>
              <w:ind w:right="140"/>
              <w:rPr>
                <w:sz w:val="26"/>
                <w:szCs w:val="26"/>
              </w:rPr>
            </w:pPr>
            <w:r w:rsidRPr="00B662AA">
              <w:rPr>
                <w:sz w:val="26"/>
                <w:szCs w:val="26"/>
              </w:rPr>
              <w:t>I. Tiesību akta projekta izstrādes nepieciešamība</w:t>
            </w:r>
          </w:p>
        </w:tc>
      </w:tr>
      <w:tr w:rsidR="00694F65" w:rsidRPr="00B662AA" w:rsidTr="00B662AA">
        <w:trPr>
          <w:trHeight w:val="630"/>
        </w:trPr>
        <w:tc>
          <w:tcPr>
            <w:tcW w:w="550" w:type="dxa"/>
          </w:tcPr>
          <w:p w:rsidR="00694F65" w:rsidRPr="00B662AA" w:rsidRDefault="00694F65" w:rsidP="00B662AA">
            <w:pPr>
              <w:pStyle w:val="naiskr"/>
              <w:spacing w:before="0" w:after="0"/>
              <w:ind w:right="140"/>
              <w:rPr>
                <w:sz w:val="26"/>
                <w:szCs w:val="26"/>
              </w:rPr>
            </w:pPr>
            <w:r w:rsidRPr="00B662AA">
              <w:rPr>
                <w:sz w:val="26"/>
                <w:szCs w:val="26"/>
              </w:rPr>
              <w:t>1.</w:t>
            </w:r>
          </w:p>
        </w:tc>
        <w:tc>
          <w:tcPr>
            <w:tcW w:w="1865" w:type="dxa"/>
          </w:tcPr>
          <w:p w:rsidR="00694F65" w:rsidRPr="00B662AA" w:rsidRDefault="00694F65" w:rsidP="00B662AA">
            <w:pPr>
              <w:pStyle w:val="naiskr"/>
              <w:spacing w:before="0" w:after="0"/>
              <w:ind w:right="140" w:hanging="10"/>
              <w:rPr>
                <w:sz w:val="26"/>
                <w:szCs w:val="26"/>
              </w:rPr>
            </w:pPr>
            <w:r w:rsidRPr="00B662AA">
              <w:rPr>
                <w:sz w:val="26"/>
                <w:szCs w:val="26"/>
              </w:rPr>
              <w:t>Pamatojums</w:t>
            </w:r>
          </w:p>
        </w:tc>
        <w:tc>
          <w:tcPr>
            <w:tcW w:w="6804" w:type="dxa"/>
          </w:tcPr>
          <w:p w:rsidR="00694F65" w:rsidRPr="00B662AA" w:rsidRDefault="00724D2D" w:rsidP="00B662AA">
            <w:pPr>
              <w:pStyle w:val="naiskr"/>
              <w:spacing w:before="0" w:after="0"/>
              <w:ind w:right="140" w:hanging="5"/>
              <w:jc w:val="both"/>
              <w:rPr>
                <w:sz w:val="26"/>
                <w:szCs w:val="26"/>
              </w:rPr>
            </w:pPr>
            <w:r w:rsidRPr="00B662AA">
              <w:rPr>
                <w:sz w:val="26"/>
                <w:szCs w:val="26"/>
              </w:rPr>
              <w:t xml:space="preserve">        </w:t>
            </w:r>
            <w:r w:rsidR="001D334D" w:rsidRPr="00B662AA">
              <w:rPr>
                <w:sz w:val="26"/>
                <w:szCs w:val="26"/>
              </w:rPr>
              <w:t xml:space="preserve">Grozījumi Latvijas Administratīvo pārkāpumu kodeksā (turpmāk – LAPK) </w:t>
            </w:r>
            <w:r w:rsidR="00C70A30" w:rsidRPr="00B662AA">
              <w:rPr>
                <w:sz w:val="26"/>
                <w:szCs w:val="26"/>
              </w:rPr>
              <w:t xml:space="preserve">izstrādāti, lai nodrošinātu </w:t>
            </w:r>
            <w:r w:rsidR="0093061C" w:rsidRPr="00B662AA">
              <w:rPr>
                <w:sz w:val="26"/>
                <w:szCs w:val="26"/>
              </w:rPr>
              <w:t>LAPK Pārejas noteikumu 13.</w:t>
            </w:r>
            <w:r w:rsidR="00463804" w:rsidRPr="00B662AA">
              <w:rPr>
                <w:sz w:val="26"/>
                <w:szCs w:val="26"/>
              </w:rPr>
              <w:t> </w:t>
            </w:r>
            <w:r w:rsidR="0093061C" w:rsidRPr="00B662AA">
              <w:rPr>
                <w:sz w:val="26"/>
                <w:szCs w:val="26"/>
              </w:rPr>
              <w:t xml:space="preserve">punktā paredzēto </w:t>
            </w:r>
            <w:r w:rsidR="006F1049" w:rsidRPr="00B662AA">
              <w:rPr>
                <w:sz w:val="26"/>
                <w:szCs w:val="26"/>
              </w:rPr>
              <w:t xml:space="preserve">administratīvo pārkāpumu lietu piekritības maiņu no administratīvajām tiesām uz vispārējās </w:t>
            </w:r>
            <w:r w:rsidR="00463804" w:rsidRPr="00B662AA">
              <w:rPr>
                <w:sz w:val="26"/>
                <w:szCs w:val="26"/>
              </w:rPr>
              <w:t xml:space="preserve">jurisdikcijas tiesām. </w:t>
            </w:r>
          </w:p>
        </w:tc>
      </w:tr>
      <w:tr w:rsidR="00694F65" w:rsidRPr="00B662AA" w:rsidTr="00B662AA">
        <w:trPr>
          <w:trHeight w:val="472"/>
        </w:trPr>
        <w:tc>
          <w:tcPr>
            <w:tcW w:w="550" w:type="dxa"/>
          </w:tcPr>
          <w:p w:rsidR="00694F65" w:rsidRPr="00B662AA" w:rsidRDefault="00694F65" w:rsidP="00B662AA">
            <w:pPr>
              <w:pStyle w:val="naiskr"/>
              <w:spacing w:before="0" w:after="0"/>
              <w:ind w:right="140"/>
              <w:rPr>
                <w:sz w:val="26"/>
                <w:szCs w:val="26"/>
              </w:rPr>
            </w:pPr>
            <w:r w:rsidRPr="00B662AA">
              <w:rPr>
                <w:sz w:val="26"/>
                <w:szCs w:val="26"/>
              </w:rPr>
              <w:t>2.</w:t>
            </w:r>
          </w:p>
        </w:tc>
        <w:tc>
          <w:tcPr>
            <w:tcW w:w="1865" w:type="dxa"/>
          </w:tcPr>
          <w:p w:rsidR="00694F65" w:rsidRPr="00B662AA" w:rsidRDefault="00694F65" w:rsidP="00B662AA">
            <w:pPr>
              <w:pStyle w:val="naiskr"/>
              <w:tabs>
                <w:tab w:val="left" w:pos="170"/>
              </w:tabs>
              <w:spacing w:before="0" w:after="0"/>
              <w:ind w:right="140"/>
              <w:rPr>
                <w:sz w:val="26"/>
                <w:szCs w:val="26"/>
              </w:rPr>
            </w:pPr>
            <w:r w:rsidRPr="00B662AA">
              <w:rPr>
                <w:sz w:val="26"/>
                <w:szCs w:val="26"/>
              </w:rPr>
              <w:t>Pašreizējā situācija un problēmas</w:t>
            </w:r>
          </w:p>
        </w:tc>
        <w:tc>
          <w:tcPr>
            <w:tcW w:w="6804" w:type="dxa"/>
          </w:tcPr>
          <w:p w:rsidR="00FD61BF" w:rsidRPr="00B662AA" w:rsidRDefault="004C447B" w:rsidP="00B662AA">
            <w:pPr>
              <w:tabs>
                <w:tab w:val="left" w:pos="0"/>
              </w:tabs>
              <w:ind w:right="140" w:firstLine="567"/>
              <w:jc w:val="both"/>
              <w:rPr>
                <w:sz w:val="26"/>
                <w:szCs w:val="26"/>
              </w:rPr>
            </w:pPr>
            <w:r w:rsidRPr="00B662AA">
              <w:rPr>
                <w:sz w:val="26"/>
                <w:szCs w:val="26"/>
              </w:rPr>
              <w:t>LAPK ir viens no tiem tiesību aktiem, kas Latvijā, neskatoties uz tiesību sistēmas transformāciju, saglabājies no padomju sociālistisko tiesību mantojuma.</w:t>
            </w:r>
            <w:r w:rsidR="0088106B" w:rsidRPr="00B662AA">
              <w:rPr>
                <w:sz w:val="26"/>
                <w:szCs w:val="26"/>
              </w:rPr>
              <w:t xml:space="preserve"> Vēsturiski Latvijā administratīvās tiesības sākotnēji bija cieši saistītas ar valsts varas nostiprināšanas un uzturēšanas funkciju, un to piemērošanā praksē izmantoja kriminālprocesuālo regulējumu.</w:t>
            </w:r>
            <w:r w:rsidR="00F27F14" w:rsidRPr="00B662AA">
              <w:rPr>
                <w:sz w:val="26"/>
                <w:szCs w:val="26"/>
              </w:rPr>
              <w:t xml:space="preserve"> </w:t>
            </w:r>
            <w:r w:rsidR="0027452D" w:rsidRPr="00B662AA">
              <w:rPr>
                <w:sz w:val="26"/>
                <w:szCs w:val="26"/>
              </w:rPr>
              <w:t xml:space="preserve">Sākotnēji </w:t>
            </w:r>
            <w:r w:rsidR="00F27F14" w:rsidRPr="00B662AA">
              <w:rPr>
                <w:sz w:val="26"/>
                <w:szCs w:val="26"/>
              </w:rPr>
              <w:t xml:space="preserve">Latvijas teritorijā piemēroja cariskās Krievijas 1903. gada </w:t>
            </w:r>
            <w:r w:rsidR="009F56B1" w:rsidRPr="00B662AA">
              <w:rPr>
                <w:sz w:val="26"/>
                <w:szCs w:val="26"/>
              </w:rPr>
              <w:t>S</w:t>
            </w:r>
            <w:r w:rsidR="00F27F14" w:rsidRPr="00B662AA">
              <w:rPr>
                <w:sz w:val="26"/>
                <w:szCs w:val="26"/>
              </w:rPr>
              <w:t>odu likumu. Sodu likumā bija ietvertas daudzas tiesību normas, kuras paredzēja atbildī</w:t>
            </w:r>
            <w:r w:rsidR="00FE1CBE" w:rsidRPr="00B662AA">
              <w:rPr>
                <w:sz w:val="26"/>
                <w:szCs w:val="26"/>
              </w:rPr>
              <w:t>bu nevis par noziedzīgiem nodarījumiem</w:t>
            </w:r>
            <w:r w:rsidR="00F27F14" w:rsidRPr="00B662AA">
              <w:rPr>
                <w:sz w:val="26"/>
                <w:szCs w:val="26"/>
              </w:rPr>
              <w:t>, bet par administratīvu noteikumu pārkāpšanu. Līdz ar to Sodu likumā līdztekus kriminālsodiem tika kodificēti arī administratīvie sodi.</w:t>
            </w:r>
          </w:p>
          <w:p w:rsidR="009F56B1" w:rsidRPr="00B662AA" w:rsidRDefault="00724D2D" w:rsidP="00B662AA">
            <w:pPr>
              <w:tabs>
                <w:tab w:val="left" w:pos="720"/>
              </w:tabs>
              <w:ind w:right="140"/>
              <w:jc w:val="both"/>
              <w:rPr>
                <w:sz w:val="26"/>
                <w:szCs w:val="26"/>
              </w:rPr>
            </w:pPr>
            <w:r w:rsidRPr="00B662AA">
              <w:rPr>
                <w:sz w:val="26"/>
                <w:szCs w:val="26"/>
              </w:rPr>
              <w:t xml:space="preserve">         </w:t>
            </w:r>
            <w:r w:rsidR="0027452D" w:rsidRPr="00B662AA">
              <w:rPr>
                <w:sz w:val="26"/>
                <w:szCs w:val="26"/>
              </w:rPr>
              <w:t>1917. gada 30. maijā, pieņemot valdības noteikumus „Par administratīvo lietu tiesām”</w:t>
            </w:r>
            <w:r w:rsidR="003C42C9" w:rsidRPr="00B662AA">
              <w:rPr>
                <w:sz w:val="26"/>
                <w:szCs w:val="26"/>
              </w:rPr>
              <w:t xml:space="preserve">, </w:t>
            </w:r>
            <w:r w:rsidR="0027452D" w:rsidRPr="00B662AA">
              <w:rPr>
                <w:sz w:val="26"/>
                <w:szCs w:val="26"/>
              </w:rPr>
              <w:t>pirmo reizi Latvijas tiesību vēsturē administratīvā jurisdikcija tika nošķirta no vispārējās. Administratīvo tiesu tiesneši tika pielīdzināti apgabala tiesnešiem, un šo tiesu jurisdikcijā ietilpa valdības komisāru protestu, par valdības iestāžu un vietējo iestāžu darbību iesnigto sūdzību izskatīšana</w:t>
            </w:r>
            <w:r w:rsidR="003C42C9" w:rsidRPr="00B662AA">
              <w:rPr>
                <w:sz w:val="26"/>
                <w:szCs w:val="26"/>
                <w:vertAlign w:val="superscript"/>
              </w:rPr>
              <w:footnoteReference w:id="1"/>
            </w:r>
            <w:r w:rsidR="0027452D" w:rsidRPr="00B662AA">
              <w:rPr>
                <w:sz w:val="26"/>
                <w:szCs w:val="26"/>
              </w:rPr>
              <w:t>.</w:t>
            </w:r>
            <w:r w:rsidR="003C42C9" w:rsidRPr="00B662AA">
              <w:rPr>
                <w:sz w:val="26"/>
                <w:szCs w:val="26"/>
              </w:rPr>
              <w:t xml:space="preserve"> Administratīvo tiesu jurisdikcijai pakļāva zemes un pārtikas komiteju lēmumu izvērtēšanu un dažādu padomju darbības likumības izvērtēšanu. Tika izveidota trīspakāpju administratīvo tiesu hierarhija. Līdz ar to jau 1917. gadā tika nodalītas administratīvās tiesības no administratīvo pārkāpumu tiesībām, proti, lietas par administratīvajiem pārkāpumiem turpināja izskatīt vispārējās jurisdikcijas tiesas, piemērojot kriminālprocesa noteikumus.</w:t>
            </w:r>
          </w:p>
          <w:p w:rsidR="002E37C0" w:rsidRPr="00B662AA" w:rsidRDefault="00724D2D" w:rsidP="00B662AA">
            <w:pPr>
              <w:tabs>
                <w:tab w:val="left" w:pos="720"/>
              </w:tabs>
              <w:ind w:right="140"/>
              <w:jc w:val="both"/>
              <w:rPr>
                <w:sz w:val="26"/>
                <w:szCs w:val="26"/>
              </w:rPr>
            </w:pPr>
            <w:r w:rsidRPr="00B662AA">
              <w:rPr>
                <w:sz w:val="26"/>
                <w:szCs w:val="26"/>
              </w:rPr>
              <w:t xml:space="preserve">          </w:t>
            </w:r>
            <w:r w:rsidR="003C42C9" w:rsidRPr="00B662AA">
              <w:rPr>
                <w:sz w:val="26"/>
                <w:szCs w:val="26"/>
              </w:rPr>
              <w:t xml:space="preserve">Pēc Latvijas Republikas neatkarības proklamēšanas 1918. gada 18. novembrī, tika uzsākts darbs pie Sodu likuma, kas stājās spēkā 1933. gada 1. augustā, un kas bija kompromiss starp </w:t>
            </w:r>
            <w:r w:rsidR="00FE405F" w:rsidRPr="00B662AA">
              <w:rPr>
                <w:sz w:val="26"/>
                <w:szCs w:val="26"/>
              </w:rPr>
              <w:t>pilnīgi jauna tiesiskā regulējuma</w:t>
            </w:r>
            <w:r w:rsidR="003C42C9" w:rsidRPr="00B662AA">
              <w:rPr>
                <w:sz w:val="26"/>
                <w:szCs w:val="26"/>
              </w:rPr>
              <w:t xml:space="preserve"> izstrādi un veco cariskās Krievijas 1903. gada Sodu likumu.</w:t>
            </w:r>
          </w:p>
          <w:p w:rsidR="00B10326" w:rsidRPr="00B662AA" w:rsidRDefault="009A45A0" w:rsidP="00B662AA">
            <w:pPr>
              <w:tabs>
                <w:tab w:val="left" w:pos="720"/>
              </w:tabs>
              <w:ind w:right="140" w:firstLine="567"/>
              <w:jc w:val="both"/>
              <w:rPr>
                <w:sz w:val="26"/>
                <w:szCs w:val="26"/>
              </w:rPr>
            </w:pPr>
            <w:r w:rsidRPr="00B662AA">
              <w:rPr>
                <w:sz w:val="26"/>
                <w:szCs w:val="26"/>
              </w:rPr>
              <w:t>A</w:t>
            </w:r>
            <w:r w:rsidR="00B10326" w:rsidRPr="00B662AA">
              <w:rPr>
                <w:sz w:val="26"/>
                <w:szCs w:val="26"/>
              </w:rPr>
              <w:t xml:space="preserve">dministratīvo atbildību regulējošās tiesību normas saglabāja Sodu likumā, un atbildība par administratīvi </w:t>
            </w:r>
            <w:r w:rsidR="00B10326" w:rsidRPr="00B662AA">
              <w:rPr>
                <w:sz w:val="26"/>
                <w:szCs w:val="26"/>
              </w:rPr>
              <w:lastRenderedPageBreak/>
              <w:t xml:space="preserve">tiesiskajiem pārkāpumiem </w:t>
            </w:r>
            <w:r w:rsidR="00E71B98" w:rsidRPr="00B662AA">
              <w:rPr>
                <w:sz w:val="26"/>
                <w:szCs w:val="26"/>
              </w:rPr>
              <w:t>nevienā no šiem tiesību sistēmas transformācijas periodiem netika pielīdzināta valsts pārvaldes institūciju izdotajiem administratīvajiem aktiem.</w:t>
            </w:r>
          </w:p>
          <w:p w:rsidR="00EA1951" w:rsidRPr="00B662AA" w:rsidRDefault="00724D2D" w:rsidP="00B662AA">
            <w:pPr>
              <w:pStyle w:val="CommentText"/>
              <w:ind w:right="140"/>
              <w:jc w:val="both"/>
              <w:rPr>
                <w:sz w:val="26"/>
                <w:szCs w:val="26"/>
              </w:rPr>
            </w:pPr>
            <w:r w:rsidRPr="00B662AA">
              <w:rPr>
                <w:sz w:val="26"/>
                <w:szCs w:val="26"/>
              </w:rPr>
              <w:t xml:space="preserve">          </w:t>
            </w:r>
            <w:r w:rsidR="00211698" w:rsidRPr="00B662AA">
              <w:rPr>
                <w:sz w:val="26"/>
                <w:szCs w:val="26"/>
              </w:rPr>
              <w:t xml:space="preserve">Pēc Latvijas neatkarības atjaunošanas </w:t>
            </w:r>
            <w:r w:rsidR="00EA1951" w:rsidRPr="00B662AA">
              <w:rPr>
                <w:sz w:val="26"/>
                <w:szCs w:val="26"/>
              </w:rPr>
              <w:t>1984.gada 7.decembrī Latvija</w:t>
            </w:r>
            <w:r w:rsidR="00413D97" w:rsidRPr="00B662AA">
              <w:rPr>
                <w:sz w:val="26"/>
                <w:szCs w:val="26"/>
              </w:rPr>
              <w:t>s PSR Augstākā padomē pieņemtā</w:t>
            </w:r>
            <w:r w:rsidR="00EA1951" w:rsidRPr="00B662AA">
              <w:rPr>
                <w:sz w:val="26"/>
                <w:szCs w:val="26"/>
              </w:rPr>
              <w:t xml:space="preserve"> LAPK</w:t>
            </w:r>
            <w:r w:rsidR="00413D97" w:rsidRPr="00B662AA">
              <w:rPr>
                <w:sz w:val="26"/>
                <w:szCs w:val="26"/>
              </w:rPr>
              <w:t xml:space="preserve"> procesuālais regulējums nav sistēmiski pārskatīts, ir veikti daudzi fragmentāri grozījumi, bez kopēja skatījuma uz procesu kopumā.</w:t>
            </w:r>
          </w:p>
          <w:p w:rsidR="00101CAC" w:rsidRPr="00B662AA" w:rsidRDefault="00724D2D" w:rsidP="00B662AA">
            <w:pPr>
              <w:tabs>
                <w:tab w:val="left" w:pos="720"/>
              </w:tabs>
              <w:ind w:right="140"/>
              <w:jc w:val="both"/>
              <w:rPr>
                <w:sz w:val="26"/>
                <w:szCs w:val="26"/>
              </w:rPr>
            </w:pPr>
            <w:r w:rsidRPr="00B662AA">
              <w:rPr>
                <w:sz w:val="26"/>
                <w:szCs w:val="26"/>
              </w:rPr>
              <w:t xml:space="preserve">        </w:t>
            </w:r>
            <w:r w:rsidR="009F778E" w:rsidRPr="00B662AA">
              <w:rPr>
                <w:sz w:val="26"/>
                <w:szCs w:val="26"/>
              </w:rPr>
              <w:t>Atbilstoši 1991. gada 29. augusta Latvijas Republikas Augstākās padomes lēmuma “Par Latvijas PSR likumdošanas aktu piemērošanu Latvijas Republikas teritorijā” 2. punktam tika noteikts, ka līdz jaunu Latvijas Republikas kodeksu pieņemšanai visi Latvijas PSR kodeksi jāuzskata par Latvijas kodeksiem. Tādējādi kopš 1991. gada 29. augusta no Latvijas PSR administratīvo pārkāpumu kodeksa nosaukuma tika izņemts vārdu saīsinājums “PSR” un svītrots regulējums, kas neatbilda Latvijas Republikas valsts iekārtai, taču administratīvās atbildības principi un sodu sistēma tika saglabāta.</w:t>
            </w:r>
          </w:p>
          <w:p w:rsidR="00101CAC" w:rsidRPr="00B662AA" w:rsidRDefault="00724D2D" w:rsidP="00B662AA">
            <w:pPr>
              <w:tabs>
                <w:tab w:val="left" w:pos="720"/>
              </w:tabs>
              <w:ind w:right="140"/>
              <w:jc w:val="both"/>
              <w:rPr>
                <w:sz w:val="26"/>
                <w:szCs w:val="26"/>
              </w:rPr>
            </w:pPr>
            <w:r w:rsidRPr="00B662AA">
              <w:rPr>
                <w:sz w:val="26"/>
                <w:szCs w:val="26"/>
              </w:rPr>
              <w:t xml:space="preserve">         </w:t>
            </w:r>
            <w:r w:rsidR="009F778E" w:rsidRPr="00B662AA">
              <w:rPr>
                <w:sz w:val="26"/>
                <w:szCs w:val="26"/>
              </w:rPr>
              <w:t>Līdz ar to šobrīd Latvijā ir spēkā administratīvās atbildības tiesiskais regulējums, kas pārņemts no so</w:t>
            </w:r>
            <w:r w:rsidR="007C0CE8" w:rsidRPr="00B662AA">
              <w:rPr>
                <w:sz w:val="26"/>
                <w:szCs w:val="26"/>
              </w:rPr>
              <w:t>ciālistiskās tiesību skolas.</w:t>
            </w:r>
          </w:p>
          <w:p w:rsidR="00FD61BF" w:rsidRPr="00B662AA" w:rsidRDefault="009F778E" w:rsidP="00B662AA">
            <w:pPr>
              <w:tabs>
                <w:tab w:val="left" w:pos="720"/>
              </w:tabs>
              <w:ind w:right="140" w:firstLine="567"/>
              <w:jc w:val="both"/>
              <w:rPr>
                <w:sz w:val="26"/>
                <w:szCs w:val="26"/>
              </w:rPr>
            </w:pPr>
            <w:r w:rsidRPr="00B662AA">
              <w:rPr>
                <w:sz w:val="26"/>
                <w:szCs w:val="26"/>
              </w:rPr>
              <w:t xml:space="preserve">Vēl jo vairāk tiesisko situāciju sarežģī apstāklis, ka lēmumi administratīvo pārkāpumu lietās tiek </w:t>
            </w:r>
            <w:r w:rsidR="007C0CE8" w:rsidRPr="00B662AA">
              <w:rPr>
                <w:sz w:val="26"/>
                <w:szCs w:val="26"/>
              </w:rPr>
              <w:t>pielīdzināti</w:t>
            </w:r>
            <w:r w:rsidRPr="00B662AA">
              <w:rPr>
                <w:sz w:val="26"/>
                <w:szCs w:val="26"/>
              </w:rPr>
              <w:t xml:space="preserve"> </w:t>
            </w:r>
            <w:r w:rsidR="007C0CE8" w:rsidRPr="00B662AA">
              <w:rPr>
                <w:sz w:val="26"/>
                <w:szCs w:val="26"/>
              </w:rPr>
              <w:t>administratīvajiem aktiem. A</w:t>
            </w:r>
            <w:r w:rsidR="00D40E4C" w:rsidRPr="00B662AA">
              <w:rPr>
                <w:sz w:val="26"/>
                <w:szCs w:val="26"/>
              </w:rPr>
              <w:t xml:space="preserve">dministratīvo pārkāpumu lietas būtiski atšķiras no </w:t>
            </w:r>
            <w:r w:rsidR="00162A7F" w:rsidRPr="00B662AA">
              <w:rPr>
                <w:sz w:val="26"/>
                <w:szCs w:val="26"/>
              </w:rPr>
              <w:t xml:space="preserve">pārējām </w:t>
            </w:r>
            <w:r w:rsidR="00D40E4C" w:rsidRPr="00B662AA">
              <w:rPr>
                <w:sz w:val="26"/>
                <w:szCs w:val="26"/>
              </w:rPr>
              <w:t>administratīvajām lietām, proti, administratīvo pārkāpumu procesā pret personu tiek piemērota ne tikai valsts pārvaldes vara, kā tas ir jebkurā administratīvajā procesā, bet tiek realizēta arī sodošā funkcija, proti, persona tiek administratīvi sodīta par prettiesisku rīcību ar likumā noteiktā soda piemērošanu</w:t>
            </w:r>
            <w:r w:rsidR="007C0CE8" w:rsidRPr="00B662AA">
              <w:rPr>
                <w:sz w:val="26"/>
                <w:szCs w:val="26"/>
              </w:rPr>
              <w:t>.</w:t>
            </w:r>
            <w:r w:rsidR="00101CAC" w:rsidRPr="00B662AA">
              <w:rPr>
                <w:rFonts w:eastAsiaTheme="minorHAnsi"/>
                <w:sz w:val="26"/>
                <w:szCs w:val="26"/>
                <w:lang w:eastAsia="en-US"/>
              </w:rPr>
              <w:t xml:space="preserve"> </w:t>
            </w:r>
          </w:p>
          <w:p w:rsidR="00FD61BF" w:rsidRPr="00B662AA" w:rsidRDefault="007C0CE8" w:rsidP="00B662AA">
            <w:pPr>
              <w:tabs>
                <w:tab w:val="left" w:pos="720"/>
              </w:tabs>
              <w:ind w:right="140" w:firstLine="567"/>
              <w:jc w:val="both"/>
              <w:rPr>
                <w:sz w:val="26"/>
                <w:szCs w:val="26"/>
              </w:rPr>
            </w:pPr>
            <w:r w:rsidRPr="00B662AA">
              <w:rPr>
                <w:sz w:val="26"/>
                <w:szCs w:val="26"/>
              </w:rPr>
              <w:t xml:space="preserve">Līdz ar to </w:t>
            </w:r>
            <w:r w:rsidR="00D40E4C" w:rsidRPr="00B662AA">
              <w:rPr>
                <w:sz w:val="26"/>
                <w:szCs w:val="26"/>
              </w:rPr>
              <w:t>administratīvo sodu piemērošanas process pēc būtības ir</w:t>
            </w:r>
            <w:r w:rsidR="00023A9C" w:rsidRPr="00B662AA">
              <w:rPr>
                <w:sz w:val="26"/>
                <w:szCs w:val="26"/>
              </w:rPr>
              <w:t xml:space="preserve"> pielīdzināms kriminālprocesam.</w:t>
            </w:r>
            <w:r w:rsidR="00CD62B7" w:rsidRPr="00B662AA">
              <w:rPr>
                <w:sz w:val="26"/>
                <w:szCs w:val="26"/>
              </w:rPr>
              <w:t xml:space="preserve"> Tādējādi līdz šim noteiktais tiesiskais regulējums, ka administratīvo pārkāpumu lietas ir skatāmas administratīvajās </w:t>
            </w:r>
            <w:r w:rsidR="005F7E1F" w:rsidRPr="00B662AA">
              <w:rPr>
                <w:sz w:val="26"/>
                <w:szCs w:val="26"/>
              </w:rPr>
              <w:t xml:space="preserve">tiesās, uzskatāms par kļūdainu un </w:t>
            </w:r>
            <w:r w:rsidR="00CD62B7" w:rsidRPr="00B662AA">
              <w:rPr>
                <w:sz w:val="26"/>
                <w:szCs w:val="26"/>
              </w:rPr>
              <w:t>līdz galam neizsvērtu</w:t>
            </w:r>
            <w:r w:rsidR="005F7E1F" w:rsidRPr="00B662AA">
              <w:rPr>
                <w:sz w:val="26"/>
                <w:szCs w:val="26"/>
              </w:rPr>
              <w:t xml:space="preserve"> lēmumu</w:t>
            </w:r>
            <w:r w:rsidR="00CD62B7" w:rsidRPr="00B662AA">
              <w:rPr>
                <w:sz w:val="26"/>
                <w:szCs w:val="26"/>
              </w:rPr>
              <w:t xml:space="preserve">, kas radīja maldīgu priekšstatu par </w:t>
            </w:r>
            <w:r w:rsidR="002F3133" w:rsidRPr="00B662AA">
              <w:rPr>
                <w:sz w:val="26"/>
                <w:szCs w:val="26"/>
              </w:rPr>
              <w:t xml:space="preserve">administratīvo pārkāpumu </w:t>
            </w:r>
            <w:r w:rsidR="00CD62B7" w:rsidRPr="00B662AA">
              <w:rPr>
                <w:sz w:val="26"/>
                <w:szCs w:val="26"/>
              </w:rPr>
              <w:t xml:space="preserve">lietu piederību administratīvajam procesam. </w:t>
            </w:r>
          </w:p>
          <w:p w:rsidR="009F778E" w:rsidRPr="00B662AA" w:rsidRDefault="001B1347" w:rsidP="000466D7">
            <w:pPr>
              <w:tabs>
                <w:tab w:val="left" w:pos="720"/>
              </w:tabs>
              <w:ind w:right="140" w:firstLine="567"/>
              <w:jc w:val="both"/>
              <w:rPr>
                <w:sz w:val="26"/>
                <w:szCs w:val="26"/>
              </w:rPr>
            </w:pPr>
            <w:r w:rsidRPr="00B662AA">
              <w:rPr>
                <w:sz w:val="26"/>
                <w:szCs w:val="26"/>
              </w:rPr>
              <w:t>Kā atzinusi Eiropas Cilvēktiesību tiesa</w:t>
            </w:r>
            <w:r w:rsidR="00101CAC" w:rsidRPr="00B662AA">
              <w:rPr>
                <w:sz w:val="26"/>
                <w:szCs w:val="26"/>
              </w:rPr>
              <w:t xml:space="preserve"> </w:t>
            </w:r>
            <w:r w:rsidR="00101CAC" w:rsidRPr="00B662AA">
              <w:rPr>
                <w:i/>
                <w:sz w:val="26"/>
                <w:szCs w:val="26"/>
              </w:rPr>
              <w:t>“</w:t>
            </w:r>
            <w:proofErr w:type="spellStart"/>
            <w:r w:rsidR="00101CAC" w:rsidRPr="00B662AA">
              <w:rPr>
                <w:i/>
                <w:sz w:val="26"/>
                <w:szCs w:val="26"/>
              </w:rPr>
              <w:t>Pfarrmeier</w:t>
            </w:r>
            <w:proofErr w:type="spellEnd"/>
            <w:r w:rsidR="00101CAC" w:rsidRPr="00B662AA">
              <w:rPr>
                <w:i/>
                <w:sz w:val="26"/>
                <w:szCs w:val="26"/>
              </w:rPr>
              <w:t xml:space="preserve"> v. </w:t>
            </w:r>
            <w:proofErr w:type="spellStart"/>
            <w:r w:rsidR="00101CAC" w:rsidRPr="00B662AA">
              <w:rPr>
                <w:i/>
                <w:sz w:val="26"/>
                <w:szCs w:val="26"/>
              </w:rPr>
              <w:t>Austria</w:t>
            </w:r>
            <w:proofErr w:type="spellEnd"/>
            <w:r w:rsidR="00101CAC" w:rsidRPr="00B662AA">
              <w:rPr>
                <w:i/>
                <w:sz w:val="26"/>
                <w:szCs w:val="26"/>
              </w:rPr>
              <w:t>”</w:t>
            </w:r>
            <w:r w:rsidRPr="00B662AA">
              <w:rPr>
                <w:i/>
                <w:sz w:val="26"/>
                <w:szCs w:val="26"/>
              </w:rPr>
              <w:t>,</w:t>
            </w:r>
            <w:r w:rsidR="00101CAC" w:rsidRPr="00B662AA">
              <w:rPr>
                <w:i/>
                <w:sz w:val="26"/>
                <w:szCs w:val="26"/>
              </w:rPr>
              <w:t xml:space="preserve"> “</w:t>
            </w:r>
            <w:proofErr w:type="spellStart"/>
            <w:r w:rsidR="00101CAC" w:rsidRPr="00B662AA">
              <w:rPr>
                <w:i/>
                <w:sz w:val="26"/>
                <w:szCs w:val="26"/>
              </w:rPr>
              <w:t>Engel</w:t>
            </w:r>
            <w:proofErr w:type="spellEnd"/>
            <w:r w:rsidR="00101CAC" w:rsidRPr="00B662AA">
              <w:rPr>
                <w:i/>
                <w:sz w:val="26"/>
                <w:szCs w:val="26"/>
              </w:rPr>
              <w:t xml:space="preserve"> </w:t>
            </w:r>
            <w:proofErr w:type="spellStart"/>
            <w:r w:rsidR="00101CAC" w:rsidRPr="00B662AA">
              <w:rPr>
                <w:i/>
                <w:sz w:val="26"/>
                <w:szCs w:val="26"/>
              </w:rPr>
              <w:t>and</w:t>
            </w:r>
            <w:proofErr w:type="spellEnd"/>
            <w:r w:rsidR="00101CAC" w:rsidRPr="00B662AA">
              <w:rPr>
                <w:i/>
                <w:sz w:val="26"/>
                <w:szCs w:val="26"/>
              </w:rPr>
              <w:t xml:space="preserve"> </w:t>
            </w:r>
            <w:proofErr w:type="spellStart"/>
            <w:r w:rsidR="00101CAC" w:rsidRPr="00B662AA">
              <w:rPr>
                <w:i/>
                <w:sz w:val="26"/>
                <w:szCs w:val="26"/>
              </w:rPr>
              <w:t>others</w:t>
            </w:r>
            <w:proofErr w:type="spellEnd"/>
            <w:r w:rsidR="00101CAC" w:rsidRPr="00B662AA">
              <w:rPr>
                <w:i/>
                <w:sz w:val="26"/>
                <w:szCs w:val="26"/>
              </w:rPr>
              <w:t xml:space="preserve"> v. </w:t>
            </w:r>
            <w:proofErr w:type="spellStart"/>
            <w:r w:rsidR="00101CAC" w:rsidRPr="00B662AA">
              <w:rPr>
                <w:i/>
                <w:sz w:val="26"/>
                <w:szCs w:val="26"/>
              </w:rPr>
              <w:t>the</w:t>
            </w:r>
            <w:proofErr w:type="spellEnd"/>
            <w:r w:rsidR="00101CAC" w:rsidRPr="00B662AA">
              <w:rPr>
                <w:i/>
                <w:sz w:val="26"/>
                <w:szCs w:val="26"/>
              </w:rPr>
              <w:t xml:space="preserve"> </w:t>
            </w:r>
            <w:proofErr w:type="spellStart"/>
            <w:r w:rsidR="00101CAC" w:rsidRPr="00B662AA">
              <w:rPr>
                <w:i/>
                <w:sz w:val="26"/>
                <w:szCs w:val="26"/>
              </w:rPr>
              <w:t>Netherlands</w:t>
            </w:r>
            <w:proofErr w:type="spellEnd"/>
            <w:r w:rsidR="00101CAC" w:rsidRPr="00B662AA">
              <w:rPr>
                <w:i/>
                <w:sz w:val="26"/>
                <w:szCs w:val="26"/>
              </w:rPr>
              <w:t>”</w:t>
            </w:r>
            <w:r w:rsidRPr="00B662AA">
              <w:rPr>
                <w:sz w:val="26"/>
                <w:szCs w:val="26"/>
              </w:rPr>
              <w:t xml:space="preserve"> administratīvo pārkāpumu lietās privātpersonai ir tiesības uz līdzvērtīgām procesuālajām garantijām lietas izskatīšanā kā kriminālprocesā. Šāda nostāja argumentēta ar administratīvo pārkāpumu sodu krimināltiesisko raksturu. </w:t>
            </w:r>
          </w:p>
          <w:p w:rsidR="00FD61BF" w:rsidRPr="00B662AA" w:rsidRDefault="00722D11" w:rsidP="00B662AA">
            <w:pPr>
              <w:pStyle w:val="BodyText"/>
              <w:tabs>
                <w:tab w:val="left" w:pos="720"/>
              </w:tabs>
              <w:ind w:right="140" w:firstLine="567"/>
              <w:jc w:val="both"/>
              <w:rPr>
                <w:b w:val="0"/>
                <w:bCs w:val="0"/>
                <w:szCs w:val="26"/>
                <w:lang w:val="lv-LV" w:eastAsia="lv-LV"/>
              </w:rPr>
            </w:pPr>
            <w:r w:rsidRPr="00B662AA">
              <w:rPr>
                <w:b w:val="0"/>
                <w:bCs w:val="0"/>
                <w:szCs w:val="26"/>
                <w:lang w:val="lv-LV" w:eastAsia="lv-LV"/>
              </w:rPr>
              <w:lastRenderedPageBreak/>
              <w:t>Eiropas Cilvēktiesību tiesas izvirzītie kritēriji par attiecīgu tiesībpārkāpumu klasifikāciju vai pielīdzināšanu k</w:t>
            </w:r>
            <w:r w:rsidR="0043216F" w:rsidRPr="00B662AA">
              <w:rPr>
                <w:b w:val="0"/>
                <w:bCs w:val="0"/>
                <w:szCs w:val="26"/>
                <w:lang w:val="lv-LV" w:eastAsia="lv-LV"/>
              </w:rPr>
              <w:t>rimināltiesību sfērai, ir vērsti</w:t>
            </w:r>
            <w:r w:rsidRPr="00B662AA">
              <w:rPr>
                <w:b w:val="0"/>
                <w:bCs w:val="0"/>
                <w:szCs w:val="26"/>
                <w:lang w:val="lv-LV" w:eastAsia="lv-LV"/>
              </w:rPr>
              <w:t xml:space="preserve"> uz privātpersonas tiesisko garantiju nodrošināšanu lietas izskatīšanas procesā. Piedēvējot šādām lietām krimināltiesisku raksturu, Eiropas Cilvēktiesību tiesa ir vērsusi uzmanību uz nepieciešamību šādu lietu izskatīšanā nodrošināt augstāku standartu procesuālajās garantijās, proti, tādu, ka</w:t>
            </w:r>
            <w:r w:rsidR="0043216F" w:rsidRPr="00B662AA">
              <w:rPr>
                <w:b w:val="0"/>
                <w:bCs w:val="0"/>
                <w:szCs w:val="26"/>
                <w:lang w:val="lv-LV" w:eastAsia="lv-LV"/>
              </w:rPr>
              <w:t xml:space="preserve">s pietuvināts kriminālprocesam. </w:t>
            </w:r>
            <w:r w:rsidRPr="00B662AA">
              <w:rPr>
                <w:b w:val="0"/>
                <w:bCs w:val="0"/>
                <w:szCs w:val="26"/>
                <w:lang w:val="lv-LV" w:eastAsia="lv-LV"/>
              </w:rPr>
              <w:t xml:space="preserve">Līdz ar to </w:t>
            </w:r>
            <w:r w:rsidR="0043216F" w:rsidRPr="00B662AA">
              <w:rPr>
                <w:b w:val="0"/>
                <w:bCs w:val="0"/>
                <w:szCs w:val="26"/>
                <w:lang w:val="lv-LV" w:eastAsia="lv-LV"/>
              </w:rPr>
              <w:t xml:space="preserve">Administratīvā procesa likumā (turpmāk – APL) </w:t>
            </w:r>
            <w:r w:rsidRPr="00B662AA">
              <w:rPr>
                <w:b w:val="0"/>
                <w:bCs w:val="0"/>
                <w:szCs w:val="26"/>
                <w:lang w:val="lv-LV" w:eastAsia="lv-LV"/>
              </w:rPr>
              <w:t>administratīvi procesuālās garantijas šādu lietu izskat</w:t>
            </w:r>
            <w:r w:rsidR="0043216F" w:rsidRPr="00B662AA">
              <w:rPr>
                <w:b w:val="0"/>
                <w:bCs w:val="0"/>
                <w:szCs w:val="26"/>
                <w:lang w:val="lv-LV" w:eastAsia="lv-LV"/>
              </w:rPr>
              <w:t>īšanā nav pietiekošas.</w:t>
            </w:r>
          </w:p>
          <w:p w:rsidR="00620CD8" w:rsidRPr="00B662AA" w:rsidRDefault="00620CD8" w:rsidP="00B662AA">
            <w:pPr>
              <w:tabs>
                <w:tab w:val="left" w:pos="567"/>
              </w:tabs>
              <w:ind w:right="140" w:firstLine="567"/>
              <w:jc w:val="both"/>
              <w:rPr>
                <w:sz w:val="26"/>
                <w:szCs w:val="26"/>
              </w:rPr>
            </w:pPr>
            <w:r w:rsidRPr="00B662AA">
              <w:rPr>
                <w:sz w:val="26"/>
                <w:szCs w:val="26"/>
              </w:rPr>
              <w:t>Pieņemot grozījumus LAPK par administratīvo pārkāpumu lietu piekritības maiņu no administratīvo tiesu jurisdikcijas uz tiesām, kurām ir kriminālā jurisdikcija, likumdevējs ir atzinis, ka administratīvo pārkāpumu lietas ir skatāmas, piemērojot krimināltiesību principus.</w:t>
            </w:r>
          </w:p>
          <w:p w:rsidR="002A7306" w:rsidRPr="00B662AA" w:rsidRDefault="00A86720" w:rsidP="000466D7">
            <w:pPr>
              <w:tabs>
                <w:tab w:val="left" w:pos="720"/>
              </w:tabs>
              <w:ind w:right="140" w:firstLine="567"/>
              <w:jc w:val="both"/>
              <w:rPr>
                <w:sz w:val="26"/>
                <w:szCs w:val="26"/>
              </w:rPr>
            </w:pPr>
            <w:r w:rsidRPr="00B662AA">
              <w:rPr>
                <w:sz w:val="26"/>
                <w:szCs w:val="26"/>
              </w:rPr>
              <w:t xml:space="preserve">Lai </w:t>
            </w:r>
            <w:r w:rsidR="00211DCC" w:rsidRPr="00B662AA">
              <w:rPr>
                <w:sz w:val="26"/>
                <w:szCs w:val="26"/>
              </w:rPr>
              <w:t xml:space="preserve">īstenotu </w:t>
            </w:r>
            <w:r w:rsidRPr="00B662AA">
              <w:rPr>
                <w:sz w:val="26"/>
                <w:szCs w:val="26"/>
              </w:rPr>
              <w:t>administratīvo pārkāpumu lietu piekritības maiņu, nepieciešams izstrādāt procesuālo regulējumu, kas nodrošinātu vispārējās jurisdikcijas tiesām iespēju skatīt administratīvo pārkāpumu lietas, ievērojot kriminālprocesuālos principus.</w:t>
            </w:r>
          </w:p>
          <w:p w:rsidR="00A86720" w:rsidRPr="00B662AA" w:rsidRDefault="00A86720" w:rsidP="00B662AA">
            <w:pPr>
              <w:tabs>
                <w:tab w:val="left" w:pos="720"/>
              </w:tabs>
              <w:ind w:right="140" w:firstLine="567"/>
              <w:jc w:val="both"/>
              <w:rPr>
                <w:sz w:val="26"/>
                <w:szCs w:val="26"/>
              </w:rPr>
            </w:pPr>
            <w:r w:rsidRPr="00B662AA">
              <w:rPr>
                <w:sz w:val="26"/>
                <w:szCs w:val="26"/>
              </w:rPr>
              <w:t xml:space="preserve">Līdz šim administratīvo pārkāpumu lietās </w:t>
            </w:r>
            <w:r w:rsidR="00AD3EBA" w:rsidRPr="00B662AA">
              <w:rPr>
                <w:sz w:val="26"/>
                <w:szCs w:val="26"/>
              </w:rPr>
              <w:t xml:space="preserve">likuma </w:t>
            </w:r>
            <w:r w:rsidRPr="00B662AA">
              <w:rPr>
                <w:sz w:val="26"/>
                <w:szCs w:val="26"/>
              </w:rPr>
              <w:t>robi LAPK procesuālajā regulējumā tika aizpildīti ar APL tiesisko regulējumu.</w:t>
            </w:r>
            <w:r w:rsidR="00B11809" w:rsidRPr="00B662AA">
              <w:rPr>
                <w:sz w:val="26"/>
                <w:szCs w:val="26"/>
              </w:rPr>
              <w:t xml:space="preserve"> Šāda pieeja nenodrošina krimināltiesību sfērai pielīdzināmu pārkāpumu procesuālo garantiju nodrošināšanu</w:t>
            </w:r>
            <w:r w:rsidR="00FA4E3C" w:rsidRPr="00B662AA">
              <w:rPr>
                <w:sz w:val="26"/>
                <w:szCs w:val="26"/>
              </w:rPr>
              <w:t>, tai skaitā praksē nepieciešams risināt virkni kolīziju starp LAPK un APL normām.</w:t>
            </w:r>
          </w:p>
          <w:p w:rsidR="000A27D6" w:rsidRPr="00B662AA" w:rsidRDefault="00051223" w:rsidP="00B662AA">
            <w:pPr>
              <w:pStyle w:val="BodyText"/>
              <w:tabs>
                <w:tab w:val="left" w:pos="720"/>
              </w:tabs>
              <w:ind w:right="140" w:firstLine="567"/>
              <w:jc w:val="both"/>
              <w:rPr>
                <w:b w:val="0"/>
                <w:bCs w:val="0"/>
                <w:szCs w:val="26"/>
                <w:lang w:val="lv-LV" w:eastAsia="lv-LV"/>
              </w:rPr>
            </w:pPr>
            <w:r w:rsidRPr="00B662AA">
              <w:rPr>
                <w:b w:val="0"/>
                <w:bCs w:val="0"/>
                <w:szCs w:val="26"/>
                <w:lang w:val="lv-LV" w:eastAsia="lv-LV"/>
              </w:rPr>
              <w:t xml:space="preserve">Administratīvā procesa stadijā tiesā, tiesas pamatfunkcija ir iestādes izdotā administratīvā </w:t>
            </w:r>
            <w:r w:rsidR="003E5719" w:rsidRPr="00B662AA">
              <w:rPr>
                <w:b w:val="0"/>
                <w:bCs w:val="0"/>
                <w:szCs w:val="26"/>
                <w:lang w:val="lv-LV" w:eastAsia="lv-LV"/>
              </w:rPr>
              <w:t xml:space="preserve">akta tiesiskuma kontrole. Turklāt </w:t>
            </w:r>
            <w:r w:rsidRPr="00B662AA">
              <w:rPr>
                <w:b w:val="0"/>
                <w:bCs w:val="0"/>
                <w:szCs w:val="26"/>
                <w:lang w:val="lv-LV" w:eastAsia="lv-LV"/>
              </w:rPr>
              <w:t xml:space="preserve">APL paredz tiesas pienākumu pierādījumus vākt pēc savas iniciatīvas, ja tie nav pietiekami. No minētā izriet, ka tiesas pienākums ir iegūt tik daudz pierādījumu lietā, lai noskaidrotu objektīvo patiesību. Savukārt krimināltiesībās </w:t>
            </w:r>
            <w:r w:rsidR="003E5719" w:rsidRPr="00B662AA">
              <w:rPr>
                <w:b w:val="0"/>
                <w:bCs w:val="0"/>
                <w:szCs w:val="26"/>
                <w:lang w:val="lv-LV" w:eastAsia="lv-LV"/>
              </w:rPr>
              <w:t xml:space="preserve">darbojas sacīkstes princips, un </w:t>
            </w:r>
            <w:r w:rsidRPr="00B662AA">
              <w:rPr>
                <w:b w:val="0"/>
                <w:bCs w:val="0"/>
                <w:szCs w:val="26"/>
                <w:lang w:val="lv-LV" w:eastAsia="lv-LV"/>
              </w:rPr>
              <w:t xml:space="preserve">tiesa pārbauda </w:t>
            </w:r>
            <w:r w:rsidR="00251A0D" w:rsidRPr="00B662AA">
              <w:rPr>
                <w:b w:val="0"/>
                <w:bCs w:val="0"/>
                <w:szCs w:val="26"/>
                <w:lang w:val="lv-LV" w:eastAsia="lv-LV"/>
              </w:rPr>
              <w:t xml:space="preserve">jau iesniegtos </w:t>
            </w:r>
            <w:r w:rsidRPr="00B662AA">
              <w:rPr>
                <w:b w:val="0"/>
                <w:bCs w:val="0"/>
                <w:szCs w:val="26"/>
                <w:lang w:val="lv-LV" w:eastAsia="lv-LV"/>
              </w:rPr>
              <w:t>pierādījumus lietā, lai noskaidrotu, vai persona ir vainojama tai inkriminētā noziedzīgā nodarījuma izdarīšanā.</w:t>
            </w:r>
          </w:p>
          <w:p w:rsidR="002A7306" w:rsidRPr="00B662AA" w:rsidRDefault="003E5719" w:rsidP="00B662AA">
            <w:pPr>
              <w:pStyle w:val="BodyText"/>
              <w:tabs>
                <w:tab w:val="left" w:pos="720"/>
              </w:tabs>
              <w:ind w:right="140" w:firstLine="567"/>
              <w:jc w:val="both"/>
              <w:rPr>
                <w:b w:val="0"/>
                <w:bCs w:val="0"/>
                <w:szCs w:val="26"/>
                <w:lang w:val="lv-LV"/>
              </w:rPr>
            </w:pPr>
            <w:r w:rsidRPr="00B662AA">
              <w:rPr>
                <w:b w:val="0"/>
                <w:bCs w:val="0"/>
                <w:szCs w:val="26"/>
                <w:lang w:val="lv-LV"/>
              </w:rPr>
              <w:t>Līdz ar to p</w:t>
            </w:r>
            <w:r w:rsidR="00722D11" w:rsidRPr="00B662AA">
              <w:rPr>
                <w:b w:val="0"/>
                <w:bCs w:val="0"/>
                <w:szCs w:val="26"/>
                <w:lang w:val="lv-LV"/>
              </w:rPr>
              <w:t>astāv būtiska atšķirība starp pierādījumu novērtēšanu administratīvo pārkāpumu lietās, piemērojot krimināltiesību principus, un administratīvo procesu tiesā, kurā tiesa veic kontroli pār iestā</w:t>
            </w:r>
            <w:r w:rsidR="0095127B" w:rsidRPr="00B662AA">
              <w:rPr>
                <w:b w:val="0"/>
                <w:bCs w:val="0"/>
                <w:szCs w:val="26"/>
                <w:lang w:val="lv-LV"/>
              </w:rPr>
              <w:t xml:space="preserve">des izdotu administratīvo aktu. </w:t>
            </w:r>
            <w:r w:rsidR="00701255" w:rsidRPr="00B662AA">
              <w:rPr>
                <w:b w:val="0"/>
                <w:bCs w:val="0"/>
                <w:szCs w:val="26"/>
                <w:lang w:val="lv-LV"/>
              </w:rPr>
              <w:t>O</w:t>
            </w:r>
            <w:r w:rsidR="00722D11" w:rsidRPr="00B662AA">
              <w:rPr>
                <w:b w:val="0"/>
                <w:bCs w:val="0"/>
                <w:szCs w:val="26"/>
                <w:lang w:val="lv-LV"/>
              </w:rPr>
              <w:t>bjektīvās izmeklēšanas princip</w:t>
            </w:r>
            <w:r w:rsidR="00701255" w:rsidRPr="00B662AA">
              <w:rPr>
                <w:b w:val="0"/>
                <w:bCs w:val="0"/>
                <w:szCs w:val="26"/>
                <w:lang w:val="lv-LV"/>
              </w:rPr>
              <w:t xml:space="preserve">s </w:t>
            </w:r>
            <w:r w:rsidR="00722D11" w:rsidRPr="00B662AA">
              <w:rPr>
                <w:b w:val="0"/>
                <w:bCs w:val="0"/>
                <w:szCs w:val="26"/>
                <w:lang w:val="lv-LV"/>
              </w:rPr>
              <w:t xml:space="preserve">nav savienojams ar krimināltiesībās ietverto </w:t>
            </w:r>
            <w:r w:rsidR="008C3E34" w:rsidRPr="00B662AA">
              <w:rPr>
                <w:b w:val="0"/>
                <w:bCs w:val="0"/>
                <w:szCs w:val="26"/>
                <w:lang w:val="lv-LV"/>
              </w:rPr>
              <w:t>nevainīguma prezumpcijas principu.</w:t>
            </w:r>
          </w:p>
          <w:p w:rsidR="000D1E50" w:rsidRPr="00B662AA" w:rsidRDefault="0095127B" w:rsidP="00B662AA">
            <w:pPr>
              <w:pStyle w:val="BodyText"/>
              <w:tabs>
                <w:tab w:val="left" w:pos="720"/>
              </w:tabs>
              <w:ind w:right="140" w:firstLine="567"/>
              <w:jc w:val="both"/>
              <w:rPr>
                <w:b w:val="0"/>
                <w:bCs w:val="0"/>
                <w:szCs w:val="26"/>
                <w:lang w:val="lv-LV"/>
              </w:rPr>
            </w:pPr>
            <w:r w:rsidRPr="00B662AA">
              <w:rPr>
                <w:b w:val="0"/>
                <w:bCs w:val="0"/>
                <w:szCs w:val="26"/>
                <w:lang w:val="lv-LV"/>
              </w:rPr>
              <w:t xml:space="preserve">Šobrīd praksē </w:t>
            </w:r>
            <w:r w:rsidR="00EA14E4" w:rsidRPr="00B662AA">
              <w:rPr>
                <w:b w:val="0"/>
                <w:bCs w:val="0"/>
                <w:szCs w:val="26"/>
                <w:lang w:val="lv-LV"/>
              </w:rPr>
              <w:t xml:space="preserve">administratīvo pārkāpumu lietās </w:t>
            </w:r>
            <w:r w:rsidRPr="00B662AA">
              <w:rPr>
                <w:b w:val="0"/>
                <w:bCs w:val="0"/>
                <w:szCs w:val="26"/>
                <w:lang w:val="lv-LV"/>
              </w:rPr>
              <w:t>tiesas piemēro objektīvās izmeklēšanas principu</w:t>
            </w:r>
            <w:r w:rsidR="0065056F" w:rsidRPr="00B662AA">
              <w:rPr>
                <w:b w:val="0"/>
                <w:bCs w:val="0"/>
                <w:szCs w:val="26"/>
                <w:lang w:val="lv-LV"/>
              </w:rPr>
              <w:t xml:space="preserve"> un nepieciešamības </w:t>
            </w:r>
            <w:r w:rsidR="0065056F" w:rsidRPr="00B662AA">
              <w:rPr>
                <w:b w:val="0"/>
                <w:bCs w:val="0"/>
                <w:szCs w:val="26"/>
                <w:lang w:val="lv-LV"/>
              </w:rPr>
              <w:lastRenderedPageBreak/>
              <w:t xml:space="preserve">gadījumā iegūst papildus pierādījumus, lai nostiprinātu iestādes iegūtos faktus, kas apliecina pie administratīvās atbildības sauktās personas vainu. </w:t>
            </w:r>
          </w:p>
          <w:p w:rsidR="00130A33" w:rsidRPr="00B662AA" w:rsidRDefault="00724D2D" w:rsidP="00B662AA">
            <w:pPr>
              <w:pStyle w:val="BodyText"/>
              <w:tabs>
                <w:tab w:val="left" w:pos="720"/>
              </w:tabs>
              <w:ind w:right="140"/>
              <w:jc w:val="both"/>
              <w:rPr>
                <w:b w:val="0"/>
                <w:bCs w:val="0"/>
                <w:szCs w:val="26"/>
                <w:lang w:val="lv-LV"/>
              </w:rPr>
            </w:pPr>
            <w:r w:rsidRPr="00B662AA">
              <w:rPr>
                <w:b w:val="0"/>
                <w:bCs w:val="0"/>
                <w:szCs w:val="26"/>
                <w:lang w:val="lv-LV"/>
              </w:rPr>
              <w:t xml:space="preserve">        </w:t>
            </w:r>
            <w:r w:rsidR="008D30E1" w:rsidRPr="00B662AA">
              <w:rPr>
                <w:b w:val="0"/>
                <w:bCs w:val="0"/>
                <w:szCs w:val="26"/>
                <w:lang w:val="lv-LV"/>
              </w:rPr>
              <w:t xml:space="preserve">Vienlaikus LAPK ietvertais pierādīšanas standarts ir novecojis un neatbilst krimināltiesību izpratnei par to, kādas metodes izmantojamas personas vainas pierādīšanā. </w:t>
            </w:r>
            <w:r w:rsidR="00BF0D58" w:rsidRPr="00B662AA">
              <w:rPr>
                <w:b w:val="0"/>
                <w:bCs w:val="0"/>
                <w:szCs w:val="26"/>
                <w:lang w:val="lv-LV"/>
              </w:rPr>
              <w:t xml:space="preserve">Šobrīd praksē tiek pieļauta situācija, kurā pierādījumus, kas iegūti ar tiesiskām metodēm, bet pieļaujot procesuālus pārkāpumus, </w:t>
            </w:r>
            <w:r w:rsidR="00E92CBF" w:rsidRPr="00B662AA">
              <w:rPr>
                <w:b w:val="0"/>
                <w:bCs w:val="0"/>
                <w:szCs w:val="26"/>
                <w:lang w:val="lv-LV"/>
              </w:rPr>
              <w:t xml:space="preserve">atzīst par pieļaujamiem </w:t>
            </w:r>
            <w:r w:rsidR="00BF0D58" w:rsidRPr="00B662AA">
              <w:rPr>
                <w:b w:val="0"/>
                <w:bCs w:val="0"/>
                <w:szCs w:val="26"/>
                <w:lang w:val="lv-LV"/>
              </w:rPr>
              <w:t>personas vainas pierādīšan</w:t>
            </w:r>
            <w:r w:rsidR="00006B9A" w:rsidRPr="00B662AA">
              <w:rPr>
                <w:b w:val="0"/>
                <w:bCs w:val="0"/>
                <w:szCs w:val="26"/>
                <w:lang w:val="lv-LV"/>
              </w:rPr>
              <w:t>ā, ja lietā iegūti vēl citi pierādījumi, kas apliecina minēto pierādījumu ticamību.</w:t>
            </w:r>
          </w:p>
          <w:p w:rsidR="008938AD" w:rsidRPr="00B662AA" w:rsidRDefault="00C67F60" w:rsidP="000466D7">
            <w:pPr>
              <w:tabs>
                <w:tab w:val="left" w:pos="720"/>
              </w:tabs>
              <w:ind w:right="140" w:firstLine="567"/>
              <w:jc w:val="both"/>
              <w:rPr>
                <w:sz w:val="26"/>
                <w:szCs w:val="26"/>
              </w:rPr>
            </w:pPr>
            <w:r w:rsidRPr="00B662AA">
              <w:rPr>
                <w:sz w:val="26"/>
                <w:szCs w:val="26"/>
              </w:rPr>
              <w:t>LAPK nav skaidra tiesiskā regulējuma attiecībā uz administratīvā pārk</w:t>
            </w:r>
            <w:r w:rsidR="00D87F58" w:rsidRPr="00B662AA">
              <w:rPr>
                <w:sz w:val="26"/>
                <w:szCs w:val="26"/>
              </w:rPr>
              <w:t>āpuma protokola juridisko dabu</w:t>
            </w:r>
            <w:r w:rsidRPr="00B662AA">
              <w:rPr>
                <w:sz w:val="26"/>
                <w:szCs w:val="26"/>
              </w:rPr>
              <w:t xml:space="preserve">. </w:t>
            </w:r>
            <w:r w:rsidR="00D87F58" w:rsidRPr="00B662AA">
              <w:rPr>
                <w:sz w:val="26"/>
                <w:szCs w:val="26"/>
              </w:rPr>
              <w:t>Administ</w:t>
            </w:r>
            <w:r w:rsidR="005B6BC5" w:rsidRPr="00B662AA">
              <w:rPr>
                <w:sz w:val="26"/>
                <w:szCs w:val="26"/>
              </w:rPr>
              <w:t xml:space="preserve">ratīvā pārkāpuma </w:t>
            </w:r>
            <w:r w:rsidR="00722D11" w:rsidRPr="00B662AA">
              <w:rPr>
                <w:sz w:val="26"/>
                <w:szCs w:val="26"/>
              </w:rPr>
              <w:t>protokola sastādīšana ir pielīdzināma apsūdzības uzrādīšanai kriminālprocesā</w:t>
            </w:r>
            <w:r w:rsidR="00D57C0C" w:rsidRPr="00B662AA">
              <w:rPr>
                <w:sz w:val="26"/>
                <w:szCs w:val="26"/>
              </w:rPr>
              <w:t>, tomēr administratīvā pārkāpuma protokols vienlaikus kalpo arī kā lietvedības ierosināšanas l</w:t>
            </w:r>
            <w:r w:rsidR="00404119" w:rsidRPr="00B662AA">
              <w:rPr>
                <w:sz w:val="26"/>
                <w:szCs w:val="26"/>
              </w:rPr>
              <w:t>ēmums,</w:t>
            </w:r>
            <w:r w:rsidR="00D57C0C" w:rsidRPr="00B662AA">
              <w:rPr>
                <w:sz w:val="26"/>
                <w:szCs w:val="26"/>
              </w:rPr>
              <w:t xml:space="preserve"> pierādīšanas l</w:t>
            </w:r>
            <w:r w:rsidR="00404119" w:rsidRPr="00B662AA">
              <w:rPr>
                <w:sz w:val="26"/>
                <w:szCs w:val="26"/>
              </w:rPr>
              <w:t>īdzeklis un lēmums par soda piemērošanu.</w:t>
            </w:r>
            <w:r w:rsidR="00724CFF" w:rsidRPr="00B662AA">
              <w:rPr>
                <w:sz w:val="26"/>
                <w:szCs w:val="26"/>
              </w:rPr>
              <w:t xml:space="preserve"> </w:t>
            </w:r>
          </w:p>
          <w:p w:rsidR="00694F65" w:rsidRPr="00B662AA" w:rsidRDefault="00724D2D" w:rsidP="00B662AA">
            <w:pPr>
              <w:tabs>
                <w:tab w:val="left" w:pos="720"/>
              </w:tabs>
              <w:ind w:right="140"/>
              <w:jc w:val="both"/>
              <w:rPr>
                <w:sz w:val="26"/>
                <w:szCs w:val="26"/>
              </w:rPr>
            </w:pPr>
            <w:r w:rsidRPr="00B662AA">
              <w:rPr>
                <w:sz w:val="26"/>
                <w:szCs w:val="26"/>
              </w:rPr>
              <w:t xml:space="preserve">         </w:t>
            </w:r>
            <w:r w:rsidR="00990565" w:rsidRPr="00B662AA">
              <w:rPr>
                <w:sz w:val="26"/>
                <w:szCs w:val="26"/>
              </w:rPr>
              <w:t xml:space="preserve">Nepieciešams pārskatīt un izslēgt no LAPK tādus tiesību institūtus, kas ir cilvēktiesību pārkāpjoši, tā, piemēram, pārkāpēja atvešana. Minētais tiesību institūts ierobežo personas tiesības uz brīvību, vienlaikus personai netiek nodrošinātas nekādas procesuālās garantijas, jo nav noteikti ne personas brīvības ierobežošanas termiņi, </w:t>
            </w:r>
            <w:r w:rsidR="008031AF" w:rsidRPr="00B662AA">
              <w:rPr>
                <w:sz w:val="26"/>
                <w:szCs w:val="26"/>
              </w:rPr>
              <w:t xml:space="preserve">ne procesuālie </w:t>
            </w:r>
            <w:r w:rsidR="00990565" w:rsidRPr="00B662AA">
              <w:rPr>
                <w:sz w:val="26"/>
                <w:szCs w:val="26"/>
              </w:rPr>
              <w:t>dokumenti, kurus nepieciešams noformēt</w:t>
            </w:r>
            <w:r w:rsidR="005247C7" w:rsidRPr="00B662AA">
              <w:rPr>
                <w:sz w:val="26"/>
                <w:szCs w:val="26"/>
              </w:rPr>
              <w:t>, tai skaitā personai nav iespēju pārsūdzēt šādu iestādes darbību</w:t>
            </w:r>
            <w:r w:rsidR="005F667B" w:rsidRPr="00B662AA">
              <w:rPr>
                <w:sz w:val="26"/>
                <w:szCs w:val="26"/>
              </w:rPr>
              <w:t>.</w:t>
            </w:r>
          </w:p>
          <w:p w:rsidR="005F667B" w:rsidRPr="00B662AA" w:rsidRDefault="00724D2D" w:rsidP="00B662AA">
            <w:pPr>
              <w:tabs>
                <w:tab w:val="left" w:pos="720"/>
              </w:tabs>
              <w:ind w:right="140"/>
              <w:jc w:val="both"/>
              <w:rPr>
                <w:sz w:val="26"/>
                <w:szCs w:val="26"/>
              </w:rPr>
            </w:pPr>
            <w:r w:rsidRPr="00B662AA">
              <w:rPr>
                <w:sz w:val="26"/>
                <w:szCs w:val="26"/>
              </w:rPr>
              <w:t xml:space="preserve">         </w:t>
            </w:r>
            <w:r w:rsidR="001373FA" w:rsidRPr="00B662AA">
              <w:rPr>
                <w:sz w:val="26"/>
                <w:szCs w:val="26"/>
              </w:rPr>
              <w:t>Vienlaikus administratīvās aizturēšanas, kā arī mantu un telpu apskati un administratīvo pārkāpumu priekšmetu un rīku izņemšanas kārtību nepieciešams paredzēt tikai LAPK, izslēdzot iespēju šādu personas tiesību ierobežojošu tiesisko regulējumu noteikt citos normatīvajos aktos, tādējādi novēršot duālo situāciju, kurā personai</w:t>
            </w:r>
            <w:r w:rsidR="007A28C3" w:rsidRPr="00B662AA">
              <w:rPr>
                <w:sz w:val="26"/>
                <w:szCs w:val="26"/>
              </w:rPr>
              <w:t>,</w:t>
            </w:r>
            <w:r w:rsidR="001373FA" w:rsidRPr="00B662AA">
              <w:rPr>
                <w:sz w:val="26"/>
                <w:szCs w:val="26"/>
              </w:rPr>
              <w:t xml:space="preserve"> piemērojot administratīvo sodu, administratīvās lietvedības ietvaros tiek piemēroti procesuālie piespiedu līdzekļi, kas nav paredzēti LAPK.</w:t>
            </w:r>
          </w:p>
          <w:p w:rsidR="00E65EF0" w:rsidRPr="00B662AA" w:rsidRDefault="00724D2D" w:rsidP="00B662AA">
            <w:pPr>
              <w:tabs>
                <w:tab w:val="left" w:pos="720"/>
              </w:tabs>
              <w:ind w:right="140"/>
              <w:jc w:val="both"/>
              <w:rPr>
                <w:sz w:val="26"/>
                <w:szCs w:val="26"/>
              </w:rPr>
            </w:pPr>
            <w:r w:rsidRPr="00B662AA">
              <w:rPr>
                <w:sz w:val="26"/>
                <w:szCs w:val="26"/>
              </w:rPr>
              <w:t xml:space="preserve">         </w:t>
            </w:r>
            <w:r w:rsidR="00E65EF0" w:rsidRPr="00B662AA">
              <w:rPr>
                <w:sz w:val="26"/>
                <w:szCs w:val="26"/>
              </w:rPr>
              <w:t>Nepieciešams novērst situāciju, kurā personas aizturēšanu iespējams veikt pašvaldību pilnvarotām personām, jo šāds regulējums ir pretrunā ar likumības principu.</w:t>
            </w:r>
            <w:r w:rsidR="003E0C25" w:rsidRPr="00B662AA">
              <w:rPr>
                <w:sz w:val="26"/>
                <w:szCs w:val="26"/>
              </w:rPr>
              <w:t xml:space="preserve"> Personas brīvību var ierobežot tikai likumā noteiktajos gadījumos un </w:t>
            </w:r>
            <w:r w:rsidR="007A28C3" w:rsidRPr="00B662AA">
              <w:rPr>
                <w:sz w:val="26"/>
                <w:szCs w:val="26"/>
              </w:rPr>
              <w:t xml:space="preserve">likumā konkrēti pilnvarotas personas. </w:t>
            </w:r>
            <w:r w:rsidR="003E0C25" w:rsidRPr="00B662AA">
              <w:rPr>
                <w:sz w:val="26"/>
                <w:szCs w:val="26"/>
              </w:rPr>
              <w:t>Atvasināt</w:t>
            </w:r>
            <w:r w:rsidR="007A28C3" w:rsidRPr="00B662AA">
              <w:rPr>
                <w:sz w:val="26"/>
                <w:szCs w:val="26"/>
              </w:rPr>
              <w:t>o publisko</w:t>
            </w:r>
            <w:r w:rsidR="003E0C25" w:rsidRPr="00B662AA">
              <w:rPr>
                <w:sz w:val="26"/>
                <w:szCs w:val="26"/>
              </w:rPr>
              <w:t xml:space="preserve"> personu pārpilnvarojums šādu darbību veikšanai </w:t>
            </w:r>
            <w:r w:rsidR="007A28C3" w:rsidRPr="00B662AA">
              <w:rPr>
                <w:sz w:val="26"/>
                <w:szCs w:val="26"/>
              </w:rPr>
              <w:t>ir ārpus likumdevēja kompetences, kas personas brīvības ierobežošanas gadījumā nav pieļaujams.</w:t>
            </w:r>
            <w:r w:rsidR="00024F08" w:rsidRPr="00B662AA">
              <w:rPr>
                <w:sz w:val="26"/>
                <w:szCs w:val="26"/>
              </w:rPr>
              <w:t xml:space="preserve"> Turklāt valsts sodīšanas funkciju nav iespējams deleģēt privātpersonai.</w:t>
            </w:r>
            <w:r w:rsidR="005C46FC">
              <w:rPr>
                <w:sz w:val="26"/>
                <w:szCs w:val="26"/>
              </w:rPr>
              <w:t xml:space="preserve"> Vienlaikus nepieciešams novērst situāciju, kurā pašvaldību izdotajos saistošajos noteikumos tiek </w:t>
            </w:r>
            <w:r w:rsidR="005C46FC">
              <w:rPr>
                <w:sz w:val="26"/>
                <w:szCs w:val="26"/>
              </w:rPr>
              <w:lastRenderedPageBreak/>
              <w:t xml:space="preserve">paredzēts tiesiskais regulējums ne tikai </w:t>
            </w:r>
            <w:r w:rsidR="005B4941">
              <w:rPr>
                <w:sz w:val="26"/>
                <w:szCs w:val="26"/>
              </w:rPr>
              <w:t xml:space="preserve">par pašvaldību autonomo funkciju ietvaros noteiktajiem administratīvajiem pārkāpumiem, bet arī noteiktas pašvaldību </w:t>
            </w:r>
            <w:r w:rsidR="004F0331">
              <w:rPr>
                <w:sz w:val="26"/>
                <w:szCs w:val="26"/>
              </w:rPr>
              <w:t>pilnvarota</w:t>
            </w:r>
            <w:r w:rsidR="005B4941">
              <w:rPr>
                <w:sz w:val="26"/>
                <w:szCs w:val="26"/>
              </w:rPr>
              <w:t>s person</w:t>
            </w:r>
            <w:r w:rsidR="004F0331">
              <w:rPr>
                <w:sz w:val="26"/>
                <w:szCs w:val="26"/>
              </w:rPr>
              <w:t>a</w:t>
            </w:r>
            <w:r w:rsidR="005B4941">
              <w:rPr>
                <w:sz w:val="26"/>
                <w:szCs w:val="26"/>
              </w:rPr>
              <w:t xml:space="preserve">s, kuras tiesīgas izskatīt un piemērot administratīvos sodus par šiem pārkāpumiem. </w:t>
            </w:r>
            <w:r w:rsidR="004F0331">
              <w:rPr>
                <w:sz w:val="26"/>
                <w:szCs w:val="26"/>
              </w:rPr>
              <w:t>Ņemot vērā to, ka administratīvo pārkāpumu sastāvus var noteikt ne tikai LAPK, bet arī pašvaldību saistoš</w:t>
            </w:r>
            <w:r w:rsidR="00792DE6">
              <w:rPr>
                <w:sz w:val="26"/>
                <w:szCs w:val="26"/>
              </w:rPr>
              <w:t>ajos noteikumos, administratīvā pārkāpuma</w:t>
            </w:r>
            <w:r w:rsidR="004F0331">
              <w:rPr>
                <w:sz w:val="26"/>
                <w:szCs w:val="26"/>
              </w:rPr>
              <w:t xml:space="preserve"> lietvedības process, tai skaitā amatpersonas, kuras tiesīgas lietu izskatīt nepieciešams noteikt likuma līmen</w:t>
            </w:r>
            <w:r w:rsidR="00D32490">
              <w:rPr>
                <w:sz w:val="26"/>
                <w:szCs w:val="26"/>
              </w:rPr>
              <w:t>ī un norobežot pašvaldību kompetenci ko</w:t>
            </w:r>
            <w:r w:rsidR="00381D33">
              <w:rPr>
                <w:sz w:val="26"/>
                <w:szCs w:val="26"/>
              </w:rPr>
              <w:t>nkrētu administratīvo pārkāpumu sastāvu notei</w:t>
            </w:r>
            <w:r w:rsidR="00D32490">
              <w:rPr>
                <w:sz w:val="26"/>
                <w:szCs w:val="26"/>
              </w:rPr>
              <w:t xml:space="preserve">kšanā no </w:t>
            </w:r>
            <w:r w:rsidR="00381D33">
              <w:rPr>
                <w:sz w:val="26"/>
                <w:szCs w:val="26"/>
              </w:rPr>
              <w:t xml:space="preserve">likumdevēja kompetences attiecībā uz to, kuras personas ir tiesīgas </w:t>
            </w:r>
            <w:r w:rsidR="00CA26DE">
              <w:rPr>
                <w:sz w:val="26"/>
                <w:szCs w:val="26"/>
              </w:rPr>
              <w:t xml:space="preserve">īstenot valsts </w:t>
            </w:r>
            <w:r w:rsidR="00381D33">
              <w:rPr>
                <w:sz w:val="26"/>
                <w:szCs w:val="26"/>
              </w:rPr>
              <w:t>represīvo funkciju, neatkarīgi no tā, kura l</w:t>
            </w:r>
            <w:r w:rsidR="007279C6">
              <w:rPr>
                <w:sz w:val="26"/>
                <w:szCs w:val="26"/>
              </w:rPr>
              <w:t>īmeņa</w:t>
            </w:r>
            <w:r w:rsidR="00381D33">
              <w:rPr>
                <w:sz w:val="26"/>
                <w:szCs w:val="26"/>
              </w:rPr>
              <w:t xml:space="preserve"> normatīvajā aktā ir paredzēta atbildība par konkrēto pārkāpumu.</w:t>
            </w:r>
          </w:p>
          <w:p w:rsidR="00FB3E10" w:rsidRPr="00B662AA" w:rsidRDefault="00724D2D" w:rsidP="00B662AA">
            <w:pPr>
              <w:ind w:right="140"/>
              <w:jc w:val="both"/>
              <w:rPr>
                <w:sz w:val="26"/>
                <w:szCs w:val="26"/>
              </w:rPr>
            </w:pPr>
            <w:r w:rsidRPr="00B662AA">
              <w:rPr>
                <w:sz w:val="26"/>
                <w:szCs w:val="26"/>
              </w:rPr>
              <w:t xml:space="preserve">        </w:t>
            </w:r>
            <w:r w:rsidR="008F0504" w:rsidRPr="00B662AA">
              <w:rPr>
                <w:sz w:val="26"/>
                <w:szCs w:val="26"/>
              </w:rPr>
              <w:t>Šobrīd LAPK administ</w:t>
            </w:r>
            <w:r w:rsidR="0072109B" w:rsidRPr="00B662AA">
              <w:rPr>
                <w:sz w:val="26"/>
                <w:szCs w:val="26"/>
              </w:rPr>
              <w:t>ratīvā soda uzlikšanas termiņi</w:t>
            </w:r>
            <w:r w:rsidR="008F0504" w:rsidRPr="00B662AA">
              <w:rPr>
                <w:sz w:val="26"/>
                <w:szCs w:val="26"/>
              </w:rPr>
              <w:t xml:space="preserve"> noteic, ka administratīvo sodu var uzlikt ne vēlāk kā četru mēnešu laikā no pārkāpuma izdarīšanas </w:t>
            </w:r>
            <w:r w:rsidR="008F0504" w:rsidRPr="00457A79">
              <w:rPr>
                <w:sz w:val="26"/>
                <w:szCs w:val="26"/>
              </w:rPr>
              <w:t>dienas</w:t>
            </w:r>
            <w:r w:rsidR="0072109B" w:rsidRPr="00457A79">
              <w:rPr>
                <w:sz w:val="26"/>
                <w:szCs w:val="26"/>
              </w:rPr>
              <w:t>.</w:t>
            </w:r>
            <w:r w:rsidR="00010C03" w:rsidRPr="00457A79">
              <w:rPr>
                <w:sz w:val="26"/>
                <w:szCs w:val="26"/>
              </w:rPr>
              <w:t xml:space="preserve"> Soda ziņu noilgums mūsdienās ir pazīstams kā termiņš, pēc kura</w:t>
            </w:r>
            <w:r w:rsidR="00136AAE" w:rsidRPr="00457A79">
              <w:rPr>
                <w:sz w:val="26"/>
                <w:szCs w:val="26"/>
              </w:rPr>
              <w:t xml:space="preserve"> persona</w:t>
            </w:r>
            <w:r w:rsidR="00136AAE" w:rsidRPr="00B662AA">
              <w:rPr>
                <w:sz w:val="26"/>
                <w:szCs w:val="26"/>
              </w:rPr>
              <w:t xml:space="preserve"> uzskatāma par nesodītu. </w:t>
            </w:r>
            <w:r w:rsidR="00010C03" w:rsidRPr="00B662AA">
              <w:rPr>
                <w:sz w:val="26"/>
                <w:szCs w:val="26"/>
              </w:rPr>
              <w:t>Minētie noilgumi attiecināmi uz gadījumiem, ja persona jau ir saukta pie atbildības. Savukārt attiecībā uz iespēju personu saukt pie atbildības konkurē vajāšanas un tiesāšanas noilgums. Vajāšanas noilgums Latvijā ir paredzēts kriminālprocesā kā kriminālatbildības noilgums</w:t>
            </w:r>
            <w:r w:rsidR="00EF50CE" w:rsidRPr="00B662AA">
              <w:rPr>
                <w:sz w:val="26"/>
                <w:szCs w:val="26"/>
              </w:rPr>
              <w:t xml:space="preserve">. </w:t>
            </w:r>
            <w:r w:rsidR="00010C03" w:rsidRPr="00B662AA">
              <w:rPr>
                <w:sz w:val="26"/>
                <w:szCs w:val="26"/>
              </w:rPr>
              <w:t xml:space="preserve">Administratīvo pārkāpumu lietās tāds nav noteikts. LAPK noteiktais soda uzlikšanas termiņš atbilst tiesāšanas noilgumam. </w:t>
            </w:r>
            <w:r w:rsidR="00FB3E10" w:rsidRPr="00B662AA">
              <w:rPr>
                <w:sz w:val="26"/>
                <w:szCs w:val="26"/>
              </w:rPr>
              <w:t>LAPK izmantotā pieeja – soda uzlikšanas noilgums – rada problēmas sakarā ar ierobežoto iespēju pārsūdzēšanas procesā labot pieļautās kļūdas. Proti, ja sākotnējais lēmums, ar kuru persona tiek saukta pie administratīvās atbildības, tiek atcelts būtisku procesuālu pārkāpumu dēļ vai arī, piemēram, atzīstot par pamatotu prokurora protestu vai cietušā sūdzību par pārāk mīksta soda piemērošanu (sevišķi zem minimālās sankcijā noteiktās robežas), tad gadījumā, ja pagājuši četri mēneši no pārkāpuma izdarīšanas vai atklāšanas dienas, lietu nevar nodot jaunai izskatīšanai, un tā ir jāizbeidz. Pie pašreizējās noilguma aprēķināšanas kārtības parasti nav nozīmes arī izskatīt sūdzības par tiesnešu atteikumiem ierosināt lietvedību administratīvā pārkāpuma lietā vai šādas lietvedības izbeigšanu. Pat tad, ja lietvedību uzsākt ir atteikts nepamatoti vai ja tā ir izbeigta nepamatoti, to tik un tā nevar iesākt vai atjaunot soda uzlikšanas noilguma dēļ.</w:t>
            </w:r>
          </w:p>
          <w:p w:rsidR="00C83348" w:rsidRPr="00B662AA" w:rsidRDefault="00724D2D" w:rsidP="00B662AA">
            <w:pPr>
              <w:ind w:right="140"/>
              <w:jc w:val="both"/>
              <w:rPr>
                <w:sz w:val="26"/>
                <w:szCs w:val="26"/>
              </w:rPr>
            </w:pPr>
            <w:r w:rsidRPr="00B662AA">
              <w:rPr>
                <w:sz w:val="26"/>
                <w:szCs w:val="26"/>
              </w:rPr>
              <w:t xml:space="preserve">         </w:t>
            </w:r>
            <w:r w:rsidR="00C83348" w:rsidRPr="00B662AA">
              <w:rPr>
                <w:sz w:val="26"/>
                <w:szCs w:val="26"/>
              </w:rPr>
              <w:t xml:space="preserve">Lai panāktu valsts resursu efektīvu izmantošanu, nepieciešams ieviest jaunu tiesisko regulējumu attiecībā uz </w:t>
            </w:r>
            <w:r w:rsidR="00C83348" w:rsidRPr="00B662AA">
              <w:rPr>
                <w:sz w:val="26"/>
                <w:szCs w:val="26"/>
              </w:rPr>
              <w:lastRenderedPageBreak/>
              <w:t>iestādes tiesībām atbrīvot personu no administratīvās atbildības, ja tiek konstatēts, ka izdarītais administratīvais pārkāpums ir maznozīmīgs.</w:t>
            </w:r>
          </w:p>
          <w:p w:rsidR="00C83348" w:rsidRPr="00B662AA" w:rsidRDefault="00724D2D" w:rsidP="00B662AA">
            <w:pPr>
              <w:ind w:right="140"/>
              <w:jc w:val="both"/>
              <w:rPr>
                <w:sz w:val="26"/>
                <w:szCs w:val="26"/>
              </w:rPr>
            </w:pPr>
            <w:r w:rsidRPr="00B662AA">
              <w:rPr>
                <w:sz w:val="26"/>
                <w:szCs w:val="26"/>
              </w:rPr>
              <w:t xml:space="preserve">       </w:t>
            </w:r>
            <w:r w:rsidR="00C83348" w:rsidRPr="00B662AA">
              <w:rPr>
                <w:sz w:val="26"/>
                <w:szCs w:val="26"/>
              </w:rPr>
              <w:t>Vienlaikus nepieciešams paredzēt iestādes tiesības jebkurā brīdī pēc savas iniciatīvas atcelt lēmumu, ja tas ir prettiesisks.</w:t>
            </w:r>
          </w:p>
          <w:p w:rsidR="00927B39" w:rsidRPr="00B662AA" w:rsidRDefault="00724D2D" w:rsidP="00B662AA">
            <w:pPr>
              <w:ind w:right="140"/>
              <w:jc w:val="both"/>
              <w:rPr>
                <w:sz w:val="26"/>
                <w:szCs w:val="26"/>
              </w:rPr>
            </w:pPr>
            <w:r w:rsidRPr="00B662AA">
              <w:rPr>
                <w:sz w:val="26"/>
                <w:szCs w:val="26"/>
              </w:rPr>
              <w:t xml:space="preserve">        </w:t>
            </w:r>
            <w:r w:rsidR="007D7881" w:rsidRPr="00B662AA">
              <w:rPr>
                <w:sz w:val="26"/>
                <w:szCs w:val="26"/>
              </w:rPr>
              <w:t xml:space="preserve">Nepieciešams ieviest jaunu tiesisko regulējumu attiecībā uz pie administratīvās atbildības sauktās personas pārstāvību. Nav loģiski </w:t>
            </w:r>
            <w:r w:rsidR="00E5458F" w:rsidRPr="00B662AA">
              <w:rPr>
                <w:sz w:val="26"/>
                <w:szCs w:val="26"/>
              </w:rPr>
              <w:t xml:space="preserve">personas administratīvās sodīšanas procesā piemērot APL noteikto privātpersonas pārstāvības institūtu, jo </w:t>
            </w:r>
            <w:r w:rsidR="0088068D" w:rsidRPr="00B662AA">
              <w:rPr>
                <w:sz w:val="26"/>
                <w:szCs w:val="26"/>
              </w:rPr>
              <w:t xml:space="preserve">viens no </w:t>
            </w:r>
            <w:r w:rsidR="00E5458F" w:rsidRPr="00B662AA">
              <w:rPr>
                <w:sz w:val="26"/>
                <w:szCs w:val="26"/>
              </w:rPr>
              <w:t xml:space="preserve">administratīvās sodīšanas mērķiem ir atturēt personu no turpmāku pārkāpumu izdarīšanas. Līdz ar to personas pienākumam personīgi piedalīties procesā ir audzinošs raksturs un nav pamata </w:t>
            </w:r>
            <w:r w:rsidR="0088068D" w:rsidRPr="00B662AA">
              <w:rPr>
                <w:sz w:val="26"/>
                <w:szCs w:val="26"/>
              </w:rPr>
              <w:t>to aizstāt ar pārstāvja institūtu. Tādējādi persona savu aizstāvību var īstenot pati vai pieaicināt aizstāvi, savukārt juridiskās personas procesuālās tiesības un pienākumus īsteno tās pārstāvis.</w:t>
            </w:r>
          </w:p>
          <w:p w:rsidR="006434FB" w:rsidRPr="00B662AA" w:rsidRDefault="00724D2D" w:rsidP="00B662AA">
            <w:pPr>
              <w:ind w:right="140"/>
              <w:jc w:val="both"/>
              <w:rPr>
                <w:sz w:val="26"/>
                <w:szCs w:val="26"/>
              </w:rPr>
            </w:pPr>
            <w:r w:rsidRPr="00B662AA">
              <w:rPr>
                <w:sz w:val="26"/>
                <w:szCs w:val="26"/>
              </w:rPr>
              <w:t xml:space="preserve">       </w:t>
            </w:r>
            <w:r w:rsidR="00CC4F25" w:rsidRPr="00B662AA">
              <w:rPr>
                <w:sz w:val="26"/>
                <w:szCs w:val="26"/>
              </w:rPr>
              <w:t>Saucot pie administratīvās atbildības nepilngadīgo, administratīvā pārk</w:t>
            </w:r>
            <w:r w:rsidR="00C27888" w:rsidRPr="00B662AA">
              <w:rPr>
                <w:sz w:val="26"/>
                <w:szCs w:val="26"/>
              </w:rPr>
              <w:t>āpuma protokola kopiju</w:t>
            </w:r>
            <w:r w:rsidR="00CC4F25" w:rsidRPr="00B662AA">
              <w:rPr>
                <w:sz w:val="26"/>
                <w:szCs w:val="26"/>
              </w:rPr>
              <w:t xml:space="preserve"> nepieciešams </w:t>
            </w:r>
            <w:r w:rsidR="00C27888" w:rsidRPr="00B662AA">
              <w:rPr>
                <w:sz w:val="26"/>
                <w:szCs w:val="26"/>
              </w:rPr>
              <w:t xml:space="preserve">nosūtīt </w:t>
            </w:r>
            <w:r w:rsidR="00CC4F25" w:rsidRPr="00B662AA">
              <w:rPr>
                <w:sz w:val="26"/>
                <w:szCs w:val="26"/>
              </w:rPr>
              <w:t>tā likumiskajam pārstāvim, lai novērstu situāciju, kurā nepilngadīgās personas tiek sodītas pārkāpuma izdarīšanas vietā, bet to likumiskie pārstāvji nav informēti par izdarīto pārkāpumu</w:t>
            </w:r>
            <w:r w:rsidR="00927B39" w:rsidRPr="00B662AA">
              <w:rPr>
                <w:sz w:val="26"/>
                <w:szCs w:val="26"/>
              </w:rPr>
              <w:t>,</w:t>
            </w:r>
            <w:r w:rsidR="00CC4F25" w:rsidRPr="00B662AA">
              <w:rPr>
                <w:sz w:val="26"/>
                <w:szCs w:val="26"/>
              </w:rPr>
              <w:t xml:space="preserve"> un nepieciešamības gadījumā nevar nodrošināt pilnvērtīgu nepilngadīgā aizstāvību. Vienlaikus izskatot nepilngadīgo administratīvo pārk</w:t>
            </w:r>
            <w:r w:rsidR="00DA5AF7" w:rsidRPr="00B662AA">
              <w:rPr>
                <w:sz w:val="26"/>
                <w:szCs w:val="26"/>
              </w:rPr>
              <w:t>āpumu lietas, ir obligāta likumiskā pārstāvja pieaicināšana lietas izskatīšanā, jo nepilngadīgās personas nespēj nodrošināt savu aizstāvību ierobežotās rīcībspējas dēļ.</w:t>
            </w:r>
          </w:p>
          <w:p w:rsidR="00927B39" w:rsidRPr="00B662AA" w:rsidRDefault="00724D2D" w:rsidP="00B662AA">
            <w:pPr>
              <w:ind w:right="140"/>
              <w:jc w:val="both"/>
              <w:rPr>
                <w:sz w:val="26"/>
                <w:szCs w:val="26"/>
              </w:rPr>
            </w:pPr>
            <w:r w:rsidRPr="00B662AA">
              <w:rPr>
                <w:sz w:val="26"/>
                <w:szCs w:val="26"/>
              </w:rPr>
              <w:t xml:space="preserve">       </w:t>
            </w:r>
            <w:r w:rsidR="003E1A71" w:rsidRPr="00B662AA">
              <w:rPr>
                <w:sz w:val="26"/>
                <w:szCs w:val="26"/>
              </w:rPr>
              <w:t xml:space="preserve">LAPK līdz šim nav paredzēts skaidrs un nepārprotams regulējums attiecībā uz lēmuma pārsūdzēšanu administratīvā pārkāpuma lietvedības iestādē stadijā. Lai nodrošinātu iespēju pārskatīt lēmuma par administratīvā soda uzlikšanu tiesiskumu, nepieciešams saglabāt APL noteikto principu padotības kārtībā augstākas iestādes tiesības izskatīt administratīvā pārkāpuma lietu pēc administratīvās lietas dalībnieka sūdzības. Šāda lietvedības vešanas konstrukcija iestādē nodrošinās iespējamu pieļauto kļūdu novēršanu un atslogos </w:t>
            </w:r>
            <w:r w:rsidR="001A4AE7">
              <w:rPr>
                <w:sz w:val="26"/>
                <w:szCs w:val="26"/>
              </w:rPr>
              <w:t>rajona (pilsētas</w:t>
            </w:r>
            <w:r w:rsidR="00DD4AAD" w:rsidRPr="00B662AA">
              <w:rPr>
                <w:sz w:val="26"/>
                <w:szCs w:val="26"/>
              </w:rPr>
              <w:t xml:space="preserve">) </w:t>
            </w:r>
            <w:r w:rsidR="003E1A71" w:rsidRPr="00B662AA">
              <w:rPr>
                <w:sz w:val="26"/>
                <w:szCs w:val="26"/>
              </w:rPr>
              <w:t>tiesas no acīmredzami prettiesisku lēmumu izskatīšanas.</w:t>
            </w:r>
          </w:p>
          <w:p w:rsidR="00724D2D" w:rsidRPr="00B662AA" w:rsidRDefault="00724D2D" w:rsidP="00B662AA">
            <w:pPr>
              <w:ind w:right="140"/>
              <w:jc w:val="both"/>
              <w:rPr>
                <w:sz w:val="26"/>
                <w:szCs w:val="26"/>
              </w:rPr>
            </w:pPr>
            <w:r w:rsidRPr="00B662AA">
              <w:rPr>
                <w:sz w:val="26"/>
                <w:szCs w:val="26"/>
              </w:rPr>
              <w:t xml:space="preserve">       </w:t>
            </w:r>
            <w:r w:rsidR="007F066E" w:rsidRPr="00B662AA">
              <w:rPr>
                <w:sz w:val="26"/>
                <w:szCs w:val="26"/>
              </w:rPr>
              <w:t xml:space="preserve">Līdz šim LAPK nav paredzēti </w:t>
            </w:r>
            <w:r w:rsidR="004C37A0" w:rsidRPr="00B662AA">
              <w:rPr>
                <w:sz w:val="26"/>
                <w:szCs w:val="26"/>
              </w:rPr>
              <w:t>vairāki</w:t>
            </w:r>
            <w:r w:rsidR="007F066E" w:rsidRPr="00B662AA">
              <w:rPr>
                <w:sz w:val="26"/>
                <w:szCs w:val="26"/>
              </w:rPr>
              <w:t xml:space="preserve"> tiesību institūti, tā, piemēram, nav nodalīts administratīvā pārkāpuma tiesvedības process no lietvedības procesa iestādē. Līdz ar to LAPK tiek papildināts ar jaunām nodaļām, kurās tiek regulēts administratīvās tiesvedības process pirmās instances un apelācijas instances tiesās. LAPK tiek papildināts ar jaunu nodaļu par jaunatklātiem apstākļiem. Lai nodrošinātu </w:t>
            </w:r>
            <w:r w:rsidR="007F066E" w:rsidRPr="00B662AA">
              <w:rPr>
                <w:sz w:val="26"/>
                <w:szCs w:val="26"/>
              </w:rPr>
              <w:lastRenderedPageBreak/>
              <w:t>procesuālo ekonomiju, paredzēts apelācijas instanc</w:t>
            </w:r>
            <w:r w:rsidR="00A759E6" w:rsidRPr="00B662AA">
              <w:rPr>
                <w:sz w:val="26"/>
                <w:szCs w:val="26"/>
              </w:rPr>
              <w:t>es tiesā</w:t>
            </w:r>
            <w:r w:rsidR="007F066E" w:rsidRPr="00B662AA">
              <w:rPr>
                <w:sz w:val="26"/>
                <w:szCs w:val="26"/>
              </w:rPr>
              <w:t xml:space="preserve"> administratīvo pārkāpumu lietas skatīt rakstveida procesā, izņemot lietas, kurās piemēro ar brīvības atņemšanu saistītu sodu.</w:t>
            </w:r>
            <w:r w:rsidR="00A759E6" w:rsidRPr="00B662AA">
              <w:rPr>
                <w:sz w:val="26"/>
                <w:szCs w:val="26"/>
              </w:rPr>
              <w:t xml:space="preserve"> </w:t>
            </w:r>
            <w:r w:rsidRPr="00B662AA">
              <w:rPr>
                <w:sz w:val="26"/>
                <w:szCs w:val="26"/>
              </w:rPr>
              <w:t xml:space="preserve">         </w:t>
            </w:r>
          </w:p>
          <w:p w:rsidR="005F1C39" w:rsidRPr="00B662AA" w:rsidRDefault="00724D2D" w:rsidP="00B662AA">
            <w:pPr>
              <w:ind w:right="140"/>
              <w:jc w:val="both"/>
              <w:rPr>
                <w:sz w:val="26"/>
                <w:szCs w:val="26"/>
              </w:rPr>
            </w:pPr>
            <w:r w:rsidRPr="00B662AA">
              <w:rPr>
                <w:sz w:val="26"/>
                <w:szCs w:val="26"/>
              </w:rPr>
              <w:t xml:space="preserve">       </w:t>
            </w:r>
            <w:r w:rsidR="00A759E6" w:rsidRPr="00B662AA">
              <w:rPr>
                <w:sz w:val="26"/>
                <w:szCs w:val="26"/>
              </w:rPr>
              <w:t>Lai nodrošinātu ātru un efektīvu administratīvo pārkāpumu lietu izskatīšanu</w:t>
            </w:r>
            <w:r w:rsidR="004C37A0" w:rsidRPr="00B662AA">
              <w:rPr>
                <w:sz w:val="26"/>
                <w:szCs w:val="26"/>
              </w:rPr>
              <w:t>,</w:t>
            </w:r>
            <w:r w:rsidR="00A759E6" w:rsidRPr="00B662AA">
              <w:rPr>
                <w:sz w:val="26"/>
                <w:szCs w:val="26"/>
              </w:rPr>
              <w:t xml:space="preserve"> ievērojami samazināts iespējamo blakus sūdzību par iestādes vai tiesas lēmumiem skaits.</w:t>
            </w:r>
            <w:r w:rsidR="009D2CC5" w:rsidRPr="00B662AA">
              <w:rPr>
                <w:sz w:val="26"/>
                <w:szCs w:val="26"/>
              </w:rPr>
              <w:t xml:space="preserve"> Tā, piemēram, par neefektīvu un tiesu resursu patērējošu uzskatāmas personas tiesības iesniegt blakus sūdzību par tiesneša lēmumu atstāt sūdzību bez virzības, nosakot termiņu trūkumu novēršanai. Arī tiesneša lēmums par atteikumu labot acīmredzamas pārrakstīšanās vai matemātiska aprēķina kļūdas, ja tas nemaina nolēmuma būtību, nav pārsūdzams, jo </w:t>
            </w:r>
            <w:r w:rsidR="00F224E3" w:rsidRPr="00B662AA">
              <w:rPr>
                <w:sz w:val="26"/>
                <w:szCs w:val="26"/>
              </w:rPr>
              <w:t>nav pamata apšaubīt tiesas kompetenci minētā tiesiskā regulējuma saprātīgā piemērošanā. Turklāt šādas iespējamas kļūdas nemaina nolēmumu pēc būtības, līdz ar to nerada tādas sekas, lai būtu pamats dot personai iespēju lūgt lēmumu pārskatīt augstākas instances tiesā</w:t>
            </w:r>
            <w:r w:rsidR="005F1C39" w:rsidRPr="00B662AA">
              <w:rPr>
                <w:sz w:val="26"/>
                <w:szCs w:val="26"/>
              </w:rPr>
              <w:t>.</w:t>
            </w:r>
          </w:p>
          <w:p w:rsidR="0053685F" w:rsidRPr="00B662AA" w:rsidRDefault="005F1C39" w:rsidP="00B662AA">
            <w:pPr>
              <w:ind w:right="140" w:firstLine="567"/>
              <w:jc w:val="both"/>
              <w:rPr>
                <w:sz w:val="26"/>
                <w:szCs w:val="26"/>
              </w:rPr>
            </w:pPr>
            <w:r w:rsidRPr="00B662AA">
              <w:rPr>
                <w:sz w:val="26"/>
                <w:szCs w:val="26"/>
              </w:rPr>
              <w:t xml:space="preserve">LAPK </w:t>
            </w:r>
            <w:r w:rsidR="0053685F" w:rsidRPr="00B662AA">
              <w:rPr>
                <w:sz w:val="26"/>
                <w:szCs w:val="26"/>
              </w:rPr>
              <w:t>paredz, ka rajona (pilsētas) tiesas tiesneša lēmumu administratīvā pārkāpuma lietā, ar kuru pēc būtības izlemts jautājums par personas saukšanu pie administratīvās atbildības, var pārsūdzēt divdesmit dienu laikā, bet lēmumu, ar kuru noteikts administratīvais arests, — piecu dienu laikā pēc lēmuma pieņemšanas, iesniedzot apelācijas sūdzību. Ja lietā tiesnesis pasludina saīsināto lēmumu, pārsūdzēšanas termiņu skaita no pilna lēmuma sastādīšanas dienas.</w:t>
            </w:r>
          </w:p>
          <w:p w:rsidR="0053685F" w:rsidRPr="00B662AA" w:rsidRDefault="0053685F" w:rsidP="00B662AA">
            <w:pPr>
              <w:ind w:right="140" w:firstLine="567"/>
              <w:jc w:val="both"/>
              <w:rPr>
                <w:sz w:val="26"/>
                <w:szCs w:val="26"/>
              </w:rPr>
            </w:pPr>
            <w:r w:rsidRPr="00B662AA">
              <w:rPr>
                <w:sz w:val="26"/>
                <w:szCs w:val="26"/>
              </w:rPr>
              <w:t xml:space="preserve">Ņemot vērā to, ka administratīvais arests ir bargākais no administratīvo sodu veidiem, jo tas ir saistīts ar privātpersonas brīvības ierobežošanu, secināms, ka lietās, kurās ir noteikts smagāks sods, termiņš sprieduma pārsūdzēšanai ir daudz īsāks par termiņu, kādā var pārsūdzēt tiesas spriedumu, ar kuru ir noteikts vieglāks sods. No minētā izriet, ka </w:t>
            </w:r>
            <w:r w:rsidR="006A6FF3" w:rsidRPr="00B662AA">
              <w:rPr>
                <w:sz w:val="26"/>
                <w:szCs w:val="26"/>
              </w:rPr>
              <w:t xml:space="preserve">LAPK </w:t>
            </w:r>
            <w:r w:rsidRPr="00B662AA">
              <w:rPr>
                <w:sz w:val="26"/>
                <w:szCs w:val="26"/>
              </w:rPr>
              <w:t xml:space="preserve">ietvertais regulējums nav samērīgs un tas neatbilst vienlīdzības principam. Satversmes tiesa, interpretējot Satversmes 91. pantu, ir atzinusi, ka vienlīdzības princips liedz valsts institūcijām izdot tādas normas, kas bez saprātīga pamata pieļauj atšķirīgu attieksmi pret personām, kuras atrodas vienādos un pēc noteiktiem kritērijiem salīdzināmos apstākļos. (Sk. Satversmes tiesas 2005. gada 11. novembra sprieduma lietā Nr. Nr. 2005–08–01 secinājumu daļas 5. punktu). </w:t>
            </w:r>
          </w:p>
          <w:p w:rsidR="0053685F" w:rsidRPr="00B662AA" w:rsidRDefault="00BB6617" w:rsidP="00B662AA">
            <w:pPr>
              <w:ind w:right="140" w:firstLine="567"/>
              <w:jc w:val="both"/>
              <w:rPr>
                <w:sz w:val="26"/>
                <w:szCs w:val="26"/>
              </w:rPr>
            </w:pPr>
            <w:r w:rsidRPr="00B662AA">
              <w:rPr>
                <w:sz w:val="26"/>
                <w:szCs w:val="26"/>
              </w:rPr>
              <w:t>L</w:t>
            </w:r>
            <w:r w:rsidR="0053685F" w:rsidRPr="00B662AA">
              <w:rPr>
                <w:sz w:val="26"/>
                <w:szCs w:val="26"/>
              </w:rPr>
              <w:t xml:space="preserve">ai nodrošinātu vienlīdzīgu attieksmi attiecībā uz privātpersonām, kurām ar tiesas spriedumu ir noteikts administratīvais sods, nepieciešams </w:t>
            </w:r>
            <w:r w:rsidRPr="00B662AA">
              <w:rPr>
                <w:sz w:val="26"/>
                <w:szCs w:val="26"/>
              </w:rPr>
              <w:t>noteik</w:t>
            </w:r>
            <w:r w:rsidR="0053685F" w:rsidRPr="00B662AA">
              <w:rPr>
                <w:sz w:val="26"/>
                <w:szCs w:val="26"/>
              </w:rPr>
              <w:t>t vienu termiņu spriedumu pārsūdzēšanai neatkarīgi no noteiktā soda.</w:t>
            </w:r>
          </w:p>
          <w:p w:rsidR="0053685F" w:rsidRPr="00B662AA" w:rsidRDefault="0053685F" w:rsidP="00B662AA">
            <w:pPr>
              <w:tabs>
                <w:tab w:val="left" w:pos="720"/>
              </w:tabs>
              <w:ind w:right="140" w:firstLine="567"/>
              <w:jc w:val="both"/>
              <w:rPr>
                <w:sz w:val="26"/>
                <w:szCs w:val="26"/>
              </w:rPr>
            </w:pPr>
            <w:r w:rsidRPr="00B662AA">
              <w:rPr>
                <w:sz w:val="26"/>
                <w:szCs w:val="26"/>
              </w:rPr>
              <w:lastRenderedPageBreak/>
              <w:t xml:space="preserve">Ņemot vērā to, ka administratīvo pārkāpumu procesam ir jābūt pēc iespējas ātram un efektīvam, </w:t>
            </w:r>
            <w:r w:rsidR="00AD4D8C" w:rsidRPr="00B662AA">
              <w:rPr>
                <w:sz w:val="26"/>
                <w:szCs w:val="26"/>
              </w:rPr>
              <w:t xml:space="preserve">LAPK </w:t>
            </w:r>
            <w:r w:rsidRPr="00B662AA">
              <w:rPr>
                <w:sz w:val="26"/>
                <w:szCs w:val="26"/>
              </w:rPr>
              <w:t xml:space="preserve">paredzēto tiesas </w:t>
            </w:r>
            <w:r w:rsidR="00AD4D8C" w:rsidRPr="00B662AA">
              <w:rPr>
                <w:sz w:val="26"/>
                <w:szCs w:val="26"/>
              </w:rPr>
              <w:t xml:space="preserve">sprieduma </w:t>
            </w:r>
            <w:r w:rsidRPr="00B662AA">
              <w:rPr>
                <w:sz w:val="26"/>
                <w:szCs w:val="26"/>
              </w:rPr>
              <w:t xml:space="preserve">pārsūdzēšanas termiņu nepieciešams pārskatīt, nosakot tādu termiņu, kas būtu pietiekams, lai garantētu privātpersonai iespēju veikt visas nepieciešamās darbības apelācijas sūdzības iesniegšanai. </w:t>
            </w:r>
            <w:r w:rsidR="00794B92" w:rsidRPr="00B662AA">
              <w:rPr>
                <w:sz w:val="26"/>
                <w:szCs w:val="26"/>
              </w:rPr>
              <w:t>L</w:t>
            </w:r>
            <w:r w:rsidRPr="00B662AA">
              <w:rPr>
                <w:sz w:val="26"/>
                <w:szCs w:val="26"/>
              </w:rPr>
              <w:t>īdz ar administratīvo pārkāpumu lietu izskatīšanas pāreju vispārējās jurisdikcijas tiesu kompetencē, administratīvo pārkāpumu lietas būs jāizskata, ievērojot kriminālprocesuālos principus, tādējādi tiesas sprieduma pārsūdzēšanas termiņš administratīvā pārkāpuma lietā ir jāsamēro ar tiesas sprieduma pārsūdzēšanas termiņu kriminālprocesā.</w:t>
            </w:r>
          </w:p>
          <w:p w:rsidR="00D80A53" w:rsidRDefault="00B03844" w:rsidP="00B662AA">
            <w:pPr>
              <w:ind w:right="140" w:firstLine="567"/>
              <w:jc w:val="both"/>
              <w:rPr>
                <w:sz w:val="26"/>
                <w:szCs w:val="26"/>
              </w:rPr>
            </w:pPr>
            <w:r w:rsidRPr="00B662AA">
              <w:rPr>
                <w:sz w:val="26"/>
                <w:szCs w:val="26"/>
              </w:rPr>
              <w:t>LAPK ietvertie grozījumi attiecībā uz tiesvedības procesuālo regulējumu vērsti ne tikai uz tiesu piekritības pārejas nodrošināšanu, bet ir arī ar mērķi veikt pirms likumdošanas izpēti, lai nodrošinātu kvalitatīvu tiesiskā regulējuma iestrādi Administratīvo sodu procesa likumā.</w:t>
            </w:r>
          </w:p>
          <w:p w:rsidR="002B082F" w:rsidRPr="00B662AA" w:rsidRDefault="007A02AA" w:rsidP="001B530B">
            <w:pPr>
              <w:ind w:right="140" w:firstLine="567"/>
              <w:jc w:val="both"/>
              <w:rPr>
                <w:sz w:val="26"/>
                <w:szCs w:val="26"/>
              </w:rPr>
            </w:pPr>
            <w:r>
              <w:rPr>
                <w:sz w:val="26"/>
                <w:szCs w:val="26"/>
              </w:rPr>
              <w:t>Likumprojektu paredzēts īstenot esošo budžeta līdzekļu ietvaros.</w:t>
            </w:r>
          </w:p>
        </w:tc>
      </w:tr>
      <w:tr w:rsidR="00694F65" w:rsidRPr="00B662AA" w:rsidTr="00B662AA">
        <w:trPr>
          <w:trHeight w:val="1071"/>
        </w:trPr>
        <w:tc>
          <w:tcPr>
            <w:tcW w:w="550" w:type="dxa"/>
          </w:tcPr>
          <w:p w:rsidR="00694F65" w:rsidRPr="00B662AA" w:rsidRDefault="00694F65" w:rsidP="00B662AA">
            <w:pPr>
              <w:pStyle w:val="naiskr"/>
              <w:spacing w:before="0" w:after="0"/>
              <w:ind w:right="140"/>
              <w:rPr>
                <w:sz w:val="26"/>
                <w:szCs w:val="26"/>
              </w:rPr>
            </w:pPr>
            <w:r w:rsidRPr="00B662AA">
              <w:rPr>
                <w:sz w:val="26"/>
                <w:szCs w:val="26"/>
              </w:rPr>
              <w:lastRenderedPageBreak/>
              <w:t>3.</w:t>
            </w:r>
          </w:p>
        </w:tc>
        <w:tc>
          <w:tcPr>
            <w:tcW w:w="1865" w:type="dxa"/>
          </w:tcPr>
          <w:p w:rsidR="00694F65" w:rsidRPr="00B662AA" w:rsidRDefault="00694F65" w:rsidP="00B662AA">
            <w:pPr>
              <w:pStyle w:val="naiskr"/>
              <w:spacing w:before="0" w:after="0"/>
              <w:ind w:right="140"/>
              <w:rPr>
                <w:sz w:val="26"/>
                <w:szCs w:val="26"/>
              </w:rPr>
            </w:pPr>
            <w:r w:rsidRPr="00B662AA">
              <w:rPr>
                <w:sz w:val="26"/>
                <w:szCs w:val="26"/>
              </w:rPr>
              <w:t>Saistītie politikas ietekmes novērtējumi un pētījumi</w:t>
            </w:r>
          </w:p>
        </w:tc>
        <w:tc>
          <w:tcPr>
            <w:tcW w:w="6804" w:type="dxa"/>
          </w:tcPr>
          <w:p w:rsidR="00694F65" w:rsidRPr="00B662AA" w:rsidRDefault="006364EB" w:rsidP="00B662AA">
            <w:pPr>
              <w:pStyle w:val="FootnoteText"/>
              <w:ind w:right="140"/>
              <w:rPr>
                <w:sz w:val="26"/>
                <w:szCs w:val="26"/>
              </w:rPr>
            </w:pPr>
            <w:r w:rsidRPr="00B662AA">
              <w:rPr>
                <w:sz w:val="26"/>
                <w:szCs w:val="26"/>
              </w:rPr>
              <w:t>Nav.</w:t>
            </w:r>
          </w:p>
        </w:tc>
      </w:tr>
      <w:tr w:rsidR="00694F65" w:rsidRPr="00B662AA" w:rsidTr="00B662AA">
        <w:trPr>
          <w:trHeight w:val="384"/>
        </w:trPr>
        <w:tc>
          <w:tcPr>
            <w:tcW w:w="550" w:type="dxa"/>
          </w:tcPr>
          <w:p w:rsidR="00694F65" w:rsidRPr="00B662AA" w:rsidRDefault="00694F65" w:rsidP="00B662AA">
            <w:pPr>
              <w:pStyle w:val="naiskr"/>
              <w:spacing w:before="0" w:after="0"/>
              <w:ind w:right="140"/>
              <w:rPr>
                <w:sz w:val="26"/>
                <w:szCs w:val="26"/>
              </w:rPr>
            </w:pPr>
            <w:r w:rsidRPr="00B662AA">
              <w:rPr>
                <w:sz w:val="26"/>
                <w:szCs w:val="26"/>
              </w:rPr>
              <w:t>4.</w:t>
            </w:r>
          </w:p>
        </w:tc>
        <w:tc>
          <w:tcPr>
            <w:tcW w:w="1865" w:type="dxa"/>
          </w:tcPr>
          <w:p w:rsidR="00694F65" w:rsidRPr="00B662AA" w:rsidRDefault="00694F65" w:rsidP="00B662AA">
            <w:pPr>
              <w:pStyle w:val="naiskr"/>
              <w:spacing w:before="0" w:after="0"/>
              <w:ind w:right="140"/>
              <w:rPr>
                <w:sz w:val="26"/>
                <w:szCs w:val="26"/>
              </w:rPr>
            </w:pPr>
            <w:r w:rsidRPr="00B662AA">
              <w:rPr>
                <w:sz w:val="26"/>
                <w:szCs w:val="26"/>
              </w:rPr>
              <w:t>Tiesiskā regulējuma mērķis un būtība</w:t>
            </w:r>
          </w:p>
        </w:tc>
        <w:tc>
          <w:tcPr>
            <w:tcW w:w="6804" w:type="dxa"/>
          </w:tcPr>
          <w:p w:rsidR="00290630" w:rsidRPr="00B662AA" w:rsidRDefault="000466D7" w:rsidP="000466D7">
            <w:pPr>
              <w:pStyle w:val="naiskr"/>
              <w:spacing w:before="0" w:after="0"/>
              <w:ind w:right="140" w:firstLine="567"/>
              <w:jc w:val="both"/>
              <w:rPr>
                <w:iCs/>
                <w:sz w:val="26"/>
                <w:szCs w:val="26"/>
              </w:rPr>
            </w:pPr>
            <w:r>
              <w:rPr>
                <w:iCs/>
                <w:sz w:val="26"/>
                <w:szCs w:val="26"/>
              </w:rPr>
              <w:t xml:space="preserve"> Likumprojekta „Grozījumi Latvijas Administratīvo pārkāpumu kodeksā” (turpmāk – projekts)</w:t>
            </w:r>
            <w:r w:rsidR="00290630" w:rsidRPr="00B662AA">
              <w:rPr>
                <w:iCs/>
                <w:sz w:val="26"/>
                <w:szCs w:val="26"/>
              </w:rPr>
              <w:t xml:space="preserve"> mērķis ir izstrādāt procesuālo regulējumu, kas nodrošinātu vispārējās jurisdikcijas tiesām iespēju skatīt administratīvo pārkāpumu lietas, piemērojot tikai LAPK paredzēto regulējumu, kā arī ievērojot </w:t>
            </w:r>
            <w:r>
              <w:rPr>
                <w:iCs/>
                <w:sz w:val="26"/>
                <w:szCs w:val="26"/>
              </w:rPr>
              <w:t>pieeju, kas ir ietverta kriminālprocesuālajos principos</w:t>
            </w:r>
            <w:r w:rsidR="00290630" w:rsidRPr="00B662AA">
              <w:rPr>
                <w:iCs/>
                <w:sz w:val="26"/>
                <w:szCs w:val="26"/>
              </w:rPr>
              <w:t>.</w:t>
            </w:r>
          </w:p>
          <w:p w:rsidR="00290630" w:rsidRPr="00B662AA" w:rsidRDefault="00290630" w:rsidP="000466D7">
            <w:pPr>
              <w:pStyle w:val="naiskr"/>
              <w:spacing w:before="0" w:after="0"/>
              <w:ind w:right="140" w:firstLine="567"/>
              <w:jc w:val="both"/>
              <w:rPr>
                <w:iCs/>
                <w:sz w:val="26"/>
                <w:szCs w:val="26"/>
              </w:rPr>
            </w:pPr>
            <w:r w:rsidRPr="00B662AA">
              <w:rPr>
                <w:iCs/>
                <w:sz w:val="26"/>
                <w:szCs w:val="26"/>
              </w:rPr>
              <w:t xml:space="preserve"> Projektā ietverta atsevišķa nodaļa ar regulējumu par administratīvo pārkāpumu lietu izskatīšanu iestādē, par administratīvā pārkāpuma lietā pieņemtā lēmuma pārsūdzēšanu </w:t>
            </w:r>
            <w:r w:rsidR="00075F76" w:rsidRPr="00B662AA">
              <w:rPr>
                <w:iCs/>
                <w:sz w:val="26"/>
                <w:szCs w:val="26"/>
              </w:rPr>
              <w:t xml:space="preserve">padotības kārtībā </w:t>
            </w:r>
            <w:r w:rsidRPr="00B662AA">
              <w:rPr>
                <w:iCs/>
                <w:sz w:val="26"/>
                <w:szCs w:val="26"/>
              </w:rPr>
              <w:t>augstākā iestādē, par administratīvā pārkāpuma lietu izskatīšanu rajona (pilsētas) tiesā, un par administratīvā pārkāpuma lietu izskatīšanu apelācijas instances tiesā</w:t>
            </w:r>
            <w:r w:rsidR="00CA1FE8" w:rsidRPr="00B662AA">
              <w:rPr>
                <w:iCs/>
                <w:sz w:val="26"/>
                <w:szCs w:val="26"/>
              </w:rPr>
              <w:t>, tādējādi pirmo reizi ir izveidotas konkrētas procesuālas stadijas un katrā no tām paredzēta konkrēta procedūra</w:t>
            </w:r>
            <w:r w:rsidRPr="00B662AA">
              <w:rPr>
                <w:iCs/>
                <w:sz w:val="26"/>
                <w:szCs w:val="26"/>
              </w:rPr>
              <w:t xml:space="preserve">. Projekts paredz papildināt LAPK ar </w:t>
            </w:r>
            <w:r w:rsidR="00075F76" w:rsidRPr="00B662AA">
              <w:rPr>
                <w:iCs/>
                <w:sz w:val="26"/>
                <w:szCs w:val="26"/>
              </w:rPr>
              <w:t xml:space="preserve">jaunu </w:t>
            </w:r>
            <w:r w:rsidRPr="00B662AA">
              <w:rPr>
                <w:iCs/>
                <w:sz w:val="26"/>
                <w:szCs w:val="26"/>
              </w:rPr>
              <w:t>tiesisko regulējumu par jaunatklātiem apstākļiem.</w:t>
            </w:r>
          </w:p>
          <w:p w:rsidR="00936325" w:rsidRPr="00B662AA" w:rsidRDefault="00290630" w:rsidP="00B662AA">
            <w:pPr>
              <w:ind w:right="140"/>
              <w:jc w:val="both"/>
              <w:rPr>
                <w:sz w:val="26"/>
                <w:szCs w:val="26"/>
              </w:rPr>
            </w:pPr>
            <w:r w:rsidRPr="00B662AA">
              <w:rPr>
                <w:sz w:val="26"/>
                <w:szCs w:val="26"/>
              </w:rPr>
              <w:t xml:space="preserve">         Projekts paredz mainīt LAPK 37. pantā esošo tiesisko regulējumu, nosakot, ka administratīvās atbildības noilgums ir jārēķina līdz dienai, kad par personas izdarītu pārkāpumu tiek uzsākta administratīvā pārkāpuma lietvedība, nevis līdz soda </w:t>
            </w:r>
            <w:r w:rsidRPr="00B662AA">
              <w:rPr>
                <w:sz w:val="26"/>
                <w:szCs w:val="26"/>
              </w:rPr>
              <w:lastRenderedPageBreak/>
              <w:t xml:space="preserve">uzlikšanas dienai. Savukārt lietas izskatīšanas (soda uzlikšanas) termiņš regulējams kā procesuāls termiņš, kuram nav noilguma rakstura. </w:t>
            </w:r>
          </w:p>
          <w:p w:rsidR="00290630" w:rsidRPr="00B662AA" w:rsidRDefault="00936325" w:rsidP="00B662AA">
            <w:pPr>
              <w:ind w:right="140"/>
              <w:jc w:val="both"/>
              <w:rPr>
                <w:sz w:val="26"/>
                <w:szCs w:val="26"/>
              </w:rPr>
            </w:pPr>
            <w:r w:rsidRPr="00B662AA">
              <w:rPr>
                <w:sz w:val="26"/>
                <w:szCs w:val="26"/>
              </w:rPr>
              <w:t xml:space="preserve">         </w:t>
            </w:r>
            <w:r w:rsidR="00290630" w:rsidRPr="00B662AA">
              <w:rPr>
                <w:sz w:val="26"/>
                <w:szCs w:val="26"/>
              </w:rPr>
              <w:t>Tieslietu ministrijas ieskatā ilgstoša administratīvā pārkāpuma gadījumā jānoteic līdzīga kārtība kā krimināltiesībās attiecībā uz kriminālatbildības noilgumu, tāpēc projektā paredzēts no 37.</w:t>
            </w:r>
            <w:r w:rsidR="000466D7">
              <w:rPr>
                <w:sz w:val="26"/>
                <w:szCs w:val="26"/>
              </w:rPr>
              <w:t> </w:t>
            </w:r>
            <w:r w:rsidR="00290630" w:rsidRPr="00B662AA">
              <w:rPr>
                <w:sz w:val="26"/>
                <w:szCs w:val="26"/>
              </w:rPr>
              <w:t xml:space="preserve">panta izslēgt regulējumu par noilguma skaitīšanu ilgstoša pārkāpuma gadījumā. Noilgumam ir tiesisko stabilitāti veicinoša funkcija. Noilgums nozīmē, ka noteiktu laiku pēc pārkāpuma izdarīšanas personu vairs nevar sodīt par pārkāpumu. Tomēr LAPK pieļauj situāciju, ka personu noilguma dēļ nevar sodīt arī par pārkāpumu, kuru tā vēl ar vien izdara. Ilgstošs pārkāpums ir kaitīgs visu tā izdarīšanas laiku, tādēļ nav pamatoti atzīt par nesodāmām noilguma dēļ personas prettiesiskās darbības, kuras tā noilguma iestāšanās brīdī vēl nav pārtraukusi. Arī lietas izskatīšanai saprātīgā termiņā ir būtiska nozīme, un ir jābūt noteiktiem lietas izskatīšanas termiņiem. Tomēr iepriekš minēto iemeslu dēļ Tieslietu ministrija uzskata, ka lietas izskatīšanas termiņu ilgstoša pārkāpuma gadījumā nav pamata saistīt ar administratīvās atbildības noilgumu. </w:t>
            </w:r>
          </w:p>
          <w:p w:rsidR="00290630" w:rsidRPr="00B662AA" w:rsidRDefault="000466D7" w:rsidP="00B662AA">
            <w:pPr>
              <w:ind w:right="140" w:firstLine="539"/>
              <w:jc w:val="both"/>
              <w:rPr>
                <w:sz w:val="26"/>
                <w:szCs w:val="26"/>
              </w:rPr>
            </w:pPr>
            <w:r>
              <w:rPr>
                <w:sz w:val="26"/>
                <w:szCs w:val="26"/>
              </w:rPr>
              <w:t> Spēkā esošā LAPK 39. </w:t>
            </w:r>
            <w:r w:rsidR="00290630" w:rsidRPr="00B662AA">
              <w:rPr>
                <w:sz w:val="26"/>
                <w:szCs w:val="26"/>
              </w:rPr>
              <w:t xml:space="preserve">panta pirmā daļa noteic, ka, </w:t>
            </w:r>
            <w:bookmarkStart w:id="2" w:name="bkm72"/>
            <w:r w:rsidR="00290630" w:rsidRPr="00B662AA">
              <w:rPr>
                <w:sz w:val="26"/>
                <w:szCs w:val="26"/>
              </w:rPr>
              <w:t>ja administratīvā pārkāpuma rezultātā nodarīts mantisks zaudējums fiziskajai vai juridiskajai personai, tad, izlemjot jautājumu par administratīvā soda uzlikšanu, administratīvajai komisijai ir tiesības vienlaikus izlemt jautājumu par vainīgā pienākumu atlīdzināt mantisko zaudējumu līdz piecdesmit latiem, bet rajona (pilsētas) tiesas tiesnesim – līdz divsimt latiem. LAPK šobrīd nav skaidra pieeja jautājumam par institūciju (amatpersonu) tiesībām lemt par pienākumu atlīdzināt mantisko zaudējumu fiziskajai vai juridiskajai personai, jo atbilstoši spēkā esošajai LAPK redakcijai šādas tiesības ir piešķirtas tikai pašvaldību administratīvajām komisijām. Tieslietu ministrijas ieskatā šādas tiesības būtu piešķiramas tikai rajona (pilsētas) tiesas tiesnesim, savukārt citos gad</w:t>
            </w:r>
            <w:r>
              <w:rPr>
                <w:sz w:val="26"/>
                <w:szCs w:val="26"/>
              </w:rPr>
              <w:t>ījumos varētu piemērot LAPK 39. </w:t>
            </w:r>
            <w:r w:rsidR="00290630" w:rsidRPr="00B662AA">
              <w:rPr>
                <w:sz w:val="26"/>
                <w:szCs w:val="26"/>
              </w:rPr>
              <w:t>panta otrajā daļā paredzēto tiesisko regulējumu</w:t>
            </w:r>
            <w:bookmarkEnd w:id="2"/>
            <w:r w:rsidR="00290630" w:rsidRPr="00B662AA">
              <w:rPr>
                <w:sz w:val="26"/>
                <w:szCs w:val="26"/>
              </w:rPr>
              <w:t>, kas noteic, ka citos gadījumos jautājumu par administratīvā pārkāpuma rezultātā nodarīta mantiskā zaudējuma vai morālā kaitējuma atlīdzināšanu izlemj civilās tiesvedības kārtībā.</w:t>
            </w:r>
          </w:p>
          <w:p w:rsidR="00583D3B" w:rsidRDefault="00290630" w:rsidP="00B662AA">
            <w:pPr>
              <w:pStyle w:val="naisf"/>
              <w:spacing w:before="0" w:after="0"/>
              <w:ind w:right="140"/>
              <w:rPr>
                <w:bCs/>
                <w:sz w:val="26"/>
                <w:szCs w:val="26"/>
              </w:rPr>
            </w:pPr>
            <w:r w:rsidRPr="00B662AA">
              <w:rPr>
                <w:sz w:val="26"/>
                <w:szCs w:val="26"/>
              </w:rPr>
              <w:t> Projektā</w:t>
            </w:r>
            <w:r w:rsidR="000466D7">
              <w:rPr>
                <w:sz w:val="26"/>
                <w:szCs w:val="26"/>
              </w:rPr>
              <w:t xml:space="preserve"> paredzēts pilnveidot LAPK 243. </w:t>
            </w:r>
            <w:r w:rsidRPr="00B662AA">
              <w:rPr>
                <w:sz w:val="26"/>
                <w:szCs w:val="26"/>
              </w:rPr>
              <w:t xml:space="preserve">pantā ietverto regulējumu par pierādījumiem, precizējot pierādījumu definīciju, nosakot, ka </w:t>
            </w:r>
            <w:r w:rsidRPr="00B662AA">
              <w:rPr>
                <w:bCs/>
                <w:sz w:val="26"/>
                <w:szCs w:val="26"/>
              </w:rPr>
              <w:t xml:space="preserve">pierādījumi administratīvā pārkāpumā lietā ir jebkuras šajā kodeksā paredzētajā kārtībā iegūtas un </w:t>
            </w:r>
            <w:r w:rsidRPr="00B662AA">
              <w:rPr>
                <w:bCs/>
                <w:sz w:val="26"/>
                <w:szCs w:val="26"/>
              </w:rPr>
              <w:lastRenderedPageBreak/>
              <w:t xml:space="preserve">noteiktā procesuālajā formā nostiprinātas ziņas par faktiem, kurus administratīvajā lietvedībā iesaistītās personas savas kompetences ietvaros izmanto, lai pierādītu administratīvā pārkāpuma esamību vai neesamību un noskaidrotu citus apstākļus, kam ir nozīme lietas pareizā izlemšanā. </w:t>
            </w:r>
            <w:r w:rsidR="00936325" w:rsidRPr="00B662AA">
              <w:rPr>
                <w:bCs/>
                <w:sz w:val="26"/>
                <w:szCs w:val="26"/>
              </w:rPr>
              <w:t>Minētajā p</w:t>
            </w:r>
            <w:r w:rsidRPr="00B662AA">
              <w:rPr>
                <w:bCs/>
                <w:sz w:val="26"/>
                <w:szCs w:val="26"/>
              </w:rPr>
              <w:t xml:space="preserve">antā uzsvērta </w:t>
            </w:r>
            <w:r w:rsidR="00936325" w:rsidRPr="00B662AA">
              <w:rPr>
                <w:bCs/>
                <w:sz w:val="26"/>
                <w:szCs w:val="26"/>
              </w:rPr>
              <w:t xml:space="preserve">administratīvā pārkāpuma </w:t>
            </w:r>
            <w:r w:rsidRPr="00B662AA">
              <w:rPr>
                <w:bCs/>
                <w:sz w:val="26"/>
                <w:szCs w:val="26"/>
              </w:rPr>
              <w:t>protokola nozīme admi</w:t>
            </w:r>
            <w:r w:rsidR="006E50E0">
              <w:rPr>
                <w:bCs/>
                <w:sz w:val="26"/>
                <w:szCs w:val="26"/>
              </w:rPr>
              <w:t>nistratīvo pārkāpumu lietvedībā</w:t>
            </w:r>
            <w:r w:rsidR="00583D3B">
              <w:rPr>
                <w:bCs/>
                <w:sz w:val="26"/>
                <w:szCs w:val="26"/>
              </w:rPr>
              <w:t>.</w:t>
            </w:r>
          </w:p>
          <w:p w:rsidR="00993E1E" w:rsidRPr="005B2EFB" w:rsidRDefault="00D11A33" w:rsidP="00B662AA">
            <w:pPr>
              <w:pStyle w:val="naisf"/>
              <w:spacing w:before="0" w:after="0"/>
              <w:ind w:right="140"/>
              <w:rPr>
                <w:bCs/>
                <w:sz w:val="26"/>
                <w:szCs w:val="26"/>
              </w:rPr>
            </w:pPr>
            <w:r w:rsidRPr="005B2EFB">
              <w:rPr>
                <w:bCs/>
                <w:sz w:val="26"/>
                <w:szCs w:val="26"/>
              </w:rPr>
              <w:t>LAPK paredzē</w:t>
            </w:r>
            <w:r w:rsidR="00BD02E6" w:rsidRPr="005B2EFB">
              <w:rPr>
                <w:bCs/>
                <w:sz w:val="26"/>
                <w:szCs w:val="26"/>
              </w:rPr>
              <w:t>ts, ka personas vainas pierādīšanas pienākums administratīvā pārkāpuma lietvedībā iestādē ir institūcijai (amatpersonai), kura sauc personu pie administratīvās atbildības, tādējādi norobežojoties no šobrīd esošās prakses</w:t>
            </w:r>
            <w:r w:rsidR="00613F20" w:rsidRPr="005B2EFB">
              <w:rPr>
                <w:bCs/>
                <w:sz w:val="26"/>
                <w:szCs w:val="26"/>
              </w:rPr>
              <w:t>,</w:t>
            </w:r>
            <w:r w:rsidR="00BD02E6" w:rsidRPr="005B2EFB">
              <w:rPr>
                <w:bCs/>
                <w:sz w:val="26"/>
                <w:szCs w:val="26"/>
              </w:rPr>
              <w:t xml:space="preserve"> </w:t>
            </w:r>
            <w:r w:rsidR="00613F20" w:rsidRPr="005B2EFB">
              <w:rPr>
                <w:bCs/>
                <w:sz w:val="26"/>
                <w:szCs w:val="26"/>
              </w:rPr>
              <w:t xml:space="preserve">iestādēm </w:t>
            </w:r>
            <w:r w:rsidR="00BD02E6" w:rsidRPr="005B2EFB">
              <w:rPr>
                <w:bCs/>
                <w:sz w:val="26"/>
                <w:szCs w:val="26"/>
              </w:rPr>
              <w:t xml:space="preserve">ietulkojot </w:t>
            </w:r>
            <w:r w:rsidR="00227D6B">
              <w:rPr>
                <w:bCs/>
                <w:sz w:val="26"/>
                <w:szCs w:val="26"/>
              </w:rPr>
              <w:t xml:space="preserve">APL </w:t>
            </w:r>
            <w:r w:rsidR="00BD02E6" w:rsidRPr="005B2EFB">
              <w:rPr>
                <w:bCs/>
                <w:sz w:val="26"/>
                <w:szCs w:val="26"/>
              </w:rPr>
              <w:t>paredzēto personas sadarbības pienākumu ar iest</w:t>
            </w:r>
            <w:r w:rsidR="00613F20" w:rsidRPr="005B2EFB">
              <w:rPr>
                <w:bCs/>
                <w:sz w:val="26"/>
                <w:szCs w:val="26"/>
              </w:rPr>
              <w:t>ādi un pieprasot iesniegt lietas izskatīšanai vajadzīgos dokumentus, pamatojoties uz speciālajos likumos noteiktajām iestādes pilnvarām, īstenojot uzraudz</w:t>
            </w:r>
            <w:r w:rsidR="003D1F4B" w:rsidRPr="005B2EFB">
              <w:rPr>
                <w:bCs/>
                <w:sz w:val="26"/>
                <w:szCs w:val="26"/>
              </w:rPr>
              <w:t>ības funkciju</w:t>
            </w:r>
            <w:r w:rsidR="008C798B" w:rsidRPr="005B2EFB">
              <w:rPr>
                <w:bCs/>
                <w:sz w:val="26"/>
                <w:szCs w:val="26"/>
              </w:rPr>
              <w:t xml:space="preserve"> konkrētajā nozarē.</w:t>
            </w:r>
          </w:p>
          <w:p w:rsidR="009461CD" w:rsidRPr="005B2EFB" w:rsidRDefault="004B45C9" w:rsidP="00B662AA">
            <w:pPr>
              <w:pStyle w:val="naisf"/>
              <w:spacing w:before="0" w:after="0"/>
              <w:ind w:right="140"/>
              <w:rPr>
                <w:bCs/>
                <w:sz w:val="26"/>
                <w:szCs w:val="26"/>
              </w:rPr>
            </w:pPr>
            <w:r w:rsidRPr="005B2EFB">
              <w:rPr>
                <w:bCs/>
                <w:sz w:val="26"/>
                <w:szCs w:val="26"/>
              </w:rPr>
              <w:t>LAPK ieviests kriminālprocesuāls pamatprincips, ka administratīvā pārkāpuma lietvedībā iegūtās ziņas par faktiem, kā arī ziņas, kas fiksētas ar tehnisku līdzekļu palīdzību ir pieļaujams izmantot, ja tās iegūtas un procesuāli nostiprinātas šajā kodeksā noteiktajā kārtībā. Paredzēts, ka gadījumos, kad sastāda administratīvā pārkāpuma protokolu, visiem pierādījumiem jābūt fiksētiem(uzskaitītiem) protokolā. Tādējādi iestādei ir pienākums personas vainu apliecinošos pierādījumus iegūt administratīvā pārkāpuma lietvedības</w:t>
            </w:r>
            <w:r w:rsidR="00563C5B" w:rsidRPr="005B2EFB">
              <w:rPr>
                <w:bCs/>
                <w:sz w:val="26"/>
                <w:szCs w:val="26"/>
              </w:rPr>
              <w:t xml:space="preserve"> ietvaros, izmantojot LAPK notei</w:t>
            </w:r>
            <w:r w:rsidRPr="005B2EFB">
              <w:rPr>
                <w:bCs/>
                <w:sz w:val="26"/>
                <w:szCs w:val="26"/>
              </w:rPr>
              <w:t>ktos pierādīšanas līdzek</w:t>
            </w:r>
            <w:r w:rsidR="00144E57" w:rsidRPr="005B2EFB">
              <w:rPr>
                <w:bCs/>
                <w:sz w:val="26"/>
                <w:szCs w:val="26"/>
              </w:rPr>
              <w:t>ļus, pierādījumiem</w:t>
            </w:r>
            <w:r w:rsidRPr="005B2EFB">
              <w:rPr>
                <w:bCs/>
                <w:sz w:val="26"/>
                <w:szCs w:val="26"/>
              </w:rPr>
              <w:t xml:space="preserve"> jābūt uzskaitītiem administratīvā pārkāpuma protokolā un pievienotiem lietai.</w:t>
            </w:r>
          </w:p>
          <w:p w:rsidR="00AE603F" w:rsidRPr="005B2EFB" w:rsidRDefault="008A7296" w:rsidP="00B662AA">
            <w:pPr>
              <w:pStyle w:val="naisf"/>
              <w:spacing w:before="0" w:after="0"/>
              <w:ind w:right="140"/>
              <w:rPr>
                <w:bCs/>
                <w:sz w:val="26"/>
                <w:szCs w:val="26"/>
              </w:rPr>
            </w:pPr>
            <w:r w:rsidRPr="005B2EFB">
              <w:rPr>
                <w:bCs/>
                <w:sz w:val="26"/>
                <w:szCs w:val="26"/>
              </w:rPr>
              <w:t>Lai nostiprinātu tādu pierādījumu procesuālo pieļaujamību, kurus amatpersona ieguvusi</w:t>
            </w:r>
            <w:r w:rsidR="00E71892" w:rsidRPr="005B2EFB">
              <w:rPr>
                <w:bCs/>
                <w:sz w:val="26"/>
                <w:szCs w:val="26"/>
              </w:rPr>
              <w:t>,</w:t>
            </w:r>
            <w:r w:rsidRPr="005B2EFB">
              <w:rPr>
                <w:bCs/>
                <w:sz w:val="26"/>
                <w:szCs w:val="26"/>
              </w:rPr>
              <w:t xml:space="preserve"> konstatējot iespējamo administratīvo pārkāpumu uz vietas</w:t>
            </w:r>
            <w:r w:rsidR="00E71892" w:rsidRPr="005B2EFB">
              <w:rPr>
                <w:bCs/>
                <w:sz w:val="26"/>
                <w:szCs w:val="26"/>
              </w:rPr>
              <w:t>,</w:t>
            </w:r>
            <w:r w:rsidRPr="005B2EFB">
              <w:rPr>
                <w:bCs/>
                <w:sz w:val="26"/>
                <w:szCs w:val="26"/>
              </w:rPr>
              <w:t xml:space="preserve"> un</w:t>
            </w:r>
            <w:r w:rsidR="00E71892" w:rsidRPr="005B2EFB">
              <w:rPr>
                <w:bCs/>
                <w:sz w:val="26"/>
                <w:szCs w:val="26"/>
              </w:rPr>
              <w:t xml:space="preserve"> kas iegūti, pamatojoties uz amatpersonas objektīvu novērojumu, ko nepaliecina citi pierādījumi lietā (piemēram, ceļu satiksmes jomā braukšana bez drošības jostas, ielas šķērsošana pie sarkanās gaismas, vai sabiedriskās kārtības jomā smēķēšana neatļautās vietās) attiecīgo faktu konstatējumu amatpersonai ir pienākums fiksēt administratīvā pārkāpuma protokolā, kas tiek uzskatīts par pierādījumu bez papildus procesuālo darbību veikšanas.</w:t>
            </w:r>
            <w:r w:rsidR="006A5A09" w:rsidRPr="005B2EFB">
              <w:rPr>
                <w:bCs/>
                <w:sz w:val="26"/>
                <w:szCs w:val="26"/>
              </w:rPr>
              <w:t xml:space="preserve"> Savukārt ziņas vai faktus, kurus var pierādīt tikai ar noteiktiem pierādīšanas līdzekļiem</w:t>
            </w:r>
            <w:r w:rsidR="000015D9" w:rsidRPr="005B2EFB">
              <w:rPr>
                <w:bCs/>
                <w:sz w:val="26"/>
                <w:szCs w:val="26"/>
              </w:rPr>
              <w:t>, piemēram, braukšanas ātruma pārsniegšanas mērījumi, kā pierādījumi lietā ir pievienojamas attiecīgo mēr</w:t>
            </w:r>
            <w:r w:rsidR="008F69BC" w:rsidRPr="005B2EFB">
              <w:rPr>
                <w:bCs/>
                <w:sz w:val="26"/>
                <w:szCs w:val="26"/>
              </w:rPr>
              <w:t>ījumu izdrukas</w:t>
            </w:r>
            <w:r w:rsidR="0076191B" w:rsidRPr="005B2EFB">
              <w:rPr>
                <w:bCs/>
                <w:sz w:val="26"/>
                <w:szCs w:val="26"/>
              </w:rPr>
              <w:t xml:space="preserve"> </w:t>
            </w:r>
            <w:r w:rsidR="008F69BC" w:rsidRPr="005B2EFB">
              <w:rPr>
                <w:bCs/>
                <w:sz w:val="26"/>
                <w:szCs w:val="26"/>
              </w:rPr>
              <w:t xml:space="preserve">vai </w:t>
            </w:r>
            <w:r w:rsidR="0076191B" w:rsidRPr="005B2EFB">
              <w:rPr>
                <w:bCs/>
                <w:sz w:val="26"/>
                <w:szCs w:val="26"/>
              </w:rPr>
              <w:t>video ieraksti,</w:t>
            </w:r>
            <w:r w:rsidR="000015D9" w:rsidRPr="005B2EFB">
              <w:rPr>
                <w:bCs/>
                <w:sz w:val="26"/>
                <w:szCs w:val="26"/>
              </w:rPr>
              <w:t xml:space="preserve"> par ko tiek </w:t>
            </w:r>
            <w:r w:rsidR="00A77D0C" w:rsidRPr="005B2EFB">
              <w:rPr>
                <w:bCs/>
                <w:sz w:val="26"/>
                <w:szCs w:val="26"/>
              </w:rPr>
              <w:t>izdarīt</w:t>
            </w:r>
            <w:r w:rsidR="000015D9" w:rsidRPr="005B2EFB">
              <w:rPr>
                <w:bCs/>
                <w:sz w:val="26"/>
                <w:szCs w:val="26"/>
              </w:rPr>
              <w:t>s ieraksts administrat</w:t>
            </w:r>
            <w:r w:rsidR="00A77D0C" w:rsidRPr="005B2EFB">
              <w:rPr>
                <w:bCs/>
                <w:sz w:val="26"/>
                <w:szCs w:val="26"/>
              </w:rPr>
              <w:t>īvā</w:t>
            </w:r>
            <w:r w:rsidR="000015D9" w:rsidRPr="005B2EFB">
              <w:rPr>
                <w:bCs/>
                <w:sz w:val="26"/>
                <w:szCs w:val="26"/>
              </w:rPr>
              <w:t xml:space="preserve"> pārk</w:t>
            </w:r>
            <w:r w:rsidR="00A77D0C" w:rsidRPr="005B2EFB">
              <w:rPr>
                <w:bCs/>
                <w:sz w:val="26"/>
                <w:szCs w:val="26"/>
              </w:rPr>
              <w:t>āpuma</w:t>
            </w:r>
            <w:r w:rsidR="000015D9" w:rsidRPr="005B2EFB">
              <w:rPr>
                <w:bCs/>
                <w:sz w:val="26"/>
                <w:szCs w:val="26"/>
              </w:rPr>
              <w:t xml:space="preserve"> protokolā.</w:t>
            </w:r>
          </w:p>
          <w:p w:rsidR="008F69BC" w:rsidRPr="005B2EFB" w:rsidRDefault="000B120B" w:rsidP="00B662AA">
            <w:pPr>
              <w:pStyle w:val="naisf"/>
              <w:spacing w:before="0" w:after="0"/>
              <w:ind w:right="140"/>
              <w:rPr>
                <w:bCs/>
                <w:sz w:val="26"/>
                <w:szCs w:val="26"/>
              </w:rPr>
            </w:pPr>
            <w:r w:rsidRPr="005B2EFB">
              <w:rPr>
                <w:bCs/>
                <w:sz w:val="26"/>
                <w:szCs w:val="26"/>
              </w:rPr>
              <w:t>Kā izņēmums no vispārējā principa, a</w:t>
            </w:r>
            <w:r w:rsidR="000F3B8E" w:rsidRPr="005B2EFB">
              <w:rPr>
                <w:bCs/>
                <w:sz w:val="26"/>
                <w:szCs w:val="26"/>
              </w:rPr>
              <w:t xml:space="preserve">dministratīvā </w:t>
            </w:r>
            <w:r w:rsidR="000F3B8E" w:rsidRPr="005B2EFB">
              <w:rPr>
                <w:bCs/>
                <w:sz w:val="26"/>
                <w:szCs w:val="26"/>
              </w:rPr>
              <w:lastRenderedPageBreak/>
              <w:t>pārkāpuma lietvedībā paredzēts pieļaut tādu ziņu vai faktu izmantošanu kā pierādījumus lietā, kas iegūti ārpus administratīva pārkāpuma lietvedības</w:t>
            </w:r>
            <w:r w:rsidR="00596722" w:rsidRPr="005B2EFB">
              <w:rPr>
                <w:bCs/>
                <w:sz w:val="26"/>
                <w:szCs w:val="26"/>
              </w:rPr>
              <w:t xml:space="preserve"> vai pirms tās ierosināšanas, ja attiecīgā iestāde īstenojusi tās darbību regulējošajā</w:t>
            </w:r>
            <w:r w:rsidR="000F3B8E" w:rsidRPr="005B2EFB">
              <w:rPr>
                <w:bCs/>
                <w:sz w:val="26"/>
                <w:szCs w:val="26"/>
              </w:rPr>
              <w:t xml:space="preserve"> speciālaj</w:t>
            </w:r>
            <w:r w:rsidR="004A0F12" w:rsidRPr="005B2EFB">
              <w:rPr>
                <w:bCs/>
                <w:sz w:val="26"/>
                <w:szCs w:val="26"/>
              </w:rPr>
              <w:t>ā</w:t>
            </w:r>
            <w:r w:rsidR="000F3B8E" w:rsidRPr="005B2EFB">
              <w:rPr>
                <w:bCs/>
                <w:sz w:val="26"/>
                <w:szCs w:val="26"/>
              </w:rPr>
              <w:t xml:space="preserve"> likumā noteiktās pilnvaras. Piemēram, veicot uzraudzības funkciju </w:t>
            </w:r>
            <w:r w:rsidR="005A7957">
              <w:rPr>
                <w:bCs/>
                <w:sz w:val="26"/>
                <w:szCs w:val="26"/>
              </w:rPr>
              <w:t xml:space="preserve">APL </w:t>
            </w:r>
            <w:r w:rsidR="000F3B8E" w:rsidRPr="005B2EFB">
              <w:rPr>
                <w:bCs/>
                <w:sz w:val="26"/>
                <w:szCs w:val="26"/>
              </w:rPr>
              <w:t>noteiktajā kārtībā un pārbaudes laikā konstatējot pārkāpumus, kuriem ir administr</w:t>
            </w:r>
            <w:r w:rsidR="00236796" w:rsidRPr="005B2EFB">
              <w:rPr>
                <w:bCs/>
                <w:sz w:val="26"/>
                <w:szCs w:val="26"/>
              </w:rPr>
              <w:t>atīvā pārkāpuma sastāva pazīmes. Šādos gadījumos</w:t>
            </w:r>
            <w:r w:rsidR="000F3B8E" w:rsidRPr="005B2EFB">
              <w:rPr>
                <w:bCs/>
                <w:sz w:val="26"/>
                <w:szCs w:val="26"/>
              </w:rPr>
              <w:t xml:space="preserve"> atbildīg</w:t>
            </w:r>
            <w:r w:rsidR="00F00FB6" w:rsidRPr="005B2EFB">
              <w:rPr>
                <w:bCs/>
                <w:sz w:val="26"/>
                <w:szCs w:val="26"/>
              </w:rPr>
              <w:t>ajai</w:t>
            </w:r>
            <w:r w:rsidR="000F3B8E" w:rsidRPr="005B2EFB">
              <w:rPr>
                <w:bCs/>
                <w:sz w:val="26"/>
                <w:szCs w:val="26"/>
              </w:rPr>
              <w:t xml:space="preserve"> amatpersona</w:t>
            </w:r>
            <w:r w:rsidR="00F00FB6" w:rsidRPr="005B2EFB">
              <w:rPr>
                <w:bCs/>
                <w:sz w:val="26"/>
                <w:szCs w:val="26"/>
              </w:rPr>
              <w:t xml:space="preserve">i ir pienākums ierosināt administratīvā pārkāpuma lietvedību, pamatojoties uz pārbaudes laikā konstatēto. </w:t>
            </w:r>
            <w:r w:rsidR="004A0F12" w:rsidRPr="005B2EFB">
              <w:rPr>
                <w:bCs/>
                <w:sz w:val="26"/>
                <w:szCs w:val="26"/>
              </w:rPr>
              <w:t xml:space="preserve">Pārbaudes laikā iegūto ziņu vai faktu ticamību, </w:t>
            </w:r>
            <w:proofErr w:type="spellStart"/>
            <w:r w:rsidR="004A0F12" w:rsidRPr="005B2EFB">
              <w:rPr>
                <w:bCs/>
                <w:sz w:val="26"/>
                <w:szCs w:val="26"/>
              </w:rPr>
              <w:t>attiecināmību</w:t>
            </w:r>
            <w:proofErr w:type="spellEnd"/>
            <w:r w:rsidR="004A0F12" w:rsidRPr="005B2EFB">
              <w:rPr>
                <w:bCs/>
                <w:sz w:val="26"/>
                <w:szCs w:val="26"/>
              </w:rPr>
              <w:t xml:space="preserve"> un pieļaujamību kompetentā amatpersona izvērtē administrat</w:t>
            </w:r>
            <w:r w:rsidR="00F13E21" w:rsidRPr="005B2EFB">
              <w:rPr>
                <w:bCs/>
                <w:sz w:val="26"/>
                <w:szCs w:val="26"/>
              </w:rPr>
              <w:t>īvā pārkāpuma lietvedības gaitā, iegūstot personas paskaidrojumus, liecinieku liecības</w:t>
            </w:r>
            <w:r w:rsidR="005D21C6" w:rsidRPr="005B2EFB">
              <w:rPr>
                <w:bCs/>
                <w:sz w:val="26"/>
                <w:szCs w:val="26"/>
              </w:rPr>
              <w:t>, eksperta atzinumus</w:t>
            </w:r>
            <w:r w:rsidR="00F13E21" w:rsidRPr="005B2EFB">
              <w:rPr>
                <w:bCs/>
                <w:sz w:val="26"/>
                <w:szCs w:val="26"/>
              </w:rPr>
              <w:t xml:space="preserve"> un citus pierādījumus lietā.</w:t>
            </w:r>
          </w:p>
          <w:p w:rsidR="00290630" w:rsidRPr="005B2EFB" w:rsidRDefault="00290630" w:rsidP="00B662AA">
            <w:pPr>
              <w:pStyle w:val="naisf"/>
              <w:spacing w:before="0" w:after="0"/>
              <w:ind w:right="140"/>
              <w:rPr>
                <w:bCs/>
                <w:sz w:val="26"/>
                <w:szCs w:val="26"/>
              </w:rPr>
            </w:pPr>
            <w:r w:rsidRPr="005B2EFB">
              <w:rPr>
                <w:bCs/>
                <w:sz w:val="26"/>
                <w:szCs w:val="26"/>
              </w:rPr>
              <w:t>LAPK papildināt</w:t>
            </w:r>
            <w:r w:rsidR="00947E51" w:rsidRPr="005B2EFB">
              <w:rPr>
                <w:bCs/>
                <w:sz w:val="26"/>
                <w:szCs w:val="26"/>
              </w:rPr>
              <w:t>s</w:t>
            </w:r>
            <w:r w:rsidRPr="005B2EFB">
              <w:rPr>
                <w:bCs/>
                <w:sz w:val="26"/>
                <w:szCs w:val="26"/>
              </w:rPr>
              <w:t xml:space="preserve"> ar jaunu regulēju</w:t>
            </w:r>
            <w:r w:rsidR="00936325" w:rsidRPr="005B2EFB">
              <w:rPr>
                <w:bCs/>
                <w:sz w:val="26"/>
                <w:szCs w:val="26"/>
              </w:rPr>
              <w:t>mu par pierādīšanas līdzekļiem.</w:t>
            </w:r>
          </w:p>
          <w:p w:rsidR="00140632" w:rsidRPr="005B2EFB" w:rsidRDefault="00290630" w:rsidP="000466D7">
            <w:pPr>
              <w:pStyle w:val="naisf"/>
              <w:spacing w:before="0" w:after="0"/>
              <w:ind w:right="140" w:firstLine="567"/>
              <w:rPr>
                <w:bCs/>
                <w:sz w:val="26"/>
                <w:szCs w:val="26"/>
              </w:rPr>
            </w:pPr>
            <w:r w:rsidRPr="005B2EFB">
              <w:rPr>
                <w:bCs/>
                <w:sz w:val="26"/>
                <w:szCs w:val="26"/>
              </w:rPr>
              <w:t xml:space="preserve">Projekts paredz izslēgt tiesisko regulējumu par pārkāpēja atvešanu, </w:t>
            </w:r>
            <w:r w:rsidR="00436481" w:rsidRPr="005B2EFB">
              <w:rPr>
                <w:bCs/>
                <w:sz w:val="26"/>
                <w:szCs w:val="26"/>
              </w:rPr>
              <w:t xml:space="preserve">un saglabāt regulējumu par administratīvo aizturēšanu, </w:t>
            </w:r>
            <w:r w:rsidRPr="005B2EFB">
              <w:rPr>
                <w:bCs/>
                <w:sz w:val="26"/>
                <w:szCs w:val="26"/>
              </w:rPr>
              <w:t>lai nodrošinātu cilvēktiesību ievērošanu administratīvo pārkāpumu lietvedībā</w:t>
            </w:r>
            <w:r w:rsidR="00140632" w:rsidRPr="005B2EFB">
              <w:rPr>
                <w:bCs/>
                <w:sz w:val="26"/>
                <w:szCs w:val="26"/>
              </w:rPr>
              <w:t>.</w:t>
            </w:r>
          </w:p>
          <w:p w:rsidR="00290630" w:rsidRPr="00B662AA" w:rsidRDefault="000466D7" w:rsidP="000466D7">
            <w:pPr>
              <w:pStyle w:val="naisf"/>
              <w:spacing w:before="0" w:after="0"/>
              <w:ind w:right="140" w:firstLine="567"/>
              <w:rPr>
                <w:bCs/>
                <w:sz w:val="26"/>
                <w:szCs w:val="26"/>
              </w:rPr>
            </w:pPr>
            <w:r>
              <w:rPr>
                <w:bCs/>
                <w:sz w:val="26"/>
                <w:szCs w:val="26"/>
              </w:rPr>
              <w:t>Lai nostiprinātu LAPK 1. </w:t>
            </w:r>
            <w:r w:rsidR="00140632" w:rsidRPr="00B662AA">
              <w:rPr>
                <w:bCs/>
                <w:sz w:val="26"/>
                <w:szCs w:val="26"/>
              </w:rPr>
              <w:t>panta otrajā daļā ietverto principu, p</w:t>
            </w:r>
            <w:r w:rsidR="00290630" w:rsidRPr="00B662AA">
              <w:rPr>
                <w:bCs/>
                <w:sz w:val="26"/>
                <w:szCs w:val="26"/>
              </w:rPr>
              <w:t xml:space="preserve">rojektā paredzēts novērst </w:t>
            </w:r>
            <w:r w:rsidR="00140632" w:rsidRPr="00B662AA">
              <w:rPr>
                <w:bCs/>
                <w:sz w:val="26"/>
                <w:szCs w:val="26"/>
              </w:rPr>
              <w:t xml:space="preserve">redakcionāla rakstura </w:t>
            </w:r>
            <w:r w:rsidR="00290630" w:rsidRPr="00B662AA">
              <w:rPr>
                <w:bCs/>
                <w:sz w:val="26"/>
                <w:szCs w:val="26"/>
              </w:rPr>
              <w:t>nepilnības regulējumā par pasākumiem administratīvo pārkāpumu lietvedības nodrošināšanā</w:t>
            </w:r>
            <w:r>
              <w:rPr>
                <w:bCs/>
                <w:sz w:val="26"/>
                <w:szCs w:val="26"/>
              </w:rPr>
              <w:t xml:space="preserve"> (LAPK 20. </w:t>
            </w:r>
            <w:r w:rsidR="00140632" w:rsidRPr="00B662AA">
              <w:rPr>
                <w:bCs/>
                <w:sz w:val="26"/>
                <w:szCs w:val="26"/>
              </w:rPr>
              <w:t>nodaļa)</w:t>
            </w:r>
            <w:r w:rsidR="00290630" w:rsidRPr="00B662AA">
              <w:rPr>
                <w:bCs/>
                <w:sz w:val="26"/>
                <w:szCs w:val="26"/>
              </w:rPr>
              <w:t>, skaidri nosakot, ka šādus pasākumus var paredzēt tikai LAPK, kā arī</w:t>
            </w:r>
            <w:r w:rsidR="00140632" w:rsidRPr="00B662AA">
              <w:rPr>
                <w:bCs/>
                <w:sz w:val="26"/>
                <w:szCs w:val="26"/>
              </w:rPr>
              <w:t>, ka</w:t>
            </w:r>
            <w:r w:rsidR="00290630" w:rsidRPr="00B662AA">
              <w:rPr>
                <w:bCs/>
                <w:sz w:val="26"/>
                <w:szCs w:val="26"/>
              </w:rPr>
              <w:t xml:space="preserve"> kārtību, </w:t>
            </w:r>
            <w:r w:rsidR="00290630" w:rsidRPr="00B662AA">
              <w:rPr>
                <w:sz w:val="26"/>
                <w:szCs w:val="26"/>
              </w:rPr>
              <w:t>kādā izdarāma administratīvā aizturēšana, personas un mantu apskate, kā arī mantu un dokumentu izņemšana LAPK paredzētajiem nolūkiem, nosaka LAPK. Projektā paredzēts izslēgt iespēju administratīvā kārtā aizturēt personu, kura izdarījusi administratīvo pārkāpumu, pašvaldību attiecīgi pilnvarotām personām.</w:t>
            </w:r>
          </w:p>
          <w:p w:rsidR="00290630" w:rsidRPr="00B662AA" w:rsidRDefault="00290630" w:rsidP="000466D7">
            <w:pPr>
              <w:pStyle w:val="naisf"/>
              <w:spacing w:before="0" w:after="0"/>
              <w:ind w:right="140" w:firstLine="567"/>
              <w:rPr>
                <w:sz w:val="26"/>
                <w:szCs w:val="26"/>
              </w:rPr>
            </w:pPr>
            <w:r w:rsidRPr="00B662AA">
              <w:rPr>
                <w:sz w:val="26"/>
                <w:szCs w:val="26"/>
              </w:rPr>
              <w:t>Pēc Valsts kontroles lūguma projektā paredzēts izslēgt Valsts kontrolei noteiktās tiesības piemērot administratīvo sodu par norēķinu kārtības neievērošanu, jo minētās tiesības saglabājušās vēsturiski, kad atbilstoši likuma „Valsts kontroles revīzijas reglaments” (zaudējis spēku no 2002.</w:t>
            </w:r>
            <w:r w:rsidR="000466D7">
              <w:rPr>
                <w:sz w:val="26"/>
                <w:szCs w:val="26"/>
              </w:rPr>
              <w:t> gada 12. </w:t>
            </w:r>
            <w:r w:rsidRPr="00B662AA">
              <w:rPr>
                <w:sz w:val="26"/>
                <w:szCs w:val="26"/>
              </w:rPr>
              <w:t xml:space="preserve">jūnija) 53. pantam Valsts kontroles revīzijas departamentu kolēģijām bija noteiktas tiesības pieņemt lēmumus par uzrēķiniem uz revīziju aktu un atzinumu pamata, ņemot vērā atbildīgo amatpersonu paskaidrojumus. Valsts kontroles revīzijas departamentu kolēģiju lēmumi par uzrēķiniem bija izpildāmi bezstrīdus kārtībā. Līdz ar Valsts kontroles likuma spēkā stāšanos 2002. gada 12. jūnijā Valsts kontrolei nav noteiktas </w:t>
            </w:r>
            <w:r w:rsidRPr="00B662AA">
              <w:rPr>
                <w:sz w:val="26"/>
                <w:szCs w:val="26"/>
              </w:rPr>
              <w:lastRenderedPageBreak/>
              <w:t>tiesības pieņemt lēmumus par uzrēķiniem un līdz ar to nav tiesības piemērot sodus par normatīvajos aktos noteiktās norēķinu kārtības neievērošanu. Atbilstoši Valsts kontroles likuma 3. panta 4. punktam Valsts kontrole par revīzijā konstatētajiem normatīvo aktu pārkāpumiem ziņo tiesībaizsardzības iestādēm.</w:t>
            </w:r>
          </w:p>
          <w:p w:rsidR="00290630" w:rsidRPr="00B662AA" w:rsidRDefault="00140632" w:rsidP="00B662AA">
            <w:pPr>
              <w:ind w:right="140" w:firstLine="539"/>
              <w:jc w:val="both"/>
              <w:rPr>
                <w:sz w:val="26"/>
                <w:szCs w:val="26"/>
              </w:rPr>
            </w:pPr>
            <w:r w:rsidRPr="00B662AA">
              <w:rPr>
                <w:sz w:val="26"/>
                <w:szCs w:val="26"/>
              </w:rPr>
              <w:t>Procesuālās ekonomijas nolūkā p</w:t>
            </w:r>
            <w:r w:rsidR="00290630" w:rsidRPr="00B662AA">
              <w:rPr>
                <w:sz w:val="26"/>
                <w:szCs w:val="26"/>
              </w:rPr>
              <w:t>rojektā paredzēts noteikt, ka iestāde, kurai administratīvās pārkāpuma lietas izskatīšana ir piekritīga, var atteikties uzsākt administratīvo pārkāpumu lietvedību un atbrīvot personu no administratīvās atbildības, ja ziņas par administratīvo pārkāpumu ir pietiekamas, lai konstatētu, ka administratīvais pārkāpums ir izdarīts, bet tas ir maznozīmīgs.</w:t>
            </w:r>
          </w:p>
          <w:p w:rsidR="00290630" w:rsidRPr="00B662AA" w:rsidRDefault="00290630" w:rsidP="00B662AA">
            <w:pPr>
              <w:ind w:right="140" w:firstLine="539"/>
              <w:jc w:val="both"/>
              <w:rPr>
                <w:sz w:val="26"/>
                <w:szCs w:val="26"/>
              </w:rPr>
            </w:pPr>
            <w:r w:rsidRPr="00B662AA">
              <w:rPr>
                <w:sz w:val="26"/>
                <w:szCs w:val="26"/>
              </w:rPr>
              <w:t>Projekts paredz papildināt LAPK ar jaunu regulējumu par prettiesiska lēmuma atcelšanu, nosakot, ka institūcijas (amatpersonas), kas izskatījusi administratīvo pārkāpumu lietu un pieņēmusi lēmumu, augstāka institūcija (amatpersona) jebkurā brīdī pēc savas iniciatīvas var atcelt to, ja tas ir prettiesisks. Koleģiāla institūcija vai institūcija (amatpersona), kurai nav augstākas institūcijas (amatpersonas) un kuras lēmumu uzreiz var pārsūdzēt tiesā, un kas izskatījusi administratīvo pārkāpumu lietu un pieņēmusi lēmumu, jebkurā brīdī pēc savas iniciatīvas var atcelt to, ja tas ir prettiesisks.</w:t>
            </w:r>
          </w:p>
          <w:p w:rsidR="00290630" w:rsidRPr="00B662AA" w:rsidRDefault="00290630" w:rsidP="000466D7">
            <w:pPr>
              <w:pStyle w:val="naisf"/>
              <w:spacing w:before="0" w:after="0"/>
              <w:ind w:right="140" w:firstLine="567"/>
              <w:rPr>
                <w:sz w:val="26"/>
                <w:szCs w:val="26"/>
              </w:rPr>
            </w:pPr>
            <w:r w:rsidRPr="00B662AA">
              <w:rPr>
                <w:sz w:val="26"/>
                <w:szCs w:val="26"/>
              </w:rPr>
              <w:t xml:space="preserve">Projektā ietverts tiesiskais regulējums, kas uzsver personas, kuru sauc pie administratīvās atbildības, pienākumu personīgi piedalīties administratīvo pārkāpumu lietvedībā, paredzot, ka persona savu aizstāvību var īstenot </w:t>
            </w:r>
            <w:r w:rsidR="00140632" w:rsidRPr="00B662AA">
              <w:rPr>
                <w:sz w:val="26"/>
                <w:szCs w:val="26"/>
              </w:rPr>
              <w:t xml:space="preserve">pati </w:t>
            </w:r>
            <w:r w:rsidRPr="00B662AA">
              <w:rPr>
                <w:sz w:val="26"/>
                <w:szCs w:val="26"/>
              </w:rPr>
              <w:t>vai pieaicinot aizstāvi, bet juridiska persona</w:t>
            </w:r>
            <w:r w:rsidR="0089192B" w:rsidRPr="00B662AA">
              <w:rPr>
                <w:sz w:val="26"/>
                <w:szCs w:val="26"/>
              </w:rPr>
              <w:t xml:space="preserve"> procesā piedalās ar pārstāvja starpniecību.</w:t>
            </w:r>
          </w:p>
          <w:p w:rsidR="00AC0BF2" w:rsidRPr="007D08D0" w:rsidRDefault="00AC0BF2" w:rsidP="000466D7">
            <w:pPr>
              <w:pStyle w:val="naisf"/>
              <w:spacing w:before="0" w:after="0"/>
              <w:ind w:right="140" w:firstLine="567"/>
              <w:rPr>
                <w:sz w:val="26"/>
                <w:szCs w:val="26"/>
              </w:rPr>
            </w:pPr>
            <w:r w:rsidRPr="007D08D0">
              <w:rPr>
                <w:sz w:val="26"/>
                <w:szCs w:val="26"/>
              </w:rPr>
              <w:t>Pamatojoties uz Tiesībsarga sniegto atzinumu, projektā</w:t>
            </w:r>
            <w:r w:rsidR="006434FB" w:rsidRPr="007D08D0">
              <w:rPr>
                <w:sz w:val="26"/>
                <w:szCs w:val="26"/>
              </w:rPr>
              <w:t xml:space="preserve"> paredz</w:t>
            </w:r>
            <w:r w:rsidRPr="007D08D0">
              <w:rPr>
                <w:sz w:val="26"/>
                <w:szCs w:val="26"/>
              </w:rPr>
              <w:t>ēts</w:t>
            </w:r>
            <w:r w:rsidR="006434FB" w:rsidRPr="007D08D0">
              <w:rPr>
                <w:sz w:val="26"/>
                <w:szCs w:val="26"/>
              </w:rPr>
              <w:t xml:space="preserve"> pilnveidot LAPK tiesisko regulējumu attiecībā uz nepilngadīgām personām administratīv</w:t>
            </w:r>
            <w:r w:rsidR="001462EA" w:rsidRPr="007D08D0">
              <w:rPr>
                <w:sz w:val="26"/>
                <w:szCs w:val="26"/>
              </w:rPr>
              <w:t>o</w:t>
            </w:r>
            <w:r w:rsidR="006434FB" w:rsidRPr="007D08D0">
              <w:rPr>
                <w:sz w:val="26"/>
                <w:szCs w:val="26"/>
              </w:rPr>
              <w:t xml:space="preserve"> pārk</w:t>
            </w:r>
            <w:r w:rsidR="001462EA" w:rsidRPr="007D08D0">
              <w:rPr>
                <w:sz w:val="26"/>
                <w:szCs w:val="26"/>
              </w:rPr>
              <w:t>āpumu</w:t>
            </w:r>
            <w:r w:rsidR="006434FB" w:rsidRPr="007D08D0">
              <w:rPr>
                <w:sz w:val="26"/>
                <w:szCs w:val="26"/>
              </w:rPr>
              <w:t xml:space="preserve"> lietvedīb</w:t>
            </w:r>
            <w:r w:rsidR="001462EA" w:rsidRPr="007D08D0">
              <w:rPr>
                <w:sz w:val="26"/>
                <w:szCs w:val="26"/>
              </w:rPr>
              <w:t>ā, lai nodrošinātu nepilngad</w:t>
            </w:r>
            <w:r w:rsidR="00A54182" w:rsidRPr="007D08D0">
              <w:rPr>
                <w:sz w:val="26"/>
                <w:szCs w:val="26"/>
              </w:rPr>
              <w:t>īgas personas likumisko pārstāvju informēšanu par nepilngadīgās personas izdarītajiem administratīvajiem pārkāpumiem, kā arī lai nodrošinātu iespēju īstenot nepilngadīgo personu aizstāvību.</w:t>
            </w:r>
            <w:r w:rsidR="009759EF" w:rsidRPr="007D08D0">
              <w:rPr>
                <w:sz w:val="26"/>
                <w:szCs w:val="26"/>
              </w:rPr>
              <w:t xml:space="preserve"> </w:t>
            </w:r>
            <w:r w:rsidRPr="007D08D0">
              <w:rPr>
                <w:sz w:val="26"/>
                <w:szCs w:val="26"/>
              </w:rPr>
              <w:t>Ņemot vērā to, ka nepilngadīgā persona nevar pilnvērtīgi īstenot savas tiesības un pienākumus, vēl jo vairāk, situācijā, kurā tiek lemts par nepilngadīgā vainu pārkāpuma izdarīšanā, paredzēts obligāts iestādes pienākums uzaicināt nepilngadīgā likumisko pārstāvi uz liet</w:t>
            </w:r>
            <w:r w:rsidR="00831F21" w:rsidRPr="007D08D0">
              <w:rPr>
                <w:sz w:val="26"/>
                <w:szCs w:val="26"/>
              </w:rPr>
              <w:t>a</w:t>
            </w:r>
            <w:r w:rsidRPr="007D08D0">
              <w:rPr>
                <w:sz w:val="26"/>
                <w:szCs w:val="26"/>
              </w:rPr>
              <w:t xml:space="preserve">s izskatīšanu. </w:t>
            </w:r>
            <w:r w:rsidR="00F837E8" w:rsidRPr="007D08D0">
              <w:rPr>
                <w:sz w:val="26"/>
                <w:szCs w:val="26"/>
              </w:rPr>
              <w:t xml:space="preserve">Vienlaikus noteikts, ka nepilngadīgo administratīvo pārkāpumu lietas izskata slēgtās sēdēs. Minētais tiesiskais regulējums attiecināms ne tikai uz tiesvedības nodaļu LAPK, bet arī uz lietas izskatīšanu iestādē. Jautājumu par </w:t>
            </w:r>
            <w:r w:rsidR="00F837E8" w:rsidRPr="007D08D0">
              <w:rPr>
                <w:sz w:val="26"/>
                <w:szCs w:val="26"/>
              </w:rPr>
              <w:lastRenderedPageBreak/>
              <w:t>slēgtu lietas izskatīšanu izlemj kompetentā amatpersona, attiecīgi nodrošinot konkrētās administratīvā pārkāpuma lietas materiāliem ierobežotas pieejamības statusu.</w:t>
            </w:r>
          </w:p>
          <w:p w:rsidR="005F1E85" w:rsidRPr="00B662AA" w:rsidRDefault="001462EA" w:rsidP="009D304C">
            <w:pPr>
              <w:pStyle w:val="naisf"/>
              <w:spacing w:before="0" w:after="0"/>
              <w:ind w:right="140" w:firstLine="567"/>
              <w:rPr>
                <w:sz w:val="26"/>
                <w:szCs w:val="26"/>
              </w:rPr>
            </w:pPr>
            <w:r w:rsidRPr="007D08D0">
              <w:rPr>
                <w:sz w:val="26"/>
                <w:szCs w:val="26"/>
              </w:rPr>
              <w:t>Projekts paredz redakcionāla rakstura grozījumus LAPK V sadaļā par lēmumu izpildi par administratīvo sodu uzlikšanu, lai saskaņotu šajā sadaļā esošo tiesisko regulējumu ar citiem normatīvajiem aktiem</w:t>
            </w:r>
            <w:r w:rsidR="004D6768" w:rsidRPr="007D08D0">
              <w:rPr>
                <w:sz w:val="26"/>
                <w:szCs w:val="26"/>
              </w:rPr>
              <w:t xml:space="preserve"> un novērstu juridiska rakstura neprecizitātes</w:t>
            </w:r>
            <w:r w:rsidR="00D419E6" w:rsidRPr="007D08D0">
              <w:rPr>
                <w:sz w:val="26"/>
                <w:szCs w:val="26"/>
              </w:rPr>
              <w:t xml:space="preserve"> un izslēgtu pantus, kas ir novecojuši</w:t>
            </w:r>
            <w:r w:rsidR="00D419E6" w:rsidRPr="00B662AA">
              <w:rPr>
                <w:sz w:val="26"/>
                <w:szCs w:val="26"/>
              </w:rPr>
              <w:t xml:space="preserve"> un praksē netiek piemēroti.</w:t>
            </w:r>
          </w:p>
        </w:tc>
      </w:tr>
      <w:tr w:rsidR="00694F65" w:rsidRPr="00B662AA" w:rsidTr="00B662AA">
        <w:trPr>
          <w:trHeight w:val="476"/>
        </w:trPr>
        <w:tc>
          <w:tcPr>
            <w:tcW w:w="550" w:type="dxa"/>
          </w:tcPr>
          <w:p w:rsidR="00694F65" w:rsidRPr="00B662AA" w:rsidRDefault="00694F65" w:rsidP="00B662AA">
            <w:pPr>
              <w:pStyle w:val="naiskr"/>
              <w:spacing w:before="0" w:after="0"/>
              <w:ind w:right="140"/>
              <w:rPr>
                <w:sz w:val="26"/>
                <w:szCs w:val="26"/>
              </w:rPr>
            </w:pPr>
            <w:r w:rsidRPr="00B662AA">
              <w:rPr>
                <w:sz w:val="26"/>
                <w:szCs w:val="26"/>
              </w:rPr>
              <w:lastRenderedPageBreak/>
              <w:t>5.</w:t>
            </w:r>
          </w:p>
        </w:tc>
        <w:tc>
          <w:tcPr>
            <w:tcW w:w="1865" w:type="dxa"/>
          </w:tcPr>
          <w:p w:rsidR="00694F65" w:rsidRPr="00B662AA" w:rsidRDefault="00694F65" w:rsidP="00B662AA">
            <w:pPr>
              <w:pStyle w:val="naiskr"/>
              <w:spacing w:before="0" w:after="0"/>
              <w:ind w:right="140"/>
              <w:rPr>
                <w:sz w:val="26"/>
                <w:szCs w:val="26"/>
              </w:rPr>
            </w:pPr>
            <w:r w:rsidRPr="00B662AA">
              <w:rPr>
                <w:sz w:val="26"/>
                <w:szCs w:val="26"/>
              </w:rPr>
              <w:t>Projekta izstrādē iesaistītās institūcijas</w:t>
            </w:r>
          </w:p>
        </w:tc>
        <w:tc>
          <w:tcPr>
            <w:tcW w:w="6804" w:type="dxa"/>
          </w:tcPr>
          <w:p w:rsidR="00694F65" w:rsidRPr="00B662AA" w:rsidRDefault="00020F74" w:rsidP="00B662AA">
            <w:pPr>
              <w:pStyle w:val="naiskr"/>
              <w:spacing w:before="0" w:after="0"/>
              <w:ind w:right="140" w:firstLine="567"/>
              <w:jc w:val="both"/>
              <w:rPr>
                <w:iCs/>
                <w:sz w:val="26"/>
                <w:szCs w:val="26"/>
              </w:rPr>
            </w:pPr>
            <w:r w:rsidRPr="00B662AA">
              <w:rPr>
                <w:iCs/>
                <w:sz w:val="26"/>
                <w:szCs w:val="26"/>
              </w:rPr>
              <w:t>Projekta izstrādei ar 2010. gada 19. janvāra tieslietu ministra rīkojumu Nr.1-1/25 „Par Latvijas Administratīvo pārkāpumu kodeksa pastāvīgās darba grupas izveidošanu” tika izveidota darba grupa.</w:t>
            </w:r>
          </w:p>
          <w:p w:rsidR="00A14CAA" w:rsidRPr="00B662AA" w:rsidRDefault="00020F74" w:rsidP="00B662AA">
            <w:pPr>
              <w:pStyle w:val="naiskr"/>
              <w:spacing w:before="0" w:after="0"/>
              <w:ind w:right="140" w:firstLine="567"/>
              <w:jc w:val="both"/>
              <w:rPr>
                <w:iCs/>
                <w:sz w:val="26"/>
                <w:szCs w:val="26"/>
              </w:rPr>
            </w:pPr>
            <w:r w:rsidRPr="00B662AA">
              <w:rPr>
                <w:iCs/>
                <w:sz w:val="26"/>
                <w:szCs w:val="26"/>
              </w:rPr>
              <w:t xml:space="preserve">Darba grupas sastāvā </w:t>
            </w:r>
            <w:r w:rsidR="00B662AA">
              <w:rPr>
                <w:iCs/>
                <w:sz w:val="26"/>
                <w:szCs w:val="26"/>
              </w:rPr>
              <w:t>tika iekļauti</w:t>
            </w:r>
            <w:r w:rsidRPr="00B662AA">
              <w:rPr>
                <w:iCs/>
                <w:sz w:val="26"/>
                <w:szCs w:val="26"/>
              </w:rPr>
              <w:t xml:space="preserve"> pārstāvji no Latvijas Universitātes Juridiskās fakultātes Valststiesību zinātņu katedras, Biznesa augstskolas „Turība” Juridiskās fakultātes, Administratīvās rajona tiesas, Administratīvās apgabaltiesas, Rīgas apgabaltiesas Krimināllietu tiesu kolēģijas, Augstākās tiesas Senāta Administratīvo lietu departamenta, Rīgas rajona tiesas, Ģenerālprokuratūras, Valsts ieņēmuma dienesta, Pārtikas un veterinārā dienesta</w:t>
            </w:r>
            <w:r w:rsidR="00AC5AF3" w:rsidRPr="00B662AA">
              <w:rPr>
                <w:iCs/>
                <w:sz w:val="26"/>
                <w:szCs w:val="26"/>
              </w:rPr>
              <w:t xml:space="preserve"> un Valsts policijas.</w:t>
            </w:r>
          </w:p>
        </w:tc>
      </w:tr>
      <w:tr w:rsidR="00694F65" w:rsidRPr="00B662AA" w:rsidTr="00B662AA">
        <w:trPr>
          <w:trHeight w:val="1340"/>
        </w:trPr>
        <w:tc>
          <w:tcPr>
            <w:tcW w:w="550" w:type="dxa"/>
          </w:tcPr>
          <w:p w:rsidR="00694F65" w:rsidRPr="00B662AA" w:rsidRDefault="00694F65" w:rsidP="00B662AA">
            <w:pPr>
              <w:pStyle w:val="naiskr"/>
              <w:spacing w:before="0" w:after="0"/>
              <w:ind w:right="140"/>
              <w:rPr>
                <w:sz w:val="26"/>
                <w:szCs w:val="26"/>
              </w:rPr>
            </w:pPr>
            <w:r w:rsidRPr="00B662AA">
              <w:rPr>
                <w:sz w:val="26"/>
                <w:szCs w:val="26"/>
              </w:rPr>
              <w:t>6.</w:t>
            </w:r>
          </w:p>
        </w:tc>
        <w:tc>
          <w:tcPr>
            <w:tcW w:w="1865" w:type="dxa"/>
          </w:tcPr>
          <w:p w:rsidR="00694F65" w:rsidRPr="00B662AA" w:rsidRDefault="00694F65" w:rsidP="00B662AA">
            <w:pPr>
              <w:pStyle w:val="naiskr"/>
              <w:spacing w:before="0" w:after="0"/>
              <w:ind w:right="140"/>
              <w:rPr>
                <w:i/>
                <w:sz w:val="26"/>
                <w:szCs w:val="26"/>
                <w:highlight w:val="yellow"/>
              </w:rPr>
            </w:pPr>
            <w:r w:rsidRPr="00B662AA">
              <w:rPr>
                <w:sz w:val="26"/>
                <w:szCs w:val="26"/>
              </w:rPr>
              <w:t>Iemesli, kādēļ netika nodrošināta sabiedrības līdzdalīb</w:t>
            </w:r>
            <w:r w:rsidR="00266DB0" w:rsidRPr="00B662AA">
              <w:rPr>
                <w:sz w:val="26"/>
                <w:szCs w:val="26"/>
              </w:rPr>
              <w:t>a</w:t>
            </w:r>
          </w:p>
        </w:tc>
        <w:tc>
          <w:tcPr>
            <w:tcW w:w="6804" w:type="dxa"/>
          </w:tcPr>
          <w:p w:rsidR="00266DB0" w:rsidRPr="00B662AA" w:rsidRDefault="00A14CAA" w:rsidP="00B662AA">
            <w:pPr>
              <w:pStyle w:val="FootnoteText"/>
              <w:ind w:right="140"/>
              <w:rPr>
                <w:sz w:val="26"/>
                <w:szCs w:val="26"/>
              </w:rPr>
            </w:pPr>
            <w:r w:rsidRPr="00B662AA">
              <w:rPr>
                <w:sz w:val="26"/>
                <w:szCs w:val="26"/>
              </w:rPr>
              <w:t>Nav</w:t>
            </w:r>
            <w:r w:rsidR="00266DB0" w:rsidRPr="00B662AA">
              <w:rPr>
                <w:sz w:val="26"/>
                <w:szCs w:val="26"/>
              </w:rPr>
              <w:t>.</w:t>
            </w:r>
          </w:p>
        </w:tc>
      </w:tr>
      <w:tr w:rsidR="00694F65" w:rsidRPr="00B662AA" w:rsidTr="00B662AA">
        <w:tc>
          <w:tcPr>
            <w:tcW w:w="550" w:type="dxa"/>
          </w:tcPr>
          <w:p w:rsidR="00694F65" w:rsidRPr="00B662AA" w:rsidRDefault="00694F65" w:rsidP="00B662AA">
            <w:pPr>
              <w:pStyle w:val="naiskr"/>
              <w:spacing w:before="0" w:after="0"/>
              <w:ind w:right="140"/>
              <w:rPr>
                <w:sz w:val="26"/>
                <w:szCs w:val="26"/>
              </w:rPr>
            </w:pPr>
            <w:r w:rsidRPr="00B662AA">
              <w:rPr>
                <w:sz w:val="26"/>
                <w:szCs w:val="26"/>
              </w:rPr>
              <w:t>7.</w:t>
            </w:r>
          </w:p>
        </w:tc>
        <w:tc>
          <w:tcPr>
            <w:tcW w:w="1865" w:type="dxa"/>
          </w:tcPr>
          <w:p w:rsidR="00694F65" w:rsidRPr="00B662AA" w:rsidRDefault="00694F65" w:rsidP="00B662AA">
            <w:pPr>
              <w:pStyle w:val="naiskr"/>
              <w:spacing w:before="0" w:after="0"/>
              <w:ind w:right="140"/>
              <w:rPr>
                <w:sz w:val="26"/>
                <w:szCs w:val="26"/>
              </w:rPr>
            </w:pPr>
            <w:r w:rsidRPr="00B662AA">
              <w:rPr>
                <w:sz w:val="26"/>
                <w:szCs w:val="26"/>
              </w:rPr>
              <w:t>Cita informācija</w:t>
            </w:r>
          </w:p>
        </w:tc>
        <w:tc>
          <w:tcPr>
            <w:tcW w:w="6804" w:type="dxa"/>
          </w:tcPr>
          <w:p w:rsidR="00694F65" w:rsidRPr="00B662AA" w:rsidRDefault="00A14CAA" w:rsidP="00B662AA">
            <w:pPr>
              <w:pStyle w:val="naiskr"/>
              <w:spacing w:before="0" w:after="0"/>
              <w:ind w:right="140"/>
              <w:rPr>
                <w:sz w:val="26"/>
                <w:szCs w:val="26"/>
              </w:rPr>
            </w:pPr>
            <w:r w:rsidRPr="00B662AA">
              <w:rPr>
                <w:sz w:val="26"/>
                <w:szCs w:val="26"/>
              </w:rPr>
              <w:t>Nav.</w:t>
            </w:r>
          </w:p>
        </w:tc>
      </w:tr>
    </w:tbl>
    <w:p w:rsidR="00266DB0" w:rsidRPr="00B662AA" w:rsidRDefault="00266DB0" w:rsidP="00B662AA">
      <w:pPr>
        <w:pStyle w:val="naisf"/>
        <w:spacing w:before="0" w:after="0"/>
        <w:ind w:right="-1" w:firstLine="0"/>
        <w:rPr>
          <w:sz w:val="26"/>
          <w:szCs w:val="26"/>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4137"/>
        <w:gridCol w:w="4651"/>
      </w:tblGrid>
      <w:tr w:rsidR="00694F65" w:rsidRPr="00B662AA" w:rsidTr="00B662AA">
        <w:tc>
          <w:tcPr>
            <w:tcW w:w="9219" w:type="dxa"/>
            <w:gridSpan w:val="3"/>
            <w:vAlign w:val="center"/>
          </w:tcPr>
          <w:p w:rsidR="00694F65" w:rsidRPr="00B662AA" w:rsidRDefault="00694F65" w:rsidP="00B662AA">
            <w:pPr>
              <w:pStyle w:val="naisnod"/>
              <w:spacing w:before="0" w:after="0"/>
              <w:ind w:right="-1"/>
              <w:rPr>
                <w:sz w:val="26"/>
                <w:szCs w:val="26"/>
              </w:rPr>
            </w:pPr>
            <w:r w:rsidRPr="00B662AA">
              <w:rPr>
                <w:sz w:val="26"/>
                <w:szCs w:val="26"/>
              </w:rPr>
              <w:t>II. Tiesību akta projekta ietekme uz sabiedrību</w:t>
            </w:r>
          </w:p>
        </w:tc>
      </w:tr>
      <w:tr w:rsidR="00694F65" w:rsidRPr="00B662AA" w:rsidTr="00B662AA">
        <w:trPr>
          <w:trHeight w:val="467"/>
        </w:trPr>
        <w:tc>
          <w:tcPr>
            <w:tcW w:w="431" w:type="dxa"/>
          </w:tcPr>
          <w:p w:rsidR="00694F65" w:rsidRPr="00B662AA" w:rsidRDefault="00694F65" w:rsidP="00B662AA">
            <w:pPr>
              <w:pStyle w:val="naiskr"/>
              <w:spacing w:before="0" w:after="0"/>
              <w:ind w:right="-1"/>
              <w:rPr>
                <w:sz w:val="26"/>
                <w:szCs w:val="26"/>
              </w:rPr>
            </w:pPr>
            <w:r w:rsidRPr="00B662AA">
              <w:rPr>
                <w:sz w:val="26"/>
                <w:szCs w:val="26"/>
              </w:rPr>
              <w:t>1.</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Sabiedrības mērķgrupa</w:t>
            </w:r>
          </w:p>
        </w:tc>
        <w:tc>
          <w:tcPr>
            <w:tcW w:w="4651" w:type="dxa"/>
          </w:tcPr>
          <w:p w:rsidR="00694F65" w:rsidRPr="00B662AA" w:rsidRDefault="00BA5A02" w:rsidP="00B662AA">
            <w:pPr>
              <w:pStyle w:val="naiskr"/>
              <w:spacing w:before="0" w:after="0"/>
              <w:ind w:right="-1"/>
              <w:jc w:val="both"/>
              <w:rPr>
                <w:sz w:val="26"/>
                <w:szCs w:val="26"/>
              </w:rPr>
            </w:pPr>
            <w:r w:rsidRPr="00B662AA">
              <w:rPr>
                <w:sz w:val="26"/>
                <w:szCs w:val="26"/>
              </w:rPr>
              <w:t>Visas personas, kuras ir iesaistītas administratīvā pārkāpuma lietvedīb</w:t>
            </w:r>
            <w:r w:rsidR="005613F4" w:rsidRPr="00B662AA">
              <w:rPr>
                <w:sz w:val="26"/>
                <w:szCs w:val="26"/>
              </w:rPr>
              <w:t>ā</w:t>
            </w:r>
            <w:r w:rsidR="000466D7">
              <w:rPr>
                <w:sz w:val="26"/>
                <w:szCs w:val="26"/>
              </w:rPr>
              <w:t>.</w:t>
            </w:r>
          </w:p>
        </w:tc>
      </w:tr>
      <w:tr w:rsidR="00694F65" w:rsidRPr="00B662AA" w:rsidTr="00B662AA">
        <w:trPr>
          <w:trHeight w:val="523"/>
        </w:trPr>
        <w:tc>
          <w:tcPr>
            <w:tcW w:w="431" w:type="dxa"/>
          </w:tcPr>
          <w:p w:rsidR="00694F65" w:rsidRPr="00B662AA" w:rsidRDefault="00694F65" w:rsidP="00B662AA">
            <w:pPr>
              <w:pStyle w:val="naiskr"/>
              <w:spacing w:before="0" w:after="0"/>
              <w:ind w:right="-1"/>
              <w:rPr>
                <w:sz w:val="26"/>
                <w:szCs w:val="26"/>
              </w:rPr>
            </w:pPr>
            <w:r w:rsidRPr="00B662AA">
              <w:rPr>
                <w:sz w:val="26"/>
                <w:szCs w:val="26"/>
              </w:rPr>
              <w:t>2.</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Citas sabiedrības grupas (bez mērķgrupas), kuras tiesiskais regulējums arī ietekmē vai varētu ietekmēt</w:t>
            </w:r>
          </w:p>
        </w:tc>
        <w:tc>
          <w:tcPr>
            <w:tcW w:w="4651" w:type="dxa"/>
          </w:tcPr>
          <w:p w:rsidR="000F207A" w:rsidRPr="00B662AA" w:rsidRDefault="00970F06" w:rsidP="00B662AA">
            <w:pPr>
              <w:pStyle w:val="naiskr"/>
              <w:spacing w:before="0" w:after="0"/>
              <w:ind w:right="-1"/>
              <w:rPr>
                <w:iCs/>
                <w:sz w:val="26"/>
                <w:szCs w:val="26"/>
              </w:rPr>
            </w:pPr>
            <w:r w:rsidRPr="00B662AA">
              <w:rPr>
                <w:iCs/>
                <w:sz w:val="26"/>
                <w:szCs w:val="26"/>
              </w:rPr>
              <w:t>Nav attiecināms</w:t>
            </w:r>
          </w:p>
          <w:p w:rsidR="00694F65" w:rsidRPr="00B662AA" w:rsidRDefault="00694F65" w:rsidP="00B662AA">
            <w:pPr>
              <w:pStyle w:val="naiskr"/>
              <w:spacing w:before="0" w:after="0"/>
              <w:ind w:right="-1"/>
              <w:rPr>
                <w:sz w:val="26"/>
                <w:szCs w:val="26"/>
              </w:rPr>
            </w:pPr>
          </w:p>
        </w:tc>
      </w:tr>
      <w:tr w:rsidR="00694F65" w:rsidRPr="00B662AA" w:rsidTr="00B662AA">
        <w:trPr>
          <w:trHeight w:val="517"/>
        </w:trPr>
        <w:tc>
          <w:tcPr>
            <w:tcW w:w="431" w:type="dxa"/>
          </w:tcPr>
          <w:p w:rsidR="00694F65" w:rsidRPr="00B662AA" w:rsidRDefault="00694F65" w:rsidP="00B662AA">
            <w:pPr>
              <w:pStyle w:val="naiskr"/>
              <w:spacing w:before="0" w:after="0"/>
              <w:ind w:right="-1"/>
              <w:rPr>
                <w:sz w:val="26"/>
                <w:szCs w:val="26"/>
              </w:rPr>
            </w:pPr>
            <w:r w:rsidRPr="00B662AA">
              <w:rPr>
                <w:sz w:val="26"/>
                <w:szCs w:val="26"/>
              </w:rPr>
              <w:t>3.</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Tiesiskā regulējuma finansiālā ietekme</w:t>
            </w:r>
          </w:p>
        </w:tc>
        <w:tc>
          <w:tcPr>
            <w:tcW w:w="4651" w:type="dxa"/>
          </w:tcPr>
          <w:p w:rsidR="00694F65" w:rsidRPr="00B662AA" w:rsidRDefault="000466D7" w:rsidP="000466D7">
            <w:pPr>
              <w:pStyle w:val="naiskr"/>
              <w:spacing w:before="0" w:after="0"/>
              <w:ind w:right="-1"/>
              <w:jc w:val="both"/>
              <w:rPr>
                <w:sz w:val="26"/>
                <w:szCs w:val="26"/>
              </w:rPr>
            </w:pPr>
            <w:r>
              <w:rPr>
                <w:sz w:val="26"/>
                <w:szCs w:val="26"/>
              </w:rPr>
              <w:t>P</w:t>
            </w:r>
            <w:r w:rsidR="00CC7401" w:rsidRPr="00B662AA">
              <w:rPr>
                <w:sz w:val="26"/>
                <w:szCs w:val="26"/>
              </w:rPr>
              <w:t xml:space="preserve">rojektā nav paredzēti </w:t>
            </w:r>
            <w:r w:rsidR="00F759EA" w:rsidRPr="00B662AA">
              <w:rPr>
                <w:sz w:val="26"/>
                <w:szCs w:val="26"/>
              </w:rPr>
              <w:t xml:space="preserve">jauni </w:t>
            </w:r>
            <w:r w:rsidR="00CC7401" w:rsidRPr="00B662AA">
              <w:rPr>
                <w:sz w:val="26"/>
                <w:szCs w:val="26"/>
              </w:rPr>
              <w:t xml:space="preserve">izdevumi, ar kuriem nepieciešams rēķināties </w:t>
            </w:r>
            <w:r w:rsidR="005613F4" w:rsidRPr="00B662AA">
              <w:rPr>
                <w:sz w:val="26"/>
                <w:szCs w:val="26"/>
              </w:rPr>
              <w:t xml:space="preserve">administratīvā pārkāpuma lietvedības </w:t>
            </w:r>
            <w:r w:rsidR="00CC7401" w:rsidRPr="00B662AA">
              <w:rPr>
                <w:sz w:val="26"/>
                <w:szCs w:val="26"/>
              </w:rPr>
              <w:t>procesa dalībniekiem</w:t>
            </w:r>
            <w:r>
              <w:rPr>
                <w:sz w:val="26"/>
                <w:szCs w:val="26"/>
              </w:rPr>
              <w:t>.</w:t>
            </w:r>
          </w:p>
        </w:tc>
      </w:tr>
      <w:tr w:rsidR="00694F65" w:rsidRPr="00B662AA" w:rsidTr="00B662AA">
        <w:trPr>
          <w:trHeight w:val="517"/>
        </w:trPr>
        <w:tc>
          <w:tcPr>
            <w:tcW w:w="431" w:type="dxa"/>
          </w:tcPr>
          <w:p w:rsidR="00694F65" w:rsidRPr="00B662AA" w:rsidRDefault="00694F65" w:rsidP="00B662AA">
            <w:pPr>
              <w:pStyle w:val="naiskr"/>
              <w:spacing w:before="0" w:after="0"/>
              <w:ind w:right="-1"/>
              <w:rPr>
                <w:sz w:val="26"/>
                <w:szCs w:val="26"/>
              </w:rPr>
            </w:pPr>
            <w:r w:rsidRPr="00B662AA">
              <w:rPr>
                <w:sz w:val="26"/>
                <w:szCs w:val="26"/>
              </w:rPr>
              <w:t>4.</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Tiesiskā regulējuma nefinansiālā ietekme</w:t>
            </w:r>
          </w:p>
        </w:tc>
        <w:tc>
          <w:tcPr>
            <w:tcW w:w="4651" w:type="dxa"/>
          </w:tcPr>
          <w:p w:rsidR="00694F65" w:rsidRPr="00B662AA" w:rsidRDefault="000466D7" w:rsidP="00880B06">
            <w:pPr>
              <w:spacing w:before="100" w:beforeAutospacing="1" w:after="100" w:afterAutospacing="1"/>
              <w:ind w:right="-1"/>
              <w:jc w:val="both"/>
              <w:rPr>
                <w:sz w:val="26"/>
                <w:szCs w:val="26"/>
              </w:rPr>
            </w:pPr>
            <w:r>
              <w:rPr>
                <w:sz w:val="26"/>
                <w:szCs w:val="26"/>
              </w:rPr>
              <w:t>P</w:t>
            </w:r>
            <w:r w:rsidR="006D426F" w:rsidRPr="00B662AA">
              <w:rPr>
                <w:sz w:val="26"/>
                <w:szCs w:val="26"/>
              </w:rPr>
              <w:t xml:space="preserve">rojektā paredzētie grozījumi </w:t>
            </w:r>
            <w:r w:rsidR="006D2FE5" w:rsidRPr="00B662AA">
              <w:rPr>
                <w:sz w:val="26"/>
                <w:szCs w:val="26"/>
              </w:rPr>
              <w:t xml:space="preserve">ieviesīs administratīvā pārkāpuma lietvedībā iestādē un tiesvedības stadijā tiesā skaidru procesuālo regulējumu, kas garantēs personu tiesību ievērošanu. Vienlaikus </w:t>
            </w:r>
            <w:r w:rsidR="006D2FE5" w:rsidRPr="00B662AA">
              <w:rPr>
                <w:sz w:val="26"/>
                <w:szCs w:val="26"/>
              </w:rPr>
              <w:lastRenderedPageBreak/>
              <w:t>l</w:t>
            </w:r>
            <w:r w:rsidR="006D426F" w:rsidRPr="00B662AA">
              <w:rPr>
                <w:sz w:val="26"/>
                <w:szCs w:val="26"/>
              </w:rPr>
              <w:t>ikumprojektā ietvertie grozī</w:t>
            </w:r>
            <w:r w:rsidR="00725135" w:rsidRPr="00B662AA">
              <w:rPr>
                <w:sz w:val="26"/>
                <w:szCs w:val="26"/>
              </w:rPr>
              <w:t>jumi ir vērsti uz administratīvā</w:t>
            </w:r>
            <w:r w:rsidR="006D2FE5" w:rsidRPr="00B662AA">
              <w:rPr>
                <w:sz w:val="26"/>
                <w:szCs w:val="26"/>
              </w:rPr>
              <w:t xml:space="preserve"> pārkāpuma tiesvedības</w:t>
            </w:r>
            <w:r w:rsidR="006D426F" w:rsidRPr="00B662AA">
              <w:rPr>
                <w:sz w:val="26"/>
                <w:szCs w:val="26"/>
              </w:rPr>
              <w:t xml:space="preserve"> procesa </w:t>
            </w:r>
            <w:r w:rsidR="00967293" w:rsidRPr="00B662AA">
              <w:rPr>
                <w:sz w:val="26"/>
                <w:szCs w:val="26"/>
              </w:rPr>
              <w:t xml:space="preserve">vienkāršošanu un </w:t>
            </w:r>
            <w:proofErr w:type="spellStart"/>
            <w:r w:rsidR="00967293" w:rsidRPr="00B662AA">
              <w:rPr>
                <w:sz w:val="26"/>
                <w:szCs w:val="26"/>
              </w:rPr>
              <w:t>efektivizēšanu</w:t>
            </w:r>
            <w:proofErr w:type="spellEnd"/>
            <w:r w:rsidR="00967293" w:rsidRPr="00B662AA">
              <w:rPr>
                <w:sz w:val="26"/>
                <w:szCs w:val="26"/>
              </w:rPr>
              <w:t>.</w:t>
            </w:r>
            <w:r w:rsidR="006D426F" w:rsidRPr="00B662AA">
              <w:rPr>
                <w:sz w:val="26"/>
                <w:szCs w:val="26"/>
              </w:rPr>
              <w:t xml:space="preserve"> </w:t>
            </w:r>
          </w:p>
        </w:tc>
      </w:tr>
      <w:tr w:rsidR="00694F65" w:rsidRPr="00B662AA" w:rsidTr="00B662AA">
        <w:trPr>
          <w:trHeight w:val="531"/>
        </w:trPr>
        <w:tc>
          <w:tcPr>
            <w:tcW w:w="431" w:type="dxa"/>
          </w:tcPr>
          <w:p w:rsidR="00694F65" w:rsidRPr="00B662AA" w:rsidRDefault="00694F65" w:rsidP="00B662AA">
            <w:pPr>
              <w:pStyle w:val="naiskr"/>
              <w:spacing w:before="0" w:after="0"/>
              <w:ind w:right="-1"/>
              <w:rPr>
                <w:sz w:val="26"/>
                <w:szCs w:val="26"/>
              </w:rPr>
            </w:pPr>
            <w:r w:rsidRPr="00B662AA">
              <w:rPr>
                <w:sz w:val="26"/>
                <w:szCs w:val="26"/>
              </w:rPr>
              <w:lastRenderedPageBreak/>
              <w:t>5.</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Administratīvās procedūras raksturojums</w:t>
            </w:r>
          </w:p>
        </w:tc>
        <w:tc>
          <w:tcPr>
            <w:tcW w:w="4651" w:type="dxa"/>
          </w:tcPr>
          <w:p w:rsidR="00694F65" w:rsidRPr="00B662AA" w:rsidRDefault="004B501D" w:rsidP="00B662AA">
            <w:pPr>
              <w:pStyle w:val="naiskr"/>
              <w:spacing w:before="0" w:after="0"/>
              <w:ind w:right="-1"/>
              <w:rPr>
                <w:sz w:val="26"/>
                <w:szCs w:val="26"/>
              </w:rPr>
            </w:pPr>
            <w:r w:rsidRPr="00B662AA">
              <w:rPr>
                <w:iCs/>
                <w:sz w:val="26"/>
                <w:szCs w:val="26"/>
              </w:rPr>
              <w:t>Nav attiecināms</w:t>
            </w:r>
          </w:p>
        </w:tc>
      </w:tr>
      <w:tr w:rsidR="00694F65" w:rsidRPr="00B662AA" w:rsidTr="00B662AA">
        <w:trPr>
          <w:trHeight w:val="357"/>
        </w:trPr>
        <w:tc>
          <w:tcPr>
            <w:tcW w:w="431" w:type="dxa"/>
          </w:tcPr>
          <w:p w:rsidR="00694F65" w:rsidRPr="00B662AA" w:rsidRDefault="00694F65" w:rsidP="00B662AA">
            <w:pPr>
              <w:pStyle w:val="naiskr"/>
              <w:spacing w:before="0" w:after="0"/>
              <w:ind w:right="-1"/>
              <w:rPr>
                <w:sz w:val="26"/>
                <w:szCs w:val="26"/>
              </w:rPr>
            </w:pPr>
            <w:r w:rsidRPr="00B662AA">
              <w:rPr>
                <w:sz w:val="26"/>
                <w:szCs w:val="26"/>
              </w:rPr>
              <w:t>6.</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Administratīvo izmaksu monetārs novērtējums</w:t>
            </w:r>
          </w:p>
        </w:tc>
        <w:tc>
          <w:tcPr>
            <w:tcW w:w="4651" w:type="dxa"/>
          </w:tcPr>
          <w:p w:rsidR="004B501D" w:rsidRPr="00B662AA" w:rsidRDefault="004B501D" w:rsidP="00B662AA">
            <w:pPr>
              <w:pStyle w:val="naiskr"/>
              <w:spacing w:before="0" w:after="0"/>
              <w:ind w:right="-1"/>
              <w:rPr>
                <w:iCs/>
                <w:sz w:val="26"/>
                <w:szCs w:val="26"/>
              </w:rPr>
            </w:pPr>
            <w:r w:rsidRPr="00B662AA">
              <w:rPr>
                <w:iCs/>
                <w:sz w:val="26"/>
                <w:szCs w:val="26"/>
              </w:rPr>
              <w:t>Nav attiecināms</w:t>
            </w:r>
          </w:p>
          <w:p w:rsidR="00694F65" w:rsidRPr="00B662AA" w:rsidRDefault="00694F65" w:rsidP="00B662AA">
            <w:pPr>
              <w:pStyle w:val="naiskr"/>
              <w:spacing w:before="0" w:after="0"/>
              <w:ind w:right="-1"/>
              <w:rPr>
                <w:sz w:val="26"/>
                <w:szCs w:val="26"/>
              </w:rPr>
            </w:pPr>
          </w:p>
        </w:tc>
      </w:tr>
      <w:tr w:rsidR="00694F65" w:rsidRPr="00B662AA" w:rsidTr="00B662AA">
        <w:tc>
          <w:tcPr>
            <w:tcW w:w="431" w:type="dxa"/>
          </w:tcPr>
          <w:p w:rsidR="00694F65" w:rsidRPr="00B662AA" w:rsidRDefault="00694F65" w:rsidP="00B662AA">
            <w:pPr>
              <w:pStyle w:val="naiskr"/>
              <w:spacing w:before="0" w:after="0"/>
              <w:ind w:right="-1"/>
              <w:rPr>
                <w:sz w:val="26"/>
                <w:szCs w:val="26"/>
              </w:rPr>
            </w:pPr>
            <w:r w:rsidRPr="00B662AA">
              <w:rPr>
                <w:sz w:val="26"/>
                <w:szCs w:val="26"/>
              </w:rPr>
              <w:t>7.</w:t>
            </w:r>
          </w:p>
        </w:tc>
        <w:tc>
          <w:tcPr>
            <w:tcW w:w="4137" w:type="dxa"/>
          </w:tcPr>
          <w:p w:rsidR="00694F65" w:rsidRPr="00B662AA" w:rsidRDefault="00694F65" w:rsidP="00B662AA">
            <w:pPr>
              <w:pStyle w:val="naiskr"/>
              <w:spacing w:before="0" w:after="0"/>
              <w:ind w:right="-1"/>
              <w:rPr>
                <w:sz w:val="26"/>
                <w:szCs w:val="26"/>
              </w:rPr>
            </w:pPr>
            <w:r w:rsidRPr="00B662AA">
              <w:rPr>
                <w:sz w:val="26"/>
                <w:szCs w:val="26"/>
              </w:rPr>
              <w:t>Cita informācija</w:t>
            </w:r>
          </w:p>
        </w:tc>
        <w:tc>
          <w:tcPr>
            <w:tcW w:w="4651" w:type="dxa"/>
          </w:tcPr>
          <w:p w:rsidR="00694F65" w:rsidRPr="00B662AA" w:rsidRDefault="00A61611" w:rsidP="00B662AA">
            <w:pPr>
              <w:pStyle w:val="naiskr"/>
              <w:spacing w:before="0" w:after="0"/>
              <w:ind w:right="-1"/>
              <w:rPr>
                <w:sz w:val="26"/>
                <w:szCs w:val="26"/>
              </w:rPr>
            </w:pPr>
            <w:r w:rsidRPr="00B662AA">
              <w:rPr>
                <w:iCs/>
                <w:sz w:val="26"/>
                <w:szCs w:val="26"/>
              </w:rPr>
              <w:t>Nav.</w:t>
            </w:r>
          </w:p>
        </w:tc>
      </w:tr>
    </w:tbl>
    <w:p w:rsidR="00694F65" w:rsidRDefault="00694F65" w:rsidP="00B662AA">
      <w:pPr>
        <w:pStyle w:val="naisf"/>
        <w:spacing w:before="0" w:after="0"/>
        <w:ind w:right="-1"/>
        <w:rPr>
          <w:sz w:val="26"/>
          <w:szCs w:val="26"/>
        </w:rPr>
      </w:pPr>
    </w:p>
    <w:tbl>
      <w:tblPr>
        <w:tblW w:w="9239"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331"/>
        <w:gridCol w:w="1354"/>
        <w:gridCol w:w="1354"/>
        <w:gridCol w:w="1355"/>
        <w:gridCol w:w="1406"/>
      </w:tblGrid>
      <w:tr w:rsidR="0026758E" w:rsidRPr="007C0F2C" w:rsidTr="0026758E">
        <w:trPr>
          <w:trHeight w:val="652"/>
          <w:jc w:val="center"/>
        </w:trPr>
        <w:tc>
          <w:tcPr>
            <w:tcW w:w="9239" w:type="dxa"/>
            <w:gridSpan w:val="6"/>
          </w:tcPr>
          <w:p w:rsidR="0026758E" w:rsidRPr="007C0F2C" w:rsidRDefault="0026758E" w:rsidP="0026758E">
            <w:pPr>
              <w:pStyle w:val="naisnod"/>
              <w:spacing w:before="0" w:after="0"/>
              <w:rPr>
                <w:i/>
              </w:rPr>
            </w:pPr>
            <w:r w:rsidRPr="007C0F2C">
              <w:rPr>
                <w:sz w:val="22"/>
                <w:szCs w:val="22"/>
              </w:rPr>
              <w:br w:type="page"/>
            </w:r>
            <w:r w:rsidRPr="007C0F2C">
              <w:t>III. Tiesību akta projekta ietekme uz valsts budžetu un pašvaldību budžetiem</w:t>
            </w:r>
          </w:p>
        </w:tc>
      </w:tr>
      <w:tr w:rsidR="0026758E" w:rsidRPr="007C0F2C" w:rsidTr="0026758E">
        <w:trPr>
          <w:jc w:val="center"/>
        </w:trPr>
        <w:tc>
          <w:tcPr>
            <w:tcW w:w="2439" w:type="dxa"/>
            <w:vMerge w:val="restart"/>
            <w:vAlign w:val="center"/>
          </w:tcPr>
          <w:p w:rsidR="0026758E" w:rsidRPr="007C0F2C" w:rsidRDefault="0026758E" w:rsidP="0026758E">
            <w:pPr>
              <w:pStyle w:val="naisf"/>
              <w:spacing w:before="0" w:after="0"/>
              <w:ind w:firstLine="0"/>
              <w:jc w:val="center"/>
              <w:rPr>
                <w:b/>
              </w:rPr>
            </w:pPr>
            <w:r w:rsidRPr="007C0F2C">
              <w:rPr>
                <w:b/>
                <w:sz w:val="22"/>
                <w:szCs w:val="22"/>
              </w:rPr>
              <w:t>Rādītāji</w:t>
            </w:r>
          </w:p>
        </w:tc>
        <w:tc>
          <w:tcPr>
            <w:tcW w:w="2685" w:type="dxa"/>
            <w:gridSpan w:val="2"/>
            <w:vMerge w:val="restart"/>
            <w:vAlign w:val="center"/>
          </w:tcPr>
          <w:p w:rsidR="0026758E" w:rsidRPr="007C0F2C" w:rsidRDefault="0068073A" w:rsidP="0026758E">
            <w:pPr>
              <w:pStyle w:val="naisf"/>
              <w:spacing w:before="0" w:after="0"/>
              <w:ind w:firstLine="0"/>
              <w:jc w:val="center"/>
              <w:rPr>
                <w:b/>
              </w:rPr>
            </w:pPr>
            <w:r>
              <w:rPr>
                <w:b/>
                <w:sz w:val="22"/>
                <w:szCs w:val="22"/>
              </w:rPr>
              <w:t>2011.gads</w:t>
            </w:r>
          </w:p>
        </w:tc>
        <w:tc>
          <w:tcPr>
            <w:tcW w:w="4115" w:type="dxa"/>
            <w:gridSpan w:val="3"/>
            <w:vAlign w:val="center"/>
          </w:tcPr>
          <w:p w:rsidR="0026758E" w:rsidRPr="007C0F2C" w:rsidRDefault="0026758E" w:rsidP="0026758E">
            <w:pPr>
              <w:pStyle w:val="naisf"/>
              <w:spacing w:before="0" w:after="0"/>
              <w:ind w:firstLine="0"/>
              <w:jc w:val="center"/>
              <w:rPr>
                <w:b/>
                <w:i/>
              </w:rPr>
            </w:pPr>
            <w:r w:rsidRPr="007C0F2C">
              <w:rPr>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7C0F2C">
                <w:rPr>
                  <w:sz w:val="22"/>
                  <w:szCs w:val="22"/>
                </w:rPr>
                <w:t>. latu</w:t>
              </w:r>
            </w:smartTag>
            <w:r w:rsidRPr="007C0F2C">
              <w:rPr>
                <w:sz w:val="22"/>
                <w:szCs w:val="22"/>
              </w:rPr>
              <w:t>)</w:t>
            </w:r>
          </w:p>
        </w:tc>
      </w:tr>
      <w:tr w:rsidR="0026758E" w:rsidRPr="007C0F2C" w:rsidTr="0026758E">
        <w:trPr>
          <w:jc w:val="center"/>
        </w:trPr>
        <w:tc>
          <w:tcPr>
            <w:tcW w:w="2439" w:type="dxa"/>
            <w:vMerge/>
            <w:vAlign w:val="center"/>
          </w:tcPr>
          <w:p w:rsidR="0026758E" w:rsidRPr="007C0F2C" w:rsidRDefault="0026758E" w:rsidP="0026758E">
            <w:pPr>
              <w:pStyle w:val="naisf"/>
              <w:spacing w:before="0" w:after="0"/>
              <w:ind w:firstLine="0"/>
              <w:jc w:val="center"/>
              <w:rPr>
                <w:b/>
                <w:i/>
              </w:rPr>
            </w:pPr>
          </w:p>
        </w:tc>
        <w:tc>
          <w:tcPr>
            <w:tcW w:w="2685" w:type="dxa"/>
            <w:gridSpan w:val="2"/>
            <w:vMerge/>
            <w:vAlign w:val="center"/>
          </w:tcPr>
          <w:p w:rsidR="0026758E" w:rsidRPr="007C0F2C" w:rsidRDefault="0026758E" w:rsidP="0026758E">
            <w:pPr>
              <w:pStyle w:val="naisf"/>
              <w:spacing w:before="0" w:after="0"/>
              <w:ind w:firstLine="0"/>
              <w:jc w:val="center"/>
              <w:rPr>
                <w:b/>
                <w:i/>
              </w:rPr>
            </w:pPr>
          </w:p>
        </w:tc>
        <w:tc>
          <w:tcPr>
            <w:tcW w:w="1354" w:type="dxa"/>
            <w:vAlign w:val="center"/>
          </w:tcPr>
          <w:p w:rsidR="0026758E" w:rsidRPr="007C0F2C" w:rsidRDefault="0068073A" w:rsidP="0026758E">
            <w:pPr>
              <w:pStyle w:val="naisf"/>
              <w:spacing w:before="0" w:after="0"/>
              <w:ind w:firstLine="0"/>
              <w:jc w:val="center"/>
              <w:rPr>
                <w:b/>
                <w:i/>
              </w:rPr>
            </w:pPr>
            <w:r>
              <w:rPr>
                <w:b/>
                <w:bCs/>
                <w:sz w:val="22"/>
                <w:szCs w:val="22"/>
              </w:rPr>
              <w:t>2012.</w:t>
            </w:r>
          </w:p>
        </w:tc>
        <w:tc>
          <w:tcPr>
            <w:tcW w:w="1355" w:type="dxa"/>
            <w:vAlign w:val="center"/>
          </w:tcPr>
          <w:p w:rsidR="0026758E" w:rsidRPr="007C0F2C" w:rsidRDefault="0068073A" w:rsidP="0026758E">
            <w:pPr>
              <w:pStyle w:val="naisf"/>
              <w:spacing w:before="0" w:after="0"/>
              <w:ind w:firstLine="0"/>
              <w:jc w:val="center"/>
              <w:rPr>
                <w:b/>
                <w:i/>
              </w:rPr>
            </w:pPr>
            <w:r>
              <w:rPr>
                <w:b/>
                <w:bCs/>
                <w:sz w:val="22"/>
                <w:szCs w:val="22"/>
              </w:rPr>
              <w:t>2013.</w:t>
            </w:r>
          </w:p>
        </w:tc>
        <w:tc>
          <w:tcPr>
            <w:tcW w:w="1406" w:type="dxa"/>
            <w:vAlign w:val="center"/>
          </w:tcPr>
          <w:p w:rsidR="0026758E" w:rsidRPr="007C0F2C" w:rsidRDefault="0068073A" w:rsidP="0026758E">
            <w:pPr>
              <w:pStyle w:val="naisf"/>
              <w:spacing w:before="0" w:after="0"/>
              <w:ind w:firstLine="0"/>
              <w:jc w:val="center"/>
              <w:rPr>
                <w:b/>
                <w:i/>
              </w:rPr>
            </w:pPr>
            <w:r>
              <w:rPr>
                <w:b/>
                <w:bCs/>
                <w:sz w:val="22"/>
                <w:szCs w:val="22"/>
              </w:rPr>
              <w:t>2014.</w:t>
            </w:r>
          </w:p>
        </w:tc>
      </w:tr>
      <w:tr w:rsidR="0026758E" w:rsidRPr="007C0F2C" w:rsidTr="0026758E">
        <w:trPr>
          <w:jc w:val="center"/>
        </w:trPr>
        <w:tc>
          <w:tcPr>
            <w:tcW w:w="2439" w:type="dxa"/>
            <w:vMerge/>
            <w:vAlign w:val="center"/>
          </w:tcPr>
          <w:p w:rsidR="0026758E" w:rsidRPr="007C0F2C" w:rsidRDefault="0026758E" w:rsidP="0026758E">
            <w:pPr>
              <w:pStyle w:val="naisf"/>
              <w:spacing w:before="0" w:after="0"/>
              <w:ind w:firstLine="0"/>
              <w:jc w:val="center"/>
              <w:rPr>
                <w:b/>
                <w:i/>
              </w:rPr>
            </w:pPr>
          </w:p>
        </w:tc>
        <w:tc>
          <w:tcPr>
            <w:tcW w:w="1331" w:type="dxa"/>
            <w:vAlign w:val="center"/>
          </w:tcPr>
          <w:p w:rsidR="0026758E" w:rsidRPr="007C0F2C" w:rsidRDefault="0026758E" w:rsidP="0026758E">
            <w:pPr>
              <w:pStyle w:val="naisf"/>
              <w:spacing w:before="0" w:after="0"/>
              <w:ind w:firstLine="0"/>
              <w:jc w:val="center"/>
              <w:rPr>
                <w:b/>
                <w:i/>
              </w:rPr>
            </w:pPr>
            <w:r w:rsidRPr="007C0F2C">
              <w:rPr>
                <w:sz w:val="22"/>
                <w:szCs w:val="22"/>
              </w:rPr>
              <w:t>Saskaņā ar valsts budžetu kārtējam gadam</w:t>
            </w:r>
          </w:p>
        </w:tc>
        <w:tc>
          <w:tcPr>
            <w:tcW w:w="1354" w:type="dxa"/>
            <w:vAlign w:val="center"/>
          </w:tcPr>
          <w:p w:rsidR="0026758E" w:rsidRPr="007C0F2C" w:rsidRDefault="0026758E" w:rsidP="0026758E">
            <w:pPr>
              <w:pStyle w:val="naisf"/>
              <w:spacing w:before="0" w:after="0"/>
              <w:ind w:firstLine="0"/>
              <w:jc w:val="center"/>
              <w:rPr>
                <w:b/>
                <w:i/>
              </w:rPr>
            </w:pPr>
            <w:r w:rsidRPr="007C0F2C">
              <w:rPr>
                <w:sz w:val="22"/>
                <w:szCs w:val="22"/>
              </w:rPr>
              <w:t>Izmaiņas kārtējā gadā, salīdzinot ar budžetu kārtējam gadam</w:t>
            </w:r>
          </w:p>
        </w:tc>
        <w:tc>
          <w:tcPr>
            <w:tcW w:w="1354" w:type="dxa"/>
            <w:vAlign w:val="center"/>
          </w:tcPr>
          <w:p w:rsidR="0026758E" w:rsidRPr="007C0F2C" w:rsidRDefault="0026758E" w:rsidP="0026758E">
            <w:pPr>
              <w:pStyle w:val="naisf"/>
              <w:spacing w:before="0" w:after="0"/>
              <w:ind w:firstLine="0"/>
              <w:jc w:val="center"/>
              <w:rPr>
                <w:b/>
                <w:i/>
              </w:rPr>
            </w:pPr>
            <w:r w:rsidRPr="007C0F2C">
              <w:rPr>
                <w:sz w:val="22"/>
                <w:szCs w:val="22"/>
              </w:rPr>
              <w:t>Izmaiņas, salīdzinot ar kārtējo (n) gadu</w:t>
            </w:r>
          </w:p>
        </w:tc>
        <w:tc>
          <w:tcPr>
            <w:tcW w:w="1355" w:type="dxa"/>
            <w:vAlign w:val="center"/>
          </w:tcPr>
          <w:p w:rsidR="0026758E" w:rsidRPr="007C0F2C" w:rsidRDefault="0026758E" w:rsidP="0026758E">
            <w:pPr>
              <w:pStyle w:val="naisf"/>
              <w:spacing w:before="0" w:after="0"/>
              <w:ind w:firstLine="0"/>
              <w:jc w:val="center"/>
              <w:rPr>
                <w:b/>
                <w:i/>
              </w:rPr>
            </w:pPr>
            <w:r w:rsidRPr="007C0F2C">
              <w:rPr>
                <w:sz w:val="22"/>
                <w:szCs w:val="22"/>
              </w:rPr>
              <w:t>Izmaiņas, salīdzinot ar kārtējo (n) gadu</w:t>
            </w:r>
          </w:p>
        </w:tc>
        <w:tc>
          <w:tcPr>
            <w:tcW w:w="1406" w:type="dxa"/>
            <w:vAlign w:val="center"/>
          </w:tcPr>
          <w:p w:rsidR="0026758E" w:rsidRPr="007C0F2C" w:rsidRDefault="0026758E" w:rsidP="0026758E">
            <w:pPr>
              <w:pStyle w:val="naisf"/>
              <w:spacing w:before="0" w:after="0"/>
              <w:ind w:firstLine="0"/>
              <w:jc w:val="center"/>
              <w:rPr>
                <w:b/>
                <w:i/>
              </w:rPr>
            </w:pPr>
            <w:r w:rsidRPr="007C0F2C">
              <w:rPr>
                <w:sz w:val="22"/>
                <w:szCs w:val="22"/>
              </w:rPr>
              <w:t>Izmaiņas, salīdzinot ar kārtējo (n) gadu</w:t>
            </w:r>
          </w:p>
        </w:tc>
      </w:tr>
      <w:tr w:rsidR="0026758E" w:rsidRPr="007C0F2C" w:rsidTr="0026758E">
        <w:trPr>
          <w:jc w:val="center"/>
        </w:trPr>
        <w:tc>
          <w:tcPr>
            <w:tcW w:w="2439" w:type="dxa"/>
            <w:vAlign w:val="center"/>
          </w:tcPr>
          <w:p w:rsidR="0026758E" w:rsidRPr="007C0F2C" w:rsidRDefault="0026758E" w:rsidP="0026758E">
            <w:pPr>
              <w:pStyle w:val="naisf"/>
              <w:spacing w:before="0" w:after="0"/>
              <w:ind w:firstLine="0"/>
              <w:jc w:val="center"/>
              <w:rPr>
                <w:bCs/>
              </w:rPr>
            </w:pPr>
            <w:r w:rsidRPr="007C0F2C">
              <w:rPr>
                <w:bCs/>
                <w:sz w:val="22"/>
                <w:szCs w:val="22"/>
              </w:rPr>
              <w:t>1</w:t>
            </w:r>
          </w:p>
        </w:tc>
        <w:tc>
          <w:tcPr>
            <w:tcW w:w="1331" w:type="dxa"/>
            <w:vAlign w:val="center"/>
          </w:tcPr>
          <w:p w:rsidR="0026758E" w:rsidRPr="007C0F2C" w:rsidRDefault="0026758E" w:rsidP="0026758E">
            <w:pPr>
              <w:pStyle w:val="naisf"/>
              <w:spacing w:before="0" w:after="0"/>
              <w:ind w:firstLine="0"/>
              <w:jc w:val="center"/>
              <w:rPr>
                <w:bCs/>
              </w:rPr>
            </w:pPr>
            <w:r w:rsidRPr="007C0F2C">
              <w:rPr>
                <w:bCs/>
                <w:sz w:val="22"/>
                <w:szCs w:val="22"/>
              </w:rPr>
              <w:t>2</w:t>
            </w:r>
          </w:p>
        </w:tc>
        <w:tc>
          <w:tcPr>
            <w:tcW w:w="1354" w:type="dxa"/>
            <w:vAlign w:val="center"/>
          </w:tcPr>
          <w:p w:rsidR="0026758E" w:rsidRPr="007C0F2C" w:rsidRDefault="0026758E" w:rsidP="0026758E">
            <w:pPr>
              <w:pStyle w:val="naisf"/>
              <w:spacing w:before="0" w:after="0"/>
              <w:ind w:firstLine="0"/>
              <w:jc w:val="center"/>
              <w:rPr>
                <w:bCs/>
              </w:rPr>
            </w:pPr>
            <w:r w:rsidRPr="007C0F2C">
              <w:rPr>
                <w:bCs/>
                <w:sz w:val="22"/>
                <w:szCs w:val="22"/>
              </w:rPr>
              <w:t>3</w:t>
            </w:r>
          </w:p>
        </w:tc>
        <w:tc>
          <w:tcPr>
            <w:tcW w:w="1354" w:type="dxa"/>
            <w:vAlign w:val="center"/>
          </w:tcPr>
          <w:p w:rsidR="0026758E" w:rsidRPr="007C0F2C" w:rsidRDefault="0026758E" w:rsidP="0026758E">
            <w:pPr>
              <w:pStyle w:val="naisf"/>
              <w:spacing w:before="0" w:after="0"/>
              <w:ind w:firstLine="0"/>
              <w:jc w:val="center"/>
              <w:rPr>
                <w:bCs/>
              </w:rPr>
            </w:pPr>
            <w:r w:rsidRPr="007C0F2C">
              <w:rPr>
                <w:bCs/>
                <w:sz w:val="22"/>
                <w:szCs w:val="22"/>
              </w:rPr>
              <w:t>4</w:t>
            </w:r>
          </w:p>
        </w:tc>
        <w:tc>
          <w:tcPr>
            <w:tcW w:w="1355" w:type="dxa"/>
            <w:vAlign w:val="center"/>
          </w:tcPr>
          <w:p w:rsidR="0026758E" w:rsidRPr="007C0F2C" w:rsidRDefault="0026758E" w:rsidP="0026758E">
            <w:pPr>
              <w:pStyle w:val="naisf"/>
              <w:spacing w:before="0" w:after="0"/>
              <w:ind w:firstLine="0"/>
              <w:jc w:val="center"/>
              <w:rPr>
                <w:bCs/>
              </w:rPr>
            </w:pPr>
            <w:r w:rsidRPr="007C0F2C">
              <w:rPr>
                <w:bCs/>
                <w:sz w:val="22"/>
                <w:szCs w:val="22"/>
              </w:rPr>
              <w:t>5</w:t>
            </w:r>
          </w:p>
        </w:tc>
        <w:tc>
          <w:tcPr>
            <w:tcW w:w="1406" w:type="dxa"/>
            <w:vAlign w:val="center"/>
          </w:tcPr>
          <w:p w:rsidR="0026758E" w:rsidRPr="007C0F2C" w:rsidRDefault="0026758E" w:rsidP="0026758E">
            <w:pPr>
              <w:pStyle w:val="naisf"/>
              <w:spacing w:before="0" w:after="0"/>
              <w:ind w:firstLine="0"/>
              <w:jc w:val="center"/>
              <w:rPr>
                <w:bCs/>
              </w:rPr>
            </w:pPr>
            <w:r w:rsidRPr="007C0F2C">
              <w:rPr>
                <w:bCs/>
                <w:sz w:val="22"/>
                <w:szCs w:val="22"/>
              </w:rPr>
              <w:t>6</w:t>
            </w:r>
          </w:p>
        </w:tc>
      </w:tr>
      <w:tr w:rsidR="0026758E" w:rsidRPr="007C0F2C" w:rsidTr="0026758E">
        <w:trPr>
          <w:jc w:val="center"/>
        </w:trPr>
        <w:tc>
          <w:tcPr>
            <w:tcW w:w="2439" w:type="dxa"/>
          </w:tcPr>
          <w:p w:rsidR="0026758E" w:rsidRPr="007C0F2C" w:rsidRDefault="0026758E" w:rsidP="0026758E">
            <w:pPr>
              <w:pStyle w:val="naisf"/>
              <w:spacing w:before="0" w:after="0"/>
              <w:ind w:firstLine="0"/>
              <w:rPr>
                <w:i/>
              </w:rPr>
            </w:pPr>
            <w:r w:rsidRPr="007C0F2C">
              <w:rPr>
                <w:sz w:val="22"/>
                <w:szCs w:val="22"/>
              </w:rPr>
              <w:t>1. Budžeta ieņēmumi:</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330,4</w:t>
            </w:r>
          </w:p>
        </w:tc>
        <w:tc>
          <w:tcPr>
            <w:tcW w:w="1355" w:type="dxa"/>
          </w:tcPr>
          <w:p w:rsidR="0026758E" w:rsidRDefault="0026758E" w:rsidP="0026758E">
            <w:pPr>
              <w:pStyle w:val="naisf"/>
              <w:jc w:val="center"/>
            </w:pPr>
            <w:r>
              <w:t>330,4</w:t>
            </w:r>
          </w:p>
        </w:tc>
        <w:tc>
          <w:tcPr>
            <w:tcW w:w="1406" w:type="dxa"/>
          </w:tcPr>
          <w:p w:rsidR="0026758E" w:rsidRDefault="0026758E" w:rsidP="0026758E">
            <w:pPr>
              <w:pStyle w:val="naisf"/>
              <w:jc w:val="center"/>
            </w:pPr>
            <w:r>
              <w:t>330,4</w:t>
            </w:r>
          </w:p>
        </w:tc>
      </w:tr>
      <w:tr w:rsidR="0026758E" w:rsidRPr="007C0F2C" w:rsidTr="0026758E">
        <w:trPr>
          <w:jc w:val="center"/>
        </w:trPr>
        <w:tc>
          <w:tcPr>
            <w:tcW w:w="2439" w:type="dxa"/>
          </w:tcPr>
          <w:p w:rsidR="0026758E" w:rsidRPr="007C0F2C" w:rsidRDefault="0026758E" w:rsidP="0026758E">
            <w:pPr>
              <w:pStyle w:val="naisf"/>
              <w:spacing w:before="0" w:after="0"/>
              <w:ind w:firstLine="0"/>
              <w:rPr>
                <w:i/>
              </w:rPr>
            </w:pPr>
            <w:r w:rsidRPr="007C0F2C">
              <w:rPr>
                <w:sz w:val="22"/>
                <w:szCs w:val="22"/>
              </w:rPr>
              <w:t>1.1. valsts pamatbudžets, tai skaitā ieņēmumi no maksas pakalpo-</w:t>
            </w:r>
            <w:proofErr w:type="spellStart"/>
            <w:r w:rsidRPr="007C0F2C">
              <w:rPr>
                <w:sz w:val="22"/>
                <w:szCs w:val="22"/>
              </w:rPr>
              <w:t>jumiem</w:t>
            </w:r>
            <w:proofErr w:type="spellEnd"/>
            <w:r w:rsidRPr="007C0F2C">
              <w:rPr>
                <w:sz w:val="22"/>
                <w:szCs w:val="22"/>
              </w:rPr>
              <w:t xml:space="preserve"> un citi pašu ieņēmumi</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330,4</w:t>
            </w:r>
          </w:p>
        </w:tc>
        <w:tc>
          <w:tcPr>
            <w:tcW w:w="1355" w:type="dxa"/>
          </w:tcPr>
          <w:p w:rsidR="0026758E" w:rsidRDefault="0026758E" w:rsidP="0026758E">
            <w:pPr>
              <w:pStyle w:val="naisf"/>
              <w:jc w:val="center"/>
            </w:pPr>
            <w:r>
              <w:t>330,4</w:t>
            </w:r>
          </w:p>
        </w:tc>
        <w:tc>
          <w:tcPr>
            <w:tcW w:w="1406" w:type="dxa"/>
          </w:tcPr>
          <w:p w:rsidR="0026758E" w:rsidRDefault="0026758E" w:rsidP="0026758E">
            <w:pPr>
              <w:pStyle w:val="naisf"/>
              <w:jc w:val="center"/>
            </w:pPr>
            <w:r>
              <w:t>330,4</w:t>
            </w:r>
          </w:p>
        </w:tc>
      </w:tr>
      <w:tr w:rsidR="0026758E" w:rsidRPr="007C0F2C" w:rsidTr="0026758E">
        <w:trPr>
          <w:jc w:val="center"/>
        </w:trPr>
        <w:tc>
          <w:tcPr>
            <w:tcW w:w="2439" w:type="dxa"/>
          </w:tcPr>
          <w:p w:rsidR="0026758E" w:rsidRPr="007C0F2C" w:rsidRDefault="0026758E" w:rsidP="0026758E">
            <w:pPr>
              <w:pStyle w:val="naisf"/>
              <w:spacing w:before="0" w:after="0"/>
              <w:ind w:firstLine="0"/>
              <w:rPr>
                <w:i/>
              </w:rPr>
            </w:pPr>
            <w:r w:rsidRPr="007C0F2C">
              <w:rPr>
                <w:sz w:val="22"/>
                <w:szCs w:val="22"/>
              </w:rPr>
              <w:t>1.2. valsts speciālais budžets</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5" w:type="dxa"/>
          </w:tcPr>
          <w:p w:rsidR="0026758E" w:rsidRDefault="0026758E" w:rsidP="0026758E">
            <w:pPr>
              <w:pStyle w:val="naisf"/>
              <w:jc w:val="center"/>
            </w:pPr>
            <w:r>
              <w:t>0</w:t>
            </w:r>
          </w:p>
        </w:tc>
        <w:tc>
          <w:tcPr>
            <w:tcW w:w="1406" w:type="dxa"/>
          </w:tcPr>
          <w:p w:rsidR="0026758E" w:rsidRDefault="0026758E" w:rsidP="0026758E">
            <w:pPr>
              <w:pStyle w:val="naisf"/>
              <w:jc w:val="center"/>
            </w:pPr>
            <w:r>
              <w:t>0</w:t>
            </w:r>
          </w:p>
        </w:tc>
      </w:tr>
      <w:tr w:rsidR="0026758E" w:rsidRPr="007C0F2C" w:rsidTr="0026758E">
        <w:trPr>
          <w:jc w:val="center"/>
        </w:trPr>
        <w:tc>
          <w:tcPr>
            <w:tcW w:w="2439" w:type="dxa"/>
          </w:tcPr>
          <w:p w:rsidR="0026758E" w:rsidRPr="007C0F2C" w:rsidRDefault="0026758E" w:rsidP="0026758E">
            <w:pPr>
              <w:pStyle w:val="naisf"/>
              <w:spacing w:before="0" w:after="0"/>
              <w:ind w:firstLine="0"/>
              <w:rPr>
                <w:i/>
              </w:rPr>
            </w:pPr>
            <w:r w:rsidRPr="007C0F2C">
              <w:rPr>
                <w:sz w:val="22"/>
                <w:szCs w:val="22"/>
              </w:rPr>
              <w:t>1.3. pašvaldību budžets</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5" w:type="dxa"/>
          </w:tcPr>
          <w:p w:rsidR="0026758E" w:rsidRDefault="0026758E" w:rsidP="0026758E">
            <w:pPr>
              <w:pStyle w:val="naisf"/>
              <w:jc w:val="center"/>
            </w:pPr>
            <w:r>
              <w:t>0</w:t>
            </w:r>
          </w:p>
        </w:tc>
        <w:tc>
          <w:tcPr>
            <w:tcW w:w="1406" w:type="dxa"/>
          </w:tcPr>
          <w:p w:rsidR="0026758E" w:rsidRDefault="0026758E" w:rsidP="0026758E">
            <w:pPr>
              <w:pStyle w:val="naisf"/>
              <w:jc w:val="center"/>
            </w:pPr>
            <w:r>
              <w:t>0</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2. Budžeta izdevumi:</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211,6</w:t>
            </w:r>
          </w:p>
        </w:tc>
        <w:tc>
          <w:tcPr>
            <w:tcW w:w="1355" w:type="dxa"/>
          </w:tcPr>
          <w:p w:rsidR="0026758E" w:rsidRDefault="0026758E" w:rsidP="0026758E">
            <w:pPr>
              <w:pStyle w:val="naisf"/>
              <w:jc w:val="center"/>
            </w:pPr>
            <w:r>
              <w:t>209,6</w:t>
            </w:r>
          </w:p>
        </w:tc>
        <w:tc>
          <w:tcPr>
            <w:tcW w:w="1406" w:type="dxa"/>
          </w:tcPr>
          <w:p w:rsidR="0026758E" w:rsidRDefault="0026758E" w:rsidP="0026758E">
            <w:pPr>
              <w:pStyle w:val="naisf"/>
              <w:jc w:val="center"/>
            </w:pPr>
            <w:r>
              <w:t>209,6</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2.1. valsts pamatbudžets</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211,6</w:t>
            </w:r>
          </w:p>
        </w:tc>
        <w:tc>
          <w:tcPr>
            <w:tcW w:w="1355" w:type="dxa"/>
          </w:tcPr>
          <w:p w:rsidR="0026758E" w:rsidRDefault="0026758E" w:rsidP="0026758E">
            <w:pPr>
              <w:pStyle w:val="naisf"/>
              <w:jc w:val="center"/>
            </w:pPr>
            <w:r>
              <w:t>209,6</w:t>
            </w:r>
          </w:p>
        </w:tc>
        <w:tc>
          <w:tcPr>
            <w:tcW w:w="1406" w:type="dxa"/>
          </w:tcPr>
          <w:p w:rsidR="0026758E" w:rsidRDefault="0026758E" w:rsidP="0026758E">
            <w:pPr>
              <w:pStyle w:val="naisf"/>
              <w:jc w:val="center"/>
            </w:pPr>
            <w:r>
              <w:t>209,6</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2.2. valsts speciālais budžets</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p>
        </w:tc>
        <w:tc>
          <w:tcPr>
            <w:tcW w:w="1355" w:type="dxa"/>
          </w:tcPr>
          <w:p w:rsidR="0026758E" w:rsidRDefault="0026758E" w:rsidP="0026758E">
            <w:pPr>
              <w:pStyle w:val="naisf"/>
              <w:jc w:val="center"/>
            </w:pPr>
          </w:p>
        </w:tc>
        <w:tc>
          <w:tcPr>
            <w:tcW w:w="1406" w:type="dxa"/>
          </w:tcPr>
          <w:p w:rsidR="0026758E" w:rsidRDefault="0026758E" w:rsidP="0026758E">
            <w:pPr>
              <w:pStyle w:val="naisf"/>
              <w:jc w:val="center"/>
            </w:pP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 xml:space="preserve">2.3. pašvaldību budžets </w:t>
            </w:r>
          </w:p>
        </w:tc>
        <w:tc>
          <w:tcPr>
            <w:tcW w:w="1331"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p>
        </w:tc>
        <w:tc>
          <w:tcPr>
            <w:tcW w:w="1355" w:type="dxa"/>
          </w:tcPr>
          <w:p w:rsidR="0026758E" w:rsidRDefault="0026758E" w:rsidP="0026758E">
            <w:pPr>
              <w:pStyle w:val="naisf"/>
              <w:jc w:val="center"/>
            </w:pPr>
          </w:p>
        </w:tc>
        <w:tc>
          <w:tcPr>
            <w:tcW w:w="1406" w:type="dxa"/>
          </w:tcPr>
          <w:p w:rsidR="0026758E" w:rsidRDefault="0026758E" w:rsidP="0026758E">
            <w:pPr>
              <w:pStyle w:val="naisf"/>
              <w:jc w:val="center"/>
            </w:pP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3. Finansiālā ietekme:</w:t>
            </w:r>
          </w:p>
        </w:tc>
        <w:tc>
          <w:tcPr>
            <w:tcW w:w="1331" w:type="dxa"/>
            <w:shd w:val="clear" w:color="auto" w:fill="auto"/>
            <w:vAlign w:val="center"/>
          </w:tcPr>
          <w:p w:rsidR="0026758E" w:rsidRDefault="001E14F5" w:rsidP="0026758E">
            <w:pPr>
              <w:pStyle w:val="naisc"/>
              <w:jc w:val="center"/>
            </w:pPr>
            <w:r>
              <w:t>     </w:t>
            </w:r>
            <w:r w:rsidR="0026758E">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118,8</w:t>
            </w:r>
          </w:p>
        </w:tc>
        <w:tc>
          <w:tcPr>
            <w:tcW w:w="1355" w:type="dxa"/>
          </w:tcPr>
          <w:p w:rsidR="0026758E" w:rsidRDefault="0026758E" w:rsidP="0026758E">
            <w:pPr>
              <w:pStyle w:val="naisf"/>
              <w:jc w:val="center"/>
            </w:pPr>
            <w:r>
              <w:t>120,8</w:t>
            </w:r>
          </w:p>
        </w:tc>
        <w:tc>
          <w:tcPr>
            <w:tcW w:w="1406" w:type="dxa"/>
          </w:tcPr>
          <w:p w:rsidR="0026758E" w:rsidRDefault="0026758E" w:rsidP="0026758E">
            <w:pPr>
              <w:pStyle w:val="naisf"/>
              <w:jc w:val="center"/>
            </w:pPr>
            <w:r>
              <w:t>120,8</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3.1. valsts pamatbudžets</w:t>
            </w:r>
          </w:p>
        </w:tc>
        <w:tc>
          <w:tcPr>
            <w:tcW w:w="1331" w:type="dxa"/>
            <w:shd w:val="clear" w:color="auto" w:fill="auto"/>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118,8</w:t>
            </w:r>
          </w:p>
        </w:tc>
        <w:tc>
          <w:tcPr>
            <w:tcW w:w="1355" w:type="dxa"/>
          </w:tcPr>
          <w:p w:rsidR="0026758E" w:rsidRDefault="0026758E" w:rsidP="0026758E">
            <w:pPr>
              <w:pStyle w:val="naisf"/>
              <w:jc w:val="center"/>
            </w:pPr>
            <w:r>
              <w:t>120,8</w:t>
            </w:r>
          </w:p>
        </w:tc>
        <w:tc>
          <w:tcPr>
            <w:tcW w:w="1406" w:type="dxa"/>
          </w:tcPr>
          <w:p w:rsidR="0026758E" w:rsidRDefault="0026758E" w:rsidP="0026758E">
            <w:pPr>
              <w:pStyle w:val="naisf"/>
              <w:jc w:val="center"/>
            </w:pPr>
            <w:r>
              <w:t>120,8</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3.2. speciālais budžets</w:t>
            </w:r>
          </w:p>
        </w:tc>
        <w:tc>
          <w:tcPr>
            <w:tcW w:w="1331" w:type="dxa"/>
            <w:shd w:val="clear" w:color="auto" w:fill="auto"/>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5" w:type="dxa"/>
          </w:tcPr>
          <w:p w:rsidR="0026758E" w:rsidRDefault="0026758E" w:rsidP="0026758E">
            <w:pPr>
              <w:pStyle w:val="naisf"/>
              <w:jc w:val="center"/>
            </w:pPr>
            <w:r>
              <w:t>0</w:t>
            </w:r>
          </w:p>
        </w:tc>
        <w:tc>
          <w:tcPr>
            <w:tcW w:w="1406" w:type="dxa"/>
          </w:tcPr>
          <w:p w:rsidR="0026758E" w:rsidRDefault="0026758E" w:rsidP="0026758E">
            <w:pPr>
              <w:pStyle w:val="naisf"/>
              <w:jc w:val="center"/>
            </w:pPr>
            <w:r>
              <w:t>0</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 xml:space="preserve">3.3. pašvaldību budžets </w:t>
            </w:r>
          </w:p>
        </w:tc>
        <w:tc>
          <w:tcPr>
            <w:tcW w:w="1331" w:type="dxa"/>
            <w:shd w:val="clear" w:color="auto" w:fill="auto"/>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5" w:type="dxa"/>
          </w:tcPr>
          <w:p w:rsidR="0026758E" w:rsidRDefault="0026758E" w:rsidP="0026758E">
            <w:pPr>
              <w:pStyle w:val="naisf"/>
              <w:jc w:val="center"/>
            </w:pPr>
            <w:r>
              <w:t>0</w:t>
            </w:r>
          </w:p>
        </w:tc>
        <w:tc>
          <w:tcPr>
            <w:tcW w:w="1406" w:type="dxa"/>
          </w:tcPr>
          <w:p w:rsidR="0026758E" w:rsidRDefault="0026758E" w:rsidP="0026758E">
            <w:pPr>
              <w:pStyle w:val="naisf"/>
              <w:jc w:val="center"/>
            </w:pPr>
            <w:r>
              <w:t>0</w:t>
            </w:r>
          </w:p>
        </w:tc>
      </w:tr>
      <w:tr w:rsidR="0026758E" w:rsidRPr="007C0F2C" w:rsidTr="0026758E">
        <w:trPr>
          <w:jc w:val="center"/>
        </w:trPr>
        <w:tc>
          <w:tcPr>
            <w:tcW w:w="2439" w:type="dxa"/>
            <w:vMerge w:val="restart"/>
          </w:tcPr>
          <w:p w:rsidR="0026758E" w:rsidRPr="007C0F2C" w:rsidRDefault="0026758E" w:rsidP="0026758E">
            <w:pPr>
              <w:jc w:val="both"/>
            </w:pPr>
            <w:r w:rsidRPr="007C0F2C">
              <w:rPr>
                <w:sz w:val="22"/>
                <w:szCs w:val="22"/>
              </w:rPr>
              <w:t>4. Finanšu līdzekļi papildu izde</w:t>
            </w:r>
            <w:r w:rsidRPr="007C0F2C">
              <w:rPr>
                <w:sz w:val="22"/>
                <w:szCs w:val="22"/>
              </w:rPr>
              <w:softHyphen/>
              <w:t>vumu finansēšanai (kompensējošu izdevumu samazinājumu norāda ar "+" zīmi)</w:t>
            </w:r>
          </w:p>
        </w:tc>
        <w:tc>
          <w:tcPr>
            <w:tcW w:w="1331" w:type="dxa"/>
            <w:vMerge w:val="restart"/>
          </w:tcPr>
          <w:p w:rsidR="0026758E" w:rsidRPr="001E14F5" w:rsidRDefault="0026758E" w:rsidP="0026758E">
            <w:pPr>
              <w:pStyle w:val="naisf"/>
              <w:spacing w:before="0" w:after="0"/>
              <w:ind w:firstLine="0"/>
              <w:jc w:val="center"/>
            </w:pPr>
            <w:r w:rsidRPr="001E14F5">
              <w:t>X</w:t>
            </w:r>
          </w:p>
        </w:tc>
        <w:tc>
          <w:tcPr>
            <w:tcW w:w="1354" w:type="dxa"/>
          </w:tcPr>
          <w:p w:rsidR="0026758E" w:rsidRPr="001E14F5" w:rsidRDefault="001E14F5" w:rsidP="0026758E">
            <w:pPr>
              <w:pStyle w:val="naisf"/>
              <w:spacing w:before="0" w:after="0"/>
              <w:ind w:firstLine="0"/>
              <w:jc w:val="left"/>
            </w:pPr>
            <w:r w:rsidRPr="001E14F5">
              <w:t>           0</w:t>
            </w:r>
          </w:p>
        </w:tc>
        <w:tc>
          <w:tcPr>
            <w:tcW w:w="1354" w:type="dxa"/>
          </w:tcPr>
          <w:p w:rsidR="0026758E" w:rsidRPr="001E14F5" w:rsidRDefault="001E14F5" w:rsidP="0026758E">
            <w:pPr>
              <w:pStyle w:val="naisf"/>
              <w:spacing w:before="0" w:after="0"/>
              <w:ind w:firstLine="0"/>
              <w:jc w:val="left"/>
            </w:pPr>
            <w:r>
              <w:t>            </w:t>
            </w:r>
            <w:r w:rsidRPr="001E14F5">
              <w:t>0</w:t>
            </w:r>
          </w:p>
        </w:tc>
        <w:tc>
          <w:tcPr>
            <w:tcW w:w="1355" w:type="dxa"/>
          </w:tcPr>
          <w:p w:rsidR="0026758E" w:rsidRPr="001E14F5" w:rsidRDefault="001E14F5" w:rsidP="0026758E">
            <w:pPr>
              <w:pStyle w:val="naisf"/>
              <w:spacing w:before="0" w:after="0"/>
              <w:ind w:firstLine="0"/>
              <w:jc w:val="left"/>
            </w:pPr>
            <w:r>
              <w:t>            </w:t>
            </w:r>
            <w:r w:rsidR="0026758E" w:rsidRPr="001E14F5">
              <w:t>0</w:t>
            </w:r>
          </w:p>
        </w:tc>
        <w:tc>
          <w:tcPr>
            <w:tcW w:w="1406" w:type="dxa"/>
          </w:tcPr>
          <w:p w:rsidR="0026758E" w:rsidRPr="001E14F5" w:rsidRDefault="001E14F5" w:rsidP="0026758E">
            <w:pPr>
              <w:pStyle w:val="naisf"/>
              <w:spacing w:before="0" w:after="0"/>
              <w:ind w:firstLine="0"/>
              <w:jc w:val="left"/>
            </w:pPr>
            <w:r>
              <w:t>            </w:t>
            </w:r>
            <w:r w:rsidR="0026758E" w:rsidRPr="001E14F5">
              <w:t>0</w:t>
            </w:r>
          </w:p>
        </w:tc>
      </w:tr>
      <w:tr w:rsidR="0026758E" w:rsidRPr="007C0F2C" w:rsidTr="0026758E">
        <w:trPr>
          <w:jc w:val="center"/>
        </w:trPr>
        <w:tc>
          <w:tcPr>
            <w:tcW w:w="2439" w:type="dxa"/>
            <w:vMerge/>
          </w:tcPr>
          <w:p w:rsidR="0026758E" w:rsidRPr="007C0F2C" w:rsidRDefault="0026758E" w:rsidP="0026758E">
            <w:pPr>
              <w:jc w:val="both"/>
            </w:pPr>
          </w:p>
        </w:tc>
        <w:tc>
          <w:tcPr>
            <w:tcW w:w="1331" w:type="dxa"/>
            <w:vMerge/>
          </w:tcPr>
          <w:p w:rsidR="0026758E" w:rsidRPr="001E14F5" w:rsidRDefault="0026758E" w:rsidP="0026758E">
            <w:pPr>
              <w:pStyle w:val="naisf"/>
              <w:spacing w:before="0" w:after="0"/>
              <w:ind w:firstLine="0"/>
              <w:jc w:val="center"/>
            </w:pPr>
          </w:p>
        </w:tc>
        <w:tc>
          <w:tcPr>
            <w:tcW w:w="1354" w:type="dxa"/>
          </w:tcPr>
          <w:p w:rsidR="0026758E" w:rsidRPr="001E14F5" w:rsidRDefault="0026758E" w:rsidP="0026758E">
            <w:pPr>
              <w:pStyle w:val="naisf"/>
              <w:spacing w:before="0" w:after="0"/>
              <w:ind w:firstLine="0"/>
              <w:jc w:val="left"/>
            </w:pPr>
          </w:p>
        </w:tc>
        <w:tc>
          <w:tcPr>
            <w:tcW w:w="1354" w:type="dxa"/>
          </w:tcPr>
          <w:p w:rsidR="0026758E" w:rsidRPr="001E14F5" w:rsidRDefault="0026758E" w:rsidP="0026758E">
            <w:pPr>
              <w:pStyle w:val="naisf"/>
              <w:spacing w:before="0" w:after="0"/>
              <w:ind w:firstLine="0"/>
              <w:jc w:val="left"/>
            </w:pPr>
          </w:p>
        </w:tc>
        <w:tc>
          <w:tcPr>
            <w:tcW w:w="1355" w:type="dxa"/>
          </w:tcPr>
          <w:p w:rsidR="0026758E" w:rsidRPr="001E14F5" w:rsidRDefault="0026758E" w:rsidP="0026758E">
            <w:pPr>
              <w:pStyle w:val="naisf"/>
              <w:spacing w:before="0" w:after="0"/>
              <w:ind w:firstLine="0"/>
              <w:jc w:val="left"/>
            </w:pPr>
          </w:p>
        </w:tc>
        <w:tc>
          <w:tcPr>
            <w:tcW w:w="1406" w:type="dxa"/>
          </w:tcPr>
          <w:p w:rsidR="0026758E" w:rsidRPr="001E14F5" w:rsidRDefault="0026758E" w:rsidP="0026758E">
            <w:pPr>
              <w:pStyle w:val="naisf"/>
              <w:spacing w:before="0" w:after="0"/>
              <w:ind w:firstLine="0"/>
              <w:jc w:val="left"/>
            </w:pPr>
          </w:p>
        </w:tc>
      </w:tr>
      <w:tr w:rsidR="0026758E" w:rsidRPr="007C0F2C" w:rsidTr="0026758E">
        <w:trPr>
          <w:jc w:val="center"/>
        </w:trPr>
        <w:tc>
          <w:tcPr>
            <w:tcW w:w="2439" w:type="dxa"/>
            <w:vMerge/>
          </w:tcPr>
          <w:p w:rsidR="0026758E" w:rsidRPr="007C0F2C" w:rsidRDefault="0026758E" w:rsidP="0026758E">
            <w:pPr>
              <w:jc w:val="both"/>
            </w:pPr>
          </w:p>
        </w:tc>
        <w:tc>
          <w:tcPr>
            <w:tcW w:w="1331" w:type="dxa"/>
            <w:vMerge/>
          </w:tcPr>
          <w:p w:rsidR="0026758E" w:rsidRPr="007C0F2C" w:rsidRDefault="0026758E" w:rsidP="0026758E">
            <w:pPr>
              <w:pStyle w:val="naisf"/>
              <w:spacing w:before="0" w:after="0"/>
              <w:ind w:firstLine="0"/>
              <w:jc w:val="center"/>
              <w:rPr>
                <w:i/>
                <w:sz w:val="40"/>
                <w:szCs w:val="40"/>
              </w:rPr>
            </w:pPr>
          </w:p>
        </w:tc>
        <w:tc>
          <w:tcPr>
            <w:tcW w:w="1354" w:type="dxa"/>
          </w:tcPr>
          <w:p w:rsidR="0026758E" w:rsidRPr="007C0F2C" w:rsidRDefault="0026758E" w:rsidP="0026758E">
            <w:pPr>
              <w:pStyle w:val="naisf"/>
              <w:spacing w:before="0" w:after="0"/>
              <w:ind w:firstLine="0"/>
              <w:jc w:val="left"/>
              <w:rPr>
                <w:b/>
                <w:i/>
              </w:rPr>
            </w:pPr>
          </w:p>
        </w:tc>
        <w:tc>
          <w:tcPr>
            <w:tcW w:w="1354" w:type="dxa"/>
          </w:tcPr>
          <w:p w:rsidR="0026758E" w:rsidRPr="007C0F2C" w:rsidRDefault="0026758E" w:rsidP="0026758E">
            <w:pPr>
              <w:pStyle w:val="naisf"/>
              <w:spacing w:before="0" w:after="0"/>
              <w:ind w:firstLine="0"/>
              <w:jc w:val="left"/>
              <w:rPr>
                <w:b/>
                <w:i/>
              </w:rPr>
            </w:pPr>
          </w:p>
        </w:tc>
        <w:tc>
          <w:tcPr>
            <w:tcW w:w="1355" w:type="dxa"/>
          </w:tcPr>
          <w:p w:rsidR="0026758E" w:rsidRPr="007C0F2C" w:rsidRDefault="0026758E" w:rsidP="0026758E">
            <w:pPr>
              <w:pStyle w:val="naisf"/>
              <w:spacing w:before="0" w:after="0"/>
              <w:ind w:firstLine="0"/>
              <w:jc w:val="left"/>
              <w:rPr>
                <w:b/>
                <w:i/>
              </w:rPr>
            </w:pPr>
          </w:p>
        </w:tc>
        <w:tc>
          <w:tcPr>
            <w:tcW w:w="1406" w:type="dxa"/>
          </w:tcPr>
          <w:p w:rsidR="0026758E" w:rsidRPr="007C0F2C" w:rsidRDefault="0026758E" w:rsidP="0026758E">
            <w:pPr>
              <w:pStyle w:val="naisf"/>
              <w:spacing w:before="0" w:after="0"/>
              <w:ind w:firstLine="0"/>
              <w:jc w:val="left"/>
              <w:rPr>
                <w:b/>
                <w:i/>
              </w:rPr>
            </w:pPr>
          </w:p>
        </w:tc>
      </w:tr>
      <w:tr w:rsidR="0026758E" w:rsidRPr="007C0F2C" w:rsidTr="0026758E">
        <w:trPr>
          <w:jc w:val="center"/>
        </w:trPr>
        <w:tc>
          <w:tcPr>
            <w:tcW w:w="2439" w:type="dxa"/>
          </w:tcPr>
          <w:p w:rsidR="0026758E" w:rsidRPr="007C0F2C" w:rsidRDefault="0026758E" w:rsidP="0026758E">
            <w:pPr>
              <w:jc w:val="both"/>
            </w:pPr>
            <w:r w:rsidRPr="007C0F2C">
              <w:rPr>
                <w:sz w:val="22"/>
                <w:szCs w:val="22"/>
              </w:rPr>
              <w:lastRenderedPageBreak/>
              <w:t>5. Precizēta finansiālā ietekme:</w:t>
            </w:r>
          </w:p>
        </w:tc>
        <w:tc>
          <w:tcPr>
            <w:tcW w:w="1331" w:type="dxa"/>
            <w:vMerge w:val="restart"/>
          </w:tcPr>
          <w:p w:rsidR="0026758E" w:rsidRPr="007C0F2C" w:rsidRDefault="0026758E" w:rsidP="0026758E">
            <w:pPr>
              <w:pStyle w:val="naisf"/>
              <w:spacing w:before="0" w:after="0"/>
              <w:ind w:firstLine="0"/>
              <w:jc w:val="center"/>
              <w:rPr>
                <w:i/>
              </w:rPr>
            </w:pPr>
            <w:r w:rsidRPr="007C0F2C">
              <w:t>X</w:t>
            </w: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118,8</w:t>
            </w:r>
          </w:p>
        </w:tc>
        <w:tc>
          <w:tcPr>
            <w:tcW w:w="1355" w:type="dxa"/>
          </w:tcPr>
          <w:p w:rsidR="0026758E" w:rsidRDefault="0026758E" w:rsidP="0026758E">
            <w:pPr>
              <w:pStyle w:val="naisf"/>
              <w:jc w:val="center"/>
            </w:pPr>
            <w:r>
              <w:t>120,8</w:t>
            </w:r>
          </w:p>
        </w:tc>
        <w:tc>
          <w:tcPr>
            <w:tcW w:w="1406" w:type="dxa"/>
          </w:tcPr>
          <w:p w:rsidR="0026758E" w:rsidRDefault="0026758E" w:rsidP="0026758E">
            <w:pPr>
              <w:pStyle w:val="naisf"/>
              <w:jc w:val="center"/>
            </w:pPr>
            <w:r>
              <w:t>120,8</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5.1. valsts pamatbudžets</w:t>
            </w:r>
          </w:p>
        </w:tc>
        <w:tc>
          <w:tcPr>
            <w:tcW w:w="1331" w:type="dxa"/>
            <w:vMerge/>
            <w:vAlign w:val="center"/>
          </w:tcPr>
          <w:p w:rsidR="0026758E" w:rsidRPr="007C0F2C" w:rsidRDefault="0026758E" w:rsidP="0026758E">
            <w:pPr>
              <w:pStyle w:val="naisf"/>
              <w:spacing w:before="0" w:after="0"/>
              <w:ind w:firstLine="0"/>
              <w:jc w:val="center"/>
              <w:rPr>
                <w:i/>
                <w:sz w:val="40"/>
                <w:szCs w:val="40"/>
              </w:rPr>
            </w:pP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118,8</w:t>
            </w:r>
          </w:p>
        </w:tc>
        <w:tc>
          <w:tcPr>
            <w:tcW w:w="1355" w:type="dxa"/>
          </w:tcPr>
          <w:p w:rsidR="0026758E" w:rsidRDefault="0026758E" w:rsidP="0026758E">
            <w:pPr>
              <w:pStyle w:val="naisf"/>
              <w:jc w:val="center"/>
            </w:pPr>
            <w:r>
              <w:t>120,8</w:t>
            </w:r>
          </w:p>
        </w:tc>
        <w:tc>
          <w:tcPr>
            <w:tcW w:w="1406" w:type="dxa"/>
          </w:tcPr>
          <w:p w:rsidR="0026758E" w:rsidRDefault="0026758E" w:rsidP="0026758E">
            <w:pPr>
              <w:pStyle w:val="naisf"/>
              <w:jc w:val="center"/>
            </w:pPr>
            <w:r>
              <w:t>120,8</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5.2. speciālais budžets</w:t>
            </w:r>
          </w:p>
        </w:tc>
        <w:tc>
          <w:tcPr>
            <w:tcW w:w="1331" w:type="dxa"/>
            <w:vMerge/>
            <w:vAlign w:val="center"/>
          </w:tcPr>
          <w:p w:rsidR="0026758E" w:rsidRPr="007C0F2C" w:rsidRDefault="0026758E" w:rsidP="0026758E">
            <w:pPr>
              <w:pStyle w:val="naisf"/>
              <w:spacing w:before="0" w:after="0"/>
              <w:ind w:firstLine="0"/>
              <w:jc w:val="center"/>
              <w:rPr>
                <w:i/>
                <w:sz w:val="40"/>
                <w:szCs w:val="40"/>
              </w:rPr>
            </w:pP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5" w:type="dxa"/>
          </w:tcPr>
          <w:p w:rsidR="0026758E" w:rsidRDefault="0026758E" w:rsidP="0026758E">
            <w:pPr>
              <w:pStyle w:val="naisf"/>
              <w:jc w:val="center"/>
            </w:pPr>
            <w:r>
              <w:t>0</w:t>
            </w:r>
          </w:p>
        </w:tc>
        <w:tc>
          <w:tcPr>
            <w:tcW w:w="1406" w:type="dxa"/>
          </w:tcPr>
          <w:p w:rsidR="0026758E" w:rsidRDefault="0026758E" w:rsidP="0026758E">
            <w:pPr>
              <w:pStyle w:val="naisf"/>
              <w:jc w:val="center"/>
            </w:pPr>
            <w:r>
              <w:t>0</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 xml:space="preserve">5.3. pašvaldību budžets </w:t>
            </w:r>
          </w:p>
        </w:tc>
        <w:tc>
          <w:tcPr>
            <w:tcW w:w="1331" w:type="dxa"/>
            <w:vMerge/>
            <w:vAlign w:val="center"/>
          </w:tcPr>
          <w:p w:rsidR="0026758E" w:rsidRPr="007C0F2C" w:rsidRDefault="0026758E" w:rsidP="0026758E">
            <w:pPr>
              <w:pStyle w:val="naisf"/>
              <w:spacing w:before="0" w:after="0"/>
              <w:ind w:firstLine="0"/>
              <w:jc w:val="center"/>
              <w:rPr>
                <w:i/>
                <w:sz w:val="40"/>
                <w:szCs w:val="40"/>
              </w:rPr>
            </w:pPr>
          </w:p>
        </w:tc>
        <w:tc>
          <w:tcPr>
            <w:tcW w:w="1354" w:type="dxa"/>
          </w:tcPr>
          <w:p w:rsidR="0026758E" w:rsidRDefault="0026758E" w:rsidP="0026758E">
            <w:pPr>
              <w:pStyle w:val="naisf"/>
              <w:jc w:val="center"/>
            </w:pPr>
            <w:r>
              <w:t>0</w:t>
            </w:r>
          </w:p>
        </w:tc>
        <w:tc>
          <w:tcPr>
            <w:tcW w:w="1354" w:type="dxa"/>
          </w:tcPr>
          <w:p w:rsidR="0026758E" w:rsidRDefault="0026758E" w:rsidP="0026758E">
            <w:pPr>
              <w:pStyle w:val="naisf"/>
              <w:jc w:val="center"/>
            </w:pPr>
            <w:r>
              <w:t>0</w:t>
            </w:r>
          </w:p>
        </w:tc>
        <w:tc>
          <w:tcPr>
            <w:tcW w:w="1355" w:type="dxa"/>
          </w:tcPr>
          <w:p w:rsidR="0026758E" w:rsidRDefault="0026758E" w:rsidP="0026758E">
            <w:pPr>
              <w:pStyle w:val="naisf"/>
              <w:jc w:val="center"/>
            </w:pPr>
            <w:r>
              <w:t>0</w:t>
            </w:r>
          </w:p>
        </w:tc>
        <w:tc>
          <w:tcPr>
            <w:tcW w:w="1406" w:type="dxa"/>
          </w:tcPr>
          <w:p w:rsidR="0026758E" w:rsidRDefault="0026758E" w:rsidP="0026758E">
            <w:pPr>
              <w:pStyle w:val="naisf"/>
              <w:jc w:val="center"/>
            </w:pPr>
            <w:r>
              <w:t>0</w:t>
            </w: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6800" w:type="dxa"/>
            <w:gridSpan w:val="5"/>
            <w:vMerge w:val="restart"/>
            <w:vAlign w:val="center"/>
          </w:tcPr>
          <w:p w:rsidR="0026758E" w:rsidRDefault="0026758E" w:rsidP="0026758E">
            <w:pPr>
              <w:suppressAutoHyphens/>
              <w:jc w:val="both"/>
              <w:rPr>
                <w:color w:val="000000"/>
                <w:lang w:eastAsia="ar-SA"/>
              </w:rPr>
            </w:pPr>
            <w:r>
              <w:rPr>
                <w:color w:val="000000"/>
                <w:lang w:eastAsia="ar-SA"/>
              </w:rPr>
              <w:t>6.1. detalizēts ieņēmumu aprēķins</w:t>
            </w:r>
          </w:p>
          <w:p w:rsidR="0026758E" w:rsidRDefault="0026758E" w:rsidP="0026758E">
            <w:pPr>
              <w:suppressAutoHyphens/>
              <w:jc w:val="both"/>
              <w:rPr>
                <w:color w:val="000000"/>
                <w:lang w:eastAsia="ar-SA"/>
              </w:rPr>
            </w:pPr>
            <w:r w:rsidRPr="0021304D">
              <w:rPr>
                <w:color w:val="000000"/>
                <w:lang w:eastAsia="ar-SA"/>
              </w:rPr>
              <w:t>Prognozētie ieņēmumi valsts pamatbudžetā no naudas sodiem, kuri tiks savlaicīgāk samaksāti, varētu sastādīt</w:t>
            </w:r>
            <w:r>
              <w:rPr>
                <w:color w:val="000000"/>
                <w:lang w:eastAsia="ar-SA"/>
              </w:rPr>
              <w:t xml:space="preserve"> Ls 330 438 </w:t>
            </w:r>
          </w:p>
          <w:p w:rsidR="0026758E" w:rsidRPr="0021304D" w:rsidRDefault="0026758E" w:rsidP="0026758E">
            <w:pPr>
              <w:numPr>
                <w:ilvl w:val="0"/>
                <w:numId w:val="9"/>
              </w:numPr>
              <w:suppressAutoHyphens/>
              <w:ind w:left="321" w:hanging="283"/>
              <w:jc w:val="both"/>
              <w:rPr>
                <w:color w:val="000000"/>
                <w:lang w:eastAsia="ar-SA"/>
              </w:rPr>
            </w:pPr>
            <w:r w:rsidRPr="0021304D">
              <w:rPr>
                <w:color w:val="000000"/>
                <w:lang w:eastAsia="ar-SA"/>
              </w:rPr>
              <w:t xml:space="preserve">Valsts policija prognozē, ka ieņēmumi valsts pamatbudžetā no naudas sodiem, kuri tiks savlaicīgāk samaksāti, varētu sastādīt – </w:t>
            </w:r>
            <w:r w:rsidRPr="001D13C4">
              <w:rPr>
                <w:lang w:eastAsia="ar-SA"/>
              </w:rPr>
              <w:t>Ls 316 942</w:t>
            </w:r>
            <w:r w:rsidRPr="0021304D">
              <w:rPr>
                <w:color w:val="000000"/>
                <w:lang w:eastAsia="ar-SA"/>
              </w:rPr>
              <w:t xml:space="preserve"> (vidēji gadā netiek samaksāti naudas sodi Ls 1 870 416, bet par pārkāpumiem ceļu satiksmē, kas fiksēti ar tehniskajiem līdzekļiem, – Ls 1 298 996, kopā – Ls 3 169 412, no tā, iespējams, tiks savlaicīgāk </w:t>
            </w:r>
            <w:r w:rsidRPr="001D13C4">
              <w:rPr>
                <w:color w:val="000000"/>
                <w:lang w:eastAsia="ar-SA"/>
              </w:rPr>
              <w:t>samaksāti 10%);</w:t>
            </w:r>
          </w:p>
          <w:p w:rsidR="0026758E" w:rsidRPr="0021304D" w:rsidRDefault="0026758E" w:rsidP="0026758E">
            <w:pPr>
              <w:numPr>
                <w:ilvl w:val="0"/>
                <w:numId w:val="9"/>
              </w:numPr>
              <w:suppressAutoHyphens/>
              <w:ind w:left="321" w:hanging="283"/>
              <w:jc w:val="both"/>
              <w:rPr>
                <w:color w:val="000000"/>
                <w:lang w:eastAsia="ar-SA"/>
              </w:rPr>
            </w:pPr>
            <w:r w:rsidRPr="0021304D">
              <w:rPr>
                <w:color w:val="000000"/>
                <w:lang w:eastAsia="ar-SA"/>
              </w:rPr>
              <w:t>Valsts robežsardze prognozē, ka ieņēmumi valsts pamatbudžetā no naudas sodiem, kuri tiks savlaicīgāk samaksāti, varētu sastādīt – Ls 1851 (vidēji gadā netiek samaksāti naudas sodi Ls 18 507, no tā, iespējams, tiks savlaicīgāk samaksāti 10%);</w:t>
            </w:r>
          </w:p>
          <w:p w:rsidR="0026758E" w:rsidRPr="0021304D" w:rsidRDefault="0026758E" w:rsidP="0026758E">
            <w:pPr>
              <w:numPr>
                <w:ilvl w:val="0"/>
                <w:numId w:val="9"/>
              </w:numPr>
              <w:suppressAutoHyphens/>
              <w:ind w:left="321" w:hanging="283"/>
              <w:jc w:val="both"/>
              <w:rPr>
                <w:color w:val="000000"/>
                <w:lang w:eastAsia="ar-SA"/>
              </w:rPr>
            </w:pPr>
            <w:r w:rsidRPr="0021304D">
              <w:rPr>
                <w:color w:val="000000"/>
                <w:lang w:eastAsia="ar-SA"/>
              </w:rPr>
              <w:t>Pilsonības un migrācijas lietu pārvalde prognozē, ka ieņēmumi valsts pamatbudžetā no naudas sodiem, kuri tiks savlaicīgāk samaksāti, varētu sastādīt – Ls 7 625 (vidēji gadā netiek samaksāti naudas sodi Ls 30500, no tā, iespējams, tiks savlaicīgāk samaksāti 25%);</w:t>
            </w:r>
          </w:p>
          <w:p w:rsidR="0026758E" w:rsidRPr="0021304D" w:rsidRDefault="0026758E" w:rsidP="0026758E">
            <w:pPr>
              <w:numPr>
                <w:ilvl w:val="0"/>
                <w:numId w:val="9"/>
              </w:numPr>
              <w:suppressAutoHyphens/>
              <w:ind w:left="321" w:hanging="283"/>
              <w:jc w:val="both"/>
              <w:rPr>
                <w:color w:val="000000"/>
                <w:lang w:eastAsia="ar-SA"/>
              </w:rPr>
            </w:pPr>
            <w:r w:rsidRPr="0021304D">
              <w:rPr>
                <w:color w:val="000000"/>
                <w:lang w:eastAsia="ar-SA"/>
              </w:rPr>
              <w:t>Valsts ugunsdzēsības un glābšanas dienesta prognozē, ka ieņēmumi valsts pamatbudžetā no naudas sodiem, kuri tiks savlaicīgāk samaksāti, varētu sastādīt – Ls 4020 apmērā.</w:t>
            </w:r>
          </w:p>
          <w:p w:rsidR="0026758E" w:rsidRDefault="0026758E" w:rsidP="0026758E">
            <w:pPr>
              <w:suppressAutoHyphens/>
              <w:jc w:val="both"/>
              <w:rPr>
                <w:color w:val="000000"/>
                <w:lang w:eastAsia="ar-SA"/>
              </w:rPr>
            </w:pPr>
          </w:p>
          <w:p w:rsidR="0026758E" w:rsidRDefault="0026758E" w:rsidP="0026758E">
            <w:pPr>
              <w:suppressAutoHyphens/>
              <w:jc w:val="both"/>
              <w:rPr>
                <w:color w:val="000000"/>
                <w:lang w:eastAsia="ar-SA"/>
              </w:rPr>
            </w:pPr>
          </w:p>
          <w:p w:rsidR="0026758E" w:rsidRPr="0021304D" w:rsidRDefault="0026758E" w:rsidP="0026758E">
            <w:pPr>
              <w:suppressAutoHyphens/>
              <w:jc w:val="both"/>
              <w:rPr>
                <w:color w:val="000000"/>
                <w:lang w:eastAsia="ar-SA"/>
              </w:rPr>
            </w:pPr>
            <w:r w:rsidRPr="00106DC0">
              <w:rPr>
                <w:color w:val="000000"/>
                <w:lang w:eastAsia="ar-SA"/>
              </w:rPr>
              <w:t>6.2. detalizēts izdevumu aprēķins</w:t>
            </w:r>
            <w:r w:rsidRPr="0021304D">
              <w:rPr>
                <w:color w:val="000000"/>
                <w:lang w:eastAsia="ar-SA"/>
              </w:rPr>
              <w:t xml:space="preserve"> </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Iekšlietu ministrijai, lai nodrošinātu administratīvā pārkāpuma izdarītāja informēšanu par lēmuma pieņemšanu par naudas soda piespiedu izpildi, kopā nepieciešami papildu izdevumi 2012.gadā – Ls 211635 un turpmāk ik gadu Ls 209635.</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2012.gadā</w:t>
            </w:r>
            <w:proofErr w:type="gramStart"/>
            <w:r w:rsidRPr="0021304D">
              <w:rPr>
                <w:color w:val="000000"/>
                <w:lang w:eastAsia="ar-SA"/>
              </w:rPr>
              <w:t xml:space="preserve">  </w:t>
            </w:r>
            <w:proofErr w:type="gramEnd"/>
            <w:r w:rsidRPr="0021304D">
              <w:rPr>
                <w:color w:val="000000"/>
                <w:lang w:eastAsia="ar-SA"/>
              </w:rPr>
              <w:t>:</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Iekšlietu ministrija kopā – Ls 211635:</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36710,t.sk. 1100.IKK – Ls 29100,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172925, 5000.IKK – Ls 2000;</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Valsts policija – Ls 190474:</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23825,t.sk. 1100.IKK – Ls 19200,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 xml:space="preserve"> 2000.IKK – Ls 164649, 5000.IKK – Ls 2000;</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Valsts robežsardze – Ls 11888:</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6929,t.sk. 1100.IKK – Ls 5100,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lastRenderedPageBreak/>
              <w:t>2000.IKK – Ls 4959;</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Pilsonības un migrācijas lietu pārvalde – Ls 9220: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5956,t.sk. 1100.IKK – Ls 4800,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3264;</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Valsts ugunsdzēsības un glābšanas dienests – Ls 53:</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53.</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2013.gadā un turpmāk</w:t>
            </w:r>
            <w:proofErr w:type="gramStart"/>
            <w:r w:rsidRPr="0021304D">
              <w:rPr>
                <w:color w:val="000000"/>
                <w:lang w:eastAsia="ar-SA"/>
              </w:rPr>
              <w:t xml:space="preserve">  </w:t>
            </w:r>
            <w:proofErr w:type="gramEnd"/>
            <w:r w:rsidRPr="0021304D">
              <w:rPr>
                <w:color w:val="000000"/>
                <w:lang w:eastAsia="ar-SA"/>
              </w:rPr>
              <w:t xml:space="preserve">ik gadu </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Iekšlietu ministrija kopā – Ls 209635:</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36710,t.sk. 1100.IKK – Ls 29100,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172925;</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Valsts policija – Ls 188474:</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23825,t.sk. 1100.IKK – Ls 19200,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 xml:space="preserve"> 2000.IKK – Ls 164649;</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Valsts robežsardze – Ls 11888:</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6929,t.sk. 1100.IKK – Ls 5100,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4959;</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Pilsonības un migrācijas lietu pārvalde – Ls 9220: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1000.IKK</w:t>
            </w:r>
            <w:proofErr w:type="gramStart"/>
            <w:r w:rsidRPr="0021304D">
              <w:rPr>
                <w:color w:val="000000"/>
                <w:lang w:eastAsia="ar-SA"/>
              </w:rPr>
              <w:t xml:space="preserve">  </w:t>
            </w:r>
            <w:proofErr w:type="gramEnd"/>
            <w:r w:rsidRPr="0021304D">
              <w:rPr>
                <w:color w:val="000000"/>
                <w:lang w:eastAsia="ar-SA"/>
              </w:rPr>
              <w:t>– Ls 5956,t.sk. 1100.IKK – Ls 4800,</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3264;</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Valsts ugunsdzēsības un glābšanas dienests – Ls 53:</w:t>
            </w: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2000.IKK – Ls 53.</w:t>
            </w:r>
          </w:p>
          <w:p w:rsidR="0026758E" w:rsidRPr="0021304D" w:rsidRDefault="0026758E" w:rsidP="0026758E">
            <w:pPr>
              <w:pStyle w:val="naiskr"/>
              <w:spacing w:before="0" w:after="0"/>
              <w:ind w:left="165" w:right="249"/>
              <w:jc w:val="both"/>
              <w:rPr>
                <w:color w:val="000000"/>
                <w:lang w:eastAsia="ar-SA"/>
              </w:rPr>
            </w:pPr>
          </w:p>
          <w:p w:rsidR="0026758E" w:rsidRPr="0021304D" w:rsidRDefault="0026758E" w:rsidP="0026758E">
            <w:pPr>
              <w:pStyle w:val="naiskr"/>
              <w:spacing w:before="0" w:after="0"/>
              <w:ind w:left="165" w:right="249"/>
              <w:jc w:val="both"/>
              <w:rPr>
                <w:color w:val="000000"/>
                <w:lang w:eastAsia="ar-SA"/>
              </w:rPr>
            </w:pPr>
            <w:r w:rsidRPr="0021304D">
              <w:rPr>
                <w:color w:val="000000"/>
                <w:lang w:eastAsia="ar-SA"/>
              </w:rPr>
              <w:t>– Valsts policijai (budžeta programma 06.00.00 „Valsts policijas darbība”) 2012.gadā – Ls 190474, no tā:</w:t>
            </w:r>
          </w:p>
          <w:p w:rsidR="0026758E" w:rsidRPr="0021304D" w:rsidRDefault="0026758E" w:rsidP="0026758E">
            <w:pPr>
              <w:ind w:left="462" w:right="127"/>
              <w:jc w:val="both"/>
              <w:rPr>
                <w:color w:val="000000"/>
                <w:lang w:eastAsia="ar-SA"/>
              </w:rPr>
            </w:pPr>
            <w:r w:rsidRPr="0021304D">
              <w:rPr>
                <w:color w:val="000000"/>
                <w:lang w:eastAsia="ar-SA"/>
              </w:rPr>
              <w:t xml:space="preserve"> 1000.IKK „Atlīdzība” – Ls 23825,</w:t>
            </w:r>
            <w:proofErr w:type="gramStart"/>
            <w:r w:rsidRPr="0021304D">
              <w:rPr>
                <w:color w:val="000000"/>
                <w:lang w:eastAsia="ar-SA"/>
              </w:rPr>
              <w:t xml:space="preserve">  </w:t>
            </w:r>
            <w:proofErr w:type="gramEnd"/>
            <w:r w:rsidRPr="0021304D">
              <w:rPr>
                <w:color w:val="000000"/>
                <w:lang w:eastAsia="ar-SA"/>
              </w:rPr>
              <w:t>no tā:</w:t>
            </w:r>
          </w:p>
          <w:p w:rsidR="0026758E" w:rsidRPr="0021304D" w:rsidRDefault="0026758E" w:rsidP="0026758E">
            <w:pPr>
              <w:ind w:left="462" w:right="127"/>
              <w:jc w:val="both"/>
              <w:rPr>
                <w:color w:val="000000"/>
                <w:lang w:eastAsia="ar-SA"/>
              </w:rPr>
            </w:pPr>
            <w:r w:rsidRPr="0021304D">
              <w:rPr>
                <w:color w:val="000000"/>
                <w:lang w:eastAsia="ar-SA"/>
              </w:rPr>
              <w:t xml:space="preserve"> 1100.IKK „Atalgojums” </w:t>
            </w:r>
          </w:p>
          <w:p w:rsidR="0026758E" w:rsidRPr="0021304D" w:rsidRDefault="0026758E" w:rsidP="0026758E">
            <w:pPr>
              <w:ind w:left="462" w:right="127"/>
              <w:jc w:val="both"/>
              <w:rPr>
                <w:color w:val="000000"/>
                <w:lang w:eastAsia="ar-SA"/>
              </w:rPr>
            </w:pPr>
            <w:r w:rsidRPr="0021304D">
              <w:rPr>
                <w:color w:val="000000"/>
                <w:lang w:eastAsia="ar-SA"/>
              </w:rPr>
              <w:t xml:space="preserve"> 1119.IKK „Pārējo darbinieku mēneša amatalga” – </w:t>
            </w:r>
          </w:p>
          <w:p w:rsidR="0026758E" w:rsidRPr="0021304D" w:rsidRDefault="0026758E" w:rsidP="0026758E">
            <w:pPr>
              <w:ind w:left="462" w:right="127"/>
              <w:jc w:val="both"/>
              <w:rPr>
                <w:color w:val="000000"/>
                <w:lang w:eastAsia="ar-SA"/>
              </w:rPr>
            </w:pPr>
            <w:r w:rsidRPr="0021304D">
              <w:rPr>
                <w:color w:val="000000"/>
                <w:lang w:eastAsia="ar-SA"/>
              </w:rPr>
              <w:t xml:space="preserve"> Ls 19200 = 4 darbinieki x Ls 400 x12 mēneši </w:t>
            </w:r>
          </w:p>
          <w:p w:rsidR="0026758E" w:rsidRPr="0021304D" w:rsidRDefault="0026758E" w:rsidP="0026758E">
            <w:pPr>
              <w:ind w:left="462" w:right="127"/>
              <w:jc w:val="both"/>
              <w:rPr>
                <w:color w:val="000000"/>
                <w:lang w:eastAsia="ar-SA"/>
              </w:rPr>
            </w:pPr>
            <w:r w:rsidRPr="0021304D">
              <w:rPr>
                <w:color w:val="000000"/>
                <w:lang w:eastAsia="ar-SA"/>
              </w:rPr>
              <w:t xml:space="preserve"> (lietvedis – 18.3. saime, II līmenis,7.mēnešalgu grupa, 3.kvalifikācijas pakāpe);</w:t>
            </w:r>
          </w:p>
          <w:p w:rsidR="0026758E" w:rsidRPr="0021304D" w:rsidRDefault="0026758E" w:rsidP="0026758E">
            <w:pPr>
              <w:ind w:left="462" w:right="127"/>
              <w:jc w:val="both"/>
              <w:rPr>
                <w:color w:val="000000"/>
                <w:lang w:eastAsia="ar-SA"/>
              </w:rPr>
            </w:pPr>
            <w:r w:rsidRPr="0021304D">
              <w:rPr>
                <w:color w:val="000000"/>
                <w:lang w:eastAsia="ar-SA"/>
              </w:rPr>
              <w:t xml:space="preserve"> 1200.IKK „Darba devēja valsts sociālās apdrošināšanas obligātās iemaksas, sociāla rakstura pabalsti un kompensācijas” – Ls 4625, no tā:</w:t>
            </w:r>
          </w:p>
          <w:p w:rsidR="0026758E" w:rsidRPr="0021304D" w:rsidRDefault="0026758E" w:rsidP="0026758E">
            <w:pPr>
              <w:ind w:left="462" w:right="127"/>
              <w:jc w:val="both"/>
              <w:rPr>
                <w:color w:val="000000"/>
                <w:lang w:eastAsia="ar-SA"/>
              </w:rPr>
            </w:pPr>
            <w:r w:rsidRPr="0021304D">
              <w:rPr>
                <w:color w:val="000000"/>
                <w:lang w:eastAsia="ar-SA"/>
              </w:rPr>
              <w:t xml:space="preserve"> 1210.IKK „Darba devēja valsts sociālās apdrošināšanas obligātās iemaksas” – Ls 4625 = Ls 19200 x 24,09%.</w:t>
            </w:r>
          </w:p>
          <w:p w:rsidR="0026758E" w:rsidRPr="0021304D" w:rsidRDefault="0026758E" w:rsidP="0026758E">
            <w:pPr>
              <w:ind w:left="462" w:right="127"/>
              <w:jc w:val="both"/>
              <w:rPr>
                <w:color w:val="000000"/>
                <w:lang w:eastAsia="ar-SA"/>
              </w:rPr>
            </w:pPr>
          </w:p>
          <w:p w:rsidR="0026758E" w:rsidRPr="0021304D" w:rsidRDefault="0026758E" w:rsidP="0026758E">
            <w:pPr>
              <w:ind w:left="462" w:right="127"/>
              <w:jc w:val="both"/>
              <w:rPr>
                <w:color w:val="000000"/>
                <w:lang w:eastAsia="ar-SA"/>
              </w:rPr>
            </w:pPr>
            <w:r w:rsidRPr="0021304D">
              <w:rPr>
                <w:color w:val="000000"/>
                <w:lang w:eastAsia="ar-SA"/>
              </w:rPr>
              <w:t>2000.IKK „Preces un pakalpojumi” – Ls164649, no tā:</w:t>
            </w:r>
          </w:p>
          <w:p w:rsidR="0026758E" w:rsidRPr="0021304D" w:rsidRDefault="0026758E" w:rsidP="0026758E">
            <w:pPr>
              <w:ind w:left="462" w:right="127"/>
              <w:rPr>
                <w:color w:val="000000"/>
                <w:lang w:eastAsia="ar-SA"/>
              </w:rPr>
            </w:pPr>
            <w:r w:rsidRPr="0021304D">
              <w:rPr>
                <w:color w:val="000000"/>
                <w:lang w:eastAsia="ar-SA"/>
              </w:rPr>
              <w:t>2200.IKK „Pakalpojumi”</w:t>
            </w:r>
          </w:p>
          <w:p w:rsidR="0026758E" w:rsidRPr="0021304D" w:rsidRDefault="0026758E" w:rsidP="0026758E">
            <w:pPr>
              <w:ind w:left="462" w:right="127"/>
              <w:rPr>
                <w:color w:val="000000"/>
                <w:lang w:eastAsia="ar-SA"/>
              </w:rPr>
            </w:pPr>
            <w:r w:rsidRPr="0021304D">
              <w:rPr>
                <w:color w:val="000000"/>
                <w:lang w:eastAsia="ar-SA"/>
              </w:rPr>
              <w:t xml:space="preserve">2210.IKK „Pasta, telefona un citi sakaru pakalpojumi” </w:t>
            </w:r>
          </w:p>
          <w:p w:rsidR="0026758E" w:rsidRPr="0021304D" w:rsidRDefault="0026758E" w:rsidP="0026758E">
            <w:pPr>
              <w:ind w:left="462" w:right="127"/>
              <w:rPr>
                <w:color w:val="000000"/>
                <w:lang w:eastAsia="ar-SA"/>
              </w:rPr>
            </w:pPr>
            <w:r w:rsidRPr="0021304D">
              <w:rPr>
                <w:color w:val="000000"/>
                <w:lang w:eastAsia="ar-SA"/>
              </w:rPr>
              <w:t>2219.IKK „Pārējie sakaru pakalpojumi” – Ls 151929, no tā:</w:t>
            </w:r>
          </w:p>
          <w:p w:rsidR="0026758E" w:rsidRPr="0021304D" w:rsidRDefault="0026758E" w:rsidP="0026758E">
            <w:pPr>
              <w:ind w:left="462" w:right="127"/>
              <w:rPr>
                <w:color w:val="000000"/>
                <w:lang w:eastAsia="ar-SA"/>
              </w:rPr>
            </w:pPr>
            <w:r w:rsidRPr="0021304D">
              <w:rPr>
                <w:color w:val="000000"/>
                <w:lang w:eastAsia="ar-SA"/>
              </w:rPr>
              <w:t xml:space="preserve">152009 (vēstules skaits) x Ls 0,99 (pasta izdevumi) = </w:t>
            </w:r>
          </w:p>
          <w:p w:rsidR="0026758E" w:rsidRPr="0021304D" w:rsidRDefault="0026758E" w:rsidP="0026758E">
            <w:pPr>
              <w:ind w:left="462" w:right="127"/>
              <w:rPr>
                <w:color w:val="000000"/>
                <w:lang w:eastAsia="ar-SA"/>
              </w:rPr>
            </w:pPr>
            <w:r w:rsidRPr="0021304D">
              <w:rPr>
                <w:color w:val="000000"/>
                <w:lang w:eastAsia="ar-SA"/>
              </w:rPr>
              <w:lastRenderedPageBreak/>
              <w:t>Ls 150489</w:t>
            </w:r>
          </w:p>
          <w:p w:rsidR="0026758E" w:rsidRPr="0021304D" w:rsidRDefault="0026758E" w:rsidP="0026758E">
            <w:pPr>
              <w:ind w:left="462" w:right="127"/>
              <w:rPr>
                <w:color w:val="000000"/>
                <w:lang w:eastAsia="ar-SA"/>
              </w:rPr>
            </w:pPr>
            <w:r w:rsidRPr="0021304D">
              <w:rPr>
                <w:color w:val="000000"/>
                <w:lang w:eastAsia="ar-SA"/>
              </w:rPr>
              <w:t>Prognozētais nesamaksāto protokolu skaits:</w:t>
            </w:r>
          </w:p>
          <w:p w:rsidR="0026758E" w:rsidRPr="0021304D" w:rsidRDefault="0026758E" w:rsidP="0026758E">
            <w:pPr>
              <w:ind w:left="462" w:right="127"/>
              <w:rPr>
                <w:color w:val="000000"/>
                <w:lang w:eastAsia="ar-SA"/>
              </w:rPr>
            </w:pPr>
            <w:r w:rsidRPr="0021304D">
              <w:rPr>
                <w:color w:val="000000"/>
                <w:lang w:eastAsia="ar-SA"/>
              </w:rPr>
              <w:t xml:space="preserve"> 40% no sastādītiem protokoliem par naudas sodiem un 10% no sastādīto protokolu par pārkāpumiem, kuri fiksēti ar </w:t>
            </w:r>
            <w:proofErr w:type="spellStart"/>
            <w:r w:rsidRPr="0021304D">
              <w:rPr>
                <w:color w:val="000000"/>
                <w:lang w:eastAsia="ar-SA"/>
              </w:rPr>
              <w:t>fotoradariem</w:t>
            </w:r>
            <w:proofErr w:type="spellEnd"/>
            <w:r w:rsidRPr="0021304D">
              <w:rPr>
                <w:color w:val="000000"/>
                <w:lang w:eastAsia="ar-SA"/>
              </w:rPr>
              <w:t xml:space="preserve">: (292 252 x 40%) +(351082 x 10% ) = </w:t>
            </w:r>
          </w:p>
          <w:p w:rsidR="0026758E" w:rsidRPr="0021304D" w:rsidRDefault="0026758E" w:rsidP="0026758E">
            <w:pPr>
              <w:ind w:left="462" w:right="127"/>
              <w:rPr>
                <w:color w:val="000000"/>
                <w:lang w:eastAsia="ar-SA"/>
              </w:rPr>
            </w:pPr>
            <w:r w:rsidRPr="0021304D">
              <w:rPr>
                <w:color w:val="000000"/>
                <w:lang w:eastAsia="ar-SA"/>
              </w:rPr>
              <w:t xml:space="preserve">152009 (aprēķinā ņemts vērā līgums par </w:t>
            </w:r>
            <w:proofErr w:type="spellStart"/>
            <w:r w:rsidRPr="0021304D">
              <w:rPr>
                <w:color w:val="000000"/>
                <w:lang w:eastAsia="ar-SA"/>
              </w:rPr>
              <w:t>fotoradariem</w:t>
            </w:r>
            <w:proofErr w:type="spellEnd"/>
            <w:r w:rsidRPr="0021304D">
              <w:rPr>
                <w:color w:val="000000"/>
                <w:lang w:eastAsia="ar-SA"/>
              </w:rPr>
              <w:t>)</w:t>
            </w:r>
          </w:p>
          <w:p w:rsidR="0026758E" w:rsidRPr="0021304D" w:rsidRDefault="0026758E" w:rsidP="0026758E">
            <w:pPr>
              <w:ind w:left="462" w:right="127"/>
              <w:rPr>
                <w:color w:val="000000"/>
                <w:lang w:eastAsia="ar-SA"/>
              </w:rPr>
            </w:pPr>
            <w:r w:rsidRPr="0021304D">
              <w:rPr>
                <w:color w:val="000000"/>
                <w:lang w:eastAsia="ar-SA"/>
              </w:rPr>
              <w:t>– telefonu abonēšanas un sarunu izmaksas:</w:t>
            </w:r>
          </w:p>
          <w:p w:rsidR="0026758E" w:rsidRPr="0021304D" w:rsidRDefault="0026758E" w:rsidP="0026758E">
            <w:pPr>
              <w:ind w:left="462" w:right="127"/>
              <w:rPr>
                <w:color w:val="000000"/>
                <w:lang w:eastAsia="ar-SA"/>
              </w:rPr>
            </w:pPr>
            <w:r w:rsidRPr="0021304D">
              <w:rPr>
                <w:color w:val="000000"/>
                <w:lang w:eastAsia="ar-SA"/>
              </w:rPr>
              <w:t xml:space="preserve"> Ls 30 × 4 darbinieki × 12 mēneši = Ls 1 440.</w:t>
            </w:r>
          </w:p>
          <w:p w:rsidR="0026758E" w:rsidRPr="0021304D" w:rsidRDefault="0026758E" w:rsidP="0026758E">
            <w:pPr>
              <w:ind w:left="462" w:right="127"/>
              <w:rPr>
                <w:color w:val="000000"/>
                <w:lang w:eastAsia="ar-SA"/>
              </w:rPr>
            </w:pPr>
          </w:p>
          <w:p w:rsidR="0026758E" w:rsidRPr="0021304D" w:rsidRDefault="0026758E" w:rsidP="0026758E">
            <w:pPr>
              <w:ind w:left="462" w:right="127"/>
              <w:jc w:val="both"/>
              <w:rPr>
                <w:color w:val="000000"/>
                <w:lang w:eastAsia="ar-SA"/>
              </w:rPr>
            </w:pPr>
            <w:r w:rsidRPr="0021304D">
              <w:rPr>
                <w:color w:val="000000"/>
                <w:lang w:eastAsia="ar-SA"/>
              </w:rPr>
              <w:t>2300.IKK „Krājumi, materiāli, energoresursi, preces, biroja preces un inventārs, kurus neuzskaita kodā 5000” – Ls 12720,</w:t>
            </w:r>
          </w:p>
          <w:p w:rsidR="0026758E" w:rsidRPr="0021304D" w:rsidRDefault="0026758E" w:rsidP="0026758E">
            <w:pPr>
              <w:ind w:left="462" w:right="127"/>
              <w:jc w:val="both"/>
              <w:rPr>
                <w:color w:val="000000"/>
                <w:lang w:eastAsia="ar-SA"/>
              </w:rPr>
            </w:pPr>
            <w:r w:rsidRPr="0021304D">
              <w:rPr>
                <w:color w:val="000000"/>
                <w:lang w:eastAsia="ar-SA"/>
              </w:rPr>
              <w:t xml:space="preserve"> no tā:</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2311.IKK „Biroja preces” – Ls 9120 = 152009 (vēstules skaits) x Ls 0,02 (vidējie izdevumi papīram) x Ls 0,04 (aploksne);</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2350.IKK „Kārtējā remonta un iestāžu uzturēšanas materiāli” – Ls 3600 =12mēneši x Ls 300 (toneri kopētājam, printeriem, rezerves daļas);</w:t>
            </w:r>
          </w:p>
          <w:p w:rsidR="0026758E" w:rsidRPr="0021304D" w:rsidRDefault="0026758E" w:rsidP="0026758E">
            <w:pPr>
              <w:ind w:left="462" w:right="127"/>
              <w:jc w:val="both"/>
              <w:rPr>
                <w:color w:val="000000"/>
                <w:lang w:eastAsia="ar-SA"/>
              </w:rPr>
            </w:pPr>
            <w:r w:rsidRPr="0021304D">
              <w:rPr>
                <w:color w:val="000000"/>
                <w:lang w:eastAsia="ar-SA"/>
              </w:rPr>
              <w:t>5000.IKK „Pamatkapitāla veidošana” – Ls 2000, no tā:</w:t>
            </w:r>
          </w:p>
          <w:p w:rsidR="0026758E" w:rsidRPr="0021304D" w:rsidRDefault="0026758E" w:rsidP="0026758E">
            <w:pPr>
              <w:pStyle w:val="naiskr"/>
              <w:spacing w:before="0" w:after="0"/>
              <w:ind w:right="249"/>
              <w:jc w:val="both"/>
              <w:rPr>
                <w:color w:val="000000"/>
                <w:lang w:eastAsia="ar-SA"/>
              </w:rPr>
            </w:pPr>
            <w:r w:rsidRPr="0021304D">
              <w:rPr>
                <w:color w:val="000000"/>
                <w:lang w:eastAsia="ar-SA"/>
              </w:rPr>
              <w:t xml:space="preserve">        5238.IKK „Datortehnika, sakaru un cita biroja tehnika” –</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 xml:space="preserve"> Ls 2000 = 4 (komplekti) x Ls 500;</w:t>
            </w:r>
          </w:p>
          <w:p w:rsidR="0026758E" w:rsidRPr="0021304D" w:rsidRDefault="0026758E" w:rsidP="0026758E">
            <w:pPr>
              <w:pStyle w:val="naiskr"/>
              <w:spacing w:before="0" w:after="0"/>
              <w:ind w:left="525" w:right="249"/>
              <w:jc w:val="both"/>
              <w:rPr>
                <w:color w:val="000000"/>
                <w:lang w:eastAsia="ar-SA"/>
              </w:rPr>
            </w:pPr>
          </w:p>
          <w:p w:rsidR="0026758E" w:rsidRPr="0021304D" w:rsidRDefault="0026758E" w:rsidP="0026758E">
            <w:pPr>
              <w:pStyle w:val="naiskr"/>
              <w:numPr>
                <w:ilvl w:val="0"/>
                <w:numId w:val="6"/>
              </w:numPr>
              <w:spacing w:before="0" w:after="0"/>
              <w:ind w:right="249"/>
              <w:jc w:val="both"/>
              <w:rPr>
                <w:color w:val="000000"/>
                <w:lang w:eastAsia="ar-SA"/>
              </w:rPr>
            </w:pPr>
            <w:r w:rsidRPr="0021304D">
              <w:rPr>
                <w:color w:val="000000"/>
                <w:lang w:eastAsia="ar-SA"/>
              </w:rPr>
              <w:t>Valsts policijai 2013.gadā un turpmāk</w:t>
            </w:r>
            <w:proofErr w:type="gramStart"/>
            <w:r w:rsidRPr="0021304D">
              <w:rPr>
                <w:color w:val="000000"/>
                <w:lang w:eastAsia="ar-SA"/>
              </w:rPr>
              <w:t xml:space="preserve">  </w:t>
            </w:r>
            <w:proofErr w:type="gramEnd"/>
            <w:r w:rsidRPr="0021304D">
              <w:rPr>
                <w:color w:val="000000"/>
                <w:lang w:eastAsia="ar-SA"/>
              </w:rPr>
              <w:t xml:space="preserve">ik gadu </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(budžeta programma 06.00.00 „Valsts policijas darbība”) – Ls 188474, no tā:</w:t>
            </w:r>
          </w:p>
          <w:p w:rsidR="0026758E" w:rsidRPr="0021304D" w:rsidRDefault="0026758E" w:rsidP="0026758E">
            <w:pPr>
              <w:ind w:left="462" w:right="127"/>
              <w:jc w:val="both"/>
              <w:rPr>
                <w:color w:val="000000"/>
                <w:lang w:eastAsia="ar-SA"/>
              </w:rPr>
            </w:pPr>
            <w:r w:rsidRPr="0021304D">
              <w:rPr>
                <w:color w:val="000000"/>
                <w:lang w:eastAsia="ar-SA"/>
              </w:rPr>
              <w:t>1000.IKK „Atlīdzība” – Ls 23825,</w:t>
            </w:r>
            <w:proofErr w:type="gramStart"/>
            <w:r w:rsidRPr="0021304D">
              <w:rPr>
                <w:color w:val="000000"/>
                <w:lang w:eastAsia="ar-SA"/>
              </w:rPr>
              <w:t xml:space="preserve">  </w:t>
            </w:r>
            <w:proofErr w:type="gramEnd"/>
            <w:r w:rsidRPr="0021304D">
              <w:rPr>
                <w:color w:val="000000"/>
                <w:lang w:eastAsia="ar-SA"/>
              </w:rPr>
              <w:t>no tā:</w:t>
            </w:r>
          </w:p>
          <w:p w:rsidR="0026758E" w:rsidRPr="0021304D" w:rsidRDefault="0026758E" w:rsidP="0026758E">
            <w:pPr>
              <w:ind w:left="462" w:right="127"/>
              <w:jc w:val="both"/>
              <w:rPr>
                <w:color w:val="000000"/>
                <w:lang w:eastAsia="ar-SA"/>
              </w:rPr>
            </w:pPr>
            <w:r w:rsidRPr="0021304D">
              <w:rPr>
                <w:color w:val="000000"/>
                <w:lang w:eastAsia="ar-SA"/>
              </w:rPr>
              <w:t xml:space="preserve"> 1100.IKK „Atalgojums” </w:t>
            </w:r>
          </w:p>
          <w:p w:rsidR="0026758E" w:rsidRPr="0021304D" w:rsidRDefault="0026758E" w:rsidP="0026758E">
            <w:pPr>
              <w:ind w:left="462" w:right="127"/>
              <w:jc w:val="both"/>
              <w:rPr>
                <w:color w:val="000000"/>
                <w:lang w:eastAsia="ar-SA"/>
              </w:rPr>
            </w:pPr>
            <w:r w:rsidRPr="0021304D">
              <w:rPr>
                <w:color w:val="000000"/>
                <w:lang w:eastAsia="ar-SA"/>
              </w:rPr>
              <w:t xml:space="preserve"> 1119.IKK „Pārējo darbinieku mēneša amatalga” – </w:t>
            </w:r>
          </w:p>
          <w:p w:rsidR="0026758E" w:rsidRPr="0021304D" w:rsidRDefault="0026758E" w:rsidP="0026758E">
            <w:pPr>
              <w:ind w:left="462" w:right="127"/>
              <w:jc w:val="both"/>
              <w:rPr>
                <w:color w:val="000000"/>
                <w:lang w:eastAsia="ar-SA"/>
              </w:rPr>
            </w:pPr>
            <w:r w:rsidRPr="0021304D">
              <w:rPr>
                <w:color w:val="000000"/>
                <w:lang w:eastAsia="ar-SA"/>
              </w:rPr>
              <w:t xml:space="preserve"> Ls 19200 = 4 darbinieki x Ls 400 x12 mēneši </w:t>
            </w:r>
          </w:p>
          <w:p w:rsidR="0026758E" w:rsidRPr="0021304D" w:rsidRDefault="0026758E" w:rsidP="0026758E">
            <w:pPr>
              <w:ind w:left="462" w:right="127"/>
              <w:jc w:val="both"/>
              <w:rPr>
                <w:color w:val="000000"/>
                <w:lang w:eastAsia="ar-SA"/>
              </w:rPr>
            </w:pPr>
            <w:r w:rsidRPr="0021304D">
              <w:rPr>
                <w:color w:val="000000"/>
                <w:lang w:eastAsia="ar-SA"/>
              </w:rPr>
              <w:t xml:space="preserve"> (referents – 18.3. saime, II līmenis,7.mēnešalgu grupa, 3.kvalifikācijas pakāpe);</w:t>
            </w:r>
          </w:p>
          <w:p w:rsidR="0026758E" w:rsidRPr="0021304D" w:rsidRDefault="0026758E" w:rsidP="0026758E">
            <w:pPr>
              <w:ind w:left="462" w:right="127"/>
              <w:jc w:val="both"/>
              <w:rPr>
                <w:color w:val="000000"/>
                <w:lang w:eastAsia="ar-SA"/>
              </w:rPr>
            </w:pPr>
            <w:r w:rsidRPr="0021304D">
              <w:rPr>
                <w:color w:val="000000"/>
                <w:lang w:eastAsia="ar-SA"/>
              </w:rPr>
              <w:t>1200.IKK „Darba devēja valsts sociālās apdrošināšanas obligātās iemaksas, sociāla rakstura pabalsti un kompensācijas” – Ls 4625, no tā:</w:t>
            </w:r>
          </w:p>
          <w:p w:rsidR="0026758E" w:rsidRPr="0021304D" w:rsidRDefault="0026758E" w:rsidP="0026758E">
            <w:pPr>
              <w:ind w:left="462" w:right="127"/>
              <w:jc w:val="both"/>
              <w:rPr>
                <w:color w:val="000000"/>
                <w:lang w:eastAsia="ar-SA"/>
              </w:rPr>
            </w:pPr>
            <w:r w:rsidRPr="0021304D">
              <w:rPr>
                <w:color w:val="000000"/>
                <w:lang w:eastAsia="ar-SA"/>
              </w:rPr>
              <w:t>1210.IKK „Darba devēja valsts sociālās apdrošināšanas obligātās iemaksas” – Ls 4625 = Ls 19200 x 24,09%.</w:t>
            </w:r>
          </w:p>
          <w:p w:rsidR="0026758E" w:rsidRPr="0021304D" w:rsidRDefault="0026758E" w:rsidP="0026758E">
            <w:pPr>
              <w:ind w:left="462" w:right="127"/>
              <w:jc w:val="both"/>
              <w:rPr>
                <w:color w:val="000000"/>
                <w:lang w:eastAsia="ar-SA"/>
              </w:rPr>
            </w:pPr>
          </w:p>
          <w:p w:rsidR="0026758E" w:rsidRPr="0021304D" w:rsidRDefault="0026758E" w:rsidP="0026758E">
            <w:pPr>
              <w:ind w:left="462" w:right="127"/>
              <w:jc w:val="both"/>
              <w:rPr>
                <w:color w:val="000000"/>
                <w:lang w:eastAsia="ar-SA"/>
              </w:rPr>
            </w:pPr>
            <w:r w:rsidRPr="0021304D">
              <w:rPr>
                <w:color w:val="000000"/>
                <w:lang w:eastAsia="ar-SA"/>
              </w:rPr>
              <w:t>2000.IKK „Preces un pakalpojumi” – Ls 164649, no tā:</w:t>
            </w:r>
          </w:p>
          <w:p w:rsidR="0026758E" w:rsidRPr="0021304D" w:rsidRDefault="0026758E" w:rsidP="0026758E">
            <w:pPr>
              <w:ind w:left="462" w:right="127"/>
              <w:rPr>
                <w:color w:val="000000"/>
                <w:lang w:eastAsia="ar-SA"/>
              </w:rPr>
            </w:pPr>
            <w:r w:rsidRPr="0021304D">
              <w:rPr>
                <w:color w:val="000000"/>
                <w:lang w:eastAsia="ar-SA"/>
              </w:rPr>
              <w:t>2200.IKK „Pakalpojumi”</w:t>
            </w:r>
          </w:p>
          <w:p w:rsidR="0026758E" w:rsidRPr="0021304D" w:rsidRDefault="0026758E" w:rsidP="0026758E">
            <w:pPr>
              <w:ind w:left="462" w:right="127"/>
              <w:rPr>
                <w:color w:val="000000"/>
                <w:lang w:eastAsia="ar-SA"/>
              </w:rPr>
            </w:pPr>
            <w:r w:rsidRPr="0021304D">
              <w:rPr>
                <w:color w:val="000000"/>
                <w:lang w:eastAsia="ar-SA"/>
              </w:rPr>
              <w:t xml:space="preserve">2210.IKK „Pasta, telefona un citi sakaru pakalpojumi” </w:t>
            </w:r>
          </w:p>
          <w:p w:rsidR="0026758E" w:rsidRPr="0021304D" w:rsidRDefault="0026758E" w:rsidP="0026758E">
            <w:pPr>
              <w:ind w:left="462" w:right="127"/>
              <w:rPr>
                <w:color w:val="000000"/>
                <w:lang w:eastAsia="ar-SA"/>
              </w:rPr>
            </w:pPr>
            <w:r w:rsidRPr="0021304D">
              <w:rPr>
                <w:color w:val="000000"/>
                <w:lang w:eastAsia="ar-SA"/>
              </w:rPr>
              <w:t>2219.IKK „Pārējie sakaru pakalpojumi” – Ls 151929, no tā:</w:t>
            </w:r>
          </w:p>
          <w:p w:rsidR="0026758E" w:rsidRPr="0021304D" w:rsidRDefault="0026758E" w:rsidP="0026758E">
            <w:pPr>
              <w:ind w:left="462" w:right="127"/>
              <w:rPr>
                <w:color w:val="000000"/>
                <w:lang w:eastAsia="ar-SA"/>
              </w:rPr>
            </w:pPr>
            <w:r w:rsidRPr="0021304D">
              <w:rPr>
                <w:color w:val="000000"/>
                <w:lang w:eastAsia="ar-SA"/>
              </w:rPr>
              <w:t xml:space="preserve">152009 (vēstules skaits) x Ls 0,99 (pasta izdevumi) = </w:t>
            </w:r>
          </w:p>
          <w:p w:rsidR="0026758E" w:rsidRPr="0021304D" w:rsidRDefault="0026758E" w:rsidP="0026758E">
            <w:pPr>
              <w:ind w:left="462" w:right="127"/>
              <w:rPr>
                <w:color w:val="000000"/>
                <w:lang w:eastAsia="ar-SA"/>
              </w:rPr>
            </w:pPr>
            <w:r w:rsidRPr="0021304D">
              <w:rPr>
                <w:color w:val="000000"/>
                <w:lang w:eastAsia="ar-SA"/>
              </w:rPr>
              <w:t>Ls 150489</w:t>
            </w:r>
          </w:p>
          <w:p w:rsidR="0026758E" w:rsidRPr="0021304D" w:rsidRDefault="0026758E" w:rsidP="0026758E">
            <w:pPr>
              <w:ind w:left="462" w:right="127"/>
              <w:rPr>
                <w:color w:val="000000"/>
                <w:lang w:eastAsia="ar-SA"/>
              </w:rPr>
            </w:pPr>
            <w:r w:rsidRPr="0021304D">
              <w:rPr>
                <w:color w:val="000000"/>
                <w:lang w:eastAsia="ar-SA"/>
              </w:rPr>
              <w:t>Prognozētais nesamaksāto protokolu skaits:</w:t>
            </w:r>
          </w:p>
          <w:p w:rsidR="0026758E" w:rsidRPr="0021304D" w:rsidRDefault="0026758E" w:rsidP="0026758E">
            <w:pPr>
              <w:ind w:left="462" w:right="127"/>
              <w:rPr>
                <w:color w:val="000000"/>
                <w:lang w:eastAsia="ar-SA"/>
              </w:rPr>
            </w:pPr>
            <w:r w:rsidRPr="0021304D">
              <w:rPr>
                <w:color w:val="000000"/>
                <w:lang w:eastAsia="ar-SA"/>
              </w:rPr>
              <w:t xml:space="preserve"> 40% no sastādītiem protokoliem par naudas sodiem un 10% no sastādīto protokolu par pārkāpumiem, kuri fiksēti ar </w:t>
            </w:r>
            <w:proofErr w:type="spellStart"/>
            <w:r w:rsidRPr="0021304D">
              <w:rPr>
                <w:color w:val="000000"/>
                <w:lang w:eastAsia="ar-SA"/>
              </w:rPr>
              <w:t>fotoradariem</w:t>
            </w:r>
            <w:proofErr w:type="spellEnd"/>
            <w:r w:rsidRPr="0021304D">
              <w:rPr>
                <w:color w:val="000000"/>
                <w:lang w:eastAsia="ar-SA"/>
              </w:rPr>
              <w:t xml:space="preserve">: (292 252 x 40%) +(351082 x 10% ) = </w:t>
            </w:r>
          </w:p>
          <w:p w:rsidR="0026758E" w:rsidRPr="0021304D" w:rsidRDefault="0026758E" w:rsidP="0026758E">
            <w:pPr>
              <w:ind w:left="462" w:right="127"/>
              <w:rPr>
                <w:color w:val="000000"/>
                <w:lang w:eastAsia="ar-SA"/>
              </w:rPr>
            </w:pPr>
            <w:r w:rsidRPr="0021304D">
              <w:rPr>
                <w:color w:val="000000"/>
                <w:lang w:eastAsia="ar-SA"/>
              </w:rPr>
              <w:t xml:space="preserve">152009 (aprēķinā ņemts vērā jaunais līgums par </w:t>
            </w:r>
            <w:proofErr w:type="spellStart"/>
            <w:r w:rsidRPr="0021304D">
              <w:rPr>
                <w:color w:val="000000"/>
                <w:lang w:eastAsia="ar-SA"/>
              </w:rPr>
              <w:t>fotoradariem</w:t>
            </w:r>
            <w:proofErr w:type="spellEnd"/>
            <w:r w:rsidRPr="0021304D">
              <w:rPr>
                <w:color w:val="000000"/>
                <w:lang w:eastAsia="ar-SA"/>
              </w:rPr>
              <w:t>)</w:t>
            </w:r>
          </w:p>
          <w:p w:rsidR="0026758E" w:rsidRPr="0021304D" w:rsidRDefault="0026758E" w:rsidP="0026758E">
            <w:pPr>
              <w:ind w:left="462" w:right="127"/>
              <w:rPr>
                <w:color w:val="000000"/>
                <w:lang w:eastAsia="ar-SA"/>
              </w:rPr>
            </w:pPr>
            <w:r w:rsidRPr="0021304D">
              <w:rPr>
                <w:color w:val="000000"/>
                <w:lang w:eastAsia="ar-SA"/>
              </w:rPr>
              <w:lastRenderedPageBreak/>
              <w:t>– telefonu abonēšanas un sarunu izmaksas:</w:t>
            </w:r>
          </w:p>
          <w:p w:rsidR="0026758E" w:rsidRPr="0021304D" w:rsidRDefault="0026758E" w:rsidP="0026758E">
            <w:pPr>
              <w:ind w:left="462" w:right="127"/>
              <w:rPr>
                <w:color w:val="000000"/>
                <w:lang w:eastAsia="ar-SA"/>
              </w:rPr>
            </w:pPr>
            <w:r w:rsidRPr="0021304D">
              <w:rPr>
                <w:color w:val="000000"/>
                <w:lang w:eastAsia="ar-SA"/>
              </w:rPr>
              <w:t xml:space="preserve"> Ls 30 × 4 darbinieki × 12 mēneši = Ls 1 440.</w:t>
            </w:r>
          </w:p>
          <w:p w:rsidR="0026758E" w:rsidRPr="0021304D" w:rsidRDefault="0026758E" w:rsidP="0026758E">
            <w:pPr>
              <w:ind w:left="462" w:right="127"/>
              <w:rPr>
                <w:color w:val="000000"/>
                <w:lang w:eastAsia="ar-SA"/>
              </w:rPr>
            </w:pPr>
          </w:p>
          <w:p w:rsidR="0026758E" w:rsidRPr="0021304D" w:rsidRDefault="0026758E" w:rsidP="0026758E">
            <w:pPr>
              <w:ind w:left="462" w:right="127"/>
              <w:jc w:val="both"/>
              <w:rPr>
                <w:color w:val="000000"/>
                <w:lang w:eastAsia="ar-SA"/>
              </w:rPr>
            </w:pPr>
            <w:r w:rsidRPr="0021304D">
              <w:rPr>
                <w:color w:val="000000"/>
                <w:lang w:eastAsia="ar-SA"/>
              </w:rPr>
              <w:t>2300.IKK „Krājumi, materiāli, energoresursi, preces, biroja preces un inventārs, kurus neuzskaita kodā 5000” – Ls 12720,</w:t>
            </w:r>
          </w:p>
          <w:p w:rsidR="0026758E" w:rsidRPr="0021304D" w:rsidRDefault="0026758E" w:rsidP="0026758E">
            <w:pPr>
              <w:ind w:left="462" w:right="127"/>
              <w:jc w:val="both"/>
              <w:rPr>
                <w:color w:val="000000"/>
                <w:lang w:eastAsia="ar-SA"/>
              </w:rPr>
            </w:pPr>
            <w:r w:rsidRPr="0021304D">
              <w:rPr>
                <w:color w:val="000000"/>
                <w:lang w:eastAsia="ar-SA"/>
              </w:rPr>
              <w:t xml:space="preserve"> no tā:</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2311.IKK „Biroja preces” – Ls 9120 = 152009 (vēstules skaits) x Ls 0,02 (vidējie izdevumi papīram) x Ls 0,04 (aploksne);</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2350.IKK „Kārtējā remonta un iestāžu uzturēšanas materiāli” – Ls 3600 =12mēneši x Ls 300 (toneri kopētājam, printeriem, rezerves daļas).</w:t>
            </w:r>
          </w:p>
          <w:p w:rsidR="0026758E" w:rsidRPr="0021304D" w:rsidRDefault="0026758E" w:rsidP="0026758E">
            <w:pPr>
              <w:pStyle w:val="naiskr"/>
              <w:spacing w:before="0" w:after="0"/>
              <w:ind w:left="525" w:right="249"/>
              <w:jc w:val="both"/>
              <w:rPr>
                <w:color w:val="000000"/>
                <w:lang w:eastAsia="ar-SA"/>
              </w:rPr>
            </w:pPr>
          </w:p>
          <w:p w:rsidR="0026758E" w:rsidRPr="0021304D" w:rsidRDefault="0026758E" w:rsidP="0026758E">
            <w:pPr>
              <w:pStyle w:val="naiskr"/>
              <w:numPr>
                <w:ilvl w:val="0"/>
                <w:numId w:val="5"/>
              </w:numPr>
              <w:spacing w:before="0" w:after="0"/>
              <w:ind w:right="249"/>
              <w:jc w:val="both"/>
              <w:rPr>
                <w:color w:val="000000"/>
                <w:lang w:eastAsia="ar-SA"/>
              </w:rPr>
            </w:pPr>
            <w:r w:rsidRPr="0021304D">
              <w:rPr>
                <w:color w:val="000000"/>
                <w:lang w:eastAsia="ar-SA"/>
              </w:rPr>
              <w:t xml:space="preserve">Valsts ugunsdzēsības un glābšanas </w:t>
            </w:r>
            <w:r w:rsidR="00992168">
              <w:rPr>
                <w:color w:val="000000"/>
                <w:lang w:eastAsia="ar-SA"/>
              </w:rPr>
              <w:t xml:space="preserve">dienestam 2012.gadā un turpmāk </w:t>
            </w:r>
            <w:r w:rsidRPr="0021304D">
              <w:rPr>
                <w:color w:val="000000"/>
                <w:lang w:eastAsia="ar-SA"/>
              </w:rPr>
              <w:t>ik gadu (budžeta programma 07.00.00 „Ugunsdrošība, glābšana un civilā aizsardzība”)</w:t>
            </w:r>
            <w:proofErr w:type="gramStart"/>
            <w:r w:rsidRPr="0021304D">
              <w:rPr>
                <w:color w:val="000000"/>
                <w:lang w:eastAsia="ar-SA"/>
              </w:rPr>
              <w:t xml:space="preserve">  </w:t>
            </w:r>
            <w:proofErr w:type="gramEnd"/>
            <w:r w:rsidRPr="0021304D">
              <w:rPr>
                <w:color w:val="000000"/>
                <w:lang w:eastAsia="ar-SA"/>
              </w:rPr>
              <w:t>– Ls 53, no tā:</w:t>
            </w:r>
          </w:p>
          <w:p w:rsidR="0026758E" w:rsidRPr="0021304D" w:rsidRDefault="0026758E" w:rsidP="0026758E">
            <w:pPr>
              <w:ind w:left="462" w:right="127"/>
              <w:jc w:val="both"/>
              <w:rPr>
                <w:color w:val="000000"/>
                <w:lang w:eastAsia="ar-SA"/>
              </w:rPr>
            </w:pPr>
            <w:r w:rsidRPr="0021304D">
              <w:rPr>
                <w:color w:val="000000"/>
                <w:lang w:eastAsia="ar-SA"/>
              </w:rPr>
              <w:t>2000.IKK „Preces un pakalpojumi” – Ls 53, no tā:</w:t>
            </w:r>
          </w:p>
          <w:p w:rsidR="0026758E" w:rsidRPr="0021304D" w:rsidRDefault="0026758E" w:rsidP="0026758E">
            <w:pPr>
              <w:ind w:left="462" w:right="127"/>
              <w:rPr>
                <w:color w:val="000000"/>
                <w:lang w:eastAsia="ar-SA"/>
              </w:rPr>
            </w:pPr>
            <w:r w:rsidRPr="0021304D">
              <w:rPr>
                <w:color w:val="000000"/>
                <w:lang w:eastAsia="ar-SA"/>
              </w:rPr>
              <w:t>2200.IKK „Pakalpojumi”</w:t>
            </w:r>
          </w:p>
          <w:p w:rsidR="0026758E" w:rsidRPr="0021304D" w:rsidRDefault="0026758E" w:rsidP="0026758E">
            <w:pPr>
              <w:ind w:left="462" w:right="127"/>
              <w:rPr>
                <w:color w:val="000000"/>
                <w:lang w:eastAsia="ar-SA"/>
              </w:rPr>
            </w:pPr>
            <w:r w:rsidRPr="0021304D">
              <w:rPr>
                <w:color w:val="000000"/>
                <w:lang w:eastAsia="ar-SA"/>
              </w:rPr>
              <w:t xml:space="preserve">2210.IKK „Pasta, telefona un citi sakaru pakalpojumi” </w:t>
            </w:r>
          </w:p>
          <w:p w:rsidR="0026758E" w:rsidRPr="0021304D" w:rsidRDefault="0026758E" w:rsidP="0026758E">
            <w:pPr>
              <w:ind w:left="462" w:right="127"/>
              <w:rPr>
                <w:color w:val="000000"/>
                <w:lang w:eastAsia="ar-SA"/>
              </w:rPr>
            </w:pPr>
            <w:r w:rsidRPr="0021304D">
              <w:rPr>
                <w:color w:val="000000"/>
                <w:lang w:eastAsia="ar-SA"/>
              </w:rPr>
              <w:t>2219.IKK „Pārējie sakaru pakalpojumi” – Ls 50 = 50 (vēstules skaits) x Ls 0,99 (pasta izdevumi);</w:t>
            </w:r>
          </w:p>
          <w:p w:rsidR="0026758E" w:rsidRPr="0021304D" w:rsidRDefault="0026758E" w:rsidP="0026758E">
            <w:pPr>
              <w:ind w:left="462" w:right="127"/>
              <w:rPr>
                <w:color w:val="000000"/>
                <w:lang w:eastAsia="ar-SA"/>
              </w:rPr>
            </w:pPr>
            <w:r w:rsidRPr="0021304D">
              <w:rPr>
                <w:color w:val="000000"/>
                <w:lang w:eastAsia="ar-SA"/>
              </w:rPr>
              <w:t xml:space="preserve"> 2300.IKK „Krājumi, materiāli, energoresursi, preces, biroja preces un inventārs, kurus neuzskaita kodā 5000” – Ls 3,</w:t>
            </w:r>
          </w:p>
          <w:p w:rsidR="0026758E" w:rsidRPr="0021304D" w:rsidRDefault="0026758E" w:rsidP="0026758E">
            <w:pPr>
              <w:ind w:left="462" w:right="127"/>
              <w:jc w:val="both"/>
              <w:rPr>
                <w:color w:val="000000"/>
                <w:lang w:eastAsia="ar-SA"/>
              </w:rPr>
            </w:pPr>
            <w:r w:rsidRPr="0021304D">
              <w:rPr>
                <w:color w:val="000000"/>
                <w:lang w:eastAsia="ar-SA"/>
              </w:rPr>
              <w:t xml:space="preserve"> no tā:</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2311.IKK „Biroja preces” – Ls 3= 50 (vēstules skaits) x Ls 0,02 (vidējie izdevumi papīram un tonerim) x Ls 0,04 (aploksne).</w:t>
            </w:r>
          </w:p>
          <w:p w:rsidR="0026758E" w:rsidRPr="0021304D" w:rsidRDefault="0026758E" w:rsidP="0026758E">
            <w:pPr>
              <w:pStyle w:val="naiskr"/>
              <w:spacing w:before="0" w:after="0"/>
              <w:ind w:left="525" w:right="249"/>
              <w:jc w:val="both"/>
              <w:rPr>
                <w:color w:val="000000"/>
                <w:lang w:eastAsia="ar-SA"/>
              </w:rPr>
            </w:pPr>
          </w:p>
          <w:p w:rsidR="0026758E" w:rsidRPr="0021304D" w:rsidRDefault="0026758E" w:rsidP="0026758E">
            <w:pPr>
              <w:pStyle w:val="naiskr"/>
              <w:numPr>
                <w:ilvl w:val="0"/>
                <w:numId w:val="5"/>
              </w:numPr>
              <w:spacing w:before="0" w:after="0"/>
              <w:ind w:right="249"/>
              <w:jc w:val="both"/>
              <w:rPr>
                <w:color w:val="000000"/>
                <w:lang w:eastAsia="ar-SA"/>
              </w:rPr>
            </w:pPr>
            <w:r w:rsidRPr="0021304D">
              <w:rPr>
                <w:color w:val="000000"/>
                <w:lang w:eastAsia="ar-SA"/>
              </w:rPr>
              <w:t>Valsts robežsardzei 2012.gadā un turpmāk</w:t>
            </w:r>
            <w:proofErr w:type="gramStart"/>
            <w:r w:rsidRPr="0021304D">
              <w:rPr>
                <w:color w:val="000000"/>
                <w:lang w:eastAsia="ar-SA"/>
              </w:rPr>
              <w:t xml:space="preserve">  </w:t>
            </w:r>
            <w:proofErr w:type="gramEnd"/>
            <w:r w:rsidRPr="0021304D">
              <w:rPr>
                <w:color w:val="000000"/>
                <w:lang w:eastAsia="ar-SA"/>
              </w:rPr>
              <w:t>ik gadu (budžeta programma 10.00.00 „Valsts robežsardzes darbība”) – Ls 11888, no tā:</w:t>
            </w:r>
          </w:p>
          <w:p w:rsidR="0026758E" w:rsidRPr="0021304D" w:rsidRDefault="0026758E" w:rsidP="0026758E">
            <w:pPr>
              <w:ind w:left="462" w:right="127"/>
              <w:jc w:val="both"/>
              <w:rPr>
                <w:color w:val="000000"/>
                <w:lang w:eastAsia="ar-SA"/>
              </w:rPr>
            </w:pPr>
            <w:r w:rsidRPr="0021304D">
              <w:rPr>
                <w:color w:val="000000"/>
                <w:lang w:eastAsia="ar-SA"/>
              </w:rPr>
              <w:t xml:space="preserve"> 1000.IKK „Atlīdzība” – Ls 6929,</w:t>
            </w:r>
            <w:proofErr w:type="gramStart"/>
            <w:r w:rsidRPr="0021304D">
              <w:rPr>
                <w:color w:val="000000"/>
                <w:lang w:eastAsia="ar-SA"/>
              </w:rPr>
              <w:t xml:space="preserve">  </w:t>
            </w:r>
            <w:proofErr w:type="gramEnd"/>
            <w:r w:rsidRPr="0021304D">
              <w:rPr>
                <w:color w:val="000000"/>
                <w:lang w:eastAsia="ar-SA"/>
              </w:rPr>
              <w:t>no tā:</w:t>
            </w:r>
          </w:p>
          <w:p w:rsidR="0026758E" w:rsidRPr="0021304D" w:rsidRDefault="0026758E" w:rsidP="0026758E">
            <w:pPr>
              <w:ind w:left="462" w:right="127"/>
              <w:jc w:val="both"/>
              <w:rPr>
                <w:color w:val="000000"/>
                <w:lang w:eastAsia="ar-SA"/>
              </w:rPr>
            </w:pPr>
            <w:r w:rsidRPr="0021304D">
              <w:rPr>
                <w:color w:val="000000"/>
                <w:lang w:eastAsia="ar-SA"/>
              </w:rPr>
              <w:t xml:space="preserve"> 1100.IKK „Atalgojums” – Ls 5100,  </w:t>
            </w:r>
          </w:p>
          <w:p w:rsidR="0026758E" w:rsidRPr="0021304D" w:rsidRDefault="0026758E" w:rsidP="0026758E">
            <w:pPr>
              <w:ind w:left="462" w:right="127"/>
              <w:jc w:val="both"/>
              <w:rPr>
                <w:color w:val="000000"/>
                <w:lang w:eastAsia="ar-SA"/>
              </w:rPr>
            </w:pPr>
            <w:r w:rsidRPr="0021304D">
              <w:rPr>
                <w:color w:val="000000"/>
                <w:lang w:eastAsia="ar-SA"/>
              </w:rPr>
              <w:t xml:space="preserve"> 1116.IKK „Mēneša amatalga amatpersonām ar speciālajām dienesta pakāpēm” – Ls 4680 = 1 amatpersona x Ls 390 x12 mēneši</w:t>
            </w:r>
            <w:proofErr w:type="gramStart"/>
            <w:r w:rsidRPr="0021304D">
              <w:rPr>
                <w:color w:val="000000"/>
                <w:lang w:eastAsia="ar-SA"/>
              </w:rPr>
              <w:t xml:space="preserve">  </w:t>
            </w:r>
            <w:proofErr w:type="gramEnd"/>
            <w:r w:rsidRPr="0021304D">
              <w:rPr>
                <w:color w:val="000000"/>
                <w:lang w:eastAsia="ar-SA"/>
              </w:rPr>
              <w:t>(1galvenais inspektors – 8.C amata kategorija, izdiena 2–5, virsleitnants);</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1140.IKK „  Piemaksas un prēmijas” – Ls 420, no tā:</w:t>
            </w:r>
          </w:p>
          <w:p w:rsidR="0026758E" w:rsidRPr="0021304D" w:rsidRDefault="0026758E" w:rsidP="0026758E">
            <w:pPr>
              <w:ind w:left="462" w:right="127"/>
              <w:jc w:val="both"/>
              <w:rPr>
                <w:color w:val="000000"/>
                <w:lang w:eastAsia="ar-SA"/>
              </w:rPr>
            </w:pPr>
            <w:r w:rsidRPr="0021304D">
              <w:rPr>
                <w:color w:val="000000"/>
                <w:lang w:eastAsia="ar-SA"/>
              </w:rPr>
              <w:t xml:space="preserve"> 1143.IKK „ Piemaksa par speciālo dienesta pakāpi” – </w:t>
            </w:r>
          </w:p>
          <w:p w:rsidR="0026758E" w:rsidRPr="0021304D" w:rsidRDefault="0026758E" w:rsidP="0026758E">
            <w:pPr>
              <w:ind w:left="462" w:right="127"/>
              <w:jc w:val="both"/>
              <w:rPr>
                <w:color w:val="000000"/>
                <w:lang w:eastAsia="ar-SA"/>
              </w:rPr>
            </w:pPr>
            <w:r w:rsidRPr="0021304D">
              <w:rPr>
                <w:color w:val="000000"/>
                <w:lang w:eastAsia="ar-SA"/>
              </w:rPr>
              <w:t xml:space="preserve"> Ls 420 = 1amatpersona x Ls 35 x12 mēneši .</w:t>
            </w:r>
          </w:p>
          <w:p w:rsidR="0026758E" w:rsidRPr="0021304D" w:rsidRDefault="0026758E" w:rsidP="0026758E">
            <w:pPr>
              <w:ind w:left="462" w:right="127"/>
              <w:jc w:val="both"/>
              <w:rPr>
                <w:color w:val="000000"/>
                <w:lang w:eastAsia="ar-SA"/>
              </w:rPr>
            </w:pPr>
            <w:r w:rsidRPr="0021304D">
              <w:rPr>
                <w:color w:val="000000"/>
                <w:lang w:eastAsia="ar-SA"/>
              </w:rPr>
              <w:t xml:space="preserve"> 1200.IKK „Darba devēja valsts sociālās apdrošināšanas obligātās iemaksas, sociāla rakstura pabalsti un kompensācijas” – Ls 1829, no tā:</w:t>
            </w:r>
          </w:p>
          <w:p w:rsidR="0026758E" w:rsidRPr="0021304D" w:rsidRDefault="0026758E" w:rsidP="0026758E">
            <w:pPr>
              <w:ind w:left="462" w:right="127"/>
              <w:jc w:val="both"/>
              <w:rPr>
                <w:color w:val="000000"/>
                <w:lang w:eastAsia="ar-SA"/>
              </w:rPr>
            </w:pPr>
            <w:r w:rsidRPr="0021304D">
              <w:rPr>
                <w:color w:val="000000"/>
                <w:lang w:eastAsia="ar-SA"/>
              </w:rPr>
              <w:t xml:space="preserve"> 1210.IKK „Darba devēja valsts sociālās apdrošināšanas obligātās iemaksas” – Ls 1229 = Ls 5100 x 24,09%;</w:t>
            </w:r>
          </w:p>
          <w:p w:rsidR="0026758E" w:rsidRPr="0021304D" w:rsidRDefault="0026758E" w:rsidP="0026758E">
            <w:pPr>
              <w:ind w:left="462" w:right="127"/>
              <w:jc w:val="both"/>
              <w:rPr>
                <w:color w:val="000000"/>
                <w:lang w:eastAsia="ar-SA"/>
              </w:rPr>
            </w:pPr>
            <w:r w:rsidRPr="0021304D">
              <w:rPr>
                <w:color w:val="000000"/>
                <w:lang w:eastAsia="ar-SA"/>
              </w:rPr>
              <w:t>1225.IKK „Uzturdevas kompensācija  – Ls 600 = Ls 50 x 1 amatpersona x12 mēneši.</w:t>
            </w:r>
          </w:p>
          <w:p w:rsidR="0026758E" w:rsidRPr="0021304D" w:rsidRDefault="0026758E" w:rsidP="0026758E">
            <w:pPr>
              <w:ind w:left="462" w:right="127"/>
              <w:jc w:val="both"/>
              <w:rPr>
                <w:color w:val="000000"/>
                <w:lang w:eastAsia="ar-SA"/>
              </w:rPr>
            </w:pPr>
          </w:p>
          <w:p w:rsidR="0026758E" w:rsidRPr="0021304D" w:rsidRDefault="0026758E" w:rsidP="0026758E">
            <w:pPr>
              <w:ind w:left="462" w:right="127"/>
              <w:jc w:val="both"/>
              <w:rPr>
                <w:color w:val="000000"/>
                <w:lang w:eastAsia="ar-SA"/>
              </w:rPr>
            </w:pPr>
            <w:r w:rsidRPr="0021304D">
              <w:rPr>
                <w:color w:val="000000"/>
                <w:lang w:eastAsia="ar-SA"/>
              </w:rPr>
              <w:t>2000.IKK „Preces un pakalpojumi” – Ls 4959, no tā:</w:t>
            </w:r>
          </w:p>
          <w:p w:rsidR="0026758E" w:rsidRPr="0021304D" w:rsidRDefault="0026758E" w:rsidP="0026758E">
            <w:pPr>
              <w:ind w:left="462" w:right="127"/>
              <w:rPr>
                <w:color w:val="000000"/>
                <w:lang w:eastAsia="ar-SA"/>
              </w:rPr>
            </w:pPr>
            <w:r w:rsidRPr="0021304D">
              <w:rPr>
                <w:color w:val="000000"/>
                <w:lang w:eastAsia="ar-SA"/>
              </w:rPr>
              <w:t>2200.IKK „Pakalpojumi”</w:t>
            </w:r>
          </w:p>
          <w:p w:rsidR="0026758E" w:rsidRPr="0021304D" w:rsidRDefault="0026758E" w:rsidP="0026758E">
            <w:pPr>
              <w:ind w:left="462" w:right="127"/>
              <w:rPr>
                <w:color w:val="000000"/>
                <w:lang w:eastAsia="ar-SA"/>
              </w:rPr>
            </w:pPr>
            <w:r w:rsidRPr="0021304D">
              <w:rPr>
                <w:color w:val="000000"/>
                <w:lang w:eastAsia="ar-SA"/>
              </w:rPr>
              <w:t xml:space="preserve">2210.IKK „Pasta, telefona un citi sakaru pakalpojumi” </w:t>
            </w:r>
          </w:p>
          <w:p w:rsidR="0026758E" w:rsidRPr="0021304D" w:rsidRDefault="0026758E" w:rsidP="0026758E">
            <w:pPr>
              <w:ind w:left="462" w:right="127"/>
              <w:rPr>
                <w:color w:val="000000"/>
                <w:lang w:eastAsia="ar-SA"/>
              </w:rPr>
            </w:pPr>
            <w:r w:rsidRPr="0021304D">
              <w:rPr>
                <w:color w:val="000000"/>
                <w:lang w:eastAsia="ar-SA"/>
              </w:rPr>
              <w:t>2219.IKK „Pārējie sakaru pakalpojumi” – Ls 4735, no tā:</w:t>
            </w:r>
          </w:p>
          <w:p w:rsidR="0026758E" w:rsidRPr="0021304D" w:rsidRDefault="0026758E" w:rsidP="0026758E">
            <w:pPr>
              <w:ind w:left="462" w:right="127"/>
              <w:rPr>
                <w:color w:val="000000"/>
                <w:lang w:eastAsia="ar-SA"/>
              </w:rPr>
            </w:pPr>
            <w:r w:rsidRPr="0021304D">
              <w:rPr>
                <w:color w:val="000000"/>
                <w:lang w:eastAsia="ar-SA"/>
              </w:rPr>
              <w:t>pa Latviju: Ls 0,99 (pasta izdevumi) x    597 (vēstules skaits)  = Ls 591;</w:t>
            </w:r>
          </w:p>
          <w:p w:rsidR="0026758E" w:rsidRPr="0021304D" w:rsidRDefault="0026758E" w:rsidP="0026758E">
            <w:pPr>
              <w:ind w:left="462" w:right="127"/>
              <w:rPr>
                <w:color w:val="000000"/>
                <w:lang w:eastAsia="ar-SA"/>
              </w:rPr>
            </w:pPr>
            <w:r w:rsidRPr="0021304D">
              <w:rPr>
                <w:color w:val="000000"/>
                <w:lang w:eastAsia="ar-SA"/>
              </w:rPr>
              <w:t>uz Lietuvu: Ls 1,20 (pasta izdevumi) x 1231(vēstules skaits)  = Ls 1477;</w:t>
            </w:r>
          </w:p>
          <w:p w:rsidR="0026758E" w:rsidRPr="0021304D" w:rsidRDefault="0026758E" w:rsidP="0026758E">
            <w:pPr>
              <w:ind w:left="462" w:right="127"/>
              <w:rPr>
                <w:color w:val="000000"/>
                <w:lang w:eastAsia="ar-SA"/>
              </w:rPr>
            </w:pPr>
            <w:r w:rsidRPr="0021304D">
              <w:rPr>
                <w:color w:val="000000"/>
                <w:lang w:eastAsia="ar-SA"/>
              </w:rPr>
              <w:t>uz Igauniju: Ls 1,20 (pasta izdevumi) x  634 (vēstules skaits)  = Ls 761;</w:t>
            </w:r>
          </w:p>
          <w:p w:rsidR="0026758E" w:rsidRPr="0021304D" w:rsidRDefault="0026758E" w:rsidP="0026758E">
            <w:pPr>
              <w:ind w:left="462" w:right="127"/>
              <w:rPr>
                <w:color w:val="000000"/>
                <w:lang w:eastAsia="ar-SA"/>
              </w:rPr>
            </w:pPr>
            <w:r w:rsidRPr="0021304D">
              <w:rPr>
                <w:color w:val="000000"/>
                <w:lang w:eastAsia="ar-SA"/>
              </w:rPr>
              <w:t>uz Krieviju: Ls 1,50 (pasta izdevumi) x 746 (vēstules skaits)  = Ls 1119;</w:t>
            </w:r>
          </w:p>
          <w:p w:rsidR="0026758E" w:rsidRPr="0021304D" w:rsidRDefault="0026758E" w:rsidP="0026758E">
            <w:pPr>
              <w:ind w:left="462" w:right="127"/>
              <w:rPr>
                <w:color w:val="000000"/>
                <w:lang w:eastAsia="ar-SA"/>
              </w:rPr>
            </w:pPr>
            <w:r w:rsidRPr="0021304D">
              <w:rPr>
                <w:color w:val="000000"/>
                <w:lang w:eastAsia="ar-SA"/>
              </w:rPr>
              <w:t>uz Baltkrieviju: Ls 1,50 (pasta izdevumi) x 75 (vēstules skaits)  = Ls113;</w:t>
            </w:r>
          </w:p>
          <w:p w:rsidR="0026758E" w:rsidRPr="0021304D" w:rsidRDefault="0026758E" w:rsidP="0026758E">
            <w:pPr>
              <w:ind w:left="462" w:right="127"/>
              <w:rPr>
                <w:color w:val="000000"/>
                <w:lang w:eastAsia="ar-SA"/>
              </w:rPr>
            </w:pPr>
            <w:r w:rsidRPr="0021304D">
              <w:rPr>
                <w:color w:val="000000"/>
                <w:lang w:eastAsia="ar-SA"/>
              </w:rPr>
              <w:t>uz Ukrainu: Ls 1,50 (pasta izdevumi) x 37 (vēstules skaits)  = Ls 56;</w:t>
            </w:r>
          </w:p>
          <w:p w:rsidR="0026758E" w:rsidRPr="0021304D" w:rsidRDefault="0026758E" w:rsidP="0026758E">
            <w:pPr>
              <w:ind w:left="462" w:right="127"/>
              <w:rPr>
                <w:color w:val="000000"/>
                <w:lang w:eastAsia="ar-SA"/>
              </w:rPr>
            </w:pPr>
            <w:r w:rsidRPr="0021304D">
              <w:rPr>
                <w:color w:val="000000"/>
                <w:lang w:eastAsia="ar-SA"/>
              </w:rPr>
              <w:t>uz Āfrikas valstīm: Ls 1,50 (pasta izdevumi) x 75(vēstules skaits)  = Ls 113;</w:t>
            </w:r>
          </w:p>
          <w:p w:rsidR="0026758E" w:rsidRPr="0021304D" w:rsidRDefault="0026758E" w:rsidP="0026758E">
            <w:pPr>
              <w:ind w:left="462" w:right="127"/>
              <w:rPr>
                <w:color w:val="000000"/>
                <w:lang w:eastAsia="ar-SA"/>
              </w:rPr>
            </w:pPr>
            <w:r w:rsidRPr="0021304D">
              <w:rPr>
                <w:color w:val="000000"/>
                <w:lang w:eastAsia="ar-SA"/>
              </w:rPr>
              <w:t>uz NVS valstīm: Ls 1,50 (pasta izdevumi) x 261(vēstules skaits)  = Ls 392;</w:t>
            </w:r>
          </w:p>
          <w:p w:rsidR="0026758E" w:rsidRPr="0021304D" w:rsidRDefault="0026758E" w:rsidP="0026758E">
            <w:pPr>
              <w:ind w:left="462" w:right="127"/>
              <w:rPr>
                <w:color w:val="000000"/>
                <w:lang w:eastAsia="ar-SA"/>
              </w:rPr>
            </w:pPr>
            <w:r w:rsidRPr="0021304D">
              <w:rPr>
                <w:color w:val="000000"/>
                <w:lang w:eastAsia="ar-SA"/>
              </w:rPr>
              <w:t>uz Āzijas valstīm: Ls 1,50 (pasta izdevumi) x 75(vēstules skaits)  = Ls 113.</w:t>
            </w:r>
          </w:p>
          <w:p w:rsidR="0026758E" w:rsidRPr="0021304D" w:rsidRDefault="0026758E" w:rsidP="0026758E">
            <w:pPr>
              <w:ind w:left="462" w:right="127"/>
              <w:jc w:val="both"/>
              <w:rPr>
                <w:color w:val="000000"/>
                <w:lang w:eastAsia="ar-SA"/>
              </w:rPr>
            </w:pPr>
            <w:r w:rsidRPr="0021304D">
              <w:rPr>
                <w:color w:val="000000"/>
                <w:lang w:eastAsia="ar-SA"/>
              </w:rPr>
              <w:t>2300.IKK „Krājumi, materiāli, energoresursi, preces, biroja preces un inventārs, kurus neuzskaita kodā 5000” – Ls 224,</w:t>
            </w:r>
          </w:p>
          <w:p w:rsidR="0026758E" w:rsidRPr="0021304D" w:rsidRDefault="0026758E" w:rsidP="0026758E">
            <w:pPr>
              <w:ind w:left="462" w:right="127"/>
              <w:jc w:val="both"/>
              <w:rPr>
                <w:color w:val="000000"/>
                <w:lang w:eastAsia="ar-SA"/>
              </w:rPr>
            </w:pPr>
            <w:r w:rsidRPr="0021304D">
              <w:rPr>
                <w:color w:val="000000"/>
                <w:lang w:eastAsia="ar-SA"/>
              </w:rPr>
              <w:t xml:space="preserve"> no tā:</w:t>
            </w:r>
          </w:p>
          <w:p w:rsidR="0026758E" w:rsidRPr="0021304D" w:rsidRDefault="0026758E" w:rsidP="0026758E">
            <w:pPr>
              <w:ind w:left="462" w:right="127"/>
              <w:jc w:val="both"/>
              <w:rPr>
                <w:color w:val="000000"/>
                <w:lang w:eastAsia="ar-SA"/>
              </w:rPr>
            </w:pPr>
            <w:r w:rsidRPr="0021304D">
              <w:rPr>
                <w:color w:val="000000"/>
                <w:lang w:eastAsia="ar-SA"/>
              </w:rPr>
              <w:t>2311.IKK „Biroja preces”– Ls 224, no tā:</w:t>
            </w:r>
          </w:p>
          <w:p w:rsidR="0026758E" w:rsidRPr="0021304D" w:rsidRDefault="0026758E" w:rsidP="0026758E">
            <w:pPr>
              <w:ind w:left="462" w:right="127"/>
              <w:rPr>
                <w:color w:val="000000"/>
                <w:lang w:eastAsia="ar-SA"/>
              </w:rPr>
            </w:pPr>
            <w:r w:rsidRPr="0021304D">
              <w:rPr>
                <w:color w:val="000000"/>
                <w:lang w:eastAsia="ar-SA"/>
              </w:rPr>
              <w:t>(3731vēstules skaits) x Ls 0,02 (vidējie izdevumi papīram un tonerim) x Ls 0,04(aploksne)   = Ls 224.</w:t>
            </w:r>
          </w:p>
          <w:p w:rsidR="0026758E" w:rsidRPr="0021304D" w:rsidRDefault="0026758E" w:rsidP="0026758E">
            <w:pPr>
              <w:ind w:left="462" w:right="127"/>
              <w:rPr>
                <w:color w:val="000000"/>
                <w:lang w:eastAsia="ar-SA"/>
              </w:rPr>
            </w:pP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Pilsonības un migrācijas lietu pārvaldei 2012.gadā un turpmāk  ik gadu  (budžeta programma 11.00.00 „Pilsonības un migrācijas lietas”) – Ls 9220, no tā:</w:t>
            </w:r>
          </w:p>
          <w:p w:rsidR="0026758E" w:rsidRPr="0021304D" w:rsidRDefault="0026758E" w:rsidP="0026758E">
            <w:pPr>
              <w:ind w:left="462" w:right="127"/>
              <w:jc w:val="both"/>
              <w:rPr>
                <w:color w:val="000000"/>
                <w:lang w:eastAsia="ar-SA"/>
              </w:rPr>
            </w:pPr>
            <w:r w:rsidRPr="0021304D">
              <w:rPr>
                <w:color w:val="000000"/>
                <w:lang w:eastAsia="ar-SA"/>
              </w:rPr>
              <w:t xml:space="preserve"> 1000.IKK „Atlīdzība” – Ls 5956,  no tā:</w:t>
            </w:r>
          </w:p>
          <w:p w:rsidR="0026758E" w:rsidRPr="0021304D" w:rsidRDefault="0026758E" w:rsidP="0026758E">
            <w:pPr>
              <w:ind w:left="462" w:right="127"/>
              <w:jc w:val="both"/>
              <w:rPr>
                <w:color w:val="000000"/>
                <w:lang w:eastAsia="ar-SA"/>
              </w:rPr>
            </w:pPr>
            <w:r w:rsidRPr="0021304D">
              <w:rPr>
                <w:color w:val="000000"/>
                <w:lang w:eastAsia="ar-SA"/>
              </w:rPr>
              <w:t xml:space="preserve"> 1100.IKK „Atalgojums” </w:t>
            </w:r>
          </w:p>
          <w:p w:rsidR="0026758E" w:rsidRPr="0021304D" w:rsidRDefault="0026758E" w:rsidP="0026758E">
            <w:pPr>
              <w:ind w:left="462" w:right="127"/>
              <w:jc w:val="both"/>
              <w:rPr>
                <w:color w:val="000000"/>
                <w:lang w:eastAsia="ar-SA"/>
              </w:rPr>
            </w:pPr>
            <w:r w:rsidRPr="0021304D">
              <w:rPr>
                <w:color w:val="000000"/>
                <w:lang w:eastAsia="ar-SA"/>
              </w:rPr>
              <w:t xml:space="preserve"> 1119.IKK „Pārējo darbinieku mēneša amatalga” – </w:t>
            </w:r>
          </w:p>
          <w:p w:rsidR="0026758E" w:rsidRPr="0021304D" w:rsidRDefault="0026758E" w:rsidP="0026758E">
            <w:pPr>
              <w:ind w:left="462" w:right="127"/>
              <w:jc w:val="both"/>
              <w:rPr>
                <w:color w:val="000000"/>
                <w:lang w:eastAsia="ar-SA"/>
              </w:rPr>
            </w:pPr>
            <w:r w:rsidRPr="0021304D">
              <w:rPr>
                <w:color w:val="000000"/>
                <w:lang w:eastAsia="ar-SA"/>
              </w:rPr>
              <w:t xml:space="preserve"> Ls 4800 = 1 darbinieks x Ls 400 x12 mēneši </w:t>
            </w:r>
          </w:p>
          <w:p w:rsidR="0026758E" w:rsidRPr="0021304D" w:rsidRDefault="0026758E" w:rsidP="0026758E">
            <w:pPr>
              <w:ind w:left="462" w:right="127"/>
              <w:jc w:val="both"/>
              <w:rPr>
                <w:color w:val="000000"/>
                <w:lang w:eastAsia="ar-SA"/>
              </w:rPr>
            </w:pPr>
            <w:r w:rsidRPr="0021304D">
              <w:rPr>
                <w:color w:val="000000"/>
                <w:lang w:eastAsia="ar-SA"/>
              </w:rPr>
              <w:t xml:space="preserve"> (1lietvedis – 18.3. saime, II līmenis,7.mēnešalgu grupa, 3.kvalifikācijas pakāpe);</w:t>
            </w:r>
          </w:p>
          <w:p w:rsidR="0026758E" w:rsidRPr="0021304D" w:rsidRDefault="0026758E" w:rsidP="0026758E">
            <w:pPr>
              <w:ind w:left="462" w:right="127"/>
              <w:jc w:val="both"/>
              <w:rPr>
                <w:color w:val="000000"/>
                <w:lang w:eastAsia="ar-SA"/>
              </w:rPr>
            </w:pPr>
            <w:r w:rsidRPr="0021304D">
              <w:rPr>
                <w:color w:val="000000"/>
                <w:lang w:eastAsia="ar-SA"/>
              </w:rPr>
              <w:t xml:space="preserve"> 1200.IKK „Darba devēja valsts sociālās apdrošināšanas obligātās iemaksas, sociāla rakstura pabalsti un kompensācijas” – Ls 1156, no tā:</w:t>
            </w:r>
          </w:p>
          <w:p w:rsidR="0026758E" w:rsidRPr="0021304D" w:rsidRDefault="0026758E" w:rsidP="0026758E">
            <w:pPr>
              <w:ind w:left="462" w:right="127"/>
              <w:jc w:val="both"/>
              <w:rPr>
                <w:color w:val="000000"/>
                <w:lang w:eastAsia="ar-SA"/>
              </w:rPr>
            </w:pPr>
            <w:r w:rsidRPr="0021304D">
              <w:rPr>
                <w:color w:val="000000"/>
                <w:lang w:eastAsia="ar-SA"/>
              </w:rPr>
              <w:t xml:space="preserve"> 1210.IKK „Darba devēja valsts sociālās apdrošināšanas obligātās iemaksas” – Ls 1156 = Ls 4800 x 24,09%.</w:t>
            </w:r>
          </w:p>
          <w:p w:rsidR="0026758E" w:rsidRPr="0021304D" w:rsidRDefault="0026758E" w:rsidP="0026758E">
            <w:pPr>
              <w:ind w:left="462" w:right="127"/>
              <w:jc w:val="both"/>
              <w:rPr>
                <w:color w:val="000000"/>
                <w:lang w:eastAsia="ar-SA"/>
              </w:rPr>
            </w:pPr>
          </w:p>
          <w:p w:rsidR="0026758E" w:rsidRPr="0021304D" w:rsidRDefault="0026758E" w:rsidP="0026758E">
            <w:pPr>
              <w:ind w:left="462" w:right="127"/>
              <w:jc w:val="both"/>
              <w:rPr>
                <w:color w:val="000000"/>
                <w:lang w:eastAsia="ar-SA"/>
              </w:rPr>
            </w:pPr>
            <w:r w:rsidRPr="0021304D">
              <w:rPr>
                <w:color w:val="000000"/>
                <w:lang w:eastAsia="ar-SA"/>
              </w:rPr>
              <w:t>2000.IKK „Preces un pakalpojumi” – Ls 3264, no tā:</w:t>
            </w:r>
          </w:p>
          <w:p w:rsidR="0026758E" w:rsidRPr="0021304D" w:rsidRDefault="0026758E" w:rsidP="0026758E">
            <w:pPr>
              <w:ind w:left="462" w:right="127"/>
              <w:rPr>
                <w:color w:val="000000"/>
                <w:lang w:eastAsia="ar-SA"/>
              </w:rPr>
            </w:pPr>
            <w:r w:rsidRPr="0021304D">
              <w:rPr>
                <w:color w:val="000000"/>
                <w:lang w:eastAsia="ar-SA"/>
              </w:rPr>
              <w:t>2200.IKK „Pakalpojumi”</w:t>
            </w:r>
          </w:p>
          <w:p w:rsidR="0026758E" w:rsidRPr="0021304D" w:rsidRDefault="0026758E" w:rsidP="0026758E">
            <w:pPr>
              <w:ind w:left="462" w:right="127"/>
              <w:rPr>
                <w:color w:val="000000"/>
                <w:lang w:eastAsia="ar-SA"/>
              </w:rPr>
            </w:pPr>
            <w:r w:rsidRPr="0021304D">
              <w:rPr>
                <w:color w:val="000000"/>
                <w:lang w:eastAsia="ar-SA"/>
              </w:rPr>
              <w:t xml:space="preserve">2210.IKK „Pasta, telefona un citi sakaru pakalpojumi” </w:t>
            </w:r>
          </w:p>
          <w:p w:rsidR="0026758E" w:rsidRPr="0021304D" w:rsidRDefault="0026758E" w:rsidP="0026758E">
            <w:pPr>
              <w:ind w:left="462" w:right="127"/>
              <w:rPr>
                <w:color w:val="000000"/>
                <w:lang w:eastAsia="ar-SA"/>
              </w:rPr>
            </w:pPr>
            <w:r w:rsidRPr="0021304D">
              <w:rPr>
                <w:color w:val="000000"/>
                <w:lang w:eastAsia="ar-SA"/>
              </w:rPr>
              <w:lastRenderedPageBreak/>
              <w:t>2219.IKK „Pārējie sakaru pakalpojumi” – Ls 3081, no tā:</w:t>
            </w:r>
          </w:p>
          <w:p w:rsidR="0026758E" w:rsidRPr="0021304D" w:rsidRDefault="0026758E" w:rsidP="0026758E">
            <w:pPr>
              <w:ind w:left="462" w:right="127"/>
              <w:rPr>
                <w:color w:val="000000"/>
                <w:lang w:eastAsia="ar-SA"/>
              </w:rPr>
            </w:pPr>
            <w:r w:rsidRPr="0021304D">
              <w:rPr>
                <w:color w:val="000000"/>
                <w:lang w:eastAsia="ar-SA"/>
              </w:rPr>
              <w:t>3050 (vēstules skaits) x Ls 1,01 (izdevumi ) = Ls 3081</w:t>
            </w:r>
          </w:p>
          <w:p w:rsidR="0026758E" w:rsidRPr="0021304D" w:rsidRDefault="0026758E" w:rsidP="0026758E">
            <w:pPr>
              <w:ind w:left="462" w:right="127"/>
              <w:rPr>
                <w:color w:val="000000"/>
                <w:lang w:eastAsia="ar-SA"/>
              </w:rPr>
            </w:pPr>
            <w:r w:rsidRPr="0021304D">
              <w:rPr>
                <w:color w:val="000000"/>
                <w:lang w:eastAsia="ar-SA"/>
              </w:rPr>
              <w:t>Izdevumi par pasta pakalpojumiem (Latvija) – Ls 1,01:</w:t>
            </w:r>
          </w:p>
          <w:p w:rsidR="0026758E" w:rsidRPr="0021304D" w:rsidRDefault="0026758E" w:rsidP="0026758E">
            <w:pPr>
              <w:ind w:left="462" w:right="127"/>
              <w:rPr>
                <w:color w:val="000000"/>
                <w:lang w:eastAsia="ar-SA"/>
              </w:rPr>
            </w:pPr>
            <w:r w:rsidRPr="0021304D">
              <w:rPr>
                <w:color w:val="000000"/>
                <w:lang w:eastAsia="ar-SA"/>
              </w:rPr>
              <w:t xml:space="preserve">marķējamās mašīnas pakalpojums – Ls 0,99; </w:t>
            </w:r>
          </w:p>
          <w:p w:rsidR="0026758E" w:rsidRPr="0021304D" w:rsidRDefault="0026758E" w:rsidP="0026758E">
            <w:pPr>
              <w:ind w:left="462" w:right="127"/>
              <w:rPr>
                <w:color w:val="000000"/>
                <w:lang w:eastAsia="ar-SA"/>
              </w:rPr>
            </w:pPr>
            <w:r w:rsidRPr="0021304D">
              <w:rPr>
                <w:color w:val="000000"/>
                <w:lang w:eastAsia="ar-SA"/>
              </w:rPr>
              <w:t>1 vēstules nosūtīšana, izmantojot pakalpojumu „Pastnieks birojā” – Ls 0,02.</w:t>
            </w:r>
          </w:p>
          <w:p w:rsidR="0026758E" w:rsidRPr="0021304D" w:rsidRDefault="0026758E" w:rsidP="0026758E">
            <w:pPr>
              <w:ind w:left="462" w:right="127"/>
              <w:jc w:val="both"/>
              <w:rPr>
                <w:color w:val="000000"/>
                <w:lang w:eastAsia="ar-SA"/>
              </w:rPr>
            </w:pPr>
            <w:r w:rsidRPr="0021304D">
              <w:rPr>
                <w:color w:val="000000"/>
                <w:lang w:eastAsia="ar-SA"/>
              </w:rPr>
              <w:t>2300.IKK „Krājumi, materiāli, energoresursi, preces, biroja preces un inventārs, kurus neuzskaita kodā 5000” – Ls 183,</w:t>
            </w:r>
          </w:p>
          <w:p w:rsidR="0026758E" w:rsidRPr="0021304D" w:rsidRDefault="0026758E" w:rsidP="0026758E">
            <w:pPr>
              <w:ind w:left="462" w:right="127"/>
              <w:jc w:val="both"/>
              <w:rPr>
                <w:color w:val="000000"/>
                <w:lang w:eastAsia="ar-SA"/>
              </w:rPr>
            </w:pPr>
            <w:r w:rsidRPr="0021304D">
              <w:rPr>
                <w:color w:val="000000"/>
                <w:lang w:eastAsia="ar-SA"/>
              </w:rPr>
              <w:t xml:space="preserve"> no tā:</w:t>
            </w:r>
          </w:p>
          <w:p w:rsidR="0026758E" w:rsidRPr="0021304D" w:rsidRDefault="0026758E" w:rsidP="0026758E">
            <w:pPr>
              <w:pStyle w:val="naiskr"/>
              <w:spacing w:before="0" w:after="0"/>
              <w:ind w:left="525" w:right="249"/>
              <w:jc w:val="both"/>
              <w:rPr>
                <w:color w:val="000000"/>
                <w:lang w:eastAsia="ar-SA"/>
              </w:rPr>
            </w:pPr>
            <w:r w:rsidRPr="0021304D">
              <w:rPr>
                <w:color w:val="000000"/>
                <w:lang w:eastAsia="ar-SA"/>
              </w:rPr>
              <w:t xml:space="preserve">2311.IKK „Biroja preces” – Ls 183= 3050 (vēstules skaits) x Ls 0,02 (vidējie izdevumi papīram un tonerim) x Ls 0,04(aploksne). </w:t>
            </w:r>
          </w:p>
          <w:p w:rsidR="0026758E" w:rsidRPr="007C0F2C" w:rsidRDefault="0026758E" w:rsidP="0026758E">
            <w:pPr>
              <w:pStyle w:val="naisf"/>
              <w:spacing w:before="0" w:after="0"/>
              <w:ind w:firstLine="0"/>
              <w:rPr>
                <w:b/>
                <w:i/>
              </w:rPr>
            </w:pP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6.1. detalizēts ieņēmumu aprēķins</w:t>
            </w:r>
          </w:p>
        </w:tc>
        <w:tc>
          <w:tcPr>
            <w:tcW w:w="6800" w:type="dxa"/>
            <w:gridSpan w:val="5"/>
            <w:vMerge/>
          </w:tcPr>
          <w:p w:rsidR="0026758E" w:rsidRPr="007C0F2C" w:rsidRDefault="0026758E" w:rsidP="0026758E">
            <w:pPr>
              <w:pStyle w:val="naisf"/>
              <w:spacing w:before="0" w:after="0"/>
              <w:ind w:firstLine="0"/>
              <w:rPr>
                <w:b/>
                <w:i/>
              </w:rPr>
            </w:pPr>
          </w:p>
        </w:tc>
      </w:tr>
      <w:tr w:rsidR="0026758E" w:rsidRPr="007C0F2C" w:rsidTr="0026758E">
        <w:trPr>
          <w:jc w:val="center"/>
        </w:trPr>
        <w:tc>
          <w:tcPr>
            <w:tcW w:w="2439" w:type="dxa"/>
          </w:tcPr>
          <w:p w:rsidR="0026758E" w:rsidRPr="007C0F2C" w:rsidRDefault="0026758E" w:rsidP="0026758E">
            <w:pPr>
              <w:jc w:val="both"/>
            </w:pPr>
            <w:r w:rsidRPr="007C0F2C">
              <w:rPr>
                <w:sz w:val="22"/>
                <w:szCs w:val="22"/>
              </w:rPr>
              <w:t>6.2. detalizēts izdevumu aprēķins</w:t>
            </w:r>
          </w:p>
        </w:tc>
        <w:tc>
          <w:tcPr>
            <w:tcW w:w="6800" w:type="dxa"/>
            <w:gridSpan w:val="5"/>
            <w:vMerge/>
          </w:tcPr>
          <w:p w:rsidR="0026758E" w:rsidRPr="007C0F2C" w:rsidRDefault="0026758E" w:rsidP="0026758E">
            <w:pPr>
              <w:pStyle w:val="naisf"/>
              <w:spacing w:before="0" w:after="0"/>
              <w:ind w:firstLine="0"/>
              <w:rPr>
                <w:b/>
                <w:i/>
              </w:rPr>
            </w:pPr>
          </w:p>
        </w:tc>
      </w:tr>
      <w:tr w:rsidR="0026758E" w:rsidRPr="007C0F2C" w:rsidTr="0026758E">
        <w:trPr>
          <w:jc w:val="center"/>
        </w:trPr>
        <w:tc>
          <w:tcPr>
            <w:tcW w:w="2439" w:type="dxa"/>
          </w:tcPr>
          <w:p w:rsidR="0026758E" w:rsidRPr="007C0F2C" w:rsidRDefault="0026758E" w:rsidP="0026758E">
            <w:pPr>
              <w:jc w:val="both"/>
            </w:pPr>
            <w:r w:rsidRPr="007C0F2C">
              <w:rPr>
                <w:sz w:val="22"/>
                <w:szCs w:val="22"/>
              </w:rPr>
              <w:lastRenderedPageBreak/>
              <w:t>7. Cita informācija</w:t>
            </w:r>
          </w:p>
        </w:tc>
        <w:tc>
          <w:tcPr>
            <w:tcW w:w="6800" w:type="dxa"/>
            <w:gridSpan w:val="5"/>
          </w:tcPr>
          <w:p w:rsidR="0026758E" w:rsidRPr="003D1CA1" w:rsidRDefault="003D1CA1" w:rsidP="003D1CA1">
            <w:pPr>
              <w:jc w:val="both"/>
              <w:rPr>
                <w:color w:val="000000"/>
                <w:lang w:eastAsia="ar-SA"/>
              </w:rPr>
            </w:pPr>
            <w:r w:rsidRPr="003D1CA1">
              <w:rPr>
                <w:color w:val="000000"/>
                <w:lang w:eastAsia="ar-SA"/>
              </w:rPr>
              <w:t>Jautājumu</w:t>
            </w:r>
            <w:r>
              <w:rPr>
                <w:color w:val="000000"/>
                <w:lang w:eastAsia="ar-SA"/>
              </w:rPr>
              <w:t xml:space="preserve"> par papildu valsts budžeta līdzekļu piešķiršanu Iekšlietu ministrijai likumprojekta īstenošanai 2012. gadā un turpmākajos gados izskatīt vienlaikus ar visu ministriju budžeta prioritāšu pieteikumiem kārtējā gada valsts budžeta likumprojekta sagatavošanas un izskatīšanas procesā. </w:t>
            </w:r>
          </w:p>
        </w:tc>
      </w:tr>
    </w:tbl>
    <w:p w:rsidR="00694F65" w:rsidRDefault="00694F65" w:rsidP="00B662AA">
      <w:pPr>
        <w:pStyle w:val="naiskr"/>
        <w:tabs>
          <w:tab w:val="left" w:pos="2628"/>
        </w:tabs>
        <w:spacing w:before="0" w:after="0"/>
        <w:ind w:right="-1"/>
        <w:rPr>
          <w:i/>
          <w:sz w:val="26"/>
          <w:szCs w:val="26"/>
        </w:rPr>
      </w:pPr>
    </w:p>
    <w:p w:rsidR="0026758E" w:rsidRDefault="0026758E" w:rsidP="00B662AA">
      <w:pPr>
        <w:pStyle w:val="naiskr"/>
        <w:tabs>
          <w:tab w:val="left" w:pos="2628"/>
        </w:tabs>
        <w:spacing w:before="0" w:after="0"/>
        <w:ind w:right="-1"/>
        <w:rPr>
          <w:i/>
          <w:sz w:val="26"/>
          <w:szCs w:val="26"/>
        </w:rPr>
      </w:pPr>
    </w:p>
    <w:p w:rsidR="0026758E" w:rsidRPr="00B662AA" w:rsidRDefault="0026758E" w:rsidP="00B662AA">
      <w:pPr>
        <w:pStyle w:val="naiskr"/>
        <w:tabs>
          <w:tab w:val="left" w:pos="2628"/>
        </w:tabs>
        <w:spacing w:before="0" w:after="0"/>
        <w:ind w:right="-1"/>
        <w:rPr>
          <w:i/>
          <w:sz w:val="26"/>
          <w:szCs w:val="26"/>
        </w:rPr>
      </w:pPr>
    </w:p>
    <w:tbl>
      <w:tblPr>
        <w:tblW w:w="9274"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4"/>
      </w:tblGrid>
      <w:tr w:rsidR="00694F65" w:rsidRPr="00B662AA" w:rsidTr="00B662AA">
        <w:trPr>
          <w:jc w:val="center"/>
        </w:trPr>
        <w:tc>
          <w:tcPr>
            <w:tcW w:w="9274" w:type="dxa"/>
          </w:tcPr>
          <w:p w:rsidR="00694F65" w:rsidRPr="00B662AA" w:rsidRDefault="00694F65" w:rsidP="00B662AA">
            <w:pPr>
              <w:pStyle w:val="naisnod"/>
              <w:spacing w:before="0" w:after="0"/>
              <w:ind w:right="-1"/>
              <w:rPr>
                <w:sz w:val="26"/>
                <w:szCs w:val="26"/>
              </w:rPr>
            </w:pPr>
            <w:r w:rsidRPr="00B662AA">
              <w:rPr>
                <w:sz w:val="26"/>
                <w:szCs w:val="26"/>
              </w:rPr>
              <w:t>IV. Tiesību akta projekta ietekme uz spēkā esošo tiesību normu sistēmu</w:t>
            </w:r>
          </w:p>
        </w:tc>
      </w:tr>
      <w:tr w:rsidR="003D3381" w:rsidRPr="00B662AA" w:rsidTr="00B662AA">
        <w:trPr>
          <w:jc w:val="center"/>
        </w:trPr>
        <w:tc>
          <w:tcPr>
            <w:tcW w:w="9274" w:type="dxa"/>
          </w:tcPr>
          <w:p w:rsidR="003D3381" w:rsidRPr="003D3381" w:rsidRDefault="003D3381" w:rsidP="00B662AA">
            <w:pPr>
              <w:pStyle w:val="naisnod"/>
              <w:spacing w:before="0" w:after="0"/>
              <w:ind w:right="-1"/>
              <w:rPr>
                <w:b w:val="0"/>
                <w:i/>
                <w:sz w:val="26"/>
                <w:szCs w:val="26"/>
              </w:rPr>
            </w:pPr>
            <w:r>
              <w:rPr>
                <w:b w:val="0"/>
                <w:i/>
                <w:sz w:val="26"/>
                <w:szCs w:val="26"/>
              </w:rPr>
              <w:t>Projekts šo jomu neskar</w:t>
            </w:r>
          </w:p>
        </w:tc>
      </w:tr>
    </w:tbl>
    <w:p w:rsidR="00694F65" w:rsidRPr="00B662AA" w:rsidRDefault="00694F65" w:rsidP="00B662AA">
      <w:pPr>
        <w:ind w:right="-1" w:firstLine="720"/>
        <w:jc w:val="both"/>
        <w:rPr>
          <w:sz w:val="26"/>
          <w:szCs w:val="26"/>
        </w:rPr>
      </w:pPr>
    </w:p>
    <w:tbl>
      <w:tblPr>
        <w:tblW w:w="9214"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51"/>
        <w:gridCol w:w="973"/>
        <w:gridCol w:w="1852"/>
        <w:gridCol w:w="293"/>
        <w:gridCol w:w="2426"/>
        <w:gridCol w:w="2819"/>
      </w:tblGrid>
      <w:tr w:rsidR="00CF2FCE" w:rsidRPr="00B662AA" w:rsidTr="0046744E">
        <w:tc>
          <w:tcPr>
            <w:tcW w:w="9214" w:type="dxa"/>
            <w:gridSpan w:val="6"/>
            <w:tcBorders>
              <w:top w:val="outset" w:sz="6" w:space="0" w:color="auto"/>
              <w:left w:val="outset" w:sz="6" w:space="0" w:color="auto"/>
              <w:bottom w:val="outset" w:sz="6" w:space="0" w:color="auto"/>
              <w:right w:val="outset" w:sz="6" w:space="0" w:color="auto"/>
            </w:tcBorders>
            <w:vAlign w:val="center"/>
          </w:tcPr>
          <w:p w:rsidR="00CF2FCE" w:rsidRPr="00B662AA" w:rsidRDefault="00CF2FCE" w:rsidP="0046744E">
            <w:pPr>
              <w:ind w:right="-1"/>
              <w:jc w:val="center"/>
              <w:rPr>
                <w:b/>
                <w:sz w:val="26"/>
                <w:szCs w:val="26"/>
              </w:rPr>
            </w:pPr>
            <w:r w:rsidRPr="00B662AA">
              <w:rPr>
                <w:b/>
                <w:sz w:val="26"/>
                <w:szCs w:val="26"/>
              </w:rPr>
              <w:t>V. Tiesību akta projekta atbilstība Latvijas Republikas starptautiskajām saistībām</w:t>
            </w:r>
          </w:p>
        </w:tc>
      </w:tr>
      <w:tr w:rsidR="00CF2FCE" w:rsidRPr="00B662AA" w:rsidTr="0046744E">
        <w:tc>
          <w:tcPr>
            <w:tcW w:w="851" w:type="dxa"/>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sidRPr="00B662AA">
              <w:rPr>
                <w:sz w:val="26"/>
                <w:szCs w:val="26"/>
              </w:rPr>
              <w:t>1.</w:t>
            </w:r>
          </w:p>
        </w:tc>
        <w:tc>
          <w:tcPr>
            <w:tcW w:w="3118" w:type="dxa"/>
            <w:gridSpan w:val="3"/>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sidRPr="00B662AA">
              <w:rPr>
                <w:sz w:val="26"/>
                <w:szCs w:val="26"/>
              </w:rPr>
              <w:t>Saistības pret Eiropas Savienību</w:t>
            </w:r>
          </w:p>
        </w:tc>
        <w:tc>
          <w:tcPr>
            <w:tcW w:w="5245" w:type="dxa"/>
            <w:gridSpan w:val="2"/>
            <w:tcBorders>
              <w:top w:val="outset" w:sz="6" w:space="0" w:color="auto"/>
              <w:left w:val="outset" w:sz="6" w:space="0" w:color="auto"/>
              <w:bottom w:val="outset" w:sz="6" w:space="0" w:color="auto"/>
              <w:right w:val="outset" w:sz="6" w:space="0" w:color="auto"/>
            </w:tcBorders>
          </w:tcPr>
          <w:p w:rsidR="00CF2FCE" w:rsidRPr="00A50396" w:rsidRDefault="00A50396" w:rsidP="00A50396">
            <w:pPr>
              <w:spacing w:after="120"/>
              <w:ind w:left="57"/>
              <w:rPr>
                <w:spacing w:val="-3"/>
              </w:rPr>
            </w:pPr>
            <w:r>
              <w:rPr>
                <w:spacing w:val="-3"/>
              </w:rPr>
              <w:t>Tiek pār</w:t>
            </w:r>
            <w:r w:rsidR="00070A5C">
              <w:rPr>
                <w:spacing w:val="-3"/>
              </w:rPr>
              <w:t>ņemtas</w:t>
            </w:r>
            <w:r>
              <w:rPr>
                <w:spacing w:val="-3"/>
              </w:rPr>
              <w:t xml:space="preserve"> </w:t>
            </w:r>
            <w:r w:rsidR="00070A5C">
              <w:rPr>
                <w:spacing w:val="-3"/>
              </w:rPr>
              <w:t>Direktīvas 2009/20/EK 7.panta</w:t>
            </w:r>
            <w:r>
              <w:rPr>
                <w:spacing w:val="-3"/>
              </w:rPr>
              <w:t xml:space="preserve">, Direktīvas </w:t>
            </w:r>
            <w:r w:rsidR="00070A5C">
              <w:rPr>
                <w:spacing w:val="-3"/>
              </w:rPr>
              <w:t>2009/18/EK 22.panta</w:t>
            </w:r>
            <w:r>
              <w:rPr>
                <w:spacing w:val="-3"/>
              </w:rPr>
              <w:t>,</w:t>
            </w:r>
            <w:r w:rsidRPr="00806635">
              <w:rPr>
                <w:spacing w:val="-3"/>
              </w:rPr>
              <w:t xml:space="preserve"> </w:t>
            </w:r>
            <w:r w:rsidR="00070A5C">
              <w:rPr>
                <w:spacing w:val="-3"/>
              </w:rPr>
              <w:t>Direktīvas 2009/16/EK 34.panta prasības</w:t>
            </w:r>
            <w:r>
              <w:rPr>
                <w:spacing w:val="-3"/>
              </w:rPr>
              <w:t>.</w:t>
            </w:r>
          </w:p>
        </w:tc>
      </w:tr>
      <w:tr w:rsidR="00CF2FCE" w:rsidRPr="00B662AA" w:rsidTr="0046744E">
        <w:tc>
          <w:tcPr>
            <w:tcW w:w="851" w:type="dxa"/>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sidRPr="00B662AA">
              <w:rPr>
                <w:sz w:val="26"/>
                <w:szCs w:val="26"/>
              </w:rPr>
              <w:t>2.</w:t>
            </w:r>
          </w:p>
        </w:tc>
        <w:tc>
          <w:tcPr>
            <w:tcW w:w="3118" w:type="dxa"/>
            <w:gridSpan w:val="3"/>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sidRPr="00B662AA">
              <w:rPr>
                <w:sz w:val="26"/>
                <w:szCs w:val="26"/>
              </w:rPr>
              <w:t>Citas starptautiskās saistības</w:t>
            </w:r>
          </w:p>
        </w:tc>
        <w:tc>
          <w:tcPr>
            <w:tcW w:w="5245" w:type="dxa"/>
            <w:gridSpan w:val="2"/>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Pr>
                <w:sz w:val="26"/>
                <w:szCs w:val="26"/>
              </w:rPr>
              <w:t>Nav attiecināms</w:t>
            </w:r>
          </w:p>
        </w:tc>
      </w:tr>
      <w:tr w:rsidR="00CF2FCE" w:rsidRPr="00B662AA" w:rsidTr="0046744E">
        <w:tc>
          <w:tcPr>
            <w:tcW w:w="851" w:type="dxa"/>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sidRPr="00B662AA">
              <w:rPr>
                <w:sz w:val="26"/>
                <w:szCs w:val="26"/>
              </w:rPr>
              <w:t>3.</w:t>
            </w:r>
          </w:p>
        </w:tc>
        <w:tc>
          <w:tcPr>
            <w:tcW w:w="3118" w:type="dxa"/>
            <w:gridSpan w:val="3"/>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sidRPr="00B662AA">
              <w:rPr>
                <w:sz w:val="26"/>
                <w:szCs w:val="26"/>
              </w:rPr>
              <w:t>Cita informācija</w:t>
            </w:r>
          </w:p>
        </w:tc>
        <w:tc>
          <w:tcPr>
            <w:tcW w:w="5245" w:type="dxa"/>
            <w:gridSpan w:val="2"/>
            <w:tcBorders>
              <w:top w:val="outset" w:sz="6" w:space="0" w:color="auto"/>
              <w:left w:val="outset" w:sz="6" w:space="0" w:color="auto"/>
              <w:bottom w:val="outset" w:sz="6" w:space="0" w:color="auto"/>
              <w:right w:val="outset" w:sz="6" w:space="0" w:color="auto"/>
            </w:tcBorders>
          </w:tcPr>
          <w:p w:rsidR="00CF2FCE" w:rsidRPr="00B662AA" w:rsidRDefault="00CF2FCE" w:rsidP="0046744E">
            <w:pPr>
              <w:ind w:right="-1"/>
              <w:rPr>
                <w:sz w:val="26"/>
                <w:szCs w:val="26"/>
              </w:rPr>
            </w:pPr>
            <w:r>
              <w:rPr>
                <w:sz w:val="26"/>
                <w:szCs w:val="26"/>
              </w:rPr>
              <w:t>Nav</w:t>
            </w:r>
          </w:p>
        </w:tc>
      </w:tr>
      <w:tr w:rsidR="00560300" w:rsidRPr="00BA3C4F" w:rsidTr="0046744E">
        <w:trPr>
          <w:cantSplit/>
          <w:trHeight w:val="523"/>
        </w:trPr>
        <w:tc>
          <w:tcPr>
            <w:tcW w:w="9214" w:type="dxa"/>
            <w:gridSpan w:val="6"/>
            <w:tcBorders>
              <w:top w:val="outset" w:sz="6" w:space="0" w:color="auto"/>
              <w:left w:val="outset" w:sz="6" w:space="0" w:color="auto"/>
              <w:bottom w:val="outset" w:sz="6" w:space="0" w:color="auto"/>
              <w:right w:val="outset" w:sz="6" w:space="0" w:color="auto"/>
            </w:tcBorders>
            <w:vAlign w:val="center"/>
          </w:tcPr>
          <w:p w:rsidR="00560300" w:rsidRPr="00BA3C4F" w:rsidRDefault="00560300" w:rsidP="0046744E">
            <w:pPr>
              <w:ind w:left="57"/>
              <w:jc w:val="center"/>
              <w:rPr>
                <w:b/>
              </w:rPr>
            </w:pPr>
            <w:r w:rsidRPr="00BA3C4F">
              <w:rPr>
                <w:b/>
              </w:rPr>
              <w:t>1.tabula</w:t>
            </w:r>
          </w:p>
          <w:p w:rsidR="00560300" w:rsidRPr="00BA3C4F" w:rsidRDefault="00560300" w:rsidP="0046744E">
            <w:pPr>
              <w:ind w:left="57"/>
              <w:jc w:val="center"/>
            </w:pPr>
            <w:r w:rsidRPr="00BA3C4F">
              <w:rPr>
                <w:b/>
              </w:rPr>
              <w:t>Tiesību akta projekta atbilstība ES tiesību aktiem</w:t>
            </w:r>
          </w:p>
        </w:tc>
      </w:tr>
      <w:tr w:rsidR="00560300" w:rsidRPr="00BA3C4F" w:rsidTr="0046744E">
        <w:trPr>
          <w:cantSplit/>
        </w:trPr>
        <w:tc>
          <w:tcPr>
            <w:tcW w:w="1824" w:type="dxa"/>
            <w:gridSpan w:val="2"/>
            <w:tcBorders>
              <w:top w:val="outset" w:sz="6" w:space="0" w:color="auto"/>
              <w:left w:val="outset" w:sz="6" w:space="0" w:color="auto"/>
              <w:bottom w:val="outset" w:sz="6" w:space="0" w:color="auto"/>
              <w:right w:val="outset" w:sz="6" w:space="0" w:color="auto"/>
            </w:tcBorders>
          </w:tcPr>
          <w:p w:rsidR="00560300" w:rsidRPr="00BA3C4F" w:rsidRDefault="00560300" w:rsidP="0046744E">
            <w:pPr>
              <w:ind w:left="57"/>
            </w:pPr>
            <w:r>
              <w:t>Attiecīgā ES </w:t>
            </w:r>
            <w:r w:rsidRPr="00BA3C4F">
              <w:t>tiesību akta datums, numurs un nosaukums</w:t>
            </w:r>
          </w:p>
        </w:tc>
        <w:tc>
          <w:tcPr>
            <w:tcW w:w="7390" w:type="dxa"/>
            <w:gridSpan w:val="4"/>
            <w:tcBorders>
              <w:top w:val="outset" w:sz="6" w:space="0" w:color="auto"/>
              <w:left w:val="outset" w:sz="6" w:space="0" w:color="auto"/>
              <w:bottom w:val="outset" w:sz="6" w:space="0" w:color="auto"/>
              <w:right w:val="outset" w:sz="6" w:space="0" w:color="auto"/>
            </w:tcBorders>
          </w:tcPr>
          <w:p w:rsidR="00560300" w:rsidRPr="00BA3C4F" w:rsidRDefault="00560300" w:rsidP="0046744E">
            <w:pPr>
              <w:ind w:left="57"/>
            </w:pPr>
          </w:p>
        </w:tc>
      </w:tr>
      <w:tr w:rsidR="00560300" w:rsidRPr="00BA3C4F" w:rsidTr="0046744E">
        <w:trPr>
          <w:cantSplit/>
        </w:trPr>
        <w:tc>
          <w:tcPr>
            <w:tcW w:w="1824" w:type="dxa"/>
            <w:gridSpan w:val="2"/>
            <w:tcBorders>
              <w:top w:val="outset" w:sz="6" w:space="0" w:color="auto"/>
              <w:left w:val="outset" w:sz="6" w:space="0" w:color="auto"/>
              <w:bottom w:val="outset" w:sz="6" w:space="0" w:color="auto"/>
              <w:right w:val="outset" w:sz="6" w:space="0" w:color="auto"/>
            </w:tcBorders>
            <w:vAlign w:val="center"/>
          </w:tcPr>
          <w:p w:rsidR="00560300" w:rsidRPr="00BA3C4F" w:rsidRDefault="00560300" w:rsidP="0046744E">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560300" w:rsidRPr="00BA3C4F" w:rsidRDefault="00560300" w:rsidP="0046744E">
            <w:pPr>
              <w:ind w:left="57"/>
              <w:jc w:val="center"/>
            </w:pPr>
            <w:r w:rsidRPr="00BA3C4F">
              <w:t>B</w:t>
            </w:r>
          </w:p>
        </w:tc>
        <w:tc>
          <w:tcPr>
            <w:tcW w:w="2719" w:type="dxa"/>
            <w:gridSpan w:val="2"/>
            <w:tcBorders>
              <w:top w:val="outset" w:sz="6" w:space="0" w:color="auto"/>
              <w:left w:val="outset" w:sz="6" w:space="0" w:color="auto"/>
              <w:bottom w:val="outset" w:sz="6" w:space="0" w:color="auto"/>
              <w:right w:val="outset" w:sz="6" w:space="0" w:color="auto"/>
            </w:tcBorders>
            <w:vAlign w:val="center"/>
          </w:tcPr>
          <w:p w:rsidR="00560300" w:rsidRPr="00BA3C4F" w:rsidRDefault="00560300" w:rsidP="0046744E">
            <w:pPr>
              <w:ind w:left="57"/>
              <w:jc w:val="center"/>
            </w:pPr>
            <w:r w:rsidRPr="00BA3C4F">
              <w:t>C</w:t>
            </w:r>
          </w:p>
        </w:tc>
        <w:tc>
          <w:tcPr>
            <w:tcW w:w="2819" w:type="dxa"/>
            <w:tcBorders>
              <w:top w:val="outset" w:sz="6" w:space="0" w:color="auto"/>
              <w:left w:val="outset" w:sz="6" w:space="0" w:color="auto"/>
              <w:bottom w:val="outset" w:sz="6" w:space="0" w:color="auto"/>
              <w:right w:val="outset" w:sz="6" w:space="0" w:color="auto"/>
            </w:tcBorders>
            <w:vAlign w:val="center"/>
          </w:tcPr>
          <w:p w:rsidR="00560300" w:rsidRPr="00BA3C4F" w:rsidRDefault="00560300" w:rsidP="0046744E">
            <w:pPr>
              <w:ind w:left="57"/>
              <w:jc w:val="center"/>
            </w:pPr>
            <w:r w:rsidRPr="00BA3C4F">
              <w:t>D</w:t>
            </w:r>
          </w:p>
        </w:tc>
      </w:tr>
      <w:tr w:rsidR="00560300" w:rsidRPr="00C932B6" w:rsidTr="0046744E">
        <w:trPr>
          <w:cantSplit/>
          <w:trHeight w:val="4708"/>
        </w:trPr>
        <w:tc>
          <w:tcPr>
            <w:tcW w:w="1824" w:type="dxa"/>
            <w:gridSpan w:val="2"/>
            <w:tcBorders>
              <w:top w:val="outset" w:sz="6" w:space="0" w:color="auto"/>
              <w:left w:val="outset" w:sz="6" w:space="0" w:color="auto"/>
              <w:bottom w:val="outset" w:sz="6" w:space="0" w:color="auto"/>
              <w:right w:val="outset" w:sz="6" w:space="0" w:color="auto"/>
            </w:tcBorders>
          </w:tcPr>
          <w:p w:rsidR="00560300" w:rsidRPr="00C932B6" w:rsidRDefault="00560300" w:rsidP="0046744E">
            <w:pPr>
              <w:spacing w:after="120"/>
              <w:ind w:left="57"/>
              <w:rPr>
                <w:spacing w:val="-3"/>
              </w:rPr>
            </w:pPr>
            <w:r>
              <w:rPr>
                <w:spacing w:val="-3"/>
              </w:rPr>
              <w:lastRenderedPageBreak/>
              <w:t>Attiecīgā ES </w:t>
            </w:r>
            <w:r w:rsidRPr="00C932B6">
              <w:rPr>
                <w:spacing w:val="-3"/>
              </w:rPr>
              <w:t>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560300" w:rsidRPr="00C932B6" w:rsidRDefault="00560300" w:rsidP="0046744E">
            <w:pPr>
              <w:spacing w:after="120"/>
              <w:ind w:left="57"/>
              <w:rPr>
                <w:spacing w:val="-3"/>
              </w:rPr>
            </w:pPr>
            <w:r w:rsidRPr="00C932B6">
              <w:rPr>
                <w:spacing w:val="-3"/>
              </w:rPr>
              <w:t>Projekta vienība, kas pārņem vai ievieš katru šīs tabulas A ailē minēto ES tiesību akta vienību</w:t>
            </w:r>
            <w:r>
              <w:rPr>
                <w:spacing w:val="-3"/>
              </w:rPr>
              <w:t>,</w:t>
            </w:r>
            <w:r w:rsidRPr="00C932B6">
              <w:rPr>
                <w:spacing w:val="-3"/>
              </w:rPr>
              <w:t xml:space="preserve"> vai tiesību </w:t>
            </w:r>
            <w:smartTag w:uri="urn:schemas-microsoft-com:office:smarttags" w:element="place">
              <w:smartTagPr>
                <w:attr w:name="id" w:val="-1"/>
                <w:attr w:name="baseform" w:val="akts"/>
                <w:attr w:name="text" w:val="akts"/>
              </w:smartTagPr>
              <w:r w:rsidRPr="00C932B6">
                <w:rPr>
                  <w:spacing w:val="-3"/>
                </w:rPr>
                <w:t>akts</w:t>
              </w:r>
            </w:smartTag>
            <w:r w:rsidRPr="00C932B6">
              <w:rPr>
                <w:spacing w:val="-3"/>
              </w:rPr>
              <w:t>, kur attiecīgā ES tiesību akta vienība pārņemta vai ieviesta</w:t>
            </w:r>
          </w:p>
        </w:tc>
        <w:tc>
          <w:tcPr>
            <w:tcW w:w="2719" w:type="dxa"/>
            <w:gridSpan w:val="2"/>
            <w:tcBorders>
              <w:top w:val="outset" w:sz="6" w:space="0" w:color="auto"/>
              <w:left w:val="outset" w:sz="6" w:space="0" w:color="auto"/>
              <w:bottom w:val="outset" w:sz="6" w:space="0" w:color="auto"/>
              <w:right w:val="outset" w:sz="6" w:space="0" w:color="auto"/>
            </w:tcBorders>
          </w:tcPr>
          <w:p w:rsidR="00560300" w:rsidRPr="00C932B6" w:rsidRDefault="00560300" w:rsidP="0046744E">
            <w:pPr>
              <w:spacing w:after="120"/>
              <w:ind w:left="57"/>
              <w:rPr>
                <w:spacing w:val="-3"/>
              </w:rPr>
            </w:pPr>
            <w:r w:rsidRPr="00C932B6">
              <w:rPr>
                <w:spacing w:val="-3"/>
              </w:rPr>
              <w:t>Informācija par to, va</w:t>
            </w:r>
            <w:r>
              <w:rPr>
                <w:spacing w:val="-3"/>
              </w:rPr>
              <w:t>i šīs tabulas A ailē minētās ES </w:t>
            </w:r>
            <w:r w:rsidRPr="00C932B6">
              <w:rPr>
                <w:spacing w:val="-3"/>
              </w:rPr>
              <w:t>tiesību akta vienības tiek pārņemtas vai ieviestas pilnībā vai daļēji.</w:t>
            </w:r>
          </w:p>
          <w:p w:rsidR="00560300" w:rsidRPr="00C932B6" w:rsidRDefault="00560300" w:rsidP="0046744E">
            <w:pPr>
              <w:spacing w:after="120"/>
              <w:ind w:left="57"/>
              <w:rPr>
                <w:spacing w:val="-3"/>
              </w:rPr>
            </w:pPr>
            <w:r w:rsidRPr="00C932B6">
              <w:rPr>
                <w:spacing w:val="-3"/>
              </w:rPr>
              <w:t xml:space="preserve">Ja attiecīgā ES tiesību akta vienība tiek pārņemta vai ieviesta daļēji, </w:t>
            </w:r>
            <w:r>
              <w:rPr>
                <w:spacing w:val="-3"/>
              </w:rPr>
              <w:t>s</w:t>
            </w:r>
            <w:r w:rsidRPr="00C932B6">
              <w:rPr>
                <w:spacing w:val="-3"/>
              </w:rPr>
              <w:t>niedz attiecīgu skaidrojumu, kā arī precīzi norāda, kad un kādā veidā ES tiesību akta vienība tiks pārņemta vai ieviesta pilnībā.</w:t>
            </w:r>
          </w:p>
          <w:p w:rsidR="00560300" w:rsidRPr="00C932B6" w:rsidRDefault="00560300" w:rsidP="0046744E">
            <w:pPr>
              <w:spacing w:after="120"/>
              <w:ind w:left="57"/>
              <w:rPr>
                <w:spacing w:val="-3"/>
              </w:rPr>
            </w:pPr>
            <w:r w:rsidRPr="00C932B6">
              <w:rPr>
                <w:spacing w:val="-3"/>
              </w:rPr>
              <w:t>Norāda institūciju, kas ir atbildīga par šo saistību izpildi pilnībā</w:t>
            </w:r>
          </w:p>
        </w:tc>
        <w:tc>
          <w:tcPr>
            <w:tcW w:w="2819" w:type="dxa"/>
            <w:tcBorders>
              <w:top w:val="outset" w:sz="6" w:space="0" w:color="auto"/>
              <w:left w:val="outset" w:sz="6" w:space="0" w:color="auto"/>
              <w:bottom w:val="outset" w:sz="6" w:space="0" w:color="auto"/>
              <w:right w:val="outset" w:sz="6" w:space="0" w:color="auto"/>
            </w:tcBorders>
          </w:tcPr>
          <w:p w:rsidR="00560300" w:rsidRPr="00011110" w:rsidRDefault="00560300" w:rsidP="0046744E">
            <w:pPr>
              <w:spacing w:after="120"/>
              <w:ind w:left="57"/>
            </w:pPr>
            <w:r w:rsidRPr="00C932B6">
              <w:rPr>
                <w:spacing w:val="-3"/>
              </w:rPr>
              <w:t xml:space="preserve">Informācija par to, vai šīs </w:t>
            </w:r>
            <w:r w:rsidRPr="00011110">
              <w:t>tabulas B ailē minētās projekta vienības paredz stingrākas prasības nek</w:t>
            </w:r>
            <w:r>
              <w:t>ā šīs tabulas A ailē minētās ES </w:t>
            </w:r>
            <w:r w:rsidRPr="00011110">
              <w:t>tiesību akta vienības.</w:t>
            </w:r>
          </w:p>
          <w:p w:rsidR="00560300" w:rsidRPr="00011110" w:rsidRDefault="00560300" w:rsidP="0046744E">
            <w:pPr>
              <w:spacing w:after="120"/>
              <w:ind w:left="57"/>
            </w:pPr>
            <w:r w:rsidRPr="00011110">
              <w:t>Ja projekts satur stingrākas prasības nekā attiecīgais ES tiesību akts, norāda pamatojumu un samērīgumu.</w:t>
            </w:r>
          </w:p>
          <w:p w:rsidR="00560300" w:rsidRPr="00C932B6" w:rsidRDefault="00560300" w:rsidP="0046744E">
            <w:pPr>
              <w:ind w:left="57"/>
              <w:rPr>
                <w:spacing w:val="-3"/>
              </w:rPr>
            </w:pPr>
            <w:r w:rsidRPr="00011110">
              <w:t>Norāda iespējamās alternatīvas (t.sk. alternatīvas, kas neparedz tiesiskā regulējuma izstrādi)</w:t>
            </w:r>
            <w:r>
              <w:t xml:space="preserve"> </w:t>
            </w:r>
            <w:r w:rsidRPr="00011110">
              <w:t>– kādos gadījumos būtu iespējams izvairīties no stingrāku prasību</w:t>
            </w:r>
            <w:r w:rsidRPr="00C932B6">
              <w:rPr>
                <w:spacing w:val="-3"/>
              </w:rPr>
              <w:t xml:space="preserve"> noteikšanas, nekā paredzēts attiecīgajos ES tiesību aktos</w:t>
            </w:r>
          </w:p>
        </w:tc>
      </w:tr>
      <w:tr w:rsidR="00811130" w:rsidRPr="00D71109" w:rsidTr="0046744E">
        <w:trPr>
          <w:cantSplit/>
          <w:trHeight w:val="2068"/>
        </w:trPr>
        <w:tc>
          <w:tcPr>
            <w:tcW w:w="1824" w:type="dxa"/>
            <w:gridSpan w:val="2"/>
            <w:tcBorders>
              <w:top w:val="outset" w:sz="6" w:space="0" w:color="auto"/>
              <w:left w:val="outset" w:sz="6" w:space="0" w:color="auto"/>
              <w:bottom w:val="outset" w:sz="6" w:space="0" w:color="auto"/>
              <w:right w:val="outset" w:sz="6" w:space="0" w:color="auto"/>
            </w:tcBorders>
          </w:tcPr>
          <w:p w:rsidR="00811130" w:rsidRPr="00806635" w:rsidRDefault="00811130" w:rsidP="0046744E">
            <w:pPr>
              <w:spacing w:after="120"/>
              <w:ind w:left="57"/>
              <w:rPr>
                <w:spacing w:val="-3"/>
              </w:rPr>
            </w:pPr>
            <w:r w:rsidRPr="00806635">
              <w:rPr>
                <w:spacing w:val="-3"/>
              </w:rPr>
              <w:t>Direktīvas 2009/20/EK 7.pants</w:t>
            </w:r>
          </w:p>
          <w:p w:rsidR="00811130" w:rsidRPr="00B662AA" w:rsidRDefault="00811130" w:rsidP="0046744E">
            <w:pPr>
              <w:spacing w:after="120"/>
              <w:ind w:right="-1"/>
              <w:rPr>
                <w:spacing w:val="-2"/>
                <w:sz w:val="26"/>
                <w:szCs w:val="26"/>
              </w:rPr>
            </w:pPr>
          </w:p>
        </w:tc>
        <w:tc>
          <w:tcPr>
            <w:tcW w:w="1852" w:type="dxa"/>
            <w:tcBorders>
              <w:top w:val="outset" w:sz="6" w:space="0" w:color="auto"/>
              <w:left w:val="outset" w:sz="6" w:space="0" w:color="auto"/>
              <w:bottom w:val="outset" w:sz="6" w:space="0" w:color="auto"/>
              <w:right w:val="outset" w:sz="6" w:space="0" w:color="auto"/>
            </w:tcBorders>
          </w:tcPr>
          <w:p w:rsidR="00811130" w:rsidRPr="00806635" w:rsidRDefault="00811130" w:rsidP="0046744E">
            <w:pPr>
              <w:spacing w:after="120"/>
              <w:ind w:left="57"/>
              <w:rPr>
                <w:spacing w:val="-3"/>
              </w:rPr>
            </w:pPr>
            <w:r w:rsidRPr="00806635">
              <w:rPr>
                <w:spacing w:val="-3"/>
              </w:rPr>
              <w:t>Administratīvā pārkāpuma kodeksa</w:t>
            </w:r>
          </w:p>
          <w:p w:rsidR="00811130" w:rsidRPr="00B662AA" w:rsidRDefault="00811130" w:rsidP="0046744E">
            <w:pPr>
              <w:spacing w:after="120"/>
              <w:ind w:right="-1"/>
              <w:rPr>
                <w:spacing w:val="-2"/>
                <w:sz w:val="26"/>
                <w:szCs w:val="26"/>
              </w:rPr>
            </w:pPr>
            <w:r w:rsidRPr="00806635">
              <w:rPr>
                <w:spacing w:val="-3"/>
              </w:rPr>
              <w:t>116.panta pirmā daļa</w:t>
            </w:r>
          </w:p>
        </w:tc>
        <w:tc>
          <w:tcPr>
            <w:tcW w:w="2719" w:type="dxa"/>
            <w:gridSpan w:val="2"/>
            <w:tcBorders>
              <w:top w:val="outset" w:sz="6" w:space="0" w:color="auto"/>
              <w:left w:val="outset" w:sz="6" w:space="0" w:color="auto"/>
              <w:bottom w:val="outset" w:sz="6" w:space="0" w:color="auto"/>
              <w:right w:val="outset" w:sz="6" w:space="0" w:color="auto"/>
            </w:tcBorders>
          </w:tcPr>
          <w:p w:rsidR="00811130" w:rsidRPr="00B662AA" w:rsidRDefault="00811130" w:rsidP="0046744E">
            <w:pPr>
              <w:ind w:right="-1"/>
              <w:rPr>
                <w:spacing w:val="-2"/>
                <w:sz w:val="26"/>
                <w:szCs w:val="26"/>
              </w:rPr>
            </w:pPr>
            <w:r w:rsidRPr="00806635">
              <w:rPr>
                <w:spacing w:val="-3"/>
              </w:rPr>
              <w:t>Direktīvas 2009/20/EK 7.pants pārņemts pilnībā.</w:t>
            </w:r>
          </w:p>
        </w:tc>
        <w:tc>
          <w:tcPr>
            <w:tcW w:w="2819" w:type="dxa"/>
            <w:tcBorders>
              <w:top w:val="outset" w:sz="6" w:space="0" w:color="auto"/>
              <w:left w:val="outset" w:sz="6" w:space="0" w:color="auto"/>
              <w:bottom w:val="outset" w:sz="6" w:space="0" w:color="auto"/>
              <w:right w:val="outset" w:sz="6" w:space="0" w:color="auto"/>
            </w:tcBorders>
          </w:tcPr>
          <w:p w:rsidR="00811130" w:rsidRPr="00B662AA" w:rsidRDefault="00811130" w:rsidP="0046744E">
            <w:pPr>
              <w:ind w:right="-1"/>
              <w:rPr>
                <w:spacing w:val="-2"/>
                <w:sz w:val="26"/>
                <w:szCs w:val="26"/>
              </w:rPr>
            </w:pPr>
            <w:r w:rsidRPr="00806635">
              <w:t>Stingrākas prasības netiek paredzētas</w:t>
            </w:r>
          </w:p>
        </w:tc>
      </w:tr>
      <w:tr w:rsidR="00811130" w:rsidRPr="00D71109" w:rsidTr="0046744E">
        <w:trPr>
          <w:cantSplit/>
          <w:trHeight w:val="2068"/>
        </w:trPr>
        <w:tc>
          <w:tcPr>
            <w:tcW w:w="1824" w:type="dxa"/>
            <w:gridSpan w:val="2"/>
            <w:tcBorders>
              <w:top w:val="outset" w:sz="6" w:space="0" w:color="auto"/>
              <w:left w:val="outset" w:sz="6" w:space="0" w:color="auto"/>
              <w:bottom w:val="outset" w:sz="6" w:space="0" w:color="auto"/>
              <w:right w:val="outset" w:sz="6" w:space="0" w:color="auto"/>
            </w:tcBorders>
          </w:tcPr>
          <w:p w:rsidR="00811130" w:rsidRPr="00806635" w:rsidRDefault="00811130" w:rsidP="0046744E">
            <w:pPr>
              <w:spacing w:after="120"/>
              <w:ind w:left="57"/>
              <w:jc w:val="both"/>
              <w:rPr>
                <w:spacing w:val="-3"/>
              </w:rPr>
            </w:pPr>
            <w:r>
              <w:rPr>
                <w:spacing w:val="-3"/>
              </w:rPr>
              <w:t xml:space="preserve">Direktīvas </w:t>
            </w:r>
            <w:r w:rsidRPr="00806635">
              <w:rPr>
                <w:spacing w:val="-3"/>
              </w:rPr>
              <w:t>2009/18/EK 22.pants</w:t>
            </w:r>
          </w:p>
          <w:p w:rsidR="00811130" w:rsidRPr="00806635" w:rsidRDefault="00811130" w:rsidP="0046744E">
            <w:pPr>
              <w:spacing w:after="120"/>
              <w:ind w:left="57"/>
              <w:rPr>
                <w:spacing w:val="-3"/>
              </w:rPr>
            </w:pPr>
          </w:p>
        </w:tc>
        <w:tc>
          <w:tcPr>
            <w:tcW w:w="1852" w:type="dxa"/>
            <w:tcBorders>
              <w:top w:val="outset" w:sz="6" w:space="0" w:color="auto"/>
              <w:left w:val="outset" w:sz="6" w:space="0" w:color="auto"/>
              <w:bottom w:val="outset" w:sz="6" w:space="0" w:color="auto"/>
              <w:right w:val="outset" w:sz="6" w:space="0" w:color="auto"/>
            </w:tcBorders>
          </w:tcPr>
          <w:p w:rsidR="00811130" w:rsidRPr="00806635" w:rsidRDefault="00811130" w:rsidP="0046744E">
            <w:pPr>
              <w:spacing w:after="120"/>
              <w:ind w:left="57"/>
              <w:rPr>
                <w:spacing w:val="-3"/>
              </w:rPr>
            </w:pPr>
            <w:r w:rsidRPr="00806635">
              <w:rPr>
                <w:spacing w:val="-3"/>
              </w:rPr>
              <w:t>Administratīvā pārkāpuma kodeksa</w:t>
            </w:r>
          </w:p>
          <w:p w:rsidR="00811130" w:rsidRPr="00806635" w:rsidRDefault="00811130" w:rsidP="0046744E">
            <w:pPr>
              <w:spacing w:after="120"/>
              <w:ind w:left="57"/>
              <w:rPr>
                <w:spacing w:val="-3"/>
              </w:rPr>
            </w:pPr>
            <w:r w:rsidRPr="00806635">
              <w:rPr>
                <w:spacing w:val="-3"/>
              </w:rPr>
              <w:t xml:space="preserve">115 </w:t>
            </w:r>
            <w:r w:rsidRPr="00806635">
              <w:rPr>
                <w:spacing w:val="-3"/>
                <w:vertAlign w:val="superscript"/>
              </w:rPr>
              <w:t xml:space="preserve">1 </w:t>
            </w:r>
            <w:r w:rsidRPr="00806635">
              <w:rPr>
                <w:spacing w:val="-3"/>
              </w:rPr>
              <w:t>panta pirmā daļa</w:t>
            </w:r>
          </w:p>
        </w:tc>
        <w:tc>
          <w:tcPr>
            <w:tcW w:w="2719" w:type="dxa"/>
            <w:gridSpan w:val="2"/>
            <w:tcBorders>
              <w:top w:val="outset" w:sz="6" w:space="0" w:color="auto"/>
              <w:left w:val="outset" w:sz="6" w:space="0" w:color="auto"/>
              <w:bottom w:val="outset" w:sz="6" w:space="0" w:color="auto"/>
              <w:right w:val="outset" w:sz="6" w:space="0" w:color="auto"/>
            </w:tcBorders>
          </w:tcPr>
          <w:p w:rsidR="00811130" w:rsidRPr="00806635" w:rsidRDefault="00811130" w:rsidP="0046744E">
            <w:pPr>
              <w:ind w:right="-1"/>
              <w:rPr>
                <w:spacing w:val="-3"/>
              </w:rPr>
            </w:pPr>
            <w:r w:rsidRPr="00806635">
              <w:rPr>
                <w:spacing w:val="-3"/>
              </w:rPr>
              <w:t xml:space="preserve">Direktīvas 2009/18/EK 22.pants pārņemts </w:t>
            </w:r>
            <w:r>
              <w:rPr>
                <w:spacing w:val="-3"/>
              </w:rPr>
              <w:t>daļēji</w:t>
            </w:r>
            <w:r w:rsidRPr="00806635">
              <w:rPr>
                <w:spacing w:val="-3"/>
              </w:rPr>
              <w:t>.</w:t>
            </w:r>
          </w:p>
        </w:tc>
        <w:tc>
          <w:tcPr>
            <w:tcW w:w="2819" w:type="dxa"/>
            <w:tcBorders>
              <w:top w:val="outset" w:sz="6" w:space="0" w:color="auto"/>
              <w:left w:val="outset" w:sz="6" w:space="0" w:color="auto"/>
              <w:bottom w:val="outset" w:sz="6" w:space="0" w:color="auto"/>
              <w:right w:val="outset" w:sz="6" w:space="0" w:color="auto"/>
            </w:tcBorders>
          </w:tcPr>
          <w:p w:rsidR="00811130" w:rsidRPr="00806635" w:rsidRDefault="00811130" w:rsidP="0046744E">
            <w:pPr>
              <w:ind w:right="-1"/>
            </w:pPr>
            <w:r w:rsidRPr="00806635">
              <w:t>Stingrākas prasības netiek paredzētas</w:t>
            </w:r>
          </w:p>
        </w:tc>
      </w:tr>
      <w:tr w:rsidR="00A915CC" w:rsidRPr="00D71109" w:rsidTr="0046744E">
        <w:trPr>
          <w:cantSplit/>
          <w:trHeight w:val="2068"/>
        </w:trPr>
        <w:tc>
          <w:tcPr>
            <w:tcW w:w="1824" w:type="dxa"/>
            <w:gridSpan w:val="2"/>
            <w:tcBorders>
              <w:top w:val="outset" w:sz="6" w:space="0" w:color="auto"/>
              <w:left w:val="outset" w:sz="6" w:space="0" w:color="auto"/>
              <w:bottom w:val="outset" w:sz="6" w:space="0" w:color="auto"/>
              <w:right w:val="outset" w:sz="6" w:space="0" w:color="auto"/>
            </w:tcBorders>
          </w:tcPr>
          <w:p w:rsidR="00A915CC" w:rsidRDefault="00A915CC" w:rsidP="003E0214">
            <w:pPr>
              <w:spacing w:after="120"/>
              <w:ind w:left="57"/>
              <w:rPr>
                <w:spacing w:val="-3"/>
              </w:rPr>
            </w:pPr>
            <w:r w:rsidRPr="00806635">
              <w:rPr>
                <w:spacing w:val="-3"/>
              </w:rPr>
              <w:t>Direktīvas 2009/16/EK 34.pants</w:t>
            </w:r>
          </w:p>
        </w:tc>
        <w:tc>
          <w:tcPr>
            <w:tcW w:w="1852" w:type="dxa"/>
            <w:tcBorders>
              <w:top w:val="outset" w:sz="6" w:space="0" w:color="auto"/>
              <w:left w:val="outset" w:sz="6" w:space="0" w:color="auto"/>
              <w:bottom w:val="outset" w:sz="6" w:space="0" w:color="auto"/>
              <w:right w:val="outset" w:sz="6" w:space="0" w:color="auto"/>
            </w:tcBorders>
          </w:tcPr>
          <w:p w:rsidR="00A915CC" w:rsidRPr="00806635" w:rsidRDefault="00A915CC" w:rsidP="0046744E">
            <w:pPr>
              <w:spacing w:after="120"/>
              <w:ind w:left="57"/>
              <w:rPr>
                <w:spacing w:val="-3"/>
              </w:rPr>
            </w:pPr>
            <w:r w:rsidRPr="00806635">
              <w:rPr>
                <w:spacing w:val="-3"/>
              </w:rPr>
              <w:t>Administratīv</w:t>
            </w:r>
            <w:r>
              <w:rPr>
                <w:spacing w:val="-3"/>
              </w:rPr>
              <w:t>o pārkāpumu</w:t>
            </w:r>
            <w:r w:rsidRPr="00806635">
              <w:rPr>
                <w:spacing w:val="-3"/>
              </w:rPr>
              <w:t xml:space="preserve"> kodeksa</w:t>
            </w:r>
          </w:p>
          <w:p w:rsidR="00A915CC" w:rsidRPr="00806635" w:rsidRDefault="00A915CC" w:rsidP="0046744E">
            <w:pPr>
              <w:spacing w:after="120"/>
              <w:ind w:left="57"/>
              <w:rPr>
                <w:spacing w:val="-3"/>
              </w:rPr>
            </w:pPr>
            <w:r w:rsidRPr="00806635">
              <w:rPr>
                <w:spacing w:val="-3"/>
              </w:rPr>
              <w:t xml:space="preserve">115 </w:t>
            </w:r>
            <w:r w:rsidRPr="00806635">
              <w:rPr>
                <w:spacing w:val="-3"/>
                <w:vertAlign w:val="superscript"/>
              </w:rPr>
              <w:t xml:space="preserve">1 </w:t>
            </w:r>
            <w:r w:rsidRPr="00806635">
              <w:rPr>
                <w:spacing w:val="-3"/>
              </w:rPr>
              <w:t>panta ceturtā daļa un 116.pants</w:t>
            </w:r>
          </w:p>
        </w:tc>
        <w:tc>
          <w:tcPr>
            <w:tcW w:w="2719" w:type="dxa"/>
            <w:gridSpan w:val="2"/>
            <w:tcBorders>
              <w:top w:val="outset" w:sz="6" w:space="0" w:color="auto"/>
              <w:left w:val="outset" w:sz="6" w:space="0" w:color="auto"/>
              <w:bottom w:val="outset" w:sz="6" w:space="0" w:color="auto"/>
              <w:right w:val="outset" w:sz="6" w:space="0" w:color="auto"/>
            </w:tcBorders>
          </w:tcPr>
          <w:p w:rsidR="00A915CC" w:rsidRPr="00806635" w:rsidRDefault="00A915CC" w:rsidP="0046744E">
            <w:pPr>
              <w:spacing w:after="120"/>
              <w:ind w:left="57"/>
              <w:jc w:val="both"/>
              <w:rPr>
                <w:spacing w:val="-3"/>
              </w:rPr>
            </w:pPr>
            <w:r w:rsidRPr="00806635">
              <w:rPr>
                <w:spacing w:val="-3"/>
              </w:rPr>
              <w:t>Direktīvas 2009/16/EK 34.pants pārņemts pilnībā.</w:t>
            </w:r>
          </w:p>
          <w:p w:rsidR="00A915CC" w:rsidRPr="00806635" w:rsidRDefault="00A915CC" w:rsidP="0046744E">
            <w:pPr>
              <w:ind w:right="-1"/>
              <w:rPr>
                <w:spacing w:val="-3"/>
              </w:rPr>
            </w:pPr>
          </w:p>
        </w:tc>
        <w:tc>
          <w:tcPr>
            <w:tcW w:w="2819" w:type="dxa"/>
            <w:tcBorders>
              <w:top w:val="outset" w:sz="6" w:space="0" w:color="auto"/>
              <w:left w:val="outset" w:sz="6" w:space="0" w:color="auto"/>
              <w:bottom w:val="outset" w:sz="6" w:space="0" w:color="auto"/>
              <w:right w:val="outset" w:sz="6" w:space="0" w:color="auto"/>
            </w:tcBorders>
          </w:tcPr>
          <w:p w:rsidR="00A915CC" w:rsidRPr="00806635" w:rsidRDefault="00A915CC" w:rsidP="0046744E">
            <w:pPr>
              <w:ind w:right="-1"/>
            </w:pPr>
            <w:r w:rsidRPr="00806635">
              <w:t>Stingrākas prasības netiek paredzētas</w:t>
            </w:r>
          </w:p>
        </w:tc>
      </w:tr>
      <w:tr w:rsidR="00560300" w:rsidRPr="00BA3C4F" w:rsidTr="0046744E">
        <w:trPr>
          <w:cantSplit/>
          <w:trHeight w:val="281"/>
        </w:trPr>
        <w:tc>
          <w:tcPr>
            <w:tcW w:w="1824" w:type="dxa"/>
            <w:gridSpan w:val="2"/>
            <w:tcBorders>
              <w:top w:val="outset" w:sz="6" w:space="0" w:color="auto"/>
              <w:left w:val="outset" w:sz="6" w:space="0" w:color="auto"/>
              <w:bottom w:val="outset" w:sz="6" w:space="0" w:color="auto"/>
              <w:right w:val="outset" w:sz="6" w:space="0" w:color="auto"/>
            </w:tcBorders>
          </w:tcPr>
          <w:p w:rsidR="00560300" w:rsidRPr="00D71109" w:rsidRDefault="00560300" w:rsidP="0046744E">
            <w:pPr>
              <w:ind w:left="57"/>
              <w:rPr>
                <w:spacing w:val="-3"/>
              </w:rPr>
            </w:pPr>
            <w:r w:rsidRPr="00D71109">
              <w:rPr>
                <w:spacing w:val="-3"/>
              </w:rPr>
              <w:lastRenderedPageBreak/>
              <w:t>Kā ir izmantota ES tiesību aktā paredzētā rīcības brīvība dalībvalstij pārņemt vai ieviest noteiktas ES tiesību akta normas</w:t>
            </w:r>
            <w:r>
              <w:rPr>
                <w:spacing w:val="-3"/>
              </w:rPr>
              <w:t>?</w:t>
            </w:r>
          </w:p>
          <w:p w:rsidR="00560300" w:rsidRPr="00D71109" w:rsidRDefault="00560300" w:rsidP="0046744E">
            <w:pPr>
              <w:ind w:left="57"/>
              <w:rPr>
                <w:spacing w:val="-3"/>
              </w:rPr>
            </w:pPr>
            <w:r w:rsidRPr="00D71109">
              <w:rPr>
                <w:spacing w:val="-3"/>
              </w:rPr>
              <w:t>Kādēļ?</w:t>
            </w:r>
          </w:p>
        </w:tc>
        <w:tc>
          <w:tcPr>
            <w:tcW w:w="7390" w:type="dxa"/>
            <w:gridSpan w:val="4"/>
            <w:tcBorders>
              <w:top w:val="outset" w:sz="6" w:space="0" w:color="auto"/>
              <w:left w:val="outset" w:sz="6" w:space="0" w:color="auto"/>
              <w:bottom w:val="outset" w:sz="6" w:space="0" w:color="auto"/>
              <w:right w:val="outset" w:sz="6" w:space="0" w:color="auto"/>
            </w:tcBorders>
          </w:tcPr>
          <w:p w:rsidR="00B102E2" w:rsidRPr="00560300" w:rsidRDefault="00B102E2" w:rsidP="00B102E2">
            <w:pPr>
              <w:pStyle w:val="NoSpacing"/>
              <w:ind w:firstLine="720"/>
              <w:jc w:val="both"/>
              <w:rPr>
                <w:rFonts w:ascii="Times New Roman" w:hAnsi="Times New Roman"/>
                <w:sz w:val="24"/>
                <w:szCs w:val="24"/>
              </w:rPr>
            </w:pPr>
            <w:r w:rsidRPr="00560300">
              <w:rPr>
                <w:rFonts w:ascii="Times New Roman" w:hAnsi="Times New Roman"/>
                <w:sz w:val="24"/>
                <w:szCs w:val="24"/>
              </w:rPr>
              <w:t>Direktīvas 2009/20/EK tiesību normas nacionālajā normatīvajos aktos tiks pārņemtas ar likumprojektu „Grozījumi Jūras kodeksā”, kas izsludināts Valsts sekretāru sanāksmē š.g. 26.maijā (VSS – 512), un Ministru kabineta noteikumu projektu „Grozījumi Ministru kabineta 2010.gada 21.decembra noteikumos Nr. 1164 „Ostas valsts kontroles kārtība”, kurus paredzēts izsludināt Valsts sekretāru sanāksmē š.g. 30.jūnijā. Direktīvas 2009/20/EK transponēšanas termiņš ir 2012.gada 1.janvāris.</w:t>
            </w:r>
          </w:p>
          <w:p w:rsidR="00B102E2" w:rsidRPr="00560300" w:rsidRDefault="00B102E2" w:rsidP="00B102E2">
            <w:pPr>
              <w:pStyle w:val="NoSpacing"/>
              <w:ind w:firstLine="720"/>
              <w:jc w:val="both"/>
              <w:rPr>
                <w:rFonts w:ascii="Times New Roman" w:hAnsi="Times New Roman"/>
                <w:sz w:val="24"/>
                <w:szCs w:val="24"/>
                <w:lang w:eastAsia="lv-LV"/>
              </w:rPr>
            </w:pPr>
            <w:r w:rsidRPr="00560300">
              <w:rPr>
                <w:rFonts w:ascii="Times New Roman" w:hAnsi="Times New Roman"/>
                <w:sz w:val="24"/>
                <w:szCs w:val="24"/>
              </w:rPr>
              <w:t xml:space="preserve">Saskaņā ar direktīvas 2009/20/EK 4.panta 1.punktu, katra dalībvalsts prasa, lai ar šīs dalībvalsts karogu kuģojošo kuģu īpašnieki šādus kuģus būtu apdrošinājuši. Atbilstoši direktīvas 2009/20/EK 6.panta 1.punktam, apdrošināšanas esamību pierāda ar apdrošināšanas sertifikātu vai sertifikātiem, kuri atrodas uz kuģa. Savukārt Direktīvas 2009/20/EK 7.pants paredz dalībvalstij noteikt sankciju sistēmu, ja netiek izpildīts 4.panta 1.punkts. Latvijas Administratīvo pārkāpumu kodeksa (turpmāk – LAPK) 116.panta „Kuģa ekspluatācijas noteikumu pārkāpšana” pirmajā daļā ir paredzēta sankcija „Par kuģa ekspluatāciju, ja uz tā nav dokumentu, kuru atrašanās uz kuģa ir obligāta, vai ja šie dokumenti nav apstiprināti, reģistrēti, aizpildīti vai netiek uzglabāti atbilstoši normatīvajos aktos noteiktajām prasībām (izņemot kuģa sertifikātus)”. </w:t>
            </w:r>
            <w:r w:rsidRPr="00560300">
              <w:rPr>
                <w:rFonts w:ascii="Times New Roman" w:hAnsi="Times New Roman"/>
                <w:sz w:val="24"/>
                <w:szCs w:val="24"/>
                <w:lang w:eastAsia="lv-LV"/>
              </w:rPr>
              <w:t>Minētā sankcija atbilst Direktīvas 2009/20/EK 7.pantā paredzētajam par dalībvalsts sankciju sistēmas noteikšanu.</w:t>
            </w:r>
          </w:p>
          <w:p w:rsidR="00B102E2" w:rsidRPr="00560300" w:rsidRDefault="00B102E2" w:rsidP="00B102E2">
            <w:pPr>
              <w:pStyle w:val="NoSpacing"/>
              <w:ind w:firstLine="720"/>
              <w:jc w:val="both"/>
              <w:rPr>
                <w:bCs/>
                <w:sz w:val="24"/>
                <w:szCs w:val="24"/>
              </w:rPr>
            </w:pPr>
            <w:r w:rsidRPr="00560300">
              <w:rPr>
                <w:rFonts w:ascii="Times New Roman" w:hAnsi="Times New Roman"/>
                <w:sz w:val="24"/>
                <w:szCs w:val="24"/>
                <w:lang w:eastAsia="lv-LV"/>
              </w:rPr>
              <w:t>Ņemot vērā, ka LAPK jau ir atbilstoša sankcija par Direktīvas 2009/20/EK noteikto prasību neizpildi un ievērojot, ka atbilstoši Direktīvas 2009/20/EK 9.panta 1.punktam, „Kad dalībvalsts pieņem minētos noteikumus, tajos ietver atsauci uz šo direktīvu”, nepieciešams attiecīgi papildināt LAPK informatīvo atsauci uz Eiropas Savienības direktīvām.</w:t>
            </w:r>
          </w:p>
          <w:p w:rsidR="00B102E2" w:rsidRPr="00560300" w:rsidRDefault="00B102E2" w:rsidP="00B102E2">
            <w:pPr>
              <w:pStyle w:val="NoSpacing"/>
              <w:ind w:firstLine="720"/>
              <w:jc w:val="both"/>
              <w:rPr>
                <w:rFonts w:ascii="Times New Roman" w:hAnsi="Times New Roman"/>
                <w:bCs/>
                <w:sz w:val="24"/>
                <w:szCs w:val="24"/>
              </w:rPr>
            </w:pPr>
            <w:r w:rsidRPr="00560300">
              <w:rPr>
                <w:rFonts w:ascii="Times New Roman" w:hAnsi="Times New Roman"/>
                <w:bCs/>
                <w:sz w:val="24"/>
                <w:szCs w:val="24"/>
              </w:rPr>
              <w:t>Lai nodrošinātu Direktīvas 2009/18/EK transponēšanu nacionālajā likumdošanā (termiņš – 2011.gada 17.jūnijs), ir:</w:t>
            </w:r>
          </w:p>
          <w:p w:rsidR="00B102E2" w:rsidRPr="00560300" w:rsidRDefault="00B102E2" w:rsidP="00B102E2">
            <w:pPr>
              <w:pStyle w:val="NoSpacing"/>
              <w:jc w:val="both"/>
              <w:rPr>
                <w:rFonts w:ascii="Times New Roman" w:hAnsi="Times New Roman"/>
                <w:bCs/>
                <w:sz w:val="24"/>
                <w:szCs w:val="24"/>
              </w:rPr>
            </w:pPr>
            <w:r w:rsidRPr="00560300">
              <w:rPr>
                <w:rFonts w:ascii="Times New Roman" w:hAnsi="Times New Roman"/>
                <w:bCs/>
                <w:sz w:val="24"/>
                <w:szCs w:val="24"/>
              </w:rPr>
              <w:t xml:space="preserve">1) sagatavots Ministru kabineta noteikumu projekts „Noteikumi par jūras negadījumu un jūras incidentu izmeklēšanu kuģošanas drošības aspektā” (VSS – 297), ar kuru tiks pārņemta daļa direktīvas 2009/18/EK tiesību normu. Noteikumu projekts ir iesniegts Valsts kancelejā un to plānots izskatīt vienā no tuvākajām Ministru kabineta sēdēm. Līdz ar noteikumu projekta pieņemšanu spēku zaudēs Ministru kabineta 2009.gada 22.decembra noteikumi Nr. 1612 „Jūras negadījumu izmeklēšanas kārtība”, kuru II. nodaļā ir atrunāts paziņošanas pienākums par jūras negadījumu, par kura nepildīšanu ir paredzēta administratīvā atbildība LAPK 115 </w:t>
            </w:r>
            <w:r w:rsidRPr="00560300">
              <w:rPr>
                <w:rFonts w:ascii="Times New Roman" w:hAnsi="Times New Roman"/>
                <w:bCs/>
                <w:sz w:val="24"/>
                <w:szCs w:val="24"/>
                <w:vertAlign w:val="superscript"/>
              </w:rPr>
              <w:t>1</w:t>
            </w:r>
            <w:r w:rsidRPr="00560300">
              <w:rPr>
                <w:rFonts w:ascii="Times New Roman" w:hAnsi="Times New Roman"/>
                <w:bCs/>
                <w:sz w:val="24"/>
                <w:szCs w:val="24"/>
              </w:rPr>
              <w:t xml:space="preserve"> panta pirmajā daļā;</w:t>
            </w:r>
          </w:p>
          <w:p w:rsidR="00B102E2" w:rsidRDefault="00B102E2" w:rsidP="00B102E2">
            <w:pPr>
              <w:pStyle w:val="NoSpacing"/>
              <w:jc w:val="both"/>
              <w:rPr>
                <w:rFonts w:ascii="Times New Roman" w:hAnsi="Times New Roman"/>
                <w:bCs/>
                <w:sz w:val="24"/>
                <w:szCs w:val="24"/>
              </w:rPr>
            </w:pPr>
            <w:r w:rsidRPr="00560300">
              <w:rPr>
                <w:rFonts w:ascii="Times New Roman" w:hAnsi="Times New Roman"/>
                <w:bCs/>
                <w:sz w:val="24"/>
                <w:szCs w:val="24"/>
              </w:rPr>
              <w:t>2) likumprojekts „Grozījumi Jūrlietu pārvaldes un jūras drošības likumā” (likumprojekts š.g. 9.jūnijā izskatīts Saeimā 1.lasījumā), ar kuru tiks pārņemta daļa direktīvas 2009/18/EK tiesību normu. Ar likumprojekta 17.punktu noteikts Jūrlietu pārvaldes un jūras drošības likuma 50.</w:t>
            </w:r>
            <w:r w:rsidRPr="00560300">
              <w:rPr>
                <w:rFonts w:ascii="Times New Roman" w:hAnsi="Times New Roman"/>
                <w:bCs/>
                <w:sz w:val="24"/>
                <w:szCs w:val="24"/>
                <w:vertAlign w:val="superscript"/>
              </w:rPr>
              <w:t xml:space="preserve">1 </w:t>
            </w:r>
            <w:r w:rsidRPr="00560300">
              <w:rPr>
                <w:rFonts w:ascii="Times New Roman" w:hAnsi="Times New Roman"/>
                <w:bCs/>
                <w:sz w:val="24"/>
                <w:szCs w:val="24"/>
              </w:rPr>
              <w:t>pantā „Ziņošana par jūras negadījumu un jūras incidentu” ziņošanas pienākums par jūras negadījumu un jūras incidentu, kas nodrošina Direktīvas 2009/18/EK 6.panta tiesību normu pārņemšanu nacionālajā likumdošanā. Ziņošanas pienākuma nepildīšanas gadījumā būs piemērojama jau minētā LAPK 115.</w:t>
            </w:r>
            <w:r w:rsidRPr="00560300">
              <w:rPr>
                <w:rFonts w:ascii="Times New Roman" w:hAnsi="Times New Roman"/>
                <w:bCs/>
                <w:sz w:val="24"/>
                <w:szCs w:val="24"/>
                <w:vertAlign w:val="superscript"/>
              </w:rPr>
              <w:t>1</w:t>
            </w:r>
            <w:r w:rsidRPr="00560300">
              <w:rPr>
                <w:rFonts w:ascii="Times New Roman" w:hAnsi="Times New Roman"/>
                <w:bCs/>
                <w:sz w:val="24"/>
                <w:szCs w:val="24"/>
              </w:rPr>
              <w:t xml:space="preserve"> panta pirmajā daļā paredzētā administratīvā atbildība, tādējādi izpildot Direktīvas 2009/18/EK 22.pantā „Sankcijas” noteikto.</w:t>
            </w:r>
            <w:r w:rsidR="00D27562">
              <w:rPr>
                <w:rFonts w:ascii="Times New Roman" w:hAnsi="Times New Roman"/>
                <w:bCs/>
                <w:sz w:val="24"/>
                <w:szCs w:val="24"/>
              </w:rPr>
              <w:t xml:space="preserve"> </w:t>
            </w:r>
          </w:p>
          <w:p w:rsidR="00560300" w:rsidRPr="00BA3C4F" w:rsidRDefault="00560300" w:rsidP="0046744E">
            <w:pPr>
              <w:ind w:left="57"/>
            </w:pPr>
          </w:p>
        </w:tc>
      </w:tr>
      <w:tr w:rsidR="00560300" w:rsidRPr="00BA3C4F" w:rsidTr="0046744E">
        <w:trPr>
          <w:cantSplit/>
          <w:trHeight w:val="913"/>
        </w:trPr>
        <w:tc>
          <w:tcPr>
            <w:tcW w:w="1824" w:type="dxa"/>
            <w:gridSpan w:val="2"/>
            <w:tcBorders>
              <w:top w:val="outset" w:sz="6" w:space="0" w:color="auto"/>
              <w:left w:val="outset" w:sz="6" w:space="0" w:color="auto"/>
              <w:bottom w:val="outset" w:sz="6" w:space="0" w:color="auto"/>
              <w:right w:val="outset" w:sz="6" w:space="0" w:color="auto"/>
            </w:tcBorders>
          </w:tcPr>
          <w:p w:rsidR="00560300" w:rsidRPr="00D71109" w:rsidRDefault="00560300" w:rsidP="0046744E">
            <w:pPr>
              <w:ind w:left="57"/>
              <w:rPr>
                <w:spacing w:val="-3"/>
              </w:rPr>
            </w:pPr>
            <w:r w:rsidRPr="00011110">
              <w:rPr>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0" w:type="dxa"/>
            <w:gridSpan w:val="4"/>
            <w:tcBorders>
              <w:top w:val="outset" w:sz="6" w:space="0" w:color="auto"/>
              <w:left w:val="outset" w:sz="6" w:space="0" w:color="auto"/>
              <w:bottom w:val="outset" w:sz="6" w:space="0" w:color="auto"/>
              <w:right w:val="outset" w:sz="6" w:space="0" w:color="auto"/>
            </w:tcBorders>
          </w:tcPr>
          <w:p w:rsidR="00560300" w:rsidRPr="00BA3C4F" w:rsidRDefault="00B102E2" w:rsidP="0046744E">
            <w:pPr>
              <w:ind w:left="57"/>
            </w:pPr>
            <w:r>
              <w:t>Nav attiecināms</w:t>
            </w:r>
          </w:p>
        </w:tc>
      </w:tr>
      <w:tr w:rsidR="00560300" w:rsidRPr="00BA3C4F" w:rsidTr="0046744E">
        <w:trPr>
          <w:cantSplit/>
          <w:trHeight w:val="579"/>
        </w:trPr>
        <w:tc>
          <w:tcPr>
            <w:tcW w:w="1824" w:type="dxa"/>
            <w:gridSpan w:val="2"/>
            <w:tcBorders>
              <w:top w:val="outset" w:sz="6" w:space="0" w:color="auto"/>
              <w:left w:val="outset" w:sz="6" w:space="0" w:color="auto"/>
              <w:bottom w:val="outset" w:sz="6" w:space="0" w:color="auto"/>
              <w:right w:val="outset" w:sz="6" w:space="0" w:color="auto"/>
            </w:tcBorders>
          </w:tcPr>
          <w:p w:rsidR="00560300" w:rsidRPr="00BA3C4F" w:rsidRDefault="00560300" w:rsidP="0046744E">
            <w:pPr>
              <w:ind w:left="57"/>
            </w:pPr>
            <w:r w:rsidRPr="00BA3C4F">
              <w:t>Cita informācija</w:t>
            </w:r>
          </w:p>
        </w:tc>
        <w:tc>
          <w:tcPr>
            <w:tcW w:w="7390" w:type="dxa"/>
            <w:gridSpan w:val="4"/>
            <w:tcBorders>
              <w:top w:val="outset" w:sz="6" w:space="0" w:color="auto"/>
              <w:left w:val="outset" w:sz="6" w:space="0" w:color="auto"/>
              <w:bottom w:val="outset" w:sz="6" w:space="0" w:color="auto"/>
              <w:right w:val="outset" w:sz="6" w:space="0" w:color="auto"/>
            </w:tcBorders>
          </w:tcPr>
          <w:p w:rsidR="00560300" w:rsidRDefault="00560300" w:rsidP="00560300">
            <w:r>
              <w:t>Nav</w:t>
            </w:r>
          </w:p>
          <w:p w:rsidR="00560300" w:rsidRDefault="00560300" w:rsidP="0046744E">
            <w:pPr>
              <w:ind w:left="57"/>
            </w:pPr>
          </w:p>
          <w:p w:rsidR="00560300" w:rsidRPr="00BA3C4F" w:rsidRDefault="00560300" w:rsidP="00560300"/>
        </w:tc>
      </w:tr>
    </w:tbl>
    <w:p w:rsidR="00694F65" w:rsidRPr="00B662AA" w:rsidRDefault="00694F65" w:rsidP="00B662AA">
      <w:pPr>
        <w:ind w:right="-1"/>
        <w:rPr>
          <w:sz w:val="26"/>
          <w:szCs w:val="26"/>
        </w:rPr>
      </w:pPr>
    </w:p>
    <w:p w:rsidR="00694F65" w:rsidRPr="00B662AA" w:rsidRDefault="00694F65" w:rsidP="00B662AA">
      <w:pPr>
        <w:ind w:right="140"/>
        <w:rPr>
          <w:sz w:val="26"/>
          <w:szCs w:val="26"/>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072"/>
      </w:tblGrid>
      <w:tr w:rsidR="00694F65" w:rsidRPr="00B662AA" w:rsidTr="00CF2FCE">
        <w:trPr>
          <w:trHeight w:val="20"/>
        </w:trPr>
        <w:tc>
          <w:tcPr>
            <w:tcW w:w="9072" w:type="dxa"/>
            <w:tcBorders>
              <w:top w:val="outset" w:sz="6" w:space="0" w:color="auto"/>
              <w:left w:val="outset" w:sz="6" w:space="0" w:color="auto"/>
              <w:bottom w:val="outset" w:sz="6" w:space="0" w:color="auto"/>
              <w:right w:val="outset" w:sz="6" w:space="0" w:color="auto"/>
            </w:tcBorders>
            <w:vAlign w:val="center"/>
          </w:tcPr>
          <w:p w:rsidR="00694F65" w:rsidRPr="00B662AA" w:rsidRDefault="00694F65" w:rsidP="00B662AA">
            <w:pPr>
              <w:ind w:left="57" w:right="140"/>
              <w:jc w:val="center"/>
              <w:rPr>
                <w:b/>
                <w:sz w:val="26"/>
                <w:szCs w:val="26"/>
              </w:rPr>
            </w:pPr>
            <w:r w:rsidRPr="00B662AA">
              <w:rPr>
                <w:b/>
                <w:sz w:val="26"/>
                <w:szCs w:val="26"/>
              </w:rPr>
              <w:t>2.tabula</w:t>
            </w:r>
          </w:p>
          <w:p w:rsidR="00694F65" w:rsidRPr="00B662AA" w:rsidRDefault="00694F65" w:rsidP="00B662AA">
            <w:pPr>
              <w:ind w:left="57" w:right="140"/>
              <w:jc w:val="center"/>
              <w:rPr>
                <w:b/>
                <w:sz w:val="26"/>
                <w:szCs w:val="26"/>
              </w:rPr>
            </w:pPr>
            <w:r w:rsidRPr="00B662AA">
              <w:rPr>
                <w:b/>
                <w:sz w:val="26"/>
                <w:szCs w:val="26"/>
              </w:rPr>
              <w:t>Ar tiesību akta projektu izpildītās vai uzņemtās saistības, kas izriet no starptautiskajiem tiesību aktiem vai starptautiskas institūcijas vai organizācijas dokumentiem.</w:t>
            </w:r>
          </w:p>
          <w:p w:rsidR="00694F65" w:rsidRPr="00B662AA" w:rsidRDefault="00694F65" w:rsidP="00B662AA">
            <w:pPr>
              <w:ind w:left="57" w:right="140"/>
              <w:jc w:val="center"/>
              <w:rPr>
                <w:b/>
                <w:sz w:val="26"/>
                <w:szCs w:val="26"/>
              </w:rPr>
            </w:pPr>
            <w:r w:rsidRPr="00B662AA">
              <w:rPr>
                <w:b/>
                <w:sz w:val="26"/>
                <w:szCs w:val="26"/>
              </w:rPr>
              <w:t>Pasākumi šo saistību izpildei</w:t>
            </w:r>
          </w:p>
        </w:tc>
      </w:tr>
      <w:tr w:rsidR="006734D6" w:rsidRPr="00B662AA" w:rsidTr="00CF2FCE">
        <w:trPr>
          <w:trHeight w:val="20"/>
        </w:trPr>
        <w:tc>
          <w:tcPr>
            <w:tcW w:w="9072" w:type="dxa"/>
            <w:tcBorders>
              <w:top w:val="outset" w:sz="6" w:space="0" w:color="auto"/>
              <w:left w:val="outset" w:sz="6" w:space="0" w:color="auto"/>
              <w:bottom w:val="outset" w:sz="6" w:space="0" w:color="auto"/>
              <w:right w:val="outset" w:sz="6" w:space="0" w:color="auto"/>
            </w:tcBorders>
            <w:vAlign w:val="center"/>
          </w:tcPr>
          <w:p w:rsidR="006734D6" w:rsidRPr="006734D6" w:rsidRDefault="006734D6" w:rsidP="00B662AA">
            <w:pPr>
              <w:ind w:left="57" w:right="140"/>
              <w:jc w:val="center"/>
              <w:rPr>
                <w:i/>
                <w:sz w:val="26"/>
                <w:szCs w:val="26"/>
              </w:rPr>
            </w:pPr>
            <w:r>
              <w:rPr>
                <w:i/>
                <w:sz w:val="26"/>
                <w:szCs w:val="26"/>
              </w:rPr>
              <w:t>Projekts šo jomu neskar</w:t>
            </w:r>
          </w:p>
        </w:tc>
      </w:tr>
    </w:tbl>
    <w:p w:rsidR="00694F65" w:rsidRPr="00B662AA" w:rsidRDefault="00694F65" w:rsidP="00B662AA">
      <w:pPr>
        <w:pStyle w:val="naisf"/>
        <w:spacing w:before="0" w:after="0"/>
        <w:ind w:right="140"/>
        <w:jc w:val="center"/>
        <w:rPr>
          <w:b/>
          <w:sz w:val="26"/>
          <w:szCs w:val="26"/>
        </w:rPr>
      </w:pPr>
    </w:p>
    <w:tbl>
      <w:tblPr>
        <w:tblW w:w="9095"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
        <w:gridCol w:w="402"/>
        <w:gridCol w:w="4215"/>
        <w:gridCol w:w="4458"/>
      </w:tblGrid>
      <w:tr w:rsidR="00694F65" w:rsidRPr="00B662AA" w:rsidTr="00B662AA">
        <w:trPr>
          <w:jc w:val="center"/>
        </w:trPr>
        <w:tc>
          <w:tcPr>
            <w:tcW w:w="9092" w:type="dxa"/>
            <w:gridSpan w:val="4"/>
          </w:tcPr>
          <w:p w:rsidR="00694F65" w:rsidRPr="00B662AA" w:rsidRDefault="00694F65" w:rsidP="00B662AA">
            <w:pPr>
              <w:pStyle w:val="naisnod"/>
              <w:spacing w:before="0" w:after="0"/>
              <w:ind w:left="57" w:right="140"/>
              <w:rPr>
                <w:sz w:val="26"/>
                <w:szCs w:val="26"/>
              </w:rPr>
            </w:pPr>
            <w:r w:rsidRPr="00B662AA">
              <w:rPr>
                <w:sz w:val="26"/>
                <w:szCs w:val="26"/>
              </w:rPr>
              <w:t>VI. Sabiedrības līdzdalība un šīs līdzdalības rezultāti</w:t>
            </w:r>
          </w:p>
        </w:tc>
      </w:tr>
      <w:tr w:rsidR="00694F65" w:rsidRPr="00B662AA" w:rsidTr="00B662AA">
        <w:trPr>
          <w:trHeight w:val="553"/>
          <w:jc w:val="center"/>
        </w:trPr>
        <w:tc>
          <w:tcPr>
            <w:tcW w:w="422" w:type="dxa"/>
            <w:gridSpan w:val="2"/>
          </w:tcPr>
          <w:p w:rsidR="00694F65" w:rsidRPr="00B662AA" w:rsidRDefault="00694F65" w:rsidP="00B662AA">
            <w:pPr>
              <w:pStyle w:val="naiskr"/>
              <w:spacing w:before="0" w:after="0"/>
              <w:ind w:left="57" w:right="140"/>
              <w:rPr>
                <w:bCs/>
                <w:sz w:val="26"/>
                <w:szCs w:val="26"/>
              </w:rPr>
            </w:pPr>
            <w:r w:rsidRPr="00B662AA">
              <w:rPr>
                <w:bCs/>
                <w:sz w:val="26"/>
                <w:szCs w:val="26"/>
              </w:rPr>
              <w:t>1.</w:t>
            </w:r>
          </w:p>
        </w:tc>
        <w:tc>
          <w:tcPr>
            <w:tcW w:w="4215" w:type="dxa"/>
          </w:tcPr>
          <w:p w:rsidR="00694F65" w:rsidRPr="00B662AA" w:rsidRDefault="00694F65" w:rsidP="00B662AA">
            <w:pPr>
              <w:pStyle w:val="naiskr"/>
              <w:tabs>
                <w:tab w:val="left" w:pos="170"/>
              </w:tabs>
              <w:spacing w:before="0" w:after="0"/>
              <w:ind w:left="57" w:right="140"/>
              <w:rPr>
                <w:sz w:val="26"/>
                <w:szCs w:val="26"/>
              </w:rPr>
            </w:pPr>
            <w:r w:rsidRPr="00B662AA">
              <w:rPr>
                <w:sz w:val="26"/>
                <w:szCs w:val="26"/>
              </w:rPr>
              <w:t>Sabiedrības informēšana par projekta izstrādes uzsākšanu</w:t>
            </w:r>
          </w:p>
        </w:tc>
        <w:tc>
          <w:tcPr>
            <w:tcW w:w="4455" w:type="dxa"/>
          </w:tcPr>
          <w:p w:rsidR="006C4FBF" w:rsidRPr="00B662AA" w:rsidRDefault="006C4FBF" w:rsidP="000466D7">
            <w:pPr>
              <w:pStyle w:val="naiskr"/>
              <w:spacing w:before="0" w:after="0"/>
              <w:ind w:left="57" w:right="140"/>
              <w:jc w:val="both"/>
              <w:rPr>
                <w:iCs/>
                <w:sz w:val="26"/>
                <w:szCs w:val="26"/>
              </w:rPr>
            </w:pPr>
            <w:r w:rsidRPr="00B662AA">
              <w:rPr>
                <w:iCs/>
                <w:sz w:val="26"/>
                <w:szCs w:val="26"/>
              </w:rPr>
              <w:t xml:space="preserve">Pirms darba grupas izveidošanas </w:t>
            </w:r>
            <w:r w:rsidR="008C2014" w:rsidRPr="00B662AA">
              <w:rPr>
                <w:iCs/>
                <w:sz w:val="26"/>
                <w:szCs w:val="26"/>
              </w:rPr>
              <w:t>(2009.</w:t>
            </w:r>
            <w:r w:rsidR="000466D7">
              <w:rPr>
                <w:iCs/>
                <w:sz w:val="26"/>
                <w:szCs w:val="26"/>
              </w:rPr>
              <w:t> </w:t>
            </w:r>
            <w:r w:rsidR="008C2014" w:rsidRPr="00B662AA">
              <w:rPr>
                <w:iCs/>
                <w:sz w:val="26"/>
                <w:szCs w:val="26"/>
              </w:rPr>
              <w:t xml:space="preserve">gada 23. decembrī) </w:t>
            </w:r>
            <w:r w:rsidRPr="00B662AA">
              <w:rPr>
                <w:iCs/>
                <w:sz w:val="26"/>
                <w:szCs w:val="26"/>
              </w:rPr>
              <w:t>nosūtītas vēstule</w:t>
            </w:r>
            <w:r w:rsidR="008C2014" w:rsidRPr="00B662AA">
              <w:rPr>
                <w:iCs/>
                <w:sz w:val="26"/>
                <w:szCs w:val="26"/>
              </w:rPr>
              <w:t>s Augstākajai tiesai, Rīgas apgabaltiesai, Administratīvajai apgabaltiesai, Saeimas Juridiskajam birojam, Latvijas Universitātes Juridiskajai fakultātei, SIA „Biznesa augstskolai „Turība””, izskaidrojot darba grupas izveides nepieciešamību un lūdzot deleģēt pārstāvjus dalībai darba grupā.</w:t>
            </w:r>
          </w:p>
          <w:p w:rsidR="00D10B7C" w:rsidRPr="00B662AA" w:rsidRDefault="00A937DC" w:rsidP="000466D7">
            <w:pPr>
              <w:pStyle w:val="naiskr"/>
              <w:spacing w:before="0" w:after="0"/>
              <w:ind w:left="57" w:right="140"/>
              <w:jc w:val="both"/>
              <w:rPr>
                <w:iCs/>
                <w:sz w:val="26"/>
                <w:szCs w:val="26"/>
              </w:rPr>
            </w:pPr>
            <w:r w:rsidRPr="00B662AA">
              <w:rPr>
                <w:iCs/>
                <w:sz w:val="26"/>
                <w:szCs w:val="26"/>
              </w:rPr>
              <w:t>Pēc</w:t>
            </w:r>
            <w:r w:rsidR="00F810A4" w:rsidRPr="00B662AA">
              <w:rPr>
                <w:iCs/>
                <w:sz w:val="26"/>
                <w:szCs w:val="26"/>
              </w:rPr>
              <w:t xml:space="preserve"> darba grupas izveidošanas</w:t>
            </w:r>
            <w:r w:rsidR="00894AF2" w:rsidRPr="00B662AA">
              <w:rPr>
                <w:iCs/>
                <w:sz w:val="26"/>
                <w:szCs w:val="26"/>
              </w:rPr>
              <w:t xml:space="preserve"> </w:t>
            </w:r>
            <w:r w:rsidRPr="00B662AA">
              <w:rPr>
                <w:iCs/>
                <w:sz w:val="26"/>
                <w:szCs w:val="26"/>
              </w:rPr>
              <w:t xml:space="preserve">(2010. gada 28. janvārī) </w:t>
            </w:r>
            <w:r w:rsidR="00894AF2" w:rsidRPr="00B662AA">
              <w:rPr>
                <w:iCs/>
                <w:sz w:val="26"/>
                <w:szCs w:val="26"/>
              </w:rPr>
              <w:t xml:space="preserve">nosūtītas vēstules </w:t>
            </w:r>
            <w:r w:rsidR="00894AF2" w:rsidRPr="00B662AA">
              <w:rPr>
                <w:iCs/>
                <w:sz w:val="26"/>
                <w:szCs w:val="26"/>
              </w:rPr>
              <w:lastRenderedPageBreak/>
              <w:t>ministrij</w:t>
            </w:r>
            <w:r w:rsidRPr="00B662AA">
              <w:rPr>
                <w:iCs/>
                <w:sz w:val="26"/>
                <w:szCs w:val="26"/>
              </w:rPr>
              <w:t>ām, Latvijas Republikas Saeimas Juridiskajai komisijai un</w:t>
            </w:r>
            <w:r w:rsidR="00894AF2" w:rsidRPr="00B662AA">
              <w:rPr>
                <w:iCs/>
                <w:sz w:val="26"/>
                <w:szCs w:val="26"/>
              </w:rPr>
              <w:t xml:space="preserve"> Korupcijas novēršanas apkarošanas birojam ar informāciju par </w:t>
            </w:r>
            <w:r w:rsidR="00972825" w:rsidRPr="00B662AA">
              <w:rPr>
                <w:iCs/>
                <w:sz w:val="26"/>
                <w:szCs w:val="26"/>
              </w:rPr>
              <w:t>šādas darba grupas izveidošanu</w:t>
            </w:r>
            <w:r w:rsidR="00894AF2" w:rsidRPr="00B662AA">
              <w:rPr>
                <w:iCs/>
                <w:sz w:val="26"/>
                <w:szCs w:val="26"/>
              </w:rPr>
              <w:t>, tās darbības mērķi</w:t>
            </w:r>
            <w:r w:rsidR="00D07402" w:rsidRPr="00B662AA">
              <w:rPr>
                <w:iCs/>
                <w:sz w:val="26"/>
                <w:szCs w:val="26"/>
              </w:rPr>
              <w:t xml:space="preserve"> un aicinājumu informēt darba grupu par nepieciešamajiem grozījumiem LAPK.</w:t>
            </w:r>
          </w:p>
          <w:p w:rsidR="00FB01A1" w:rsidRPr="00B662AA" w:rsidRDefault="00FB01A1" w:rsidP="00B662AA">
            <w:pPr>
              <w:pStyle w:val="naiskr"/>
              <w:spacing w:before="0" w:after="0"/>
              <w:ind w:right="140"/>
              <w:jc w:val="both"/>
              <w:rPr>
                <w:sz w:val="26"/>
                <w:szCs w:val="26"/>
              </w:rPr>
            </w:pPr>
          </w:p>
        </w:tc>
      </w:tr>
      <w:tr w:rsidR="00694F65" w:rsidRPr="00B662AA" w:rsidTr="00B662AA">
        <w:trPr>
          <w:trHeight w:val="339"/>
          <w:jc w:val="center"/>
        </w:trPr>
        <w:tc>
          <w:tcPr>
            <w:tcW w:w="422" w:type="dxa"/>
            <w:gridSpan w:val="2"/>
          </w:tcPr>
          <w:p w:rsidR="00694F65" w:rsidRPr="00B662AA" w:rsidRDefault="00694F65" w:rsidP="00B662AA">
            <w:pPr>
              <w:pStyle w:val="naiskr"/>
              <w:spacing w:before="0" w:after="0"/>
              <w:ind w:left="57" w:right="140"/>
              <w:rPr>
                <w:bCs/>
                <w:sz w:val="26"/>
                <w:szCs w:val="26"/>
              </w:rPr>
            </w:pPr>
            <w:r w:rsidRPr="00B662AA">
              <w:rPr>
                <w:bCs/>
                <w:sz w:val="26"/>
                <w:szCs w:val="26"/>
              </w:rPr>
              <w:lastRenderedPageBreak/>
              <w:t>2.</w:t>
            </w:r>
          </w:p>
        </w:tc>
        <w:tc>
          <w:tcPr>
            <w:tcW w:w="4215" w:type="dxa"/>
          </w:tcPr>
          <w:p w:rsidR="00694F65" w:rsidRPr="00B662AA" w:rsidRDefault="00694F65" w:rsidP="00B662AA">
            <w:pPr>
              <w:pStyle w:val="naiskr"/>
              <w:spacing w:before="0" w:after="0"/>
              <w:ind w:left="57" w:right="140"/>
              <w:rPr>
                <w:sz w:val="26"/>
                <w:szCs w:val="26"/>
              </w:rPr>
            </w:pPr>
            <w:r w:rsidRPr="00B662AA">
              <w:rPr>
                <w:sz w:val="26"/>
                <w:szCs w:val="26"/>
              </w:rPr>
              <w:t xml:space="preserve">Sabiedrības līdzdalība projekta izstrādē </w:t>
            </w:r>
          </w:p>
        </w:tc>
        <w:tc>
          <w:tcPr>
            <w:tcW w:w="4455" w:type="dxa"/>
          </w:tcPr>
          <w:p w:rsidR="00694F65" w:rsidRPr="00B662AA" w:rsidRDefault="00FB01A1" w:rsidP="000466D7">
            <w:pPr>
              <w:pStyle w:val="naiskr"/>
              <w:spacing w:before="0" w:after="0"/>
              <w:ind w:left="57" w:right="140"/>
              <w:jc w:val="both"/>
              <w:rPr>
                <w:iCs/>
                <w:sz w:val="26"/>
                <w:szCs w:val="26"/>
              </w:rPr>
            </w:pPr>
            <w:r w:rsidRPr="00B662AA">
              <w:rPr>
                <w:iCs/>
                <w:sz w:val="26"/>
                <w:szCs w:val="26"/>
              </w:rPr>
              <w:t xml:space="preserve">Projekta izstrādes procesā </w:t>
            </w:r>
            <w:r w:rsidR="00CE3BEE" w:rsidRPr="00B662AA">
              <w:rPr>
                <w:iCs/>
                <w:sz w:val="26"/>
                <w:szCs w:val="26"/>
              </w:rPr>
              <w:t xml:space="preserve">notikušas </w:t>
            </w:r>
            <w:r w:rsidRPr="00B662AA">
              <w:rPr>
                <w:iCs/>
                <w:sz w:val="26"/>
                <w:szCs w:val="26"/>
              </w:rPr>
              <w:t xml:space="preserve">konsultācijas ar </w:t>
            </w:r>
            <w:r w:rsidR="003839D2" w:rsidRPr="00B662AA">
              <w:rPr>
                <w:iCs/>
                <w:sz w:val="26"/>
                <w:szCs w:val="26"/>
              </w:rPr>
              <w:t>sabiedrības pārstāvjiem</w:t>
            </w:r>
            <w:r w:rsidR="00D54A93" w:rsidRPr="00B662AA">
              <w:rPr>
                <w:iCs/>
                <w:sz w:val="26"/>
                <w:szCs w:val="26"/>
              </w:rPr>
              <w:t>, kas iekļauti ar tieslietu ministra 2010. gada 19. janvāra rīkojumu Nr. 1-1/25 izveidotajā darba grupā „Par Latvijas Administratīvo pārkāpumu kodeksa pastāvīgās darba grupas izveidošanu”</w:t>
            </w:r>
            <w:r w:rsidR="00F810A4" w:rsidRPr="00B662AA">
              <w:rPr>
                <w:iCs/>
                <w:sz w:val="26"/>
                <w:szCs w:val="26"/>
              </w:rPr>
              <w:t xml:space="preserve">, konkrēti, konsultācijas notikušas ar </w:t>
            </w:r>
            <w:r w:rsidR="00CE3BEE" w:rsidRPr="00B662AA">
              <w:rPr>
                <w:iCs/>
                <w:sz w:val="26"/>
                <w:szCs w:val="26"/>
              </w:rPr>
              <w:t xml:space="preserve">rajona (pilsētas) tiesu priekšsēdētājiem, rajona (pilsētas) tiesu tiesnešiem, Administratīvās apgabaltiesas priekšsēdētāju, Augstākās tiesas Administratīvo lietu departamenta senatora palīgu, Latvijas Universitātes </w:t>
            </w:r>
            <w:r w:rsidR="00894AF2" w:rsidRPr="00B662AA">
              <w:rPr>
                <w:iCs/>
                <w:sz w:val="26"/>
                <w:szCs w:val="26"/>
              </w:rPr>
              <w:t xml:space="preserve">akadēmiskajiem </w:t>
            </w:r>
            <w:r w:rsidR="00CE3BEE" w:rsidRPr="00B662AA">
              <w:rPr>
                <w:iCs/>
                <w:sz w:val="26"/>
                <w:szCs w:val="26"/>
              </w:rPr>
              <w:t xml:space="preserve">mācībspēkiem, Biznesa augstskolas „Turība” doktorantu, Ģenerālprokuratūras prokurori, Valsts policijas, Valsts ieņēmumu dienesta, Pārtikas un </w:t>
            </w:r>
            <w:r w:rsidR="00D54A93" w:rsidRPr="00B662AA">
              <w:rPr>
                <w:iCs/>
                <w:sz w:val="26"/>
                <w:szCs w:val="26"/>
              </w:rPr>
              <w:t>veterinārā dienesta pārstāvjiem</w:t>
            </w:r>
            <w:r w:rsidR="00FA788A" w:rsidRPr="00B662AA">
              <w:rPr>
                <w:iCs/>
                <w:sz w:val="26"/>
                <w:szCs w:val="26"/>
              </w:rPr>
              <w:t>, zvērinātiem tiesu izpildītājiem</w:t>
            </w:r>
            <w:r w:rsidR="00D54A93" w:rsidRPr="00B662AA">
              <w:rPr>
                <w:iCs/>
                <w:sz w:val="26"/>
                <w:szCs w:val="26"/>
              </w:rPr>
              <w:t>.</w:t>
            </w:r>
          </w:p>
          <w:p w:rsidR="00FB01A1" w:rsidRPr="00B662AA" w:rsidRDefault="00E872D4" w:rsidP="000466D7">
            <w:pPr>
              <w:pStyle w:val="naiskr"/>
              <w:spacing w:before="0" w:after="0"/>
              <w:ind w:left="57" w:right="140"/>
              <w:jc w:val="both"/>
              <w:rPr>
                <w:iCs/>
                <w:sz w:val="26"/>
                <w:szCs w:val="26"/>
              </w:rPr>
            </w:pPr>
            <w:r w:rsidRPr="00B662AA">
              <w:rPr>
                <w:iCs/>
                <w:sz w:val="26"/>
                <w:szCs w:val="26"/>
              </w:rPr>
              <w:t>Par atsevišķiem jautājumiem projekta izstrādes procesā notikušas konsultācijas ar Kriminālprocesa likuma g</w:t>
            </w:r>
            <w:r w:rsidR="003839D2" w:rsidRPr="00B662AA">
              <w:rPr>
                <w:iCs/>
                <w:sz w:val="26"/>
                <w:szCs w:val="26"/>
              </w:rPr>
              <w:t xml:space="preserve">rozījumu izstrādes darba grupu, </w:t>
            </w:r>
            <w:r w:rsidR="0048387A" w:rsidRPr="00B662AA">
              <w:rPr>
                <w:iCs/>
                <w:sz w:val="26"/>
                <w:szCs w:val="26"/>
              </w:rPr>
              <w:t xml:space="preserve">kas izveidota ar tieslietu ministra 2010. gada 7. decembra rīkojumu Nr. 1-1/438 un kurā iekļauti pārstāvji no rajona (pilsētas) tiesas, apgabaltiesas un Latvijas Zvērinātu advokātu padomes, Baltijas Starptautiskās akadēmijas, Ģenerālprokuratūras, Satversmes tiesas, Augstākās tiesas Krimināllietu tiesu palātas, Saeimas Juridiskā biroja, Latvijas Universitātes, Latvijas Krimināllietu advokātu biedrības, Valsts </w:t>
            </w:r>
            <w:r w:rsidR="0048387A" w:rsidRPr="00B662AA">
              <w:rPr>
                <w:iCs/>
                <w:sz w:val="26"/>
                <w:szCs w:val="26"/>
              </w:rPr>
              <w:lastRenderedPageBreak/>
              <w:t>policijas, Kriminālpolicijas attīstības biroja, Iekšlietu ministrijas</w:t>
            </w:r>
            <w:r w:rsidR="005142E1" w:rsidRPr="00B662AA">
              <w:rPr>
                <w:iCs/>
                <w:sz w:val="26"/>
                <w:szCs w:val="26"/>
              </w:rPr>
              <w:t>.</w:t>
            </w:r>
          </w:p>
          <w:p w:rsidR="005142E1" w:rsidRPr="00B662AA" w:rsidRDefault="005142E1" w:rsidP="000466D7">
            <w:pPr>
              <w:pStyle w:val="naiskr"/>
              <w:spacing w:before="0" w:after="0"/>
              <w:ind w:right="140"/>
              <w:jc w:val="both"/>
              <w:rPr>
                <w:iCs/>
                <w:sz w:val="26"/>
                <w:szCs w:val="26"/>
              </w:rPr>
            </w:pPr>
            <w:r w:rsidRPr="00B662AA">
              <w:rPr>
                <w:iCs/>
                <w:sz w:val="26"/>
                <w:szCs w:val="26"/>
              </w:rPr>
              <w:t>Sabiedrības pārstāvji, ar kuriem notikušas konsultācijas, izvēlēti tā, lai darba grupā būtu gan tiesu varas pārstāvji, gan izpildvaras pārstāvji, gan akadēmiskie mācībspēki</w:t>
            </w:r>
            <w:r w:rsidR="008C72CA" w:rsidRPr="00B662AA">
              <w:rPr>
                <w:iCs/>
                <w:sz w:val="26"/>
                <w:szCs w:val="26"/>
              </w:rPr>
              <w:t>.</w:t>
            </w:r>
          </w:p>
          <w:p w:rsidR="00FB01A1" w:rsidRPr="00B662AA" w:rsidRDefault="0048387A" w:rsidP="000466D7">
            <w:pPr>
              <w:pStyle w:val="naiskr"/>
              <w:spacing w:before="0" w:after="0"/>
              <w:ind w:left="57" w:right="140"/>
              <w:jc w:val="both"/>
              <w:rPr>
                <w:iCs/>
                <w:sz w:val="26"/>
                <w:szCs w:val="26"/>
              </w:rPr>
            </w:pPr>
            <w:r w:rsidRPr="00B662AA">
              <w:rPr>
                <w:iCs/>
                <w:sz w:val="26"/>
                <w:szCs w:val="26"/>
              </w:rPr>
              <w:t xml:space="preserve">Sabiedrības </w:t>
            </w:r>
            <w:r w:rsidR="00FB01A1" w:rsidRPr="00B662AA">
              <w:rPr>
                <w:iCs/>
                <w:sz w:val="26"/>
                <w:szCs w:val="26"/>
              </w:rPr>
              <w:t>līdzdalības veidi</w:t>
            </w:r>
            <w:r w:rsidRPr="00B662AA">
              <w:rPr>
                <w:iCs/>
                <w:sz w:val="26"/>
                <w:szCs w:val="26"/>
              </w:rPr>
              <w:t xml:space="preserve"> projekta izstrādes procesā –</w:t>
            </w:r>
            <w:r w:rsidR="00FA788A" w:rsidRPr="00B662AA">
              <w:rPr>
                <w:iCs/>
                <w:sz w:val="26"/>
                <w:szCs w:val="26"/>
              </w:rPr>
              <w:t xml:space="preserve"> darba grupas sēdes, sanāksmes</w:t>
            </w:r>
            <w:r w:rsidRPr="00B662AA">
              <w:rPr>
                <w:iCs/>
                <w:sz w:val="26"/>
                <w:szCs w:val="26"/>
              </w:rPr>
              <w:t>, elektroniskā pasta izmantošana, telefoniska sazināšanās.</w:t>
            </w:r>
          </w:p>
          <w:p w:rsidR="00FA788A" w:rsidRPr="00B662AA" w:rsidRDefault="00FA788A" w:rsidP="00B662AA">
            <w:pPr>
              <w:pStyle w:val="naiskr"/>
              <w:spacing w:before="0" w:after="0"/>
              <w:ind w:left="57" w:right="140"/>
              <w:jc w:val="both"/>
              <w:rPr>
                <w:sz w:val="26"/>
                <w:szCs w:val="26"/>
              </w:rPr>
            </w:pPr>
          </w:p>
        </w:tc>
      </w:tr>
      <w:tr w:rsidR="00694F65" w:rsidRPr="00B662AA" w:rsidTr="00B662AA">
        <w:trPr>
          <w:gridBefore w:val="1"/>
          <w:wBefore w:w="20" w:type="dxa"/>
          <w:trHeight w:val="375"/>
          <w:jc w:val="center"/>
        </w:trPr>
        <w:tc>
          <w:tcPr>
            <w:tcW w:w="402" w:type="dxa"/>
          </w:tcPr>
          <w:p w:rsidR="00694F65" w:rsidRPr="00B662AA" w:rsidRDefault="00694F65" w:rsidP="00B662AA">
            <w:pPr>
              <w:pStyle w:val="naiskr"/>
              <w:spacing w:before="0" w:after="0"/>
              <w:ind w:left="57" w:right="140"/>
              <w:rPr>
                <w:bCs/>
                <w:sz w:val="26"/>
                <w:szCs w:val="26"/>
              </w:rPr>
            </w:pPr>
            <w:r w:rsidRPr="00B662AA">
              <w:rPr>
                <w:bCs/>
                <w:sz w:val="26"/>
                <w:szCs w:val="26"/>
              </w:rPr>
              <w:lastRenderedPageBreak/>
              <w:t>3.</w:t>
            </w:r>
          </w:p>
        </w:tc>
        <w:tc>
          <w:tcPr>
            <w:tcW w:w="4215" w:type="dxa"/>
          </w:tcPr>
          <w:p w:rsidR="00694F65" w:rsidRPr="00B662AA" w:rsidRDefault="00694F65" w:rsidP="00B662AA">
            <w:pPr>
              <w:pStyle w:val="naiskr"/>
              <w:spacing w:before="0" w:after="0"/>
              <w:ind w:left="57" w:right="140"/>
              <w:rPr>
                <w:sz w:val="26"/>
                <w:szCs w:val="26"/>
              </w:rPr>
            </w:pPr>
            <w:r w:rsidRPr="00B662AA">
              <w:rPr>
                <w:sz w:val="26"/>
                <w:szCs w:val="26"/>
              </w:rPr>
              <w:t xml:space="preserve">Sabiedrības līdzdalības rezultāti </w:t>
            </w:r>
          </w:p>
        </w:tc>
        <w:tc>
          <w:tcPr>
            <w:tcW w:w="4455" w:type="dxa"/>
          </w:tcPr>
          <w:p w:rsidR="00694F65" w:rsidRPr="00B662AA" w:rsidRDefault="00CE3BEE" w:rsidP="000466D7">
            <w:pPr>
              <w:pStyle w:val="naiskr"/>
              <w:spacing w:before="0" w:after="0"/>
              <w:ind w:left="57" w:right="140"/>
              <w:jc w:val="both"/>
              <w:rPr>
                <w:iCs/>
                <w:sz w:val="26"/>
                <w:szCs w:val="26"/>
              </w:rPr>
            </w:pPr>
            <w:r w:rsidRPr="00B662AA">
              <w:rPr>
                <w:iCs/>
                <w:sz w:val="26"/>
                <w:szCs w:val="26"/>
              </w:rPr>
              <w:t>Sabiedrības pārstāvji atbalsta projektu.</w:t>
            </w:r>
          </w:p>
          <w:p w:rsidR="00CE3BEE" w:rsidRPr="00B662AA" w:rsidRDefault="00CE3BEE" w:rsidP="000466D7">
            <w:pPr>
              <w:pStyle w:val="naiskr"/>
              <w:spacing w:before="0" w:after="0"/>
              <w:ind w:left="57" w:right="140"/>
              <w:jc w:val="both"/>
              <w:rPr>
                <w:iCs/>
                <w:sz w:val="26"/>
                <w:szCs w:val="26"/>
              </w:rPr>
            </w:pPr>
            <w:r w:rsidRPr="00B662AA">
              <w:rPr>
                <w:iCs/>
                <w:sz w:val="26"/>
                <w:szCs w:val="26"/>
              </w:rPr>
              <w:t>Sabiedrības pārstāvju būtiskākie priekšlikumi projekta izstrādes procesā:</w:t>
            </w:r>
            <w:r w:rsidR="00BB6D76" w:rsidRPr="00B662AA">
              <w:rPr>
                <w:iCs/>
                <w:sz w:val="26"/>
                <w:szCs w:val="26"/>
              </w:rPr>
              <w:t xml:space="preserve"> nepieciešamība paredzēt kodeksā jaunatklātu apstākļu institūtu, </w:t>
            </w:r>
            <w:r w:rsidR="004044BC" w:rsidRPr="00B662AA">
              <w:rPr>
                <w:iCs/>
                <w:sz w:val="26"/>
                <w:szCs w:val="26"/>
              </w:rPr>
              <w:t>nepieciešamība skaidri no</w:t>
            </w:r>
            <w:r w:rsidR="00BB6D76" w:rsidRPr="00B662AA">
              <w:rPr>
                <w:iCs/>
                <w:sz w:val="26"/>
                <w:szCs w:val="26"/>
              </w:rPr>
              <w:t>dalīt procesa stadijas – iestādē, padotības kārtībā augstākā iestādē, rajona (pilsētas) tiesā, apgabaltiesā.</w:t>
            </w:r>
          </w:p>
          <w:p w:rsidR="00CE3BEE" w:rsidRPr="00B662AA" w:rsidRDefault="00CE3BEE" w:rsidP="000466D7">
            <w:pPr>
              <w:pStyle w:val="naiskr"/>
              <w:spacing w:before="0" w:after="0"/>
              <w:ind w:left="57" w:right="140"/>
              <w:jc w:val="both"/>
              <w:rPr>
                <w:sz w:val="26"/>
                <w:szCs w:val="26"/>
              </w:rPr>
            </w:pPr>
            <w:r w:rsidRPr="00B662AA">
              <w:rPr>
                <w:iCs/>
                <w:sz w:val="26"/>
                <w:szCs w:val="26"/>
              </w:rPr>
              <w:t>Sabiedrības pārstāvju priekšlikumi ir ņemti vērā projekta izstrādes procesā un iekļauti projektā ietvertajos grozījumos.</w:t>
            </w:r>
          </w:p>
        </w:tc>
      </w:tr>
      <w:tr w:rsidR="00694F65" w:rsidRPr="00B662AA" w:rsidTr="00B662AA">
        <w:trPr>
          <w:gridBefore w:val="1"/>
          <w:wBefore w:w="20" w:type="dxa"/>
          <w:trHeight w:val="397"/>
          <w:jc w:val="center"/>
        </w:trPr>
        <w:tc>
          <w:tcPr>
            <w:tcW w:w="402" w:type="dxa"/>
          </w:tcPr>
          <w:p w:rsidR="00694F65" w:rsidRPr="00B662AA" w:rsidRDefault="00694F65" w:rsidP="00B662AA">
            <w:pPr>
              <w:pStyle w:val="naiskr"/>
              <w:spacing w:before="0" w:after="0"/>
              <w:ind w:left="57" w:right="140"/>
              <w:rPr>
                <w:bCs/>
                <w:sz w:val="26"/>
                <w:szCs w:val="26"/>
              </w:rPr>
            </w:pPr>
            <w:r w:rsidRPr="00B662AA">
              <w:rPr>
                <w:bCs/>
                <w:sz w:val="26"/>
                <w:szCs w:val="26"/>
              </w:rPr>
              <w:t>4.</w:t>
            </w:r>
          </w:p>
        </w:tc>
        <w:tc>
          <w:tcPr>
            <w:tcW w:w="4215" w:type="dxa"/>
          </w:tcPr>
          <w:p w:rsidR="00694F65" w:rsidRPr="00B662AA" w:rsidRDefault="00694F65" w:rsidP="00B662AA">
            <w:pPr>
              <w:pStyle w:val="naiskr"/>
              <w:spacing w:before="0" w:after="0"/>
              <w:ind w:left="57" w:right="140"/>
              <w:rPr>
                <w:sz w:val="26"/>
                <w:szCs w:val="26"/>
              </w:rPr>
            </w:pPr>
            <w:r w:rsidRPr="00B662AA">
              <w:rPr>
                <w:sz w:val="26"/>
                <w:szCs w:val="26"/>
              </w:rPr>
              <w:t>Saeimas un ekspertu līdzdalība</w:t>
            </w:r>
          </w:p>
        </w:tc>
        <w:tc>
          <w:tcPr>
            <w:tcW w:w="4455" w:type="dxa"/>
          </w:tcPr>
          <w:p w:rsidR="005529C5" w:rsidRPr="00B662AA" w:rsidRDefault="005529C5" w:rsidP="000466D7">
            <w:pPr>
              <w:pStyle w:val="naiskr"/>
              <w:spacing w:before="0" w:after="0"/>
              <w:ind w:left="57" w:right="140"/>
              <w:jc w:val="both"/>
              <w:rPr>
                <w:sz w:val="26"/>
                <w:szCs w:val="26"/>
              </w:rPr>
            </w:pPr>
            <w:r w:rsidRPr="00B662AA">
              <w:rPr>
                <w:sz w:val="26"/>
                <w:szCs w:val="26"/>
              </w:rPr>
              <w:t>Tieslietu ministrija ir informējusi Saeimas Juridisko komisiju (</w:t>
            </w:r>
            <w:r w:rsidR="002B1294" w:rsidRPr="00B662AA">
              <w:rPr>
                <w:sz w:val="26"/>
                <w:szCs w:val="26"/>
              </w:rPr>
              <w:t>vēstule nosūtīta 2011. gada 12. janvārī)</w:t>
            </w:r>
            <w:r w:rsidRPr="00B662AA">
              <w:rPr>
                <w:sz w:val="26"/>
                <w:szCs w:val="26"/>
              </w:rPr>
              <w:t xml:space="preserve"> par plānotajiem pasākumiem saistībā ar LAPK grozījumiem, kas nodrošinās visu administratīvo pārkāpumu lietu pāreju uz vispārējās jurisdikcijas tiesas kompetenci</w:t>
            </w:r>
            <w:r w:rsidR="002B1294" w:rsidRPr="00B662AA">
              <w:rPr>
                <w:sz w:val="26"/>
                <w:szCs w:val="26"/>
              </w:rPr>
              <w:t xml:space="preserve"> no 2012. </w:t>
            </w:r>
            <w:r w:rsidRPr="00B662AA">
              <w:rPr>
                <w:sz w:val="26"/>
                <w:szCs w:val="26"/>
              </w:rPr>
              <w:t>gada 1. janvāra.</w:t>
            </w:r>
          </w:p>
          <w:p w:rsidR="002B1294" w:rsidRPr="00B662AA" w:rsidRDefault="002B1294" w:rsidP="000466D7">
            <w:pPr>
              <w:pStyle w:val="naiskr"/>
              <w:spacing w:before="0" w:after="0"/>
              <w:ind w:right="140"/>
              <w:jc w:val="both"/>
              <w:rPr>
                <w:sz w:val="26"/>
                <w:szCs w:val="26"/>
              </w:rPr>
            </w:pPr>
            <w:r w:rsidRPr="00B662AA">
              <w:rPr>
                <w:sz w:val="26"/>
                <w:szCs w:val="26"/>
              </w:rPr>
              <w:t>Atbilde</w:t>
            </w:r>
            <w:r w:rsidR="00594686" w:rsidRPr="00B662AA">
              <w:rPr>
                <w:sz w:val="26"/>
                <w:szCs w:val="26"/>
              </w:rPr>
              <w:t>s vēstule</w:t>
            </w:r>
            <w:r w:rsidRPr="00B662AA">
              <w:rPr>
                <w:sz w:val="26"/>
                <w:szCs w:val="26"/>
              </w:rPr>
              <w:t xml:space="preserve"> uz </w:t>
            </w:r>
            <w:r w:rsidR="00594686" w:rsidRPr="00B662AA">
              <w:rPr>
                <w:sz w:val="26"/>
                <w:szCs w:val="26"/>
              </w:rPr>
              <w:t>minēto</w:t>
            </w:r>
            <w:r w:rsidRPr="00B662AA">
              <w:rPr>
                <w:sz w:val="26"/>
                <w:szCs w:val="26"/>
              </w:rPr>
              <w:t xml:space="preserve"> vēstuli nav sniegta.</w:t>
            </w:r>
          </w:p>
        </w:tc>
      </w:tr>
      <w:tr w:rsidR="00694F65" w:rsidRPr="00B662AA" w:rsidTr="00B662AA">
        <w:trPr>
          <w:gridBefore w:val="1"/>
          <w:wBefore w:w="20" w:type="dxa"/>
          <w:trHeight w:val="476"/>
          <w:jc w:val="center"/>
        </w:trPr>
        <w:tc>
          <w:tcPr>
            <w:tcW w:w="402" w:type="dxa"/>
          </w:tcPr>
          <w:p w:rsidR="00694F65" w:rsidRPr="00B662AA" w:rsidRDefault="00694F65" w:rsidP="00B662AA">
            <w:pPr>
              <w:pStyle w:val="naiskr"/>
              <w:spacing w:before="0" w:after="0"/>
              <w:ind w:left="57" w:right="140"/>
              <w:rPr>
                <w:bCs/>
                <w:sz w:val="26"/>
                <w:szCs w:val="26"/>
              </w:rPr>
            </w:pPr>
            <w:r w:rsidRPr="00B662AA">
              <w:rPr>
                <w:bCs/>
                <w:sz w:val="26"/>
                <w:szCs w:val="26"/>
              </w:rPr>
              <w:t>5.</w:t>
            </w:r>
          </w:p>
        </w:tc>
        <w:tc>
          <w:tcPr>
            <w:tcW w:w="4215" w:type="dxa"/>
          </w:tcPr>
          <w:p w:rsidR="00694F65" w:rsidRPr="00B662AA" w:rsidRDefault="00694F65" w:rsidP="00B662AA">
            <w:pPr>
              <w:pStyle w:val="naiskr"/>
              <w:spacing w:before="0" w:after="0"/>
              <w:ind w:left="57" w:right="140"/>
              <w:rPr>
                <w:sz w:val="26"/>
                <w:szCs w:val="26"/>
              </w:rPr>
            </w:pPr>
            <w:r w:rsidRPr="00B662AA">
              <w:rPr>
                <w:sz w:val="26"/>
                <w:szCs w:val="26"/>
              </w:rPr>
              <w:t>Cita informācija</w:t>
            </w:r>
          </w:p>
          <w:p w:rsidR="00694F65" w:rsidRPr="00B662AA" w:rsidRDefault="00694F65" w:rsidP="00B662AA">
            <w:pPr>
              <w:pStyle w:val="naiskr"/>
              <w:spacing w:before="0" w:after="0"/>
              <w:ind w:left="57" w:right="140"/>
              <w:rPr>
                <w:sz w:val="26"/>
                <w:szCs w:val="26"/>
              </w:rPr>
            </w:pPr>
          </w:p>
        </w:tc>
        <w:tc>
          <w:tcPr>
            <w:tcW w:w="4458" w:type="dxa"/>
          </w:tcPr>
          <w:p w:rsidR="00694F65" w:rsidRPr="00B662AA" w:rsidRDefault="00DD2B55" w:rsidP="00B662AA">
            <w:pPr>
              <w:pStyle w:val="naiskr"/>
              <w:spacing w:before="0" w:after="0"/>
              <w:ind w:left="57" w:right="140"/>
              <w:jc w:val="both"/>
              <w:rPr>
                <w:sz w:val="26"/>
                <w:szCs w:val="26"/>
              </w:rPr>
            </w:pPr>
            <w:r w:rsidRPr="00B662AA">
              <w:rPr>
                <w:iCs/>
                <w:sz w:val="26"/>
                <w:szCs w:val="26"/>
              </w:rPr>
              <w:t>Nav</w:t>
            </w:r>
          </w:p>
        </w:tc>
      </w:tr>
    </w:tbl>
    <w:p w:rsidR="00694F65" w:rsidRPr="00B662AA" w:rsidRDefault="00694F65" w:rsidP="00B662AA">
      <w:pPr>
        <w:pStyle w:val="naisf"/>
        <w:spacing w:before="0" w:after="0"/>
        <w:ind w:right="140"/>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48"/>
        <w:gridCol w:w="4295"/>
        <w:gridCol w:w="4329"/>
      </w:tblGrid>
      <w:tr w:rsidR="00694F65" w:rsidRPr="00B662AA" w:rsidTr="00B662AA">
        <w:tc>
          <w:tcPr>
            <w:tcW w:w="9072" w:type="dxa"/>
            <w:gridSpan w:val="3"/>
            <w:tcBorders>
              <w:top w:val="single" w:sz="4" w:space="0" w:color="auto"/>
            </w:tcBorders>
          </w:tcPr>
          <w:p w:rsidR="00694F65" w:rsidRPr="00B662AA" w:rsidRDefault="00694F65" w:rsidP="00B662AA">
            <w:pPr>
              <w:pStyle w:val="naisnod"/>
              <w:spacing w:before="0" w:after="0"/>
              <w:ind w:left="57" w:right="140"/>
              <w:rPr>
                <w:sz w:val="26"/>
                <w:szCs w:val="26"/>
              </w:rPr>
            </w:pPr>
            <w:r w:rsidRPr="00B662AA">
              <w:rPr>
                <w:sz w:val="26"/>
                <w:szCs w:val="26"/>
              </w:rPr>
              <w:t>VII. Tiesību akta projekta izpildes nodrošināšana un tās ietekme uz institūcijām</w:t>
            </w:r>
          </w:p>
        </w:tc>
      </w:tr>
      <w:tr w:rsidR="00694F65" w:rsidRPr="00B662AA" w:rsidTr="00B662AA">
        <w:trPr>
          <w:trHeight w:val="427"/>
        </w:trPr>
        <w:tc>
          <w:tcPr>
            <w:tcW w:w="448" w:type="dxa"/>
          </w:tcPr>
          <w:p w:rsidR="00694F65" w:rsidRPr="00B662AA" w:rsidRDefault="00694F65" w:rsidP="00B662AA">
            <w:pPr>
              <w:pStyle w:val="naisnod"/>
              <w:spacing w:before="0" w:after="0"/>
              <w:ind w:left="57" w:right="140"/>
              <w:jc w:val="left"/>
              <w:rPr>
                <w:b w:val="0"/>
                <w:sz w:val="26"/>
                <w:szCs w:val="26"/>
              </w:rPr>
            </w:pPr>
            <w:r w:rsidRPr="00B662AA">
              <w:rPr>
                <w:b w:val="0"/>
                <w:sz w:val="26"/>
                <w:szCs w:val="26"/>
              </w:rPr>
              <w:t>1.</w:t>
            </w:r>
          </w:p>
        </w:tc>
        <w:tc>
          <w:tcPr>
            <w:tcW w:w="4295" w:type="dxa"/>
          </w:tcPr>
          <w:p w:rsidR="00694F65" w:rsidRPr="00B662AA" w:rsidRDefault="00694F65" w:rsidP="00B662AA">
            <w:pPr>
              <w:pStyle w:val="naisf"/>
              <w:spacing w:before="0" w:after="0"/>
              <w:ind w:left="57" w:right="140" w:firstLine="0"/>
              <w:jc w:val="left"/>
              <w:rPr>
                <w:sz w:val="26"/>
                <w:szCs w:val="26"/>
              </w:rPr>
            </w:pPr>
            <w:r w:rsidRPr="00B662AA">
              <w:rPr>
                <w:sz w:val="26"/>
                <w:szCs w:val="26"/>
              </w:rPr>
              <w:t xml:space="preserve">Projekta izpildē iesaistītās institūcijas </w:t>
            </w:r>
          </w:p>
        </w:tc>
        <w:tc>
          <w:tcPr>
            <w:tcW w:w="4329" w:type="dxa"/>
          </w:tcPr>
          <w:p w:rsidR="00694F65" w:rsidRPr="00B662AA" w:rsidRDefault="00441FC5" w:rsidP="00B662AA">
            <w:pPr>
              <w:pStyle w:val="naisnod"/>
              <w:spacing w:before="0" w:after="0"/>
              <w:ind w:left="57" w:right="140"/>
              <w:jc w:val="both"/>
              <w:rPr>
                <w:b w:val="0"/>
                <w:sz w:val="26"/>
                <w:szCs w:val="26"/>
              </w:rPr>
            </w:pPr>
            <w:r w:rsidRPr="00B662AA">
              <w:rPr>
                <w:b w:val="0"/>
                <w:sz w:val="26"/>
                <w:szCs w:val="26"/>
              </w:rPr>
              <w:t xml:space="preserve">Institūcijas (amatpersonas), kuras ir tiesīgas sastādīt administratīvā pārkāpuma protokolu, institūcijas (amatpersonas), kuras ir tiesīgas piemērot administratīvo sodu un </w:t>
            </w:r>
            <w:r w:rsidRPr="00B662AA">
              <w:rPr>
                <w:b w:val="0"/>
                <w:sz w:val="26"/>
                <w:szCs w:val="26"/>
              </w:rPr>
              <w:lastRenderedPageBreak/>
              <w:t>vispārējās jurisdikcijas tiesas – rajona (pilsētas) tiesas, apgabaltiesas.</w:t>
            </w:r>
          </w:p>
        </w:tc>
      </w:tr>
      <w:tr w:rsidR="00694F65" w:rsidRPr="00B662AA" w:rsidTr="00B662AA">
        <w:trPr>
          <w:trHeight w:val="463"/>
        </w:trPr>
        <w:tc>
          <w:tcPr>
            <w:tcW w:w="448" w:type="dxa"/>
          </w:tcPr>
          <w:p w:rsidR="00694F65" w:rsidRPr="00B662AA" w:rsidRDefault="00694F65" w:rsidP="00B662AA">
            <w:pPr>
              <w:pStyle w:val="naisnod"/>
              <w:spacing w:before="0" w:after="0"/>
              <w:ind w:left="57" w:right="140"/>
              <w:jc w:val="left"/>
              <w:rPr>
                <w:b w:val="0"/>
                <w:sz w:val="26"/>
                <w:szCs w:val="26"/>
              </w:rPr>
            </w:pPr>
            <w:r w:rsidRPr="00B662AA">
              <w:rPr>
                <w:b w:val="0"/>
                <w:sz w:val="26"/>
                <w:szCs w:val="26"/>
              </w:rPr>
              <w:lastRenderedPageBreak/>
              <w:t>2.</w:t>
            </w:r>
          </w:p>
        </w:tc>
        <w:tc>
          <w:tcPr>
            <w:tcW w:w="4295" w:type="dxa"/>
          </w:tcPr>
          <w:p w:rsidR="00694F65" w:rsidRPr="00B662AA" w:rsidRDefault="00694F65" w:rsidP="00B662AA">
            <w:pPr>
              <w:pStyle w:val="naisf"/>
              <w:spacing w:before="0" w:after="0"/>
              <w:ind w:left="57" w:right="140" w:firstLine="0"/>
              <w:jc w:val="left"/>
              <w:rPr>
                <w:sz w:val="26"/>
                <w:szCs w:val="26"/>
              </w:rPr>
            </w:pPr>
            <w:r w:rsidRPr="00B662AA">
              <w:rPr>
                <w:sz w:val="26"/>
                <w:szCs w:val="26"/>
              </w:rPr>
              <w:t xml:space="preserve">Projekta izpildes ietekme uz pārvaldes funkcijām </w:t>
            </w:r>
          </w:p>
        </w:tc>
        <w:tc>
          <w:tcPr>
            <w:tcW w:w="4329" w:type="dxa"/>
          </w:tcPr>
          <w:p w:rsidR="00FA5791" w:rsidRPr="00B662AA" w:rsidRDefault="00DD2B55" w:rsidP="00B662AA">
            <w:pPr>
              <w:pStyle w:val="naisnod"/>
              <w:spacing w:before="0" w:after="0"/>
              <w:ind w:left="57" w:right="140"/>
              <w:jc w:val="both"/>
              <w:rPr>
                <w:b w:val="0"/>
                <w:sz w:val="26"/>
                <w:szCs w:val="26"/>
              </w:rPr>
            </w:pPr>
            <w:r w:rsidRPr="00B662AA">
              <w:rPr>
                <w:b w:val="0"/>
                <w:sz w:val="26"/>
                <w:szCs w:val="26"/>
              </w:rPr>
              <w:t>Projekta izpilde nesašaurina un nepaplašina to institūciju uzdevumus, funkcijas</w:t>
            </w:r>
            <w:r w:rsidR="00FA5791" w:rsidRPr="00B662AA">
              <w:rPr>
                <w:b w:val="0"/>
                <w:sz w:val="26"/>
                <w:szCs w:val="26"/>
              </w:rPr>
              <w:t>, kuras ir tiesīgas sastādīt administratīvā pārkāpuma protokolu, un to institūciju (amatpersonu) uzdevumus, funkcijas, kurtas ir tiesīgas piemērot administratīvo sodu. Projekta izpilde neietekmē vispārējās jurisdikcijas rajona (pilsētas) tiesu, apgabaltiesu funkcijas un uzdevumus.</w:t>
            </w:r>
          </w:p>
        </w:tc>
      </w:tr>
      <w:tr w:rsidR="00694F65" w:rsidRPr="00B662AA" w:rsidTr="00B662AA">
        <w:trPr>
          <w:trHeight w:val="725"/>
        </w:trPr>
        <w:tc>
          <w:tcPr>
            <w:tcW w:w="448" w:type="dxa"/>
          </w:tcPr>
          <w:p w:rsidR="00694F65" w:rsidRPr="00B662AA" w:rsidRDefault="00694F65" w:rsidP="00B662AA">
            <w:pPr>
              <w:pStyle w:val="naisnod"/>
              <w:spacing w:before="0" w:after="0"/>
              <w:ind w:left="57" w:right="140"/>
              <w:jc w:val="left"/>
              <w:rPr>
                <w:b w:val="0"/>
                <w:sz w:val="26"/>
                <w:szCs w:val="26"/>
              </w:rPr>
            </w:pPr>
            <w:r w:rsidRPr="00B662AA">
              <w:rPr>
                <w:b w:val="0"/>
                <w:sz w:val="26"/>
                <w:szCs w:val="26"/>
              </w:rPr>
              <w:t>3.</w:t>
            </w:r>
          </w:p>
        </w:tc>
        <w:tc>
          <w:tcPr>
            <w:tcW w:w="4295" w:type="dxa"/>
          </w:tcPr>
          <w:p w:rsidR="00694F65" w:rsidRPr="00B662AA" w:rsidRDefault="00694F65" w:rsidP="00B662AA">
            <w:pPr>
              <w:pStyle w:val="naisf"/>
              <w:spacing w:before="0" w:after="0"/>
              <w:ind w:left="57" w:right="140" w:firstLine="0"/>
              <w:jc w:val="left"/>
              <w:rPr>
                <w:sz w:val="26"/>
                <w:szCs w:val="26"/>
              </w:rPr>
            </w:pPr>
            <w:r w:rsidRPr="00B662AA">
              <w:rPr>
                <w:sz w:val="26"/>
                <w:szCs w:val="26"/>
              </w:rPr>
              <w:t>Projekta izpildes ietekme uz pārvaldes institucionālo struktūru.</w:t>
            </w:r>
          </w:p>
          <w:p w:rsidR="00694F65" w:rsidRPr="00B662AA" w:rsidRDefault="00694F65" w:rsidP="00B662AA">
            <w:pPr>
              <w:pStyle w:val="naisf"/>
              <w:spacing w:before="0" w:after="0"/>
              <w:ind w:left="57" w:right="140" w:firstLine="0"/>
              <w:jc w:val="left"/>
              <w:rPr>
                <w:sz w:val="26"/>
                <w:szCs w:val="26"/>
              </w:rPr>
            </w:pPr>
            <w:r w:rsidRPr="00B662AA">
              <w:rPr>
                <w:sz w:val="26"/>
                <w:szCs w:val="26"/>
              </w:rPr>
              <w:t>Jaunu institūciju izveide</w:t>
            </w:r>
          </w:p>
        </w:tc>
        <w:tc>
          <w:tcPr>
            <w:tcW w:w="4329" w:type="dxa"/>
          </w:tcPr>
          <w:p w:rsidR="00694F65" w:rsidRPr="00B662AA" w:rsidRDefault="00441FC5" w:rsidP="00B662AA">
            <w:pPr>
              <w:pStyle w:val="naisnod"/>
              <w:spacing w:before="0" w:after="0"/>
              <w:ind w:left="57" w:right="140"/>
              <w:jc w:val="both"/>
              <w:rPr>
                <w:b w:val="0"/>
                <w:sz w:val="26"/>
                <w:szCs w:val="26"/>
              </w:rPr>
            </w:pPr>
            <w:r w:rsidRPr="00B662AA">
              <w:rPr>
                <w:b w:val="0"/>
                <w:iCs/>
                <w:sz w:val="26"/>
                <w:szCs w:val="26"/>
              </w:rPr>
              <w:t>Projekta izpildei jaunas institūcijas nav nepieciešams veidot.</w:t>
            </w:r>
          </w:p>
        </w:tc>
      </w:tr>
      <w:tr w:rsidR="00694F65" w:rsidRPr="00B662AA" w:rsidTr="00B662AA">
        <w:trPr>
          <w:trHeight w:val="780"/>
        </w:trPr>
        <w:tc>
          <w:tcPr>
            <w:tcW w:w="448" w:type="dxa"/>
          </w:tcPr>
          <w:p w:rsidR="00694F65" w:rsidRPr="00B662AA" w:rsidRDefault="00694F65" w:rsidP="00B662AA">
            <w:pPr>
              <w:pStyle w:val="naisnod"/>
              <w:spacing w:before="0" w:after="0"/>
              <w:ind w:left="57" w:right="140"/>
              <w:jc w:val="left"/>
              <w:rPr>
                <w:b w:val="0"/>
                <w:sz w:val="26"/>
                <w:szCs w:val="26"/>
              </w:rPr>
            </w:pPr>
            <w:r w:rsidRPr="00B662AA">
              <w:rPr>
                <w:b w:val="0"/>
                <w:sz w:val="26"/>
                <w:szCs w:val="26"/>
              </w:rPr>
              <w:t>4.</w:t>
            </w:r>
          </w:p>
        </w:tc>
        <w:tc>
          <w:tcPr>
            <w:tcW w:w="4295" w:type="dxa"/>
          </w:tcPr>
          <w:p w:rsidR="00694F65" w:rsidRPr="00B662AA" w:rsidRDefault="00694F65" w:rsidP="00B662AA">
            <w:pPr>
              <w:pStyle w:val="naisf"/>
              <w:spacing w:before="0" w:after="0"/>
              <w:ind w:left="57" w:right="140" w:firstLine="0"/>
              <w:jc w:val="left"/>
              <w:rPr>
                <w:sz w:val="26"/>
                <w:szCs w:val="26"/>
              </w:rPr>
            </w:pPr>
            <w:r w:rsidRPr="00B662AA">
              <w:rPr>
                <w:sz w:val="26"/>
                <w:szCs w:val="26"/>
              </w:rPr>
              <w:t>Projekta izpildes ietekme uz pārvaldes institucionālo struktūru.</w:t>
            </w:r>
          </w:p>
          <w:p w:rsidR="00694F65" w:rsidRPr="00B662AA" w:rsidRDefault="00694F65" w:rsidP="00B662AA">
            <w:pPr>
              <w:pStyle w:val="naisf"/>
              <w:spacing w:before="0" w:after="0"/>
              <w:ind w:left="57" w:right="140" w:firstLine="0"/>
              <w:jc w:val="left"/>
              <w:rPr>
                <w:sz w:val="26"/>
                <w:szCs w:val="26"/>
              </w:rPr>
            </w:pPr>
            <w:r w:rsidRPr="00B662AA">
              <w:rPr>
                <w:sz w:val="26"/>
                <w:szCs w:val="26"/>
              </w:rPr>
              <w:t>Esošu institūciju likvidācija</w:t>
            </w:r>
          </w:p>
        </w:tc>
        <w:tc>
          <w:tcPr>
            <w:tcW w:w="4329" w:type="dxa"/>
          </w:tcPr>
          <w:p w:rsidR="00694F65" w:rsidRPr="00B662AA" w:rsidRDefault="00441FC5" w:rsidP="00B662AA">
            <w:pPr>
              <w:pStyle w:val="naisnod"/>
              <w:spacing w:before="0" w:after="0"/>
              <w:ind w:left="57" w:right="140"/>
              <w:jc w:val="both"/>
              <w:rPr>
                <w:b w:val="0"/>
                <w:sz w:val="26"/>
                <w:szCs w:val="26"/>
              </w:rPr>
            </w:pPr>
            <w:r w:rsidRPr="00B662AA">
              <w:rPr>
                <w:b w:val="0"/>
                <w:iCs/>
                <w:sz w:val="26"/>
                <w:szCs w:val="26"/>
              </w:rPr>
              <w:t>Saistībā ar projekta izpildi nav plānots likvidēt esošu institūciju.</w:t>
            </w:r>
          </w:p>
        </w:tc>
      </w:tr>
      <w:tr w:rsidR="00694F65" w:rsidRPr="00B662AA" w:rsidTr="00B662AA">
        <w:trPr>
          <w:trHeight w:val="703"/>
        </w:trPr>
        <w:tc>
          <w:tcPr>
            <w:tcW w:w="448" w:type="dxa"/>
          </w:tcPr>
          <w:p w:rsidR="00694F65" w:rsidRPr="00B662AA" w:rsidRDefault="00694F65" w:rsidP="00B662AA">
            <w:pPr>
              <w:pStyle w:val="naisnod"/>
              <w:spacing w:before="0" w:after="0"/>
              <w:ind w:left="57" w:right="140"/>
              <w:jc w:val="left"/>
              <w:rPr>
                <w:b w:val="0"/>
                <w:sz w:val="26"/>
                <w:szCs w:val="26"/>
              </w:rPr>
            </w:pPr>
            <w:r w:rsidRPr="00B662AA">
              <w:rPr>
                <w:b w:val="0"/>
                <w:sz w:val="26"/>
                <w:szCs w:val="26"/>
              </w:rPr>
              <w:t>5.</w:t>
            </w:r>
          </w:p>
        </w:tc>
        <w:tc>
          <w:tcPr>
            <w:tcW w:w="4295" w:type="dxa"/>
          </w:tcPr>
          <w:p w:rsidR="00694F65" w:rsidRPr="00B662AA" w:rsidRDefault="00694F65" w:rsidP="00B662AA">
            <w:pPr>
              <w:pStyle w:val="naisf"/>
              <w:spacing w:before="0" w:after="0"/>
              <w:ind w:left="57" w:right="140" w:firstLine="0"/>
              <w:jc w:val="left"/>
              <w:rPr>
                <w:sz w:val="26"/>
                <w:szCs w:val="26"/>
              </w:rPr>
            </w:pPr>
            <w:r w:rsidRPr="00B662AA">
              <w:rPr>
                <w:sz w:val="26"/>
                <w:szCs w:val="26"/>
              </w:rPr>
              <w:t>Projekta izpildes ietekme uz pārvaldes institucionālo struktūru.</w:t>
            </w:r>
          </w:p>
          <w:p w:rsidR="00694F65" w:rsidRPr="00B662AA" w:rsidRDefault="00694F65" w:rsidP="00B662AA">
            <w:pPr>
              <w:pStyle w:val="naisf"/>
              <w:spacing w:before="0" w:after="0"/>
              <w:ind w:left="57" w:right="140" w:firstLine="0"/>
              <w:jc w:val="left"/>
              <w:rPr>
                <w:sz w:val="26"/>
                <w:szCs w:val="26"/>
              </w:rPr>
            </w:pPr>
            <w:r w:rsidRPr="00B662AA">
              <w:rPr>
                <w:sz w:val="26"/>
                <w:szCs w:val="26"/>
              </w:rPr>
              <w:t>Esošu institūciju reorganizācija</w:t>
            </w:r>
          </w:p>
        </w:tc>
        <w:tc>
          <w:tcPr>
            <w:tcW w:w="4329" w:type="dxa"/>
          </w:tcPr>
          <w:p w:rsidR="00694F65" w:rsidRPr="00B662AA" w:rsidRDefault="00441FC5" w:rsidP="00B662AA">
            <w:pPr>
              <w:pStyle w:val="naisnod"/>
              <w:spacing w:before="0" w:after="0"/>
              <w:ind w:left="57" w:right="140"/>
              <w:jc w:val="both"/>
              <w:rPr>
                <w:b w:val="0"/>
                <w:sz w:val="26"/>
                <w:szCs w:val="26"/>
              </w:rPr>
            </w:pPr>
            <w:r w:rsidRPr="00B662AA">
              <w:rPr>
                <w:b w:val="0"/>
                <w:iCs/>
                <w:sz w:val="26"/>
                <w:szCs w:val="26"/>
              </w:rPr>
              <w:t>Saistībā ar projekta izpildi nav plānota esošas institūcijas reorganizācija vai esošu institūciju apvienošana.</w:t>
            </w:r>
          </w:p>
        </w:tc>
      </w:tr>
      <w:tr w:rsidR="00694F65" w:rsidRPr="00B662AA" w:rsidTr="00B662AA">
        <w:trPr>
          <w:trHeight w:val="476"/>
        </w:trPr>
        <w:tc>
          <w:tcPr>
            <w:tcW w:w="448" w:type="dxa"/>
          </w:tcPr>
          <w:p w:rsidR="00694F65" w:rsidRPr="00B662AA" w:rsidRDefault="00694F65" w:rsidP="00B662AA">
            <w:pPr>
              <w:pStyle w:val="naiskr"/>
              <w:spacing w:before="0" w:after="0"/>
              <w:ind w:left="57" w:right="140"/>
              <w:rPr>
                <w:sz w:val="26"/>
                <w:szCs w:val="26"/>
              </w:rPr>
            </w:pPr>
            <w:r w:rsidRPr="00B662AA">
              <w:rPr>
                <w:sz w:val="26"/>
                <w:szCs w:val="26"/>
              </w:rPr>
              <w:t>6.</w:t>
            </w:r>
          </w:p>
        </w:tc>
        <w:tc>
          <w:tcPr>
            <w:tcW w:w="4295" w:type="dxa"/>
          </w:tcPr>
          <w:p w:rsidR="00694F65" w:rsidRPr="00B662AA" w:rsidRDefault="00694F65" w:rsidP="00B662AA">
            <w:pPr>
              <w:pStyle w:val="naiskr"/>
              <w:spacing w:before="0" w:after="0"/>
              <w:ind w:left="57" w:right="140"/>
              <w:rPr>
                <w:sz w:val="26"/>
                <w:szCs w:val="26"/>
              </w:rPr>
            </w:pPr>
            <w:r w:rsidRPr="00B662AA">
              <w:rPr>
                <w:sz w:val="26"/>
                <w:szCs w:val="26"/>
              </w:rPr>
              <w:t>Cita informācija</w:t>
            </w:r>
          </w:p>
        </w:tc>
        <w:tc>
          <w:tcPr>
            <w:tcW w:w="4329" w:type="dxa"/>
          </w:tcPr>
          <w:p w:rsidR="00694F65" w:rsidRPr="00B662AA" w:rsidRDefault="00441FC5" w:rsidP="00B662AA">
            <w:pPr>
              <w:pStyle w:val="naiskr"/>
              <w:spacing w:before="0" w:after="0"/>
              <w:ind w:left="57" w:right="140"/>
              <w:rPr>
                <w:sz w:val="26"/>
                <w:szCs w:val="26"/>
              </w:rPr>
            </w:pPr>
            <w:r w:rsidRPr="00B662AA">
              <w:rPr>
                <w:sz w:val="26"/>
                <w:szCs w:val="26"/>
              </w:rPr>
              <w:t>Nav.</w:t>
            </w:r>
          </w:p>
        </w:tc>
      </w:tr>
    </w:tbl>
    <w:p w:rsidR="00694F65" w:rsidRPr="00B662AA" w:rsidRDefault="00694F65" w:rsidP="00B662AA">
      <w:pPr>
        <w:pStyle w:val="naisf"/>
        <w:tabs>
          <w:tab w:val="left" w:pos="5760"/>
        </w:tabs>
        <w:spacing w:before="0" w:after="0"/>
        <w:ind w:right="140" w:firstLine="720"/>
        <w:rPr>
          <w:sz w:val="26"/>
          <w:szCs w:val="26"/>
        </w:rPr>
      </w:pPr>
    </w:p>
    <w:p w:rsidR="00694F65" w:rsidRPr="00B662AA" w:rsidRDefault="00694F65" w:rsidP="00B662AA">
      <w:pPr>
        <w:pStyle w:val="naisf"/>
        <w:tabs>
          <w:tab w:val="left" w:pos="5760"/>
        </w:tabs>
        <w:spacing w:before="0" w:after="0"/>
        <w:ind w:right="140" w:firstLine="720"/>
        <w:rPr>
          <w:sz w:val="26"/>
          <w:szCs w:val="26"/>
        </w:rPr>
      </w:pPr>
    </w:p>
    <w:p w:rsidR="00694F65" w:rsidRPr="00B662AA" w:rsidRDefault="00694F65" w:rsidP="00B662AA">
      <w:pPr>
        <w:pStyle w:val="naisf"/>
        <w:tabs>
          <w:tab w:val="left" w:pos="6804"/>
        </w:tabs>
        <w:spacing w:before="0" w:after="0"/>
        <w:ind w:right="140" w:firstLine="720"/>
        <w:rPr>
          <w:sz w:val="26"/>
          <w:szCs w:val="26"/>
        </w:rPr>
      </w:pPr>
    </w:p>
    <w:p w:rsidR="00B662AA" w:rsidRPr="00EE17AD" w:rsidRDefault="00B662AA" w:rsidP="00B662AA">
      <w:pPr>
        <w:ind w:right="-1"/>
        <w:jc w:val="both"/>
        <w:rPr>
          <w:bCs/>
          <w:sz w:val="26"/>
          <w:szCs w:val="26"/>
        </w:rPr>
      </w:pPr>
      <w:r w:rsidRPr="00EE17AD">
        <w:rPr>
          <w:bCs/>
          <w:sz w:val="26"/>
          <w:szCs w:val="26"/>
        </w:rPr>
        <w:t>Tieslietu ministrs</w:t>
      </w:r>
      <w:r w:rsidRPr="00EE17AD">
        <w:rPr>
          <w:bCs/>
          <w:sz w:val="26"/>
          <w:szCs w:val="26"/>
        </w:rPr>
        <w:tab/>
        <w:t xml:space="preserve">          </w:t>
      </w:r>
      <w:r>
        <w:rPr>
          <w:bCs/>
          <w:sz w:val="26"/>
          <w:szCs w:val="26"/>
        </w:rPr>
        <w:t xml:space="preserve">        </w:t>
      </w:r>
      <w:r w:rsidRPr="00EE17AD">
        <w:rPr>
          <w:bCs/>
          <w:sz w:val="26"/>
          <w:szCs w:val="26"/>
        </w:rPr>
        <w:t xml:space="preserve">                                                             </w:t>
      </w:r>
      <w:r>
        <w:rPr>
          <w:bCs/>
          <w:sz w:val="26"/>
          <w:szCs w:val="26"/>
        </w:rPr>
        <w:t xml:space="preserve">  </w:t>
      </w:r>
      <w:r w:rsidRPr="00EE17AD">
        <w:rPr>
          <w:bCs/>
          <w:sz w:val="26"/>
          <w:szCs w:val="26"/>
        </w:rPr>
        <w:t>A. Štokenbergs</w:t>
      </w:r>
    </w:p>
    <w:p w:rsidR="00B662AA" w:rsidRPr="00EE17AD" w:rsidRDefault="00B662AA" w:rsidP="00B662AA">
      <w:pPr>
        <w:ind w:right="140"/>
        <w:jc w:val="both"/>
        <w:rPr>
          <w:sz w:val="26"/>
          <w:szCs w:val="26"/>
        </w:rPr>
      </w:pPr>
      <w:r w:rsidRPr="00EE17AD">
        <w:rPr>
          <w:sz w:val="26"/>
          <w:szCs w:val="26"/>
        </w:rPr>
        <w:tab/>
        <w:t xml:space="preserve"> </w:t>
      </w:r>
    </w:p>
    <w:p w:rsidR="00B662AA" w:rsidRPr="00EE17AD" w:rsidRDefault="00B662AA" w:rsidP="00B662AA">
      <w:pPr>
        <w:ind w:right="140" w:firstLine="709"/>
        <w:jc w:val="both"/>
        <w:rPr>
          <w:sz w:val="26"/>
          <w:szCs w:val="26"/>
        </w:rPr>
      </w:pPr>
    </w:p>
    <w:p w:rsidR="00B662AA" w:rsidRDefault="00B662AA" w:rsidP="00B662AA">
      <w:pPr>
        <w:pStyle w:val="naispant"/>
        <w:spacing w:before="0" w:beforeAutospacing="0" w:after="0" w:afterAutospacing="0"/>
        <w:ind w:right="140" w:firstLine="720"/>
        <w:jc w:val="both"/>
        <w:rPr>
          <w:sz w:val="26"/>
          <w:szCs w:val="26"/>
        </w:rPr>
      </w:pPr>
    </w:p>
    <w:p w:rsidR="00B662AA" w:rsidRDefault="00B662AA" w:rsidP="00B662AA">
      <w:pPr>
        <w:pStyle w:val="naispant"/>
        <w:spacing w:before="0" w:beforeAutospacing="0" w:after="0" w:afterAutospacing="0"/>
        <w:ind w:right="140" w:firstLine="720"/>
        <w:jc w:val="both"/>
        <w:rPr>
          <w:sz w:val="26"/>
          <w:szCs w:val="26"/>
        </w:rPr>
      </w:pPr>
    </w:p>
    <w:p w:rsidR="00B662AA" w:rsidRDefault="00B662AA" w:rsidP="00B662AA">
      <w:pPr>
        <w:pStyle w:val="naispant"/>
        <w:spacing w:before="0" w:beforeAutospacing="0" w:after="0" w:afterAutospacing="0"/>
        <w:ind w:right="140" w:firstLine="720"/>
        <w:jc w:val="both"/>
        <w:rPr>
          <w:sz w:val="26"/>
          <w:szCs w:val="26"/>
        </w:rPr>
      </w:pPr>
    </w:p>
    <w:p w:rsidR="00B662AA" w:rsidRDefault="00B662AA" w:rsidP="00B662AA">
      <w:pPr>
        <w:pStyle w:val="naispant"/>
        <w:spacing w:before="0" w:beforeAutospacing="0" w:after="0" w:afterAutospacing="0"/>
        <w:ind w:right="140" w:firstLine="720"/>
        <w:jc w:val="both"/>
        <w:rPr>
          <w:sz w:val="26"/>
          <w:szCs w:val="26"/>
        </w:rPr>
      </w:pPr>
    </w:p>
    <w:p w:rsidR="00B662AA" w:rsidRDefault="00B662AA" w:rsidP="00B662AA">
      <w:pPr>
        <w:pStyle w:val="naispant"/>
        <w:spacing w:before="0" w:beforeAutospacing="0" w:after="0" w:afterAutospacing="0"/>
        <w:ind w:right="140" w:firstLine="720"/>
        <w:jc w:val="both"/>
        <w:rPr>
          <w:sz w:val="26"/>
          <w:szCs w:val="26"/>
        </w:rPr>
      </w:pPr>
    </w:p>
    <w:p w:rsidR="00B662AA" w:rsidRDefault="00B662AA" w:rsidP="00B662AA">
      <w:pPr>
        <w:pStyle w:val="naispant"/>
        <w:spacing w:before="0" w:beforeAutospacing="0" w:after="0" w:afterAutospacing="0"/>
        <w:ind w:right="140" w:firstLine="720"/>
        <w:jc w:val="both"/>
        <w:rPr>
          <w:sz w:val="26"/>
          <w:szCs w:val="26"/>
        </w:rPr>
      </w:pPr>
    </w:p>
    <w:p w:rsidR="00DF0A03" w:rsidRPr="00EA6852" w:rsidRDefault="00886D21" w:rsidP="00DF0A03">
      <w:pPr>
        <w:pStyle w:val="naispant"/>
        <w:tabs>
          <w:tab w:val="left" w:pos="4014"/>
        </w:tabs>
        <w:spacing w:before="0" w:beforeAutospacing="0" w:after="0" w:afterAutospacing="0"/>
        <w:ind w:right="140"/>
        <w:jc w:val="both"/>
        <w:rPr>
          <w:sz w:val="20"/>
          <w:szCs w:val="20"/>
        </w:rPr>
      </w:pPr>
      <w:r>
        <w:rPr>
          <w:sz w:val="20"/>
          <w:szCs w:val="20"/>
        </w:rPr>
        <w:t>16.09</w:t>
      </w:r>
      <w:r w:rsidR="00F52898" w:rsidRPr="00EA6852">
        <w:rPr>
          <w:sz w:val="20"/>
          <w:szCs w:val="20"/>
        </w:rPr>
        <w:t>.2011. 10:57</w:t>
      </w:r>
    </w:p>
    <w:p w:rsidR="00DF0A03" w:rsidRPr="00EA6852" w:rsidRDefault="00B1073A" w:rsidP="00DF0A03">
      <w:pPr>
        <w:pStyle w:val="naispant"/>
        <w:tabs>
          <w:tab w:val="left" w:pos="4014"/>
        </w:tabs>
        <w:spacing w:before="0" w:beforeAutospacing="0" w:after="0" w:afterAutospacing="0"/>
        <w:ind w:right="140"/>
        <w:jc w:val="both"/>
        <w:rPr>
          <w:sz w:val="20"/>
          <w:szCs w:val="20"/>
        </w:rPr>
      </w:pPr>
      <w:bookmarkStart w:id="3" w:name="OLE_LINK3"/>
      <w:bookmarkStart w:id="4" w:name="OLE_LINK4"/>
      <w:r>
        <w:rPr>
          <w:sz w:val="20"/>
          <w:szCs w:val="20"/>
        </w:rPr>
        <w:t>6 746</w:t>
      </w:r>
    </w:p>
    <w:p w:rsidR="00DF0A03" w:rsidRPr="00EA6852" w:rsidRDefault="00DF0A03" w:rsidP="00DF0A03">
      <w:pPr>
        <w:pStyle w:val="naispant"/>
        <w:tabs>
          <w:tab w:val="left" w:pos="4014"/>
        </w:tabs>
        <w:spacing w:before="0" w:beforeAutospacing="0" w:after="0" w:afterAutospacing="0"/>
        <w:ind w:right="140"/>
        <w:jc w:val="both"/>
        <w:rPr>
          <w:sz w:val="20"/>
          <w:szCs w:val="20"/>
        </w:rPr>
      </w:pPr>
      <w:proofErr w:type="spellStart"/>
      <w:r w:rsidRPr="00EA6852">
        <w:rPr>
          <w:sz w:val="20"/>
          <w:szCs w:val="20"/>
        </w:rPr>
        <w:t>I.</w:t>
      </w:r>
      <w:r w:rsidR="0084413F" w:rsidRPr="00EA6852">
        <w:rPr>
          <w:sz w:val="20"/>
          <w:szCs w:val="20"/>
        </w:rPr>
        <w:t>Kahanoviča</w:t>
      </w:r>
      <w:proofErr w:type="spellEnd"/>
    </w:p>
    <w:p w:rsidR="00DF0A03" w:rsidRPr="00EA6852" w:rsidRDefault="00130F34" w:rsidP="00DF0A03">
      <w:pPr>
        <w:pStyle w:val="naispant"/>
        <w:tabs>
          <w:tab w:val="left" w:pos="4014"/>
        </w:tabs>
        <w:spacing w:before="0" w:beforeAutospacing="0" w:after="0" w:afterAutospacing="0"/>
        <w:ind w:right="140"/>
        <w:jc w:val="both"/>
        <w:rPr>
          <w:sz w:val="20"/>
          <w:szCs w:val="20"/>
        </w:rPr>
      </w:pPr>
      <w:hyperlink r:id="rId8" w:history="1">
        <w:r w:rsidR="00EA6852" w:rsidRPr="003C0D90">
          <w:rPr>
            <w:rStyle w:val="Hyperlink"/>
            <w:sz w:val="20"/>
            <w:szCs w:val="20"/>
          </w:rPr>
          <w:t>Inese.Kahanovica@tm.gov.lv</w:t>
        </w:r>
      </w:hyperlink>
      <w:bookmarkEnd w:id="3"/>
      <w:bookmarkEnd w:id="4"/>
    </w:p>
    <w:p w:rsidR="009416E7" w:rsidRPr="00EA6852" w:rsidRDefault="008056A3" w:rsidP="00DF0A03">
      <w:pPr>
        <w:pStyle w:val="naispant"/>
        <w:tabs>
          <w:tab w:val="left" w:pos="4014"/>
        </w:tabs>
        <w:spacing w:before="0" w:beforeAutospacing="0" w:after="0" w:afterAutospacing="0"/>
        <w:ind w:right="140"/>
        <w:jc w:val="both"/>
        <w:rPr>
          <w:sz w:val="20"/>
          <w:szCs w:val="20"/>
        </w:rPr>
      </w:pPr>
      <w:r w:rsidRPr="00EA6852">
        <w:rPr>
          <w:sz w:val="20"/>
          <w:szCs w:val="20"/>
        </w:rPr>
        <w:t>6703</w:t>
      </w:r>
      <w:r w:rsidR="00075282">
        <w:rPr>
          <w:sz w:val="20"/>
          <w:szCs w:val="20"/>
        </w:rPr>
        <w:t>6</w:t>
      </w:r>
      <w:r w:rsidRPr="00EA6852">
        <w:rPr>
          <w:sz w:val="20"/>
          <w:szCs w:val="20"/>
        </w:rPr>
        <w:t>906</w:t>
      </w:r>
    </w:p>
    <w:p w:rsidR="004D365B" w:rsidRPr="00B662AA" w:rsidRDefault="004D365B">
      <w:pPr>
        <w:ind w:right="140"/>
        <w:rPr>
          <w:sz w:val="26"/>
          <w:szCs w:val="26"/>
        </w:rPr>
      </w:pPr>
    </w:p>
    <w:sectPr w:rsidR="004D365B" w:rsidRPr="00B662AA" w:rsidSect="0046744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985" w:left="1701" w:header="709" w:footer="3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8E" w:rsidRDefault="0026758E" w:rsidP="003E4DC9">
      <w:r>
        <w:separator/>
      </w:r>
    </w:p>
  </w:endnote>
  <w:endnote w:type="continuationSeparator" w:id="0">
    <w:p w:rsidR="0026758E" w:rsidRDefault="0026758E" w:rsidP="003E4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E" w:rsidRDefault="00267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E" w:rsidRPr="00B662AA" w:rsidRDefault="0026758E" w:rsidP="004C778A">
    <w:pPr>
      <w:pStyle w:val="naislab"/>
      <w:spacing w:before="0" w:after="0"/>
      <w:jc w:val="both"/>
      <w:rPr>
        <w:sz w:val="20"/>
        <w:szCs w:val="20"/>
      </w:rPr>
    </w:pPr>
    <w:r w:rsidRPr="00B662AA">
      <w:rPr>
        <w:sz w:val="20"/>
        <w:szCs w:val="20"/>
      </w:rPr>
      <w:t>TMAnot_</w:t>
    </w:r>
    <w:r>
      <w:rPr>
        <w:sz w:val="20"/>
        <w:szCs w:val="20"/>
      </w:rPr>
      <w:t>1609</w:t>
    </w:r>
    <w:r w:rsidRPr="00B662AA">
      <w:rPr>
        <w:sz w:val="20"/>
        <w:szCs w:val="20"/>
      </w:rPr>
      <w:t xml:space="preserve">11_LAPK; Likumprojekta „Grozījumi Latvijas Administratīvo pārkāpumu kodeksā” sākotnējās ietekmes novērtējuma </w:t>
    </w:r>
    <w:smartTag w:uri="schemas-tilde-lv/tildestengine" w:element="veidnes">
      <w:smartTagPr>
        <w:attr w:name="text" w:val="ziņojums"/>
        <w:attr w:name="baseform" w:val="ziņojums"/>
        <w:attr w:name="id" w:val="-1"/>
      </w:smartTagPr>
      <w:r w:rsidRPr="00B662AA">
        <w:rPr>
          <w:sz w:val="20"/>
          <w:szCs w:val="20"/>
        </w:rPr>
        <w:t>ziņojums</w:t>
      </w:r>
    </w:smartTag>
    <w:r w:rsidRPr="00B662AA">
      <w:rPr>
        <w:sz w:val="20"/>
        <w:szCs w:val="20"/>
      </w:rPr>
      <w:t xml:space="preserve"> (anotācija)</w:t>
    </w:r>
  </w:p>
  <w:p w:rsidR="0026758E" w:rsidRPr="00D42898" w:rsidRDefault="0026758E" w:rsidP="004C778A">
    <w:pPr>
      <w:pStyle w:val="Footer"/>
      <w:rPr>
        <w:sz w:val="20"/>
        <w:szCs w:val="20"/>
      </w:rPr>
    </w:pPr>
  </w:p>
  <w:p w:rsidR="0026758E" w:rsidRPr="00B662AA" w:rsidRDefault="0026758E" w:rsidP="00B662AA">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E" w:rsidRPr="00B662AA" w:rsidRDefault="0026758E" w:rsidP="00B662AA">
    <w:pPr>
      <w:pStyle w:val="naislab"/>
      <w:spacing w:before="0" w:after="0"/>
      <w:jc w:val="both"/>
      <w:rPr>
        <w:sz w:val="20"/>
        <w:szCs w:val="20"/>
      </w:rPr>
    </w:pPr>
    <w:r w:rsidRPr="00B662AA">
      <w:rPr>
        <w:sz w:val="20"/>
        <w:szCs w:val="20"/>
      </w:rPr>
      <w:t>TMAnot_</w:t>
    </w:r>
    <w:r>
      <w:rPr>
        <w:sz w:val="20"/>
        <w:szCs w:val="20"/>
      </w:rPr>
      <w:t>1609</w:t>
    </w:r>
    <w:r w:rsidRPr="00B662AA">
      <w:rPr>
        <w:sz w:val="20"/>
        <w:szCs w:val="20"/>
      </w:rPr>
      <w:t xml:space="preserve">11_LAPK; Likumprojekta „Grozījumi Latvijas Administratīvo pārkāpumu kodeksā” sākotnējās ietekmes novērtējuma </w:t>
    </w:r>
    <w:smartTag w:uri="schemas-tilde-lv/tildestengine" w:element="veidnes">
      <w:smartTagPr>
        <w:attr w:name="text" w:val="ziņojums"/>
        <w:attr w:name="baseform" w:val="ziņojums"/>
        <w:attr w:name="id" w:val="-1"/>
      </w:smartTagPr>
      <w:r w:rsidRPr="00B662AA">
        <w:rPr>
          <w:sz w:val="20"/>
          <w:szCs w:val="20"/>
        </w:rPr>
        <w:t>ziņojums</w:t>
      </w:r>
    </w:smartTag>
    <w:r w:rsidRPr="00B662AA">
      <w:rPr>
        <w:sz w:val="20"/>
        <w:szCs w:val="20"/>
      </w:rPr>
      <w:t xml:space="preserve"> (anotācija)</w:t>
    </w:r>
  </w:p>
  <w:p w:rsidR="0026758E" w:rsidRPr="00D42898" w:rsidRDefault="0026758E" w:rsidP="00D42898">
    <w:pPr>
      <w:pStyle w:val="Footer"/>
      <w:rPr>
        <w:sz w:val="20"/>
        <w:szCs w:val="20"/>
      </w:rPr>
    </w:pPr>
  </w:p>
  <w:p w:rsidR="0026758E" w:rsidRPr="00D42898" w:rsidRDefault="0026758E" w:rsidP="00D4289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8E" w:rsidRDefault="0026758E" w:rsidP="003E4DC9">
      <w:r>
        <w:separator/>
      </w:r>
    </w:p>
  </w:footnote>
  <w:footnote w:type="continuationSeparator" w:id="0">
    <w:p w:rsidR="0026758E" w:rsidRDefault="0026758E" w:rsidP="003E4DC9">
      <w:r>
        <w:continuationSeparator/>
      </w:r>
    </w:p>
  </w:footnote>
  <w:footnote w:id="1">
    <w:p w:rsidR="0026758E" w:rsidRPr="00DF5562" w:rsidRDefault="0026758E" w:rsidP="003C42C9">
      <w:pPr>
        <w:pStyle w:val="FootnoteText"/>
      </w:pPr>
      <w:r>
        <w:rPr>
          <w:rStyle w:val="FootnoteReference"/>
        </w:rPr>
        <w:footnoteRef/>
      </w:r>
      <w:r>
        <w:t xml:space="preserve"> </w:t>
      </w:r>
      <w:proofErr w:type="spellStart"/>
      <w:r w:rsidRPr="00DF5562">
        <w:t>Blūzma</w:t>
      </w:r>
      <w:proofErr w:type="spellEnd"/>
      <w:r w:rsidRPr="00DF5562">
        <w:t xml:space="preserve"> V. Tiesiskas valsts pirmsākumi Latvijā. Latvijas vēsture., 1998., Nr. 3., 20</w:t>
      </w:r>
      <w:r>
        <w:t>.</w:t>
      </w:r>
      <w:r w:rsidRPr="00DF5562">
        <w:t xml:space="preserve">-24.lpp., Nr. 4., 6-14.lpp.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E" w:rsidRDefault="00130F34" w:rsidP="00D31673">
    <w:pPr>
      <w:pStyle w:val="Header"/>
      <w:framePr w:wrap="around" w:vAnchor="text" w:hAnchor="margin" w:xAlign="center" w:y="1"/>
      <w:rPr>
        <w:rStyle w:val="PageNumber"/>
      </w:rPr>
    </w:pPr>
    <w:r>
      <w:rPr>
        <w:rStyle w:val="PageNumber"/>
      </w:rPr>
      <w:fldChar w:fldCharType="begin"/>
    </w:r>
    <w:r w:rsidR="0026758E">
      <w:rPr>
        <w:rStyle w:val="PageNumber"/>
      </w:rPr>
      <w:instrText xml:space="preserve">PAGE  </w:instrText>
    </w:r>
    <w:r>
      <w:rPr>
        <w:rStyle w:val="PageNumber"/>
      </w:rPr>
      <w:fldChar w:fldCharType="separate"/>
    </w:r>
    <w:r w:rsidR="0026758E">
      <w:rPr>
        <w:rStyle w:val="PageNumber"/>
        <w:noProof/>
      </w:rPr>
      <w:t>5</w:t>
    </w:r>
    <w:r>
      <w:rPr>
        <w:rStyle w:val="PageNumber"/>
      </w:rPr>
      <w:fldChar w:fldCharType="end"/>
    </w:r>
  </w:p>
  <w:p w:rsidR="0026758E" w:rsidRDefault="00267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E" w:rsidRDefault="00130F34" w:rsidP="00D31673">
    <w:pPr>
      <w:pStyle w:val="Header"/>
      <w:framePr w:wrap="around" w:vAnchor="text" w:hAnchor="margin" w:xAlign="center" w:y="1"/>
      <w:rPr>
        <w:rStyle w:val="PageNumber"/>
      </w:rPr>
    </w:pPr>
    <w:r>
      <w:rPr>
        <w:rStyle w:val="PageNumber"/>
      </w:rPr>
      <w:fldChar w:fldCharType="begin"/>
    </w:r>
    <w:r w:rsidR="0026758E">
      <w:rPr>
        <w:rStyle w:val="PageNumber"/>
      </w:rPr>
      <w:instrText xml:space="preserve">PAGE  </w:instrText>
    </w:r>
    <w:r>
      <w:rPr>
        <w:rStyle w:val="PageNumber"/>
      </w:rPr>
      <w:fldChar w:fldCharType="separate"/>
    </w:r>
    <w:r w:rsidR="00B1073A">
      <w:rPr>
        <w:rStyle w:val="PageNumber"/>
        <w:noProof/>
      </w:rPr>
      <w:t>26</w:t>
    </w:r>
    <w:r>
      <w:rPr>
        <w:rStyle w:val="PageNumber"/>
      </w:rPr>
      <w:fldChar w:fldCharType="end"/>
    </w:r>
  </w:p>
  <w:p w:rsidR="0026758E" w:rsidRDefault="00267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E" w:rsidRDefault="00267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0CB7"/>
    <w:multiLevelType w:val="hybridMultilevel"/>
    <w:tmpl w:val="85628900"/>
    <w:lvl w:ilvl="0" w:tplc="02224C88">
      <w:start w:val="7"/>
      <w:numFmt w:val="bullet"/>
      <w:lvlText w:val="–"/>
      <w:lvlJc w:val="left"/>
      <w:pPr>
        <w:ind w:left="525" w:hanging="360"/>
      </w:pPr>
      <w:rPr>
        <w:rFonts w:ascii="Times New Roman" w:eastAsia="Times New Roman" w:hAnsi="Times New Roman" w:cs="Times New Roman" w:hint="default"/>
      </w:rPr>
    </w:lvl>
    <w:lvl w:ilvl="1" w:tplc="04260003" w:tentative="1">
      <w:start w:val="1"/>
      <w:numFmt w:val="bullet"/>
      <w:lvlText w:val="o"/>
      <w:lvlJc w:val="left"/>
      <w:pPr>
        <w:ind w:left="1245" w:hanging="360"/>
      </w:pPr>
      <w:rPr>
        <w:rFonts w:ascii="Courier New" w:hAnsi="Courier New" w:cs="Courier New" w:hint="default"/>
      </w:rPr>
    </w:lvl>
    <w:lvl w:ilvl="2" w:tplc="04260005" w:tentative="1">
      <w:start w:val="1"/>
      <w:numFmt w:val="bullet"/>
      <w:lvlText w:val=""/>
      <w:lvlJc w:val="left"/>
      <w:pPr>
        <w:ind w:left="1965" w:hanging="360"/>
      </w:pPr>
      <w:rPr>
        <w:rFonts w:ascii="Wingdings" w:hAnsi="Wingdings" w:hint="default"/>
      </w:rPr>
    </w:lvl>
    <w:lvl w:ilvl="3" w:tplc="04260001" w:tentative="1">
      <w:start w:val="1"/>
      <w:numFmt w:val="bullet"/>
      <w:lvlText w:val=""/>
      <w:lvlJc w:val="left"/>
      <w:pPr>
        <w:ind w:left="2685" w:hanging="360"/>
      </w:pPr>
      <w:rPr>
        <w:rFonts w:ascii="Symbol" w:hAnsi="Symbol" w:hint="default"/>
      </w:rPr>
    </w:lvl>
    <w:lvl w:ilvl="4" w:tplc="04260003" w:tentative="1">
      <w:start w:val="1"/>
      <w:numFmt w:val="bullet"/>
      <w:lvlText w:val="o"/>
      <w:lvlJc w:val="left"/>
      <w:pPr>
        <w:ind w:left="3405" w:hanging="360"/>
      </w:pPr>
      <w:rPr>
        <w:rFonts w:ascii="Courier New" w:hAnsi="Courier New" w:cs="Courier New" w:hint="default"/>
      </w:rPr>
    </w:lvl>
    <w:lvl w:ilvl="5" w:tplc="04260005" w:tentative="1">
      <w:start w:val="1"/>
      <w:numFmt w:val="bullet"/>
      <w:lvlText w:val=""/>
      <w:lvlJc w:val="left"/>
      <w:pPr>
        <w:ind w:left="4125" w:hanging="360"/>
      </w:pPr>
      <w:rPr>
        <w:rFonts w:ascii="Wingdings" w:hAnsi="Wingdings" w:hint="default"/>
      </w:rPr>
    </w:lvl>
    <w:lvl w:ilvl="6" w:tplc="04260001" w:tentative="1">
      <w:start w:val="1"/>
      <w:numFmt w:val="bullet"/>
      <w:lvlText w:val=""/>
      <w:lvlJc w:val="left"/>
      <w:pPr>
        <w:ind w:left="4845" w:hanging="360"/>
      </w:pPr>
      <w:rPr>
        <w:rFonts w:ascii="Symbol" w:hAnsi="Symbol" w:hint="default"/>
      </w:rPr>
    </w:lvl>
    <w:lvl w:ilvl="7" w:tplc="04260003" w:tentative="1">
      <w:start w:val="1"/>
      <w:numFmt w:val="bullet"/>
      <w:lvlText w:val="o"/>
      <w:lvlJc w:val="left"/>
      <w:pPr>
        <w:ind w:left="5565" w:hanging="360"/>
      </w:pPr>
      <w:rPr>
        <w:rFonts w:ascii="Courier New" w:hAnsi="Courier New" w:cs="Courier New" w:hint="default"/>
      </w:rPr>
    </w:lvl>
    <w:lvl w:ilvl="8" w:tplc="04260005" w:tentative="1">
      <w:start w:val="1"/>
      <w:numFmt w:val="bullet"/>
      <w:lvlText w:val=""/>
      <w:lvlJc w:val="left"/>
      <w:pPr>
        <w:ind w:left="6285" w:hanging="360"/>
      </w:pPr>
      <w:rPr>
        <w:rFonts w:ascii="Wingdings" w:hAnsi="Wingdings" w:hint="default"/>
      </w:rPr>
    </w:lvl>
  </w:abstractNum>
  <w:abstractNum w:abstractNumId="1">
    <w:nsid w:val="2EF06268"/>
    <w:multiLevelType w:val="hybridMultilevel"/>
    <w:tmpl w:val="14C4FABE"/>
    <w:lvl w:ilvl="0" w:tplc="534CFC2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8EF6769"/>
    <w:multiLevelType w:val="hybridMultilevel"/>
    <w:tmpl w:val="289C4E6E"/>
    <w:lvl w:ilvl="0" w:tplc="59C406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CA78BC"/>
    <w:multiLevelType w:val="hybridMultilevel"/>
    <w:tmpl w:val="9830CFE4"/>
    <w:lvl w:ilvl="0" w:tplc="3076A648">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40B64AAA"/>
    <w:multiLevelType w:val="hybridMultilevel"/>
    <w:tmpl w:val="C1848AAE"/>
    <w:lvl w:ilvl="0" w:tplc="C35E69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3941B3"/>
    <w:multiLevelType w:val="hybridMultilevel"/>
    <w:tmpl w:val="F1D04112"/>
    <w:lvl w:ilvl="0" w:tplc="CD62E3B4">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20462B"/>
    <w:multiLevelType w:val="hybridMultilevel"/>
    <w:tmpl w:val="A1FA97B8"/>
    <w:lvl w:ilvl="0" w:tplc="CE60C246">
      <w:start w:val="2013"/>
      <w:numFmt w:val="bullet"/>
      <w:lvlText w:val="–"/>
      <w:lvlJc w:val="left"/>
      <w:pPr>
        <w:ind w:left="525" w:hanging="360"/>
      </w:pPr>
      <w:rPr>
        <w:rFonts w:ascii="Times New Roman" w:eastAsia="Times New Roman" w:hAnsi="Times New Roman" w:cs="Times New Roman" w:hint="default"/>
        <w:u w:val="none"/>
      </w:rPr>
    </w:lvl>
    <w:lvl w:ilvl="1" w:tplc="04260003" w:tentative="1">
      <w:start w:val="1"/>
      <w:numFmt w:val="bullet"/>
      <w:lvlText w:val="o"/>
      <w:lvlJc w:val="left"/>
      <w:pPr>
        <w:ind w:left="1245" w:hanging="360"/>
      </w:pPr>
      <w:rPr>
        <w:rFonts w:ascii="Courier New" w:hAnsi="Courier New" w:cs="Courier New" w:hint="default"/>
      </w:rPr>
    </w:lvl>
    <w:lvl w:ilvl="2" w:tplc="04260005" w:tentative="1">
      <w:start w:val="1"/>
      <w:numFmt w:val="bullet"/>
      <w:lvlText w:val=""/>
      <w:lvlJc w:val="left"/>
      <w:pPr>
        <w:ind w:left="1965" w:hanging="360"/>
      </w:pPr>
      <w:rPr>
        <w:rFonts w:ascii="Wingdings" w:hAnsi="Wingdings" w:hint="default"/>
      </w:rPr>
    </w:lvl>
    <w:lvl w:ilvl="3" w:tplc="04260001" w:tentative="1">
      <w:start w:val="1"/>
      <w:numFmt w:val="bullet"/>
      <w:lvlText w:val=""/>
      <w:lvlJc w:val="left"/>
      <w:pPr>
        <w:ind w:left="2685" w:hanging="360"/>
      </w:pPr>
      <w:rPr>
        <w:rFonts w:ascii="Symbol" w:hAnsi="Symbol" w:hint="default"/>
      </w:rPr>
    </w:lvl>
    <w:lvl w:ilvl="4" w:tplc="04260003" w:tentative="1">
      <w:start w:val="1"/>
      <w:numFmt w:val="bullet"/>
      <w:lvlText w:val="o"/>
      <w:lvlJc w:val="left"/>
      <w:pPr>
        <w:ind w:left="3405" w:hanging="360"/>
      </w:pPr>
      <w:rPr>
        <w:rFonts w:ascii="Courier New" w:hAnsi="Courier New" w:cs="Courier New" w:hint="default"/>
      </w:rPr>
    </w:lvl>
    <w:lvl w:ilvl="5" w:tplc="04260005" w:tentative="1">
      <w:start w:val="1"/>
      <w:numFmt w:val="bullet"/>
      <w:lvlText w:val=""/>
      <w:lvlJc w:val="left"/>
      <w:pPr>
        <w:ind w:left="4125" w:hanging="360"/>
      </w:pPr>
      <w:rPr>
        <w:rFonts w:ascii="Wingdings" w:hAnsi="Wingdings" w:hint="default"/>
      </w:rPr>
    </w:lvl>
    <w:lvl w:ilvl="6" w:tplc="04260001" w:tentative="1">
      <w:start w:val="1"/>
      <w:numFmt w:val="bullet"/>
      <w:lvlText w:val=""/>
      <w:lvlJc w:val="left"/>
      <w:pPr>
        <w:ind w:left="4845" w:hanging="360"/>
      </w:pPr>
      <w:rPr>
        <w:rFonts w:ascii="Symbol" w:hAnsi="Symbol" w:hint="default"/>
      </w:rPr>
    </w:lvl>
    <w:lvl w:ilvl="7" w:tplc="04260003" w:tentative="1">
      <w:start w:val="1"/>
      <w:numFmt w:val="bullet"/>
      <w:lvlText w:val="o"/>
      <w:lvlJc w:val="left"/>
      <w:pPr>
        <w:ind w:left="5565" w:hanging="360"/>
      </w:pPr>
      <w:rPr>
        <w:rFonts w:ascii="Courier New" w:hAnsi="Courier New" w:cs="Courier New" w:hint="default"/>
      </w:rPr>
    </w:lvl>
    <w:lvl w:ilvl="8" w:tplc="04260005" w:tentative="1">
      <w:start w:val="1"/>
      <w:numFmt w:val="bullet"/>
      <w:lvlText w:val=""/>
      <w:lvlJc w:val="left"/>
      <w:pPr>
        <w:ind w:left="6285" w:hanging="360"/>
      </w:pPr>
      <w:rPr>
        <w:rFonts w:ascii="Wingdings" w:hAnsi="Wingdings" w:hint="default"/>
      </w:rPr>
    </w:lvl>
  </w:abstractNum>
  <w:abstractNum w:abstractNumId="7">
    <w:nsid w:val="5D19427A"/>
    <w:multiLevelType w:val="hybridMultilevel"/>
    <w:tmpl w:val="43C8E064"/>
    <w:lvl w:ilvl="0" w:tplc="D9D8DB5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C7560DE"/>
    <w:multiLevelType w:val="hybridMultilevel"/>
    <w:tmpl w:val="6826E3C8"/>
    <w:lvl w:ilvl="0" w:tplc="6AB62AE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4F65"/>
    <w:rsid w:val="00000366"/>
    <w:rsid w:val="00000DF1"/>
    <w:rsid w:val="000015D9"/>
    <w:rsid w:val="0000188F"/>
    <w:rsid w:val="00006B9A"/>
    <w:rsid w:val="000076DB"/>
    <w:rsid w:val="00010C03"/>
    <w:rsid w:val="00020F74"/>
    <w:rsid w:val="00023A9C"/>
    <w:rsid w:val="00024F08"/>
    <w:rsid w:val="000408FE"/>
    <w:rsid w:val="000466D7"/>
    <w:rsid w:val="00051223"/>
    <w:rsid w:val="00056D54"/>
    <w:rsid w:val="00056D68"/>
    <w:rsid w:val="00064378"/>
    <w:rsid w:val="00070A5C"/>
    <w:rsid w:val="0007185B"/>
    <w:rsid w:val="00075282"/>
    <w:rsid w:val="00075F76"/>
    <w:rsid w:val="00076BFD"/>
    <w:rsid w:val="00077026"/>
    <w:rsid w:val="00082574"/>
    <w:rsid w:val="000843C2"/>
    <w:rsid w:val="000905A6"/>
    <w:rsid w:val="000A27D6"/>
    <w:rsid w:val="000B120B"/>
    <w:rsid w:val="000B5A71"/>
    <w:rsid w:val="000D1E50"/>
    <w:rsid w:val="000E102B"/>
    <w:rsid w:val="000F207A"/>
    <w:rsid w:val="000F3B8E"/>
    <w:rsid w:val="00101CAC"/>
    <w:rsid w:val="00107A76"/>
    <w:rsid w:val="00110A62"/>
    <w:rsid w:val="00117481"/>
    <w:rsid w:val="00123578"/>
    <w:rsid w:val="00130A33"/>
    <w:rsid w:val="00130F34"/>
    <w:rsid w:val="0013670F"/>
    <w:rsid w:val="00136AAE"/>
    <w:rsid w:val="001373FA"/>
    <w:rsid w:val="00140632"/>
    <w:rsid w:val="00142DBC"/>
    <w:rsid w:val="00144E57"/>
    <w:rsid w:val="001462EA"/>
    <w:rsid w:val="00152559"/>
    <w:rsid w:val="00155D49"/>
    <w:rsid w:val="00162A7F"/>
    <w:rsid w:val="00180C7A"/>
    <w:rsid w:val="001820EB"/>
    <w:rsid w:val="001A20C2"/>
    <w:rsid w:val="001A4AE7"/>
    <w:rsid w:val="001B1347"/>
    <w:rsid w:val="001B530B"/>
    <w:rsid w:val="001B721C"/>
    <w:rsid w:val="001C55CC"/>
    <w:rsid w:val="001D13C4"/>
    <w:rsid w:val="001D334D"/>
    <w:rsid w:val="001E14F5"/>
    <w:rsid w:val="001E3566"/>
    <w:rsid w:val="00211698"/>
    <w:rsid w:val="00211DCC"/>
    <w:rsid w:val="00214570"/>
    <w:rsid w:val="00227D6B"/>
    <w:rsid w:val="00236796"/>
    <w:rsid w:val="00240F9B"/>
    <w:rsid w:val="00251A0D"/>
    <w:rsid w:val="00253172"/>
    <w:rsid w:val="00266DB0"/>
    <w:rsid w:val="0026758E"/>
    <w:rsid w:val="0027452D"/>
    <w:rsid w:val="00277958"/>
    <w:rsid w:val="0028193D"/>
    <w:rsid w:val="00290630"/>
    <w:rsid w:val="002A21E6"/>
    <w:rsid w:val="002A7306"/>
    <w:rsid w:val="002B082F"/>
    <w:rsid w:val="002B1294"/>
    <w:rsid w:val="002B1BCB"/>
    <w:rsid w:val="002B3515"/>
    <w:rsid w:val="002C0C7E"/>
    <w:rsid w:val="002D44D4"/>
    <w:rsid w:val="002E22F7"/>
    <w:rsid w:val="002E37C0"/>
    <w:rsid w:val="002F0234"/>
    <w:rsid w:val="002F2553"/>
    <w:rsid w:val="002F3133"/>
    <w:rsid w:val="002F5A35"/>
    <w:rsid w:val="003145F7"/>
    <w:rsid w:val="0034050E"/>
    <w:rsid w:val="00354369"/>
    <w:rsid w:val="00381A8D"/>
    <w:rsid w:val="00381D33"/>
    <w:rsid w:val="003839D2"/>
    <w:rsid w:val="003A005D"/>
    <w:rsid w:val="003A0349"/>
    <w:rsid w:val="003C42C9"/>
    <w:rsid w:val="003D1CA1"/>
    <w:rsid w:val="003D1F4B"/>
    <w:rsid w:val="003D3381"/>
    <w:rsid w:val="003E0214"/>
    <w:rsid w:val="003E0C25"/>
    <w:rsid w:val="003E1A71"/>
    <w:rsid w:val="003E4DC9"/>
    <w:rsid w:val="003E5719"/>
    <w:rsid w:val="003E5D8D"/>
    <w:rsid w:val="003F0EC8"/>
    <w:rsid w:val="00401A1B"/>
    <w:rsid w:val="00404119"/>
    <w:rsid w:val="004044BC"/>
    <w:rsid w:val="00413D97"/>
    <w:rsid w:val="004152BA"/>
    <w:rsid w:val="004318A6"/>
    <w:rsid w:val="0043216F"/>
    <w:rsid w:val="004362F0"/>
    <w:rsid w:val="00436481"/>
    <w:rsid w:val="00441FC5"/>
    <w:rsid w:val="004442F9"/>
    <w:rsid w:val="00446633"/>
    <w:rsid w:val="00457A79"/>
    <w:rsid w:val="0046028B"/>
    <w:rsid w:val="00463804"/>
    <w:rsid w:val="00466187"/>
    <w:rsid w:val="0046744E"/>
    <w:rsid w:val="0048387A"/>
    <w:rsid w:val="004843B2"/>
    <w:rsid w:val="0049020E"/>
    <w:rsid w:val="004903FF"/>
    <w:rsid w:val="00490E26"/>
    <w:rsid w:val="00493BCF"/>
    <w:rsid w:val="004A0F12"/>
    <w:rsid w:val="004B45C9"/>
    <w:rsid w:val="004B501D"/>
    <w:rsid w:val="004C37A0"/>
    <w:rsid w:val="004C447B"/>
    <w:rsid w:val="004C778A"/>
    <w:rsid w:val="004D26A0"/>
    <w:rsid w:val="004D365B"/>
    <w:rsid w:val="004D6768"/>
    <w:rsid w:val="004D7C9F"/>
    <w:rsid w:val="004F0331"/>
    <w:rsid w:val="004F11C9"/>
    <w:rsid w:val="00500501"/>
    <w:rsid w:val="00502ABA"/>
    <w:rsid w:val="00503DC6"/>
    <w:rsid w:val="00506CB9"/>
    <w:rsid w:val="005142E1"/>
    <w:rsid w:val="005247C7"/>
    <w:rsid w:val="005324CF"/>
    <w:rsid w:val="0053685F"/>
    <w:rsid w:val="005529C5"/>
    <w:rsid w:val="00556D32"/>
    <w:rsid w:val="00560300"/>
    <w:rsid w:val="005613F4"/>
    <w:rsid w:val="00563C5B"/>
    <w:rsid w:val="005815D6"/>
    <w:rsid w:val="00583D3B"/>
    <w:rsid w:val="0059001D"/>
    <w:rsid w:val="005925DC"/>
    <w:rsid w:val="00594686"/>
    <w:rsid w:val="00596722"/>
    <w:rsid w:val="005A7957"/>
    <w:rsid w:val="005B2EFB"/>
    <w:rsid w:val="005B4941"/>
    <w:rsid w:val="005B6BC5"/>
    <w:rsid w:val="005C46FC"/>
    <w:rsid w:val="005D0D16"/>
    <w:rsid w:val="005D1505"/>
    <w:rsid w:val="005D21C6"/>
    <w:rsid w:val="005D5095"/>
    <w:rsid w:val="005E0517"/>
    <w:rsid w:val="005E3BDB"/>
    <w:rsid w:val="005E79BD"/>
    <w:rsid w:val="005F1C39"/>
    <w:rsid w:val="005F1E85"/>
    <w:rsid w:val="005F667B"/>
    <w:rsid w:val="005F7E1F"/>
    <w:rsid w:val="0060305E"/>
    <w:rsid w:val="00611196"/>
    <w:rsid w:val="00613F20"/>
    <w:rsid w:val="00620CD8"/>
    <w:rsid w:val="006364EB"/>
    <w:rsid w:val="00637EBC"/>
    <w:rsid w:val="006434FB"/>
    <w:rsid w:val="006438C7"/>
    <w:rsid w:val="0065056F"/>
    <w:rsid w:val="00650633"/>
    <w:rsid w:val="006516AC"/>
    <w:rsid w:val="006734D6"/>
    <w:rsid w:val="0068073A"/>
    <w:rsid w:val="006818F4"/>
    <w:rsid w:val="00684E1F"/>
    <w:rsid w:val="00685C63"/>
    <w:rsid w:val="00694F65"/>
    <w:rsid w:val="00697008"/>
    <w:rsid w:val="006A1661"/>
    <w:rsid w:val="006A5A09"/>
    <w:rsid w:val="006A6FF3"/>
    <w:rsid w:val="006B67DC"/>
    <w:rsid w:val="006C3883"/>
    <w:rsid w:val="006C4FBF"/>
    <w:rsid w:val="006D2FE5"/>
    <w:rsid w:val="006D426F"/>
    <w:rsid w:val="006D717B"/>
    <w:rsid w:val="006E2EEC"/>
    <w:rsid w:val="006E50E0"/>
    <w:rsid w:val="006E6BA8"/>
    <w:rsid w:val="006F1049"/>
    <w:rsid w:val="00701255"/>
    <w:rsid w:val="007016FF"/>
    <w:rsid w:val="00703A82"/>
    <w:rsid w:val="0072109B"/>
    <w:rsid w:val="00722D11"/>
    <w:rsid w:val="00724CFF"/>
    <w:rsid w:val="00724D2D"/>
    <w:rsid w:val="00725135"/>
    <w:rsid w:val="00725B4D"/>
    <w:rsid w:val="007279C6"/>
    <w:rsid w:val="007376C6"/>
    <w:rsid w:val="00741182"/>
    <w:rsid w:val="00741860"/>
    <w:rsid w:val="00742204"/>
    <w:rsid w:val="007535F4"/>
    <w:rsid w:val="00755913"/>
    <w:rsid w:val="0076191B"/>
    <w:rsid w:val="007623C0"/>
    <w:rsid w:val="007718F3"/>
    <w:rsid w:val="0077238E"/>
    <w:rsid w:val="0078490C"/>
    <w:rsid w:val="0078508D"/>
    <w:rsid w:val="00792DE6"/>
    <w:rsid w:val="00794B92"/>
    <w:rsid w:val="007A02AA"/>
    <w:rsid w:val="007A28C3"/>
    <w:rsid w:val="007A362E"/>
    <w:rsid w:val="007A5568"/>
    <w:rsid w:val="007A5E2A"/>
    <w:rsid w:val="007B2BF4"/>
    <w:rsid w:val="007C0CE8"/>
    <w:rsid w:val="007D08D0"/>
    <w:rsid w:val="007D51F4"/>
    <w:rsid w:val="007D6101"/>
    <w:rsid w:val="007D7881"/>
    <w:rsid w:val="007F066E"/>
    <w:rsid w:val="007F5668"/>
    <w:rsid w:val="00801D91"/>
    <w:rsid w:val="008031AF"/>
    <w:rsid w:val="008056A3"/>
    <w:rsid w:val="008077FD"/>
    <w:rsid w:val="00811130"/>
    <w:rsid w:val="00811F2E"/>
    <w:rsid w:val="00814CA8"/>
    <w:rsid w:val="00816E1C"/>
    <w:rsid w:val="00831F21"/>
    <w:rsid w:val="0084413F"/>
    <w:rsid w:val="00844254"/>
    <w:rsid w:val="008506B9"/>
    <w:rsid w:val="008517A3"/>
    <w:rsid w:val="00856C41"/>
    <w:rsid w:val="0085744F"/>
    <w:rsid w:val="0088068D"/>
    <w:rsid w:val="00880B06"/>
    <w:rsid w:val="0088106B"/>
    <w:rsid w:val="00886D21"/>
    <w:rsid w:val="008872F8"/>
    <w:rsid w:val="0089192B"/>
    <w:rsid w:val="008938AD"/>
    <w:rsid w:val="00894AF2"/>
    <w:rsid w:val="008A7296"/>
    <w:rsid w:val="008B280B"/>
    <w:rsid w:val="008C2014"/>
    <w:rsid w:val="008C3E34"/>
    <w:rsid w:val="008C72CA"/>
    <w:rsid w:val="008C798B"/>
    <w:rsid w:val="008D28FB"/>
    <w:rsid w:val="008D30E1"/>
    <w:rsid w:val="008E032B"/>
    <w:rsid w:val="008F0504"/>
    <w:rsid w:val="008F468D"/>
    <w:rsid w:val="008F69BC"/>
    <w:rsid w:val="00924D5C"/>
    <w:rsid w:val="00925A0D"/>
    <w:rsid w:val="00927B39"/>
    <w:rsid w:val="009301A0"/>
    <w:rsid w:val="0093061C"/>
    <w:rsid w:val="0093294A"/>
    <w:rsid w:val="0093583A"/>
    <w:rsid w:val="00936325"/>
    <w:rsid w:val="009416E7"/>
    <w:rsid w:val="009461CD"/>
    <w:rsid w:val="00947E51"/>
    <w:rsid w:val="00947EFB"/>
    <w:rsid w:val="0095127B"/>
    <w:rsid w:val="009579B9"/>
    <w:rsid w:val="0096444E"/>
    <w:rsid w:val="00967293"/>
    <w:rsid w:val="00970F06"/>
    <w:rsid w:val="00972825"/>
    <w:rsid w:val="009739CC"/>
    <w:rsid w:val="009759EF"/>
    <w:rsid w:val="009841A1"/>
    <w:rsid w:val="009900A2"/>
    <w:rsid w:val="00990565"/>
    <w:rsid w:val="00992168"/>
    <w:rsid w:val="00993E1E"/>
    <w:rsid w:val="009966CE"/>
    <w:rsid w:val="009A45A0"/>
    <w:rsid w:val="009C0F19"/>
    <w:rsid w:val="009C4184"/>
    <w:rsid w:val="009C5123"/>
    <w:rsid w:val="009D2CC5"/>
    <w:rsid w:val="009D304C"/>
    <w:rsid w:val="009D74C3"/>
    <w:rsid w:val="009E7AE7"/>
    <w:rsid w:val="009F56B1"/>
    <w:rsid w:val="009F778E"/>
    <w:rsid w:val="00A04D47"/>
    <w:rsid w:val="00A11FB2"/>
    <w:rsid w:val="00A14CAA"/>
    <w:rsid w:val="00A26528"/>
    <w:rsid w:val="00A33509"/>
    <w:rsid w:val="00A50396"/>
    <w:rsid w:val="00A54182"/>
    <w:rsid w:val="00A56C28"/>
    <w:rsid w:val="00A61611"/>
    <w:rsid w:val="00A6163F"/>
    <w:rsid w:val="00A759E6"/>
    <w:rsid w:val="00A77D0C"/>
    <w:rsid w:val="00A8565F"/>
    <w:rsid w:val="00A86720"/>
    <w:rsid w:val="00A9157C"/>
    <w:rsid w:val="00A915CC"/>
    <w:rsid w:val="00A937DC"/>
    <w:rsid w:val="00A93D37"/>
    <w:rsid w:val="00AA253D"/>
    <w:rsid w:val="00AB2222"/>
    <w:rsid w:val="00AB3EA0"/>
    <w:rsid w:val="00AC0165"/>
    <w:rsid w:val="00AC0BF2"/>
    <w:rsid w:val="00AC5AF3"/>
    <w:rsid w:val="00AD3EBA"/>
    <w:rsid w:val="00AD4D8C"/>
    <w:rsid w:val="00AE0770"/>
    <w:rsid w:val="00AE603F"/>
    <w:rsid w:val="00AF6C8A"/>
    <w:rsid w:val="00AF6E7E"/>
    <w:rsid w:val="00B00935"/>
    <w:rsid w:val="00B03844"/>
    <w:rsid w:val="00B102E2"/>
    <w:rsid w:val="00B10326"/>
    <w:rsid w:val="00B1073A"/>
    <w:rsid w:val="00B11809"/>
    <w:rsid w:val="00B20B92"/>
    <w:rsid w:val="00B2254A"/>
    <w:rsid w:val="00B56BE2"/>
    <w:rsid w:val="00B60FDF"/>
    <w:rsid w:val="00B662AA"/>
    <w:rsid w:val="00B80E95"/>
    <w:rsid w:val="00B82A6F"/>
    <w:rsid w:val="00BA5A02"/>
    <w:rsid w:val="00BB58C9"/>
    <w:rsid w:val="00BB6230"/>
    <w:rsid w:val="00BB6617"/>
    <w:rsid w:val="00BB6D76"/>
    <w:rsid w:val="00BB76BD"/>
    <w:rsid w:val="00BC7313"/>
    <w:rsid w:val="00BD02E6"/>
    <w:rsid w:val="00BD0B0F"/>
    <w:rsid w:val="00BD20D5"/>
    <w:rsid w:val="00BD34BC"/>
    <w:rsid w:val="00BD6138"/>
    <w:rsid w:val="00BE20C7"/>
    <w:rsid w:val="00BF0D58"/>
    <w:rsid w:val="00C27888"/>
    <w:rsid w:val="00C35726"/>
    <w:rsid w:val="00C411D3"/>
    <w:rsid w:val="00C57A90"/>
    <w:rsid w:val="00C57F5F"/>
    <w:rsid w:val="00C61C91"/>
    <w:rsid w:val="00C67F60"/>
    <w:rsid w:val="00C70A30"/>
    <w:rsid w:val="00C83348"/>
    <w:rsid w:val="00CA0D38"/>
    <w:rsid w:val="00CA1FDF"/>
    <w:rsid w:val="00CA1FE8"/>
    <w:rsid w:val="00CA26DE"/>
    <w:rsid w:val="00CA7EE4"/>
    <w:rsid w:val="00CB7883"/>
    <w:rsid w:val="00CC123D"/>
    <w:rsid w:val="00CC4F25"/>
    <w:rsid w:val="00CC7401"/>
    <w:rsid w:val="00CD5DDA"/>
    <w:rsid w:val="00CD62B7"/>
    <w:rsid w:val="00CE3BEE"/>
    <w:rsid w:val="00CE4B09"/>
    <w:rsid w:val="00CF2FCE"/>
    <w:rsid w:val="00CF7D86"/>
    <w:rsid w:val="00D07402"/>
    <w:rsid w:val="00D10B7C"/>
    <w:rsid w:val="00D11A33"/>
    <w:rsid w:val="00D1332B"/>
    <w:rsid w:val="00D17CF2"/>
    <w:rsid w:val="00D27562"/>
    <w:rsid w:val="00D31673"/>
    <w:rsid w:val="00D32490"/>
    <w:rsid w:val="00D40E4C"/>
    <w:rsid w:val="00D419E6"/>
    <w:rsid w:val="00D42898"/>
    <w:rsid w:val="00D54A93"/>
    <w:rsid w:val="00D57C0C"/>
    <w:rsid w:val="00D621F3"/>
    <w:rsid w:val="00D6649E"/>
    <w:rsid w:val="00D67CB3"/>
    <w:rsid w:val="00D7620C"/>
    <w:rsid w:val="00D80A53"/>
    <w:rsid w:val="00D87F58"/>
    <w:rsid w:val="00D91454"/>
    <w:rsid w:val="00D97728"/>
    <w:rsid w:val="00DA519A"/>
    <w:rsid w:val="00DA5AF7"/>
    <w:rsid w:val="00DB4807"/>
    <w:rsid w:val="00DC3118"/>
    <w:rsid w:val="00DD2B55"/>
    <w:rsid w:val="00DD4AAD"/>
    <w:rsid w:val="00DD4F05"/>
    <w:rsid w:val="00DF0A03"/>
    <w:rsid w:val="00E0166C"/>
    <w:rsid w:val="00E23691"/>
    <w:rsid w:val="00E4361E"/>
    <w:rsid w:val="00E47721"/>
    <w:rsid w:val="00E52202"/>
    <w:rsid w:val="00E5458F"/>
    <w:rsid w:val="00E576CD"/>
    <w:rsid w:val="00E65EF0"/>
    <w:rsid w:val="00E71892"/>
    <w:rsid w:val="00E71B98"/>
    <w:rsid w:val="00E83A3D"/>
    <w:rsid w:val="00E872D4"/>
    <w:rsid w:val="00E92CBF"/>
    <w:rsid w:val="00EA14E4"/>
    <w:rsid w:val="00EA1951"/>
    <w:rsid w:val="00EA6852"/>
    <w:rsid w:val="00EB241E"/>
    <w:rsid w:val="00EB6A31"/>
    <w:rsid w:val="00EC193B"/>
    <w:rsid w:val="00EC1BF6"/>
    <w:rsid w:val="00EC7F51"/>
    <w:rsid w:val="00EE2355"/>
    <w:rsid w:val="00EF370A"/>
    <w:rsid w:val="00EF50CE"/>
    <w:rsid w:val="00F00FB6"/>
    <w:rsid w:val="00F03903"/>
    <w:rsid w:val="00F13E21"/>
    <w:rsid w:val="00F224E3"/>
    <w:rsid w:val="00F24603"/>
    <w:rsid w:val="00F27F14"/>
    <w:rsid w:val="00F36705"/>
    <w:rsid w:val="00F36883"/>
    <w:rsid w:val="00F40ABE"/>
    <w:rsid w:val="00F503C8"/>
    <w:rsid w:val="00F52898"/>
    <w:rsid w:val="00F61EC1"/>
    <w:rsid w:val="00F71D57"/>
    <w:rsid w:val="00F759EA"/>
    <w:rsid w:val="00F810A4"/>
    <w:rsid w:val="00F828F7"/>
    <w:rsid w:val="00F82943"/>
    <w:rsid w:val="00F837E8"/>
    <w:rsid w:val="00F869D0"/>
    <w:rsid w:val="00F907E6"/>
    <w:rsid w:val="00F9283F"/>
    <w:rsid w:val="00F93890"/>
    <w:rsid w:val="00F97600"/>
    <w:rsid w:val="00FA4E3C"/>
    <w:rsid w:val="00FA5791"/>
    <w:rsid w:val="00FA788A"/>
    <w:rsid w:val="00FB01A1"/>
    <w:rsid w:val="00FB3E10"/>
    <w:rsid w:val="00FB45CB"/>
    <w:rsid w:val="00FC02E2"/>
    <w:rsid w:val="00FD61BF"/>
    <w:rsid w:val="00FE002F"/>
    <w:rsid w:val="00FE18C7"/>
    <w:rsid w:val="00FE1A1A"/>
    <w:rsid w:val="00FE1CBE"/>
    <w:rsid w:val="00FE405F"/>
    <w:rsid w:val="00FE739D"/>
    <w:rsid w:val="00FF2A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F65"/>
    <w:pPr>
      <w:tabs>
        <w:tab w:val="center" w:pos="4153"/>
        <w:tab w:val="right" w:pos="8306"/>
      </w:tabs>
    </w:pPr>
  </w:style>
  <w:style w:type="character" w:customStyle="1" w:styleId="HeaderChar">
    <w:name w:val="Header Char"/>
    <w:basedOn w:val="DefaultParagraphFont"/>
    <w:link w:val="Header"/>
    <w:rsid w:val="00694F65"/>
    <w:rPr>
      <w:rFonts w:ascii="Times New Roman" w:eastAsia="Times New Roman" w:hAnsi="Times New Roman" w:cs="Times New Roman"/>
      <w:sz w:val="24"/>
      <w:szCs w:val="24"/>
      <w:lang w:eastAsia="lv-LV"/>
    </w:rPr>
  </w:style>
  <w:style w:type="character" w:styleId="PageNumber">
    <w:name w:val="page number"/>
    <w:basedOn w:val="DefaultParagraphFont"/>
    <w:rsid w:val="00694F65"/>
  </w:style>
  <w:style w:type="paragraph" w:customStyle="1" w:styleId="naisf">
    <w:name w:val="naisf"/>
    <w:basedOn w:val="Normal"/>
    <w:rsid w:val="00694F65"/>
    <w:pPr>
      <w:spacing w:before="75" w:after="75"/>
      <w:ind w:firstLine="375"/>
      <w:jc w:val="both"/>
    </w:pPr>
  </w:style>
  <w:style w:type="paragraph" w:customStyle="1" w:styleId="naisnod">
    <w:name w:val="naisnod"/>
    <w:basedOn w:val="Normal"/>
    <w:rsid w:val="00694F65"/>
    <w:pPr>
      <w:spacing w:before="150" w:after="150"/>
      <w:jc w:val="center"/>
    </w:pPr>
    <w:rPr>
      <w:b/>
      <w:bCs/>
    </w:rPr>
  </w:style>
  <w:style w:type="paragraph" w:customStyle="1" w:styleId="naislab">
    <w:name w:val="naislab"/>
    <w:basedOn w:val="Normal"/>
    <w:rsid w:val="00694F65"/>
    <w:pPr>
      <w:spacing w:before="75" w:after="75"/>
      <w:jc w:val="right"/>
    </w:pPr>
  </w:style>
  <w:style w:type="paragraph" w:customStyle="1" w:styleId="naiskr">
    <w:name w:val="naiskr"/>
    <w:basedOn w:val="Normal"/>
    <w:rsid w:val="00694F65"/>
    <w:pPr>
      <w:spacing w:before="75" w:after="75"/>
    </w:pPr>
  </w:style>
  <w:style w:type="paragraph" w:styleId="FootnoteText">
    <w:name w:val="footnote text"/>
    <w:basedOn w:val="Normal"/>
    <w:link w:val="FootnoteTextChar"/>
    <w:semiHidden/>
    <w:rsid w:val="00694F65"/>
    <w:rPr>
      <w:sz w:val="20"/>
      <w:szCs w:val="20"/>
    </w:rPr>
  </w:style>
  <w:style w:type="character" w:customStyle="1" w:styleId="FootnoteTextChar">
    <w:name w:val="Footnote Text Char"/>
    <w:basedOn w:val="DefaultParagraphFont"/>
    <w:link w:val="FootnoteText"/>
    <w:semiHidden/>
    <w:rsid w:val="00694F65"/>
    <w:rPr>
      <w:rFonts w:ascii="Times New Roman" w:eastAsia="Times New Roman" w:hAnsi="Times New Roman" w:cs="Times New Roman"/>
      <w:sz w:val="20"/>
      <w:szCs w:val="20"/>
      <w:lang w:eastAsia="lv-LV"/>
    </w:rPr>
  </w:style>
  <w:style w:type="paragraph" w:styleId="Footer">
    <w:name w:val="footer"/>
    <w:basedOn w:val="Normal"/>
    <w:link w:val="FooterChar"/>
    <w:rsid w:val="00694F65"/>
    <w:pPr>
      <w:tabs>
        <w:tab w:val="center" w:pos="4153"/>
        <w:tab w:val="right" w:pos="8306"/>
      </w:tabs>
    </w:pPr>
  </w:style>
  <w:style w:type="character" w:customStyle="1" w:styleId="FooterChar">
    <w:name w:val="Footer Char"/>
    <w:basedOn w:val="DefaultParagraphFont"/>
    <w:link w:val="Footer"/>
    <w:rsid w:val="00694F65"/>
    <w:rPr>
      <w:rFonts w:ascii="Times New Roman" w:eastAsia="Times New Roman" w:hAnsi="Times New Roman" w:cs="Times New Roman"/>
      <w:sz w:val="24"/>
      <w:szCs w:val="24"/>
      <w:lang w:eastAsia="lv-LV"/>
    </w:rPr>
  </w:style>
  <w:style w:type="character" w:styleId="FootnoteReference">
    <w:name w:val="footnote reference"/>
    <w:basedOn w:val="DefaultParagraphFont"/>
    <w:semiHidden/>
    <w:rsid w:val="008517A3"/>
    <w:rPr>
      <w:vertAlign w:val="superscript"/>
    </w:rPr>
  </w:style>
  <w:style w:type="paragraph" w:styleId="BodyText">
    <w:name w:val="Body Text"/>
    <w:basedOn w:val="Normal"/>
    <w:link w:val="BodyTextChar"/>
    <w:rsid w:val="00722D11"/>
    <w:pPr>
      <w:jc w:val="center"/>
    </w:pPr>
    <w:rPr>
      <w:b/>
      <w:bCs/>
      <w:sz w:val="26"/>
      <w:lang w:val="de-DE" w:eastAsia="en-US"/>
    </w:rPr>
  </w:style>
  <w:style w:type="character" w:customStyle="1" w:styleId="BodyTextChar">
    <w:name w:val="Body Text Char"/>
    <w:basedOn w:val="DefaultParagraphFont"/>
    <w:link w:val="BodyText"/>
    <w:rsid w:val="00722D11"/>
    <w:rPr>
      <w:rFonts w:ascii="Times New Roman" w:eastAsia="Times New Roman" w:hAnsi="Times New Roman" w:cs="Times New Roman"/>
      <w:b/>
      <w:bCs/>
      <w:sz w:val="26"/>
      <w:szCs w:val="24"/>
      <w:lang w:val="de-DE"/>
    </w:rPr>
  </w:style>
  <w:style w:type="character" w:styleId="CommentReference">
    <w:name w:val="annotation reference"/>
    <w:basedOn w:val="DefaultParagraphFont"/>
    <w:uiPriority w:val="99"/>
    <w:semiHidden/>
    <w:unhideWhenUsed/>
    <w:rsid w:val="003145F7"/>
    <w:rPr>
      <w:sz w:val="16"/>
      <w:szCs w:val="16"/>
    </w:rPr>
  </w:style>
  <w:style w:type="paragraph" w:styleId="CommentText">
    <w:name w:val="annotation text"/>
    <w:basedOn w:val="Normal"/>
    <w:link w:val="CommentTextChar"/>
    <w:uiPriority w:val="99"/>
    <w:unhideWhenUsed/>
    <w:rsid w:val="003145F7"/>
    <w:rPr>
      <w:sz w:val="20"/>
      <w:szCs w:val="20"/>
    </w:rPr>
  </w:style>
  <w:style w:type="character" w:customStyle="1" w:styleId="CommentTextChar">
    <w:name w:val="Comment Text Char"/>
    <w:basedOn w:val="DefaultParagraphFont"/>
    <w:link w:val="CommentText"/>
    <w:uiPriority w:val="99"/>
    <w:rsid w:val="003145F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145F7"/>
    <w:rPr>
      <w:b/>
      <w:bCs/>
    </w:rPr>
  </w:style>
  <w:style w:type="character" w:customStyle="1" w:styleId="CommentSubjectChar">
    <w:name w:val="Comment Subject Char"/>
    <w:basedOn w:val="CommentTextChar"/>
    <w:link w:val="CommentSubject"/>
    <w:uiPriority w:val="99"/>
    <w:semiHidden/>
    <w:rsid w:val="003145F7"/>
    <w:rPr>
      <w:b/>
      <w:bCs/>
    </w:rPr>
  </w:style>
  <w:style w:type="paragraph" w:styleId="BalloonText">
    <w:name w:val="Balloon Text"/>
    <w:basedOn w:val="Normal"/>
    <w:link w:val="BalloonTextChar"/>
    <w:uiPriority w:val="99"/>
    <w:semiHidden/>
    <w:unhideWhenUsed/>
    <w:rsid w:val="003145F7"/>
    <w:rPr>
      <w:rFonts w:ascii="Tahoma" w:hAnsi="Tahoma" w:cs="Tahoma"/>
      <w:sz w:val="16"/>
      <w:szCs w:val="16"/>
    </w:rPr>
  </w:style>
  <w:style w:type="character" w:customStyle="1" w:styleId="BalloonTextChar">
    <w:name w:val="Balloon Text Char"/>
    <w:basedOn w:val="DefaultParagraphFont"/>
    <w:link w:val="BalloonText"/>
    <w:uiPriority w:val="99"/>
    <w:semiHidden/>
    <w:rsid w:val="003145F7"/>
    <w:rPr>
      <w:rFonts w:ascii="Tahoma" w:eastAsia="Times New Roman" w:hAnsi="Tahoma" w:cs="Tahoma"/>
      <w:sz w:val="16"/>
      <w:szCs w:val="16"/>
      <w:lang w:eastAsia="lv-LV"/>
    </w:rPr>
  </w:style>
  <w:style w:type="paragraph" w:customStyle="1" w:styleId="naispant">
    <w:name w:val="naispant"/>
    <w:basedOn w:val="Normal"/>
    <w:rsid w:val="00B662AA"/>
    <w:pPr>
      <w:spacing w:before="100" w:beforeAutospacing="1" w:after="100" w:afterAutospacing="1"/>
    </w:pPr>
  </w:style>
  <w:style w:type="character" w:styleId="Hyperlink">
    <w:name w:val="Hyperlink"/>
    <w:basedOn w:val="DefaultParagraphFont"/>
    <w:unhideWhenUsed/>
    <w:rsid w:val="00B662AA"/>
    <w:rPr>
      <w:color w:val="0000FF"/>
      <w:u w:val="single"/>
    </w:rPr>
  </w:style>
  <w:style w:type="paragraph" w:styleId="NoSpacing">
    <w:name w:val="No Spacing"/>
    <w:qFormat/>
    <w:rsid w:val="008B280B"/>
    <w:pPr>
      <w:spacing w:after="0" w:line="240" w:lineRule="auto"/>
    </w:pPr>
    <w:rPr>
      <w:rFonts w:ascii="Calibri" w:eastAsia="Times New Roman" w:hAnsi="Calibri" w:cs="Times New Roman"/>
    </w:rPr>
  </w:style>
  <w:style w:type="paragraph" w:customStyle="1" w:styleId="naisc">
    <w:name w:val="naisc"/>
    <w:basedOn w:val="Normal"/>
    <w:rsid w:val="0046744E"/>
    <w:pPr>
      <w:spacing w:before="100" w:beforeAutospacing="1" w:after="100" w:afterAutospacing="1"/>
    </w:pPr>
  </w:style>
  <w:style w:type="paragraph" w:styleId="ListParagraph">
    <w:name w:val="List Paragraph"/>
    <w:basedOn w:val="Normal"/>
    <w:uiPriority w:val="34"/>
    <w:qFormat/>
    <w:rsid w:val="00D6649E"/>
    <w:pPr>
      <w:ind w:left="720"/>
      <w:contextualSpacing/>
    </w:pPr>
  </w:style>
</w:styles>
</file>

<file path=word/webSettings.xml><?xml version="1.0" encoding="utf-8"?>
<w:webSettings xmlns:r="http://schemas.openxmlformats.org/officeDocument/2006/relationships" xmlns:w="http://schemas.openxmlformats.org/wordprocessingml/2006/main">
  <w:divs>
    <w:div w:id="933822850">
      <w:bodyDiv w:val="1"/>
      <w:marLeft w:val="0"/>
      <w:marRight w:val="0"/>
      <w:marTop w:val="0"/>
      <w:marBottom w:val="0"/>
      <w:divBdr>
        <w:top w:val="none" w:sz="0" w:space="0" w:color="auto"/>
        <w:left w:val="none" w:sz="0" w:space="0" w:color="auto"/>
        <w:bottom w:val="none" w:sz="0" w:space="0" w:color="auto"/>
        <w:right w:val="none" w:sz="0" w:space="0" w:color="auto"/>
      </w:divBdr>
    </w:div>
    <w:div w:id="10679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Kahanovica@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6D54-F443-4F72-ACDE-BBFAFB16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34703</Words>
  <Characters>19782</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Tieslietu Ministrija</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Likumprojekta anotācija</dc:subject>
  <dc:creator>Inese Kahanoviča</dc:creator>
  <cp:keywords/>
  <dc:description>Inese.Kahanovica@tm.gov.lv
 67036908</dc:description>
  <cp:lastModifiedBy>ic1101</cp:lastModifiedBy>
  <cp:revision>29</cp:revision>
  <cp:lastPrinted>2011-05-26T14:07:00Z</cp:lastPrinted>
  <dcterms:created xsi:type="dcterms:W3CDTF">2011-09-19T07:32:00Z</dcterms:created>
  <dcterms:modified xsi:type="dcterms:W3CDTF">2011-09-20T06:07:00Z</dcterms:modified>
</cp:coreProperties>
</file>