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1E" w:rsidRPr="00750D47" w:rsidRDefault="00C1099F" w:rsidP="00750D47">
      <w:pPr>
        <w:jc w:val="center"/>
        <w:rPr>
          <w:b/>
          <w:bCs/>
        </w:rPr>
      </w:pPr>
      <w:r w:rsidRPr="004C5345">
        <w:rPr>
          <w:rFonts w:cs="Times New Roman"/>
          <w:b/>
          <w:bCs/>
        </w:rPr>
        <w:t>Ministru kabineta noteikumu projekta „</w:t>
      </w:r>
      <w:r w:rsidR="00750D47">
        <w:rPr>
          <w:b/>
          <w:bCs/>
        </w:rPr>
        <w:t xml:space="preserve">Kārtība un apjoms, kādā personai, kurai ir tiesības uz aizstāvību, tikšanās laikā ar aizstāvi tiek nodrošināta tulka palīdzība </w:t>
      </w:r>
      <w:r w:rsidR="003E601E" w:rsidRPr="004C5345">
        <w:rPr>
          <w:rFonts w:cs="Times New Roman"/>
          <w:b/>
        </w:rPr>
        <w:t xml:space="preserve">” </w:t>
      </w:r>
      <w:r w:rsidR="003E601E" w:rsidRPr="004C5345">
        <w:rPr>
          <w:rFonts w:cs="Times New Roman"/>
          <w:b/>
          <w:bCs/>
        </w:rPr>
        <w:t>sākotnējās ietekmes novērtējuma ziņojums (anotācija)</w:t>
      </w:r>
    </w:p>
    <w:p w:rsidR="00C1099F" w:rsidRPr="004C5345" w:rsidRDefault="00C1099F" w:rsidP="00C1099F">
      <w:pPr>
        <w:jc w:val="center"/>
        <w:rPr>
          <w:rFonts w:cs="Times New Roman"/>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415"/>
        <w:gridCol w:w="6379"/>
      </w:tblGrid>
      <w:tr w:rsidR="003E601E" w:rsidRPr="004C5345" w:rsidTr="004E7304">
        <w:tc>
          <w:tcPr>
            <w:tcW w:w="9322" w:type="dxa"/>
            <w:gridSpan w:val="3"/>
          </w:tcPr>
          <w:p w:rsidR="003E601E" w:rsidRPr="004C5345" w:rsidRDefault="003E601E" w:rsidP="00C462A8">
            <w:pPr>
              <w:jc w:val="center"/>
              <w:rPr>
                <w:rFonts w:cs="Times New Roman"/>
              </w:rPr>
            </w:pPr>
            <w:r w:rsidRPr="004C5345">
              <w:rPr>
                <w:rFonts w:cs="Times New Roman"/>
                <w:b/>
                <w:bCs/>
              </w:rPr>
              <w:t> I. Tiesību akta projekta izstrādes nepieciešamība</w:t>
            </w:r>
          </w:p>
        </w:tc>
      </w:tr>
      <w:tr w:rsidR="003E601E" w:rsidRPr="004C5345" w:rsidTr="004E7304">
        <w:trPr>
          <w:trHeight w:val="1140"/>
        </w:trPr>
        <w:tc>
          <w:tcPr>
            <w:tcW w:w="528" w:type="dxa"/>
          </w:tcPr>
          <w:p w:rsidR="003E601E" w:rsidRPr="004C5345" w:rsidRDefault="003E601E" w:rsidP="00C462A8">
            <w:pPr>
              <w:rPr>
                <w:rFonts w:cs="Times New Roman"/>
              </w:rPr>
            </w:pPr>
            <w:r w:rsidRPr="004C5345">
              <w:rPr>
                <w:rFonts w:cs="Times New Roman"/>
              </w:rPr>
              <w:t> 1.</w:t>
            </w:r>
          </w:p>
        </w:tc>
        <w:tc>
          <w:tcPr>
            <w:tcW w:w="2415" w:type="dxa"/>
          </w:tcPr>
          <w:p w:rsidR="003E601E" w:rsidRPr="004C5345" w:rsidRDefault="003E601E" w:rsidP="00C462A8">
            <w:pPr>
              <w:rPr>
                <w:rFonts w:cs="Times New Roman"/>
              </w:rPr>
            </w:pPr>
            <w:r w:rsidRPr="004C5345">
              <w:rPr>
                <w:rFonts w:cs="Times New Roman"/>
              </w:rPr>
              <w:t>Pamatojums</w:t>
            </w:r>
          </w:p>
        </w:tc>
        <w:tc>
          <w:tcPr>
            <w:tcW w:w="6379" w:type="dxa"/>
          </w:tcPr>
          <w:p w:rsidR="002E6B3F" w:rsidRPr="00E71F12" w:rsidRDefault="003E601E" w:rsidP="00C462A8">
            <w:pPr>
              <w:ind w:firstLine="600"/>
              <w:jc w:val="both"/>
              <w:rPr>
                <w:rFonts w:cs="Times New Roman"/>
              </w:rPr>
            </w:pPr>
            <w:r w:rsidRPr="004C5345">
              <w:rPr>
                <w:rFonts w:cs="Times New Roman"/>
              </w:rPr>
              <w:t>2010. gada 20. oktobrī pieņemta Eiropas Parlamenta un Padomes direktīva 2010/64/ES par tiesībām uz mutisko un rakstisko tulkojumu kriminālprocesā (turpmāk – direktīva), kas stājās spēkā 2010. gada 15. novembrī.</w:t>
            </w:r>
            <w:r w:rsidR="00E71F12">
              <w:rPr>
                <w:rFonts w:cs="Times New Roman"/>
              </w:rPr>
              <w:t xml:space="preserve"> </w:t>
            </w:r>
            <w:r w:rsidR="00D678A0">
              <w:rPr>
                <w:rFonts w:cs="Times New Roman"/>
              </w:rPr>
              <w:t xml:space="preserve">Lai ieviestu direktīvu, </w:t>
            </w:r>
            <w:r w:rsidR="00E054AE" w:rsidRPr="004C5345">
              <w:rPr>
                <w:rFonts w:cs="Times New Roman"/>
              </w:rPr>
              <w:t>2013. gada 23. maijā Saeimā tika pieņemts likums „Grozījumi Kriminālprocesa likumā”, kas stāsies spēkā 2013. gada 27.</w:t>
            </w:r>
            <w:r w:rsidR="00046EFB">
              <w:rPr>
                <w:rFonts w:cs="Times New Roman"/>
              </w:rPr>
              <w:t> </w:t>
            </w:r>
            <w:r w:rsidR="00E054AE" w:rsidRPr="004C5345">
              <w:rPr>
                <w:rFonts w:cs="Times New Roman"/>
              </w:rPr>
              <w:t xml:space="preserve">oktobrī. Minētajā likumā ietverti grozījumi Kriminālprocesa likuma (turpmāk </w:t>
            </w:r>
            <w:r w:rsidR="00E061EE" w:rsidRPr="004C5345">
              <w:rPr>
                <w:rFonts w:cs="Times New Roman"/>
              </w:rPr>
              <w:t xml:space="preserve">– KPL) </w:t>
            </w:r>
            <w:r w:rsidR="00E054AE" w:rsidRPr="004C5345">
              <w:rPr>
                <w:rFonts w:cs="Times New Roman"/>
              </w:rPr>
              <w:t>11. pant</w:t>
            </w:r>
            <w:r w:rsidR="002E6B3F" w:rsidRPr="004C5345">
              <w:rPr>
                <w:rFonts w:cs="Times New Roman"/>
              </w:rPr>
              <w:t>ā, kurā ietverts deleģējums Ministru kabinetam noteikt kārtību un apjomu, kādā personai, kurai ir tiesības uz aizstāvību, likumā paredzētajos gadījumos tiek nodrošināta tulka palīdzība.</w:t>
            </w:r>
          </w:p>
        </w:tc>
      </w:tr>
      <w:tr w:rsidR="003E601E" w:rsidRPr="004C5345" w:rsidTr="004E7304">
        <w:trPr>
          <w:trHeight w:val="274"/>
        </w:trPr>
        <w:tc>
          <w:tcPr>
            <w:tcW w:w="528" w:type="dxa"/>
          </w:tcPr>
          <w:p w:rsidR="003E601E" w:rsidRPr="004C5345" w:rsidRDefault="003E601E" w:rsidP="00C462A8">
            <w:pPr>
              <w:rPr>
                <w:rFonts w:cs="Times New Roman"/>
              </w:rPr>
            </w:pPr>
            <w:r w:rsidRPr="004C5345">
              <w:rPr>
                <w:rFonts w:cs="Times New Roman"/>
              </w:rPr>
              <w:t> 2.</w:t>
            </w:r>
          </w:p>
        </w:tc>
        <w:tc>
          <w:tcPr>
            <w:tcW w:w="2415" w:type="dxa"/>
          </w:tcPr>
          <w:p w:rsidR="003E601E" w:rsidRPr="004C5345" w:rsidRDefault="003E601E" w:rsidP="00C462A8">
            <w:pPr>
              <w:rPr>
                <w:rFonts w:cs="Times New Roman"/>
              </w:rPr>
            </w:pPr>
            <w:r w:rsidRPr="004C5345">
              <w:rPr>
                <w:rFonts w:cs="Times New Roman"/>
              </w:rPr>
              <w:t>Pašreizējā situācija un problēmas</w:t>
            </w:r>
          </w:p>
        </w:tc>
        <w:tc>
          <w:tcPr>
            <w:tcW w:w="6379" w:type="dxa"/>
          </w:tcPr>
          <w:p w:rsidR="00C229AA" w:rsidRPr="004C5345" w:rsidRDefault="00A354E0" w:rsidP="00C462A8">
            <w:pPr>
              <w:ind w:firstLine="601"/>
              <w:jc w:val="both"/>
              <w:rPr>
                <w:rFonts w:cs="Times New Roman"/>
                <w:bCs/>
              </w:rPr>
            </w:pPr>
            <w:r w:rsidRPr="004C5345">
              <w:rPr>
                <w:rFonts w:cs="Times New Roman"/>
              </w:rPr>
              <w:t>KPL</w:t>
            </w:r>
            <w:r w:rsidR="002E6B3F" w:rsidRPr="004C5345">
              <w:rPr>
                <w:rFonts w:cs="Times New Roman"/>
              </w:rPr>
              <w:t xml:space="preserve"> (</w:t>
            </w:r>
            <w:r w:rsidR="00C229AA" w:rsidRPr="004C5345">
              <w:rPr>
                <w:rFonts w:cs="Times New Roman"/>
              </w:rPr>
              <w:t>ar grozījumiem, kas izdarīti</w:t>
            </w:r>
            <w:r w:rsidR="002E6B3F" w:rsidRPr="004C5345">
              <w:rPr>
                <w:rFonts w:cs="Times New Roman"/>
              </w:rPr>
              <w:t xml:space="preserve"> ar 2013. gada 23. maija likumu „Grozījumi Kriminālprocesa likumā”</w:t>
            </w:r>
            <w:r w:rsidR="001629BC">
              <w:rPr>
                <w:rFonts w:cs="Times New Roman"/>
              </w:rPr>
              <w:t>, kas stāsies spēkā 2013. gada 27. oktobrī</w:t>
            </w:r>
            <w:r w:rsidR="002E6B3F" w:rsidRPr="004C5345">
              <w:rPr>
                <w:rFonts w:cs="Times New Roman"/>
              </w:rPr>
              <w:t>) 11. panta 2.</w:t>
            </w:r>
            <w:r w:rsidR="002E6B3F" w:rsidRPr="004C5345">
              <w:rPr>
                <w:rFonts w:cs="Times New Roman"/>
                <w:vertAlign w:val="superscript"/>
              </w:rPr>
              <w:t>1</w:t>
            </w:r>
            <w:r w:rsidR="002E6B3F" w:rsidRPr="004C5345">
              <w:rPr>
                <w:rFonts w:cs="Times New Roman"/>
              </w:rPr>
              <w:t xml:space="preserve"> daļā noteikts, ka </w:t>
            </w:r>
            <w:r w:rsidR="00C229AA" w:rsidRPr="004C5345">
              <w:rPr>
                <w:rFonts w:cs="Times New Roman"/>
                <w:bCs/>
              </w:rPr>
              <w:t>personai, kurai ir tiesības uz aizstāvību, ja tā neprot valsts valodu, ir tiesības lietot valodu, kuru šī persona prot, un tikšanās laikā ar aizstāvi bez atlīdzības izmantot tulka palīdzību, kura piedalīšanos nodrošina procesa virzītājs, šādos gadījumos:</w:t>
            </w:r>
          </w:p>
          <w:p w:rsidR="00C229AA" w:rsidRPr="004C5345" w:rsidRDefault="00C229AA" w:rsidP="00C462A8">
            <w:pPr>
              <w:ind w:firstLine="601"/>
              <w:jc w:val="both"/>
              <w:rPr>
                <w:rFonts w:cs="Times New Roman"/>
                <w:bCs/>
              </w:rPr>
            </w:pPr>
            <w:r w:rsidRPr="004C5345">
              <w:rPr>
                <w:rFonts w:cs="Times New Roman"/>
                <w:bCs/>
              </w:rPr>
              <w:t>1) lai sagatavotos pratināšanai pirmstiesas procesā vai iztiesāšanai tiesas sēdē;</w:t>
            </w:r>
          </w:p>
          <w:p w:rsidR="00C229AA" w:rsidRPr="004C5345" w:rsidRDefault="00C229AA" w:rsidP="00C462A8">
            <w:pPr>
              <w:ind w:firstLine="601"/>
              <w:jc w:val="both"/>
              <w:rPr>
                <w:rFonts w:cs="Times New Roman"/>
                <w:bCs/>
              </w:rPr>
            </w:pPr>
            <w:r w:rsidRPr="004C5345">
              <w:rPr>
                <w:rFonts w:cs="Times New Roman"/>
                <w:bCs/>
              </w:rPr>
              <w:t>2) lai sastādītu rakstveida sūdzību par kriminālprocesu veicošās amatpersonas rīcību vai nolēmumu un procesuālā piespiedu līdzekļa piemērošanu, grozīšanu vai atcelšanu;</w:t>
            </w:r>
          </w:p>
          <w:p w:rsidR="00C229AA" w:rsidRPr="004C5345" w:rsidRDefault="00C229AA" w:rsidP="00C462A8">
            <w:pPr>
              <w:ind w:firstLine="601"/>
              <w:jc w:val="both"/>
              <w:rPr>
                <w:rFonts w:cs="Times New Roman"/>
                <w:bCs/>
              </w:rPr>
            </w:pPr>
            <w:r w:rsidRPr="004C5345">
              <w:rPr>
                <w:rFonts w:cs="Times New Roman"/>
                <w:bCs/>
              </w:rPr>
              <w:t>3) lai sastādītu dokumentu, kas nepieciešams lietas iztiesāšanai rakstveida procesā;</w:t>
            </w:r>
          </w:p>
          <w:p w:rsidR="00C229AA" w:rsidRPr="004C5345" w:rsidRDefault="00C229AA" w:rsidP="00C462A8">
            <w:pPr>
              <w:ind w:firstLine="601"/>
              <w:jc w:val="both"/>
              <w:rPr>
                <w:rFonts w:cs="Times New Roman"/>
                <w:bCs/>
              </w:rPr>
            </w:pPr>
            <w:r w:rsidRPr="004C5345">
              <w:rPr>
                <w:rFonts w:cs="Times New Roman"/>
                <w:bCs/>
              </w:rPr>
              <w:t>4) lai sastādītu apelācijas vai kasācijas sūdzību.</w:t>
            </w:r>
          </w:p>
          <w:p w:rsidR="00C229AA" w:rsidRPr="004C5345" w:rsidRDefault="00A354E0" w:rsidP="00C462A8">
            <w:pPr>
              <w:ind w:firstLine="601"/>
              <w:jc w:val="both"/>
              <w:rPr>
                <w:rFonts w:cs="Times New Roman"/>
                <w:bCs/>
              </w:rPr>
            </w:pPr>
            <w:r w:rsidRPr="004C5345">
              <w:rPr>
                <w:rFonts w:cs="Times New Roman"/>
                <w:bCs/>
              </w:rPr>
              <w:t xml:space="preserve">KPL 11. panta </w:t>
            </w:r>
            <w:r w:rsidR="00C229AA" w:rsidRPr="004C5345">
              <w:rPr>
                <w:rFonts w:cs="Times New Roman"/>
                <w:bCs/>
              </w:rPr>
              <w:t>2</w:t>
            </w:r>
            <w:r w:rsidRPr="004C5345">
              <w:rPr>
                <w:rFonts w:cs="Times New Roman"/>
                <w:bCs/>
              </w:rPr>
              <w:t>.</w:t>
            </w:r>
            <w:r w:rsidR="00C229AA" w:rsidRPr="004C5345">
              <w:rPr>
                <w:rFonts w:cs="Times New Roman"/>
                <w:bCs/>
                <w:vertAlign w:val="superscript"/>
              </w:rPr>
              <w:t>2</w:t>
            </w:r>
            <w:r w:rsidR="00C229AA" w:rsidRPr="004C5345">
              <w:rPr>
                <w:rFonts w:cs="Times New Roman"/>
                <w:bCs/>
              </w:rPr>
              <w:t xml:space="preserve"> </w:t>
            </w:r>
            <w:r w:rsidRPr="004C5345">
              <w:rPr>
                <w:rFonts w:cs="Times New Roman"/>
                <w:bCs/>
              </w:rPr>
              <w:t>noteic, ka p</w:t>
            </w:r>
            <w:r w:rsidR="00C229AA" w:rsidRPr="004C5345">
              <w:rPr>
                <w:rFonts w:cs="Times New Roman"/>
                <w:bCs/>
              </w:rPr>
              <w:t>ersonai, kurai ir tiesības uz aizstāvību un kurai ir piemērots ar brīvības atņemšanu saistīts drošības līdzeklis, šā panta 2.</w:t>
            </w:r>
            <w:r w:rsidR="00C229AA" w:rsidRPr="004C5345">
              <w:rPr>
                <w:rFonts w:cs="Times New Roman"/>
                <w:bCs/>
                <w:vertAlign w:val="superscript"/>
              </w:rPr>
              <w:t xml:space="preserve">1 </w:t>
            </w:r>
            <w:r w:rsidR="00C229AA" w:rsidRPr="004C5345">
              <w:rPr>
                <w:rFonts w:cs="Times New Roman"/>
                <w:bCs/>
              </w:rPr>
              <w:t>daļā minēto tiesību īstenošanai tulka piedalīšanos nodrošina attiecīgā ieslodzījuma vieta.</w:t>
            </w:r>
          </w:p>
          <w:p w:rsidR="00C229AA" w:rsidRPr="004C5345" w:rsidRDefault="00A354E0" w:rsidP="00C462A8">
            <w:pPr>
              <w:ind w:firstLine="601"/>
              <w:jc w:val="both"/>
              <w:rPr>
                <w:rFonts w:cs="Times New Roman"/>
                <w:bCs/>
              </w:rPr>
            </w:pPr>
            <w:r w:rsidRPr="004C5345">
              <w:rPr>
                <w:rFonts w:cs="Times New Roman"/>
                <w:bCs/>
              </w:rPr>
              <w:t xml:space="preserve">KPL 11. panta </w:t>
            </w:r>
            <w:r w:rsidR="00C229AA" w:rsidRPr="004C5345">
              <w:rPr>
                <w:rFonts w:cs="Times New Roman"/>
                <w:bCs/>
              </w:rPr>
              <w:t>2</w:t>
            </w:r>
            <w:r w:rsidRPr="004C5345">
              <w:rPr>
                <w:rFonts w:cs="Times New Roman"/>
                <w:bCs/>
              </w:rPr>
              <w:t>.</w:t>
            </w:r>
            <w:r w:rsidR="00C229AA" w:rsidRPr="004C5345">
              <w:rPr>
                <w:rFonts w:cs="Times New Roman"/>
                <w:bCs/>
                <w:vertAlign w:val="superscript"/>
              </w:rPr>
              <w:t>3</w:t>
            </w:r>
            <w:r w:rsidRPr="004C5345">
              <w:rPr>
                <w:rFonts w:cs="Times New Roman"/>
                <w:bCs/>
              </w:rPr>
              <w:t xml:space="preserve"> daļā ietverts deleģējums Ministru kabinetam noteikt k</w:t>
            </w:r>
            <w:r w:rsidR="00C229AA" w:rsidRPr="004C5345">
              <w:rPr>
                <w:rFonts w:cs="Times New Roman"/>
                <w:bCs/>
              </w:rPr>
              <w:t>ārtību un apjomu, kādā šā panta 2.</w:t>
            </w:r>
            <w:r w:rsidR="00C229AA" w:rsidRPr="004C5345">
              <w:rPr>
                <w:rFonts w:cs="Times New Roman"/>
                <w:bCs/>
                <w:vertAlign w:val="superscript"/>
              </w:rPr>
              <w:t>1</w:t>
            </w:r>
            <w:r w:rsidR="00C229AA" w:rsidRPr="004C5345">
              <w:rPr>
                <w:rFonts w:cs="Times New Roman"/>
                <w:bCs/>
              </w:rPr>
              <w:t xml:space="preserve"> un 2.</w:t>
            </w:r>
            <w:r w:rsidR="00C229AA" w:rsidRPr="004C5345">
              <w:rPr>
                <w:rFonts w:cs="Times New Roman"/>
                <w:bCs/>
                <w:vertAlign w:val="superscript"/>
              </w:rPr>
              <w:t>2</w:t>
            </w:r>
            <w:r w:rsidR="00EA43B5">
              <w:rPr>
                <w:rFonts w:cs="Times New Roman"/>
                <w:bCs/>
                <w:vertAlign w:val="superscript"/>
              </w:rPr>
              <w:t> </w:t>
            </w:r>
            <w:r w:rsidR="00C229AA" w:rsidRPr="004C5345">
              <w:rPr>
                <w:rFonts w:cs="Times New Roman"/>
                <w:bCs/>
              </w:rPr>
              <w:t>daļā minētajos gadījumos tiek nodrošināta tulka palīdzība.</w:t>
            </w:r>
          </w:p>
          <w:p w:rsidR="00A2780C" w:rsidRDefault="00C229AA" w:rsidP="00C462A8">
            <w:pPr>
              <w:pStyle w:val="naiskr"/>
              <w:spacing w:before="0" w:after="0"/>
              <w:ind w:firstLine="459"/>
              <w:jc w:val="both"/>
            </w:pPr>
            <w:r w:rsidRPr="004C5345">
              <w:t xml:space="preserve">Šobrīd </w:t>
            </w:r>
            <w:r w:rsidR="00A2780C">
              <w:t xml:space="preserve">ir paredzēts, ka personai, kurai ir tiesības uz aizstāvību ir nodrošināms tulks procesuālo darbību veikšanas laikā, bet normatīvajos aktos </w:t>
            </w:r>
            <w:r w:rsidRPr="004C5345">
              <w:t xml:space="preserve">nav </w:t>
            </w:r>
            <w:r w:rsidR="00A2780C">
              <w:t xml:space="preserve">paredzēts, ka personām, kurām ir tiesības uz aizstāvību, būtu nodrošināms tulkojums tikšanās laikā ar aizstāvi. </w:t>
            </w:r>
          </w:p>
          <w:p w:rsidR="00C90A0F" w:rsidRDefault="00A2780C" w:rsidP="00C462A8">
            <w:pPr>
              <w:pStyle w:val="naiskr"/>
              <w:spacing w:before="0" w:after="0"/>
              <w:ind w:firstLine="459"/>
              <w:jc w:val="both"/>
            </w:pPr>
            <w:r>
              <w:t>Šobrīd</w:t>
            </w:r>
            <w:r w:rsidR="00D374BA">
              <w:t>, lai nodrošinātu tulkošanu procesuālo darbību veikšanas laikā</w:t>
            </w:r>
            <w:r>
              <w:t xml:space="preserve"> procesa virzītāja iestād</w:t>
            </w:r>
            <w:r w:rsidR="00D374BA">
              <w:t>ē</w:t>
            </w:r>
            <w:r>
              <w:t>s (izmeklēšanas iestādes, prokuratūra un tiesa), kā arī Ieslodzījuma vietu p</w:t>
            </w:r>
            <w:r w:rsidR="00D374BA">
              <w:t xml:space="preserve">ārvaldē darbojas gan štata tulki, gan tulki, kas sniedz ārpakalpojumus saskaņā ar iestāžu noslēgtajiem līgumiem ar tulkošanas birojiem. </w:t>
            </w:r>
          </w:p>
          <w:p w:rsidR="007D5E8E" w:rsidRPr="00533779" w:rsidRDefault="00D374BA" w:rsidP="00EA43B5">
            <w:pPr>
              <w:pStyle w:val="naiskr"/>
              <w:spacing w:before="0" w:after="0"/>
              <w:ind w:firstLine="459"/>
              <w:jc w:val="both"/>
            </w:pPr>
            <w:r>
              <w:t>Tādējādi, pamatojoties uz</w:t>
            </w:r>
            <w:r w:rsidR="008D46C0">
              <w:t xml:space="preserve"> 2013. gada 23. maija</w:t>
            </w:r>
            <w:r>
              <w:t xml:space="preserve"> likumu </w:t>
            </w:r>
            <w:r>
              <w:lastRenderedPageBreak/>
              <w:t>„Grozījumi Kriminālprocesa likumā”, kas stāsies spēkā 2013.</w:t>
            </w:r>
            <w:r w:rsidR="008D46C0">
              <w:t> </w:t>
            </w:r>
            <w:r>
              <w:t>gada 27. oktobrī un ar kuru tiek ieviesta</w:t>
            </w:r>
            <w:r w:rsidR="00533779">
              <w:t xml:space="preserve"> direktīva, ir nepieciešams noteikt </w:t>
            </w:r>
            <w:r w:rsidR="00C229AA" w:rsidRPr="004C5345">
              <w:t>tulka pakalpojumu nodrošināšanas kārtīb</w:t>
            </w:r>
            <w:r w:rsidR="00533779">
              <w:t>u</w:t>
            </w:r>
            <w:r w:rsidR="00A2780C">
              <w:t xml:space="preserve">, proti, </w:t>
            </w:r>
            <w:r w:rsidR="00D678A0">
              <w:t>procesa virzītāja, ieslodzījuma vietas</w:t>
            </w:r>
            <w:r w:rsidR="007D51A6">
              <w:t xml:space="preserve"> administrācijas</w:t>
            </w:r>
            <w:r w:rsidR="00D678A0">
              <w:t xml:space="preserve"> un tulka darbības, </w:t>
            </w:r>
            <w:r w:rsidR="00533779">
              <w:t>tiesības un pienākum</w:t>
            </w:r>
            <w:r w:rsidR="00EA43B5">
              <w:t>us</w:t>
            </w:r>
            <w:r w:rsidR="00533779">
              <w:t xml:space="preserve">, </w:t>
            </w:r>
            <w:r w:rsidR="00D678A0">
              <w:t>nodrošinot tulkojumu</w:t>
            </w:r>
            <w:r w:rsidR="00A2780C">
              <w:t>, kā arī personas, kurai ir tiesības uz aizstāvību, un tās aizstāvja iesaisti</w:t>
            </w:r>
            <w:r w:rsidR="00533779">
              <w:t xml:space="preserve">, lūdzot nodrošināt tulkojumu. Tāpat ir jāparedz </w:t>
            </w:r>
            <w:r w:rsidR="00C229AA" w:rsidRPr="004C5345">
              <w:t>apjoms</w:t>
            </w:r>
            <w:r w:rsidR="00533779">
              <w:t xml:space="preserve">, kādā valsts nodrošina un sedz tulka pakalpojumus, </w:t>
            </w:r>
            <w:r w:rsidR="00C90A0F">
              <w:t>paredzot,</w:t>
            </w:r>
            <w:r w:rsidR="00533779">
              <w:t xml:space="preserve"> kādos gadījumos un</w:t>
            </w:r>
            <w:r w:rsidR="00D678A0">
              <w:t xml:space="preserve"> kād</w:t>
            </w:r>
            <w:r w:rsidR="00533779">
              <w:t>ā apmērā (stundu skaits, par kādiem līdzekļiem) tulka pakalpojumus sedz valsts</w:t>
            </w:r>
            <w:r w:rsidR="00C229AA" w:rsidRPr="004C5345">
              <w:t xml:space="preserve">. </w:t>
            </w:r>
          </w:p>
        </w:tc>
      </w:tr>
      <w:tr w:rsidR="003E601E" w:rsidRPr="004C5345" w:rsidTr="004E7304">
        <w:trPr>
          <w:trHeight w:val="694"/>
        </w:trPr>
        <w:tc>
          <w:tcPr>
            <w:tcW w:w="528" w:type="dxa"/>
          </w:tcPr>
          <w:p w:rsidR="003E601E" w:rsidRPr="004C5345" w:rsidRDefault="003E601E" w:rsidP="00C462A8">
            <w:pPr>
              <w:rPr>
                <w:rFonts w:cs="Times New Roman"/>
              </w:rPr>
            </w:pPr>
            <w:r w:rsidRPr="004C5345">
              <w:rPr>
                <w:rFonts w:cs="Times New Roman"/>
              </w:rPr>
              <w:lastRenderedPageBreak/>
              <w:t> 3.</w:t>
            </w:r>
          </w:p>
        </w:tc>
        <w:tc>
          <w:tcPr>
            <w:tcW w:w="2415" w:type="dxa"/>
          </w:tcPr>
          <w:p w:rsidR="003E601E" w:rsidRPr="004C5345" w:rsidRDefault="003E601E" w:rsidP="00C462A8">
            <w:pPr>
              <w:rPr>
                <w:rFonts w:cs="Times New Roman"/>
              </w:rPr>
            </w:pPr>
            <w:r w:rsidRPr="004C5345">
              <w:rPr>
                <w:rFonts w:cs="Times New Roman"/>
              </w:rPr>
              <w:t>Saistītie politikas ietekmes novērtējumi un pētījumi</w:t>
            </w:r>
          </w:p>
        </w:tc>
        <w:tc>
          <w:tcPr>
            <w:tcW w:w="6379" w:type="dxa"/>
          </w:tcPr>
          <w:p w:rsidR="003E601E" w:rsidRPr="004C5345" w:rsidRDefault="00224F2B" w:rsidP="00C462A8">
            <w:pPr>
              <w:ind w:firstLine="459"/>
              <w:jc w:val="both"/>
              <w:rPr>
                <w:rFonts w:cs="Times New Roman"/>
              </w:rPr>
            </w:pPr>
            <w:r>
              <w:rPr>
                <w:rFonts w:cs="Times New Roman"/>
              </w:rPr>
              <w:t>Projekts šo jomu neskar.</w:t>
            </w:r>
          </w:p>
        </w:tc>
      </w:tr>
      <w:tr w:rsidR="003E601E" w:rsidRPr="004C5345" w:rsidTr="004E7304">
        <w:trPr>
          <w:trHeight w:val="384"/>
        </w:trPr>
        <w:tc>
          <w:tcPr>
            <w:tcW w:w="528" w:type="dxa"/>
          </w:tcPr>
          <w:p w:rsidR="003E601E" w:rsidRPr="004C5345" w:rsidRDefault="003E601E" w:rsidP="00C462A8">
            <w:pPr>
              <w:rPr>
                <w:rFonts w:cs="Times New Roman"/>
              </w:rPr>
            </w:pPr>
            <w:r w:rsidRPr="004C5345">
              <w:rPr>
                <w:rFonts w:cs="Times New Roman"/>
              </w:rPr>
              <w:t> 4.</w:t>
            </w:r>
          </w:p>
        </w:tc>
        <w:tc>
          <w:tcPr>
            <w:tcW w:w="2415" w:type="dxa"/>
          </w:tcPr>
          <w:p w:rsidR="003E601E" w:rsidRPr="004C5345" w:rsidRDefault="003E601E" w:rsidP="00C462A8">
            <w:pPr>
              <w:rPr>
                <w:rFonts w:cs="Times New Roman"/>
              </w:rPr>
            </w:pPr>
            <w:r w:rsidRPr="004C5345">
              <w:rPr>
                <w:rFonts w:cs="Times New Roman"/>
              </w:rPr>
              <w:t>Tiesiskā regulējuma mērķis un būtība</w:t>
            </w:r>
          </w:p>
        </w:tc>
        <w:tc>
          <w:tcPr>
            <w:tcW w:w="6379" w:type="dxa"/>
          </w:tcPr>
          <w:p w:rsidR="003E601E" w:rsidRPr="004C5345" w:rsidRDefault="00C229AA" w:rsidP="00C462A8">
            <w:pPr>
              <w:pStyle w:val="naiskr"/>
              <w:spacing w:before="0" w:after="0"/>
              <w:ind w:firstLine="669"/>
              <w:jc w:val="both"/>
            </w:pPr>
            <w:r w:rsidRPr="004C5345">
              <w:t>Ministru kabineta noteikumu projekts ir</w:t>
            </w:r>
            <w:r w:rsidR="003E601E" w:rsidRPr="004C5345">
              <w:t xml:space="preserve"> izstrādāts, lai </w:t>
            </w:r>
            <w:r w:rsidRPr="004C5345">
              <w:t xml:space="preserve">izpildītu </w:t>
            </w:r>
            <w:r w:rsidR="007D51A6">
              <w:t>KPL</w:t>
            </w:r>
            <w:r w:rsidRPr="004C5345">
              <w:t xml:space="preserve"> 11. panta</w:t>
            </w:r>
            <w:r w:rsidR="001A28F3">
              <w:t xml:space="preserve"> </w:t>
            </w:r>
            <w:r w:rsidRPr="004C5345">
              <w:t>2.</w:t>
            </w:r>
            <w:r w:rsidRPr="004C5345">
              <w:rPr>
                <w:vertAlign w:val="superscript"/>
              </w:rPr>
              <w:t>3</w:t>
            </w:r>
            <w:r w:rsidRPr="004C5345">
              <w:t xml:space="preserve"> daļā Min</w:t>
            </w:r>
            <w:r w:rsidR="007D51A6">
              <w:t>istru kabinetam doto deleģējumu</w:t>
            </w:r>
            <w:r w:rsidR="003E601E" w:rsidRPr="004C5345">
              <w:t>.</w:t>
            </w:r>
          </w:p>
          <w:p w:rsidR="00827134" w:rsidRDefault="00827134" w:rsidP="00C462A8">
            <w:pPr>
              <w:pStyle w:val="naiskr"/>
              <w:spacing w:before="0" w:after="0"/>
              <w:ind w:firstLine="669"/>
              <w:jc w:val="both"/>
              <w:rPr>
                <w:bCs/>
              </w:rPr>
            </w:pPr>
            <w:r>
              <w:rPr>
                <w:bCs/>
              </w:rPr>
              <w:t>Noteikumu projekta 2. punkts paredz, ka tas neattiecas uz izdevumu atlīdzināšanas kārtību tulkam, ja viņš veic tulkošanu, izpildot savus dienesta vai darba pienākumus procesa virzītāja iestādē (izmeklēšanas iestādē, prokuratūrā vai tiesā) vai Ieslodzījumu vietu pārvaldē (ņemot vērā to, ka tulka darba devējs var būt gan Ieslodzījuma vietu pārvaldes administr</w:t>
            </w:r>
            <w:r w:rsidR="009D281D">
              <w:rPr>
                <w:bCs/>
              </w:rPr>
              <w:t>ācija, gan ieslodzījuma vieta). Tulki, kuri ir darba tiesiskajās attiecībās ar procesa virzītāja iestādi vai Ieslodzījuma vietu pārvaldi, saņem darba algu. Praksē procesa virzītāju iestādes un Ieslodzījuma vietu pārvalde slēdz līgumu ar tulkošanas biroju, kas nodrošina tulka piedalīšanos.</w:t>
            </w:r>
          </w:p>
          <w:p w:rsidR="00F13B70" w:rsidRPr="00FF5A00" w:rsidRDefault="00827134" w:rsidP="00C462A8">
            <w:pPr>
              <w:pStyle w:val="naiskr"/>
              <w:spacing w:before="0" w:after="0"/>
              <w:ind w:firstLine="669"/>
              <w:jc w:val="both"/>
              <w:rPr>
                <w:bCs/>
              </w:rPr>
            </w:pPr>
            <w:r>
              <w:rPr>
                <w:bCs/>
              </w:rPr>
              <w:t xml:space="preserve">Noteikumu projekta 3. punkts paredz, ka samaksu par tulka palīdzību aprēķina par pilnām stundām. Šāda norma ir ietverta, lai nodrošinātu konsekvenci starp to, kā tiek aprēķināta samaksa valsts nodrošinātās juridiskās palīdzības sniedzējiem un tulkiem. </w:t>
            </w:r>
            <w:r w:rsidR="00DA11AA" w:rsidRPr="00FF5A00">
              <w:rPr>
                <w:bCs/>
              </w:rPr>
              <w:t>Tas nozīmē, ka tulkam tiek samaksāts par vienu stundu arī gadījumos, kad personai, kurai ir tiesības uz aizstāvību,</w:t>
            </w:r>
            <w:r w:rsidR="00051BBF" w:rsidRPr="00FF5A00">
              <w:rPr>
                <w:bCs/>
              </w:rPr>
              <w:t xml:space="preserve"> tikšanās laikā ar aizstāvi</w:t>
            </w:r>
            <w:r w:rsidR="00DA11AA" w:rsidRPr="00FF5A00">
              <w:rPr>
                <w:bCs/>
              </w:rPr>
              <w:t xml:space="preserve"> ir sniegti tulka pak</w:t>
            </w:r>
            <w:r w:rsidR="00051BBF" w:rsidRPr="00FF5A00">
              <w:rPr>
                <w:bCs/>
              </w:rPr>
              <w:t>alpojumi arī mazāk nekā stundu. P</w:t>
            </w:r>
            <w:r w:rsidR="00DA11AA" w:rsidRPr="00FF5A00">
              <w:rPr>
                <w:bCs/>
              </w:rPr>
              <w:t>iemēram,</w:t>
            </w:r>
            <w:r w:rsidR="00051BBF" w:rsidRPr="00FF5A00">
              <w:rPr>
                <w:bCs/>
              </w:rPr>
              <w:t xml:space="preserve"> ja personas un aizstāvja tikšanās, kuras laikā notiek</w:t>
            </w:r>
            <w:r w:rsidR="00DA11AA" w:rsidRPr="00FF5A00">
              <w:rPr>
                <w:bCs/>
              </w:rPr>
              <w:t xml:space="preserve"> </w:t>
            </w:r>
            <w:r w:rsidR="00051BBF" w:rsidRPr="00FF5A00">
              <w:rPr>
                <w:bCs/>
              </w:rPr>
              <w:t xml:space="preserve">gatavošanās pratināšanai iztiesāšanā, ilgst </w:t>
            </w:r>
            <w:r w:rsidR="00DA11AA" w:rsidRPr="00FF5A00">
              <w:rPr>
                <w:bCs/>
              </w:rPr>
              <w:t>20 minūtes</w:t>
            </w:r>
            <w:r w:rsidR="00051BBF" w:rsidRPr="00FF5A00">
              <w:rPr>
                <w:bCs/>
              </w:rPr>
              <w:t xml:space="preserve">, tulkam tiek samaksāts par vienu stundu un personai </w:t>
            </w:r>
            <w:r w:rsidR="00DA11AA" w:rsidRPr="00FF5A00">
              <w:rPr>
                <w:bCs/>
              </w:rPr>
              <w:t>ir ties</w:t>
            </w:r>
            <w:r w:rsidR="00051BBF" w:rsidRPr="00FF5A00">
              <w:rPr>
                <w:bCs/>
              </w:rPr>
              <w:t xml:space="preserve">ības uz valsts apmaksātu tulkojumu, lai sagatavotos pratināšanai iztiesāšanā </w:t>
            </w:r>
            <w:r w:rsidR="00535D50">
              <w:rPr>
                <w:bCs/>
              </w:rPr>
              <w:t>vēl vienu stundu.</w:t>
            </w:r>
          </w:p>
          <w:p w:rsidR="00F13B70" w:rsidRPr="00F13B70" w:rsidRDefault="00F13B70" w:rsidP="00C462A8">
            <w:pPr>
              <w:pStyle w:val="naiskr"/>
              <w:spacing w:before="0" w:after="0"/>
              <w:ind w:firstLine="669"/>
              <w:jc w:val="both"/>
              <w:rPr>
                <w:bCs/>
              </w:rPr>
            </w:pPr>
            <w:r w:rsidRPr="00F13B70">
              <w:rPr>
                <w:bCs/>
              </w:rPr>
              <w:t xml:space="preserve">Lai pēc iespējas samazinātu izdevumus, kas saistīti ar tulka nodrošināšanu, noteikumu projekta 4. punktā ietverts pamatprincips, ka gadījumos, ja tulka pakalpojumi tiek sniegti ārpus tās administratīvās teritorijas, kurā atrodas tulka praktizēšanas vieta, </w:t>
            </w:r>
            <w:r w:rsidR="00816A56">
              <w:rPr>
                <w:bCs/>
              </w:rPr>
              <w:t>tulk</w:t>
            </w:r>
            <w:r w:rsidR="00774CC7">
              <w:rPr>
                <w:bCs/>
              </w:rPr>
              <w:t>a pakalpojumi tiek sniegti</w:t>
            </w:r>
            <w:r w:rsidRPr="00F13B70">
              <w:rPr>
                <w:bCs/>
              </w:rPr>
              <w:t>, izmantojot tehniskos līdzekļus (</w:t>
            </w:r>
            <w:proofErr w:type="spellStart"/>
            <w:r w:rsidRPr="00F13B70">
              <w:rPr>
                <w:bCs/>
              </w:rPr>
              <w:t>telefonkonference</w:t>
            </w:r>
            <w:proofErr w:type="spellEnd"/>
            <w:r w:rsidRPr="00F13B70">
              <w:rPr>
                <w:bCs/>
              </w:rPr>
              <w:t>, videokonference). Jāņem vērā, ka tehniskie līdzekļi tiek izmantoti, ņemot vērā procesa virzītāju iestāžu, ieslodzījuma vietu un tulkošanas biroju tehniskās iespējas un savstarpēju vienošanos par tehnisko līdzekļu izmantošanu, nodrošinot tulkošanu. N</w:t>
            </w:r>
            <w:r>
              <w:rPr>
                <w:bCs/>
              </w:rPr>
              <w:t xml:space="preserve">oteikumu </w:t>
            </w:r>
            <w:r>
              <w:rPr>
                <w:bCs/>
              </w:rPr>
              <w:lastRenderedPageBreak/>
              <w:t>projekta 4</w:t>
            </w:r>
            <w:r w:rsidRPr="00F13B70">
              <w:rPr>
                <w:bCs/>
              </w:rPr>
              <w:t xml:space="preserve">. punktā minētajā gadījumā nav piemērojamas </w:t>
            </w:r>
            <w:r w:rsidR="00CA25AC">
              <w:rPr>
                <w:bCs/>
              </w:rPr>
              <w:t>KPL</w:t>
            </w:r>
            <w:r w:rsidRPr="00F13B70">
              <w:rPr>
                <w:bCs/>
              </w:rPr>
              <w:t xml:space="preserve"> noteiktās prasības un kārtība attiecībā uz tehnisko līdzekļu izmantošanu procesuālo darbību laikā. </w:t>
            </w:r>
            <w:r>
              <w:rPr>
                <w:bCs/>
              </w:rPr>
              <w:t>Ja gadījumā nav iespējams veikt tulkošanu, izmantojot tehniskos līdzekļus, tad tulks var sniegt tulkošanas pakalpojumus arī klātienē</w:t>
            </w:r>
            <w:r w:rsidR="00774CC7">
              <w:rPr>
                <w:bCs/>
              </w:rPr>
              <w:t>,</w:t>
            </w:r>
            <w:r>
              <w:rPr>
                <w:bCs/>
              </w:rPr>
              <w:t xml:space="preserve"> un </w:t>
            </w:r>
            <w:r w:rsidR="00CA25AC">
              <w:rPr>
                <w:bCs/>
              </w:rPr>
              <w:t xml:space="preserve">saskaņā ar noteikumu projekta </w:t>
            </w:r>
            <w:r w:rsidR="00CA25AC" w:rsidRPr="005E50CC">
              <w:rPr>
                <w:bCs/>
              </w:rPr>
              <w:t>12</w:t>
            </w:r>
            <w:r w:rsidRPr="005E50CC">
              <w:rPr>
                <w:bCs/>
              </w:rPr>
              <w:t>. un 1</w:t>
            </w:r>
            <w:r w:rsidR="00CA25AC" w:rsidRPr="005E50CC">
              <w:rPr>
                <w:bCs/>
              </w:rPr>
              <w:t>3</w:t>
            </w:r>
            <w:r w:rsidRPr="005E50CC">
              <w:rPr>
                <w:bCs/>
              </w:rPr>
              <w:t>.</w:t>
            </w:r>
            <w:r>
              <w:rPr>
                <w:bCs/>
              </w:rPr>
              <w:t xml:space="preserve"> punktā noteikto tiek segti viņa ceļa izdevumi un izdevumi par naktsmītni.</w:t>
            </w:r>
          </w:p>
          <w:p w:rsidR="00EE4EC0" w:rsidRDefault="00533779" w:rsidP="00C462A8">
            <w:pPr>
              <w:pStyle w:val="naiskr"/>
              <w:spacing w:before="0" w:after="0"/>
              <w:ind w:firstLine="669"/>
              <w:jc w:val="both"/>
              <w:rPr>
                <w:bCs/>
              </w:rPr>
            </w:pPr>
            <w:r>
              <w:rPr>
                <w:bCs/>
              </w:rPr>
              <w:t xml:space="preserve">Noteikumu projekta </w:t>
            </w:r>
            <w:r w:rsidR="00F13B70">
              <w:rPr>
                <w:bCs/>
              </w:rPr>
              <w:t>5</w:t>
            </w:r>
            <w:r>
              <w:rPr>
                <w:bCs/>
              </w:rPr>
              <w:t>. punktā ir uzskaitīti konkrēti gadījumi, kad valsts nodrošina un sedz mutiskā tulkojuma veikšanu.</w:t>
            </w:r>
            <w:r w:rsidR="009118D4">
              <w:rPr>
                <w:bCs/>
              </w:rPr>
              <w:t xml:space="preserve"> Noteikumu projektā uzskaitītie gadījumi izriet no KPL 11. panta 2.</w:t>
            </w:r>
            <w:r w:rsidR="009118D4" w:rsidRPr="00173A63">
              <w:rPr>
                <w:bCs/>
                <w:vertAlign w:val="superscript"/>
              </w:rPr>
              <w:t>1</w:t>
            </w:r>
            <w:r w:rsidR="009118D4">
              <w:rPr>
                <w:bCs/>
              </w:rPr>
              <w:t xml:space="preserve"> daļas. </w:t>
            </w:r>
            <w:r w:rsidR="008928DF">
              <w:rPr>
                <w:bCs/>
              </w:rPr>
              <w:t>Ievērojot KPL 11. panta 2.</w:t>
            </w:r>
            <w:r w:rsidR="008928DF" w:rsidRPr="008928DF">
              <w:rPr>
                <w:bCs/>
                <w:vertAlign w:val="superscript"/>
              </w:rPr>
              <w:t>1</w:t>
            </w:r>
            <w:r w:rsidR="008928DF">
              <w:rPr>
                <w:bCs/>
              </w:rPr>
              <w:t xml:space="preserve"> daļā paredzēto, n</w:t>
            </w:r>
            <w:r w:rsidR="009118D4">
              <w:rPr>
                <w:bCs/>
              </w:rPr>
              <w:t xml:space="preserve">oteikumu projektā ir </w:t>
            </w:r>
            <w:r w:rsidR="008928DF">
              <w:rPr>
                <w:bCs/>
              </w:rPr>
              <w:t>skaidr</w:t>
            </w:r>
            <w:r w:rsidR="009118D4">
              <w:rPr>
                <w:bCs/>
              </w:rPr>
              <w:t xml:space="preserve">āk </w:t>
            </w:r>
            <w:r w:rsidR="008928DF">
              <w:rPr>
                <w:bCs/>
              </w:rPr>
              <w:t>noteikti</w:t>
            </w:r>
            <w:r w:rsidR="009118D4">
              <w:rPr>
                <w:bCs/>
              </w:rPr>
              <w:t xml:space="preserve"> gadījumi, kad tulkojums nodrošināms pirmstiesas procesa laikā</w:t>
            </w:r>
            <w:r w:rsidR="008928DF">
              <w:rPr>
                <w:bCs/>
              </w:rPr>
              <w:t xml:space="preserve"> (</w:t>
            </w:r>
            <w:r w:rsidR="009118D4">
              <w:rPr>
                <w:bCs/>
              </w:rPr>
              <w:t>izmeklēšanā un kriminālvajāšanā</w:t>
            </w:r>
            <w:r w:rsidR="008928DF">
              <w:rPr>
                <w:bCs/>
              </w:rPr>
              <w:t>)</w:t>
            </w:r>
            <w:r w:rsidR="009118D4" w:rsidRPr="004C5345">
              <w:rPr>
                <w:bCs/>
              </w:rPr>
              <w:t xml:space="preserve"> </w:t>
            </w:r>
            <w:r w:rsidR="00EE4EC0" w:rsidRPr="004C5345">
              <w:rPr>
                <w:bCs/>
              </w:rPr>
              <w:t xml:space="preserve">KPL lietotais termins „neprot” aptver abus </w:t>
            </w:r>
            <w:r w:rsidR="00EE4EC0">
              <w:rPr>
                <w:bCs/>
              </w:rPr>
              <w:t>d</w:t>
            </w:r>
            <w:r w:rsidR="00EE4EC0" w:rsidRPr="004C5345">
              <w:rPr>
                <w:bCs/>
              </w:rPr>
              <w:t>irektīvā lietotos terminus „nerunā” un „nesaprot”, turklāt praksē līdz šim nostiprinājies, ka ar šo terminoloģiju saprot arī gadījumus, kad personai ir dzirdes vai runas traucējumi. Tādējādi noteikumu projekts attiecinā</w:t>
            </w:r>
            <w:r w:rsidR="00EE4EC0">
              <w:rPr>
                <w:bCs/>
              </w:rPr>
              <w:t>m</w:t>
            </w:r>
            <w:r w:rsidR="00EE4EC0" w:rsidRPr="004C5345">
              <w:rPr>
                <w:bCs/>
              </w:rPr>
              <w:t>s arī uz valsts pienākumu nodrošināt personai surdotulkojumu.</w:t>
            </w:r>
          </w:p>
          <w:p w:rsidR="00430F40" w:rsidRDefault="009118D4" w:rsidP="00C462A8">
            <w:pPr>
              <w:ind w:firstLine="720"/>
              <w:jc w:val="both"/>
              <w:rPr>
                <w:b/>
                <w:u w:val="single"/>
              </w:rPr>
            </w:pPr>
            <w:r>
              <w:rPr>
                <w:bCs/>
              </w:rPr>
              <w:t xml:space="preserve">Noteikumu projekta </w:t>
            </w:r>
            <w:r w:rsidR="00F13B70">
              <w:rPr>
                <w:bCs/>
              </w:rPr>
              <w:t>6</w:t>
            </w:r>
            <w:r>
              <w:rPr>
                <w:bCs/>
              </w:rPr>
              <w:t xml:space="preserve">. punkts paredz, ka </w:t>
            </w:r>
            <w:r w:rsidR="009D281D">
              <w:rPr>
                <w:bCs/>
              </w:rPr>
              <w:t xml:space="preserve">valsts sedz izdevumus par tulkojuma nodrošināšanu ne vairāk par </w:t>
            </w:r>
            <w:r w:rsidR="00AF4D6C">
              <w:rPr>
                <w:bCs/>
              </w:rPr>
              <w:t>divām</w:t>
            </w:r>
            <w:r w:rsidR="009D281D">
              <w:rPr>
                <w:bCs/>
              </w:rPr>
              <w:t xml:space="preserve"> stundām vienas noteikumu projekta </w:t>
            </w:r>
            <w:r w:rsidR="00F13B70">
              <w:rPr>
                <w:bCs/>
              </w:rPr>
              <w:t>5</w:t>
            </w:r>
            <w:r w:rsidR="009D281D">
              <w:rPr>
                <w:bCs/>
              </w:rPr>
              <w:t>. punktā uzskaitītās darbības ietvaros.</w:t>
            </w:r>
            <w:r w:rsidR="008D1CD0" w:rsidRPr="005E50CC">
              <w:t xml:space="preserve"> Tas nozīmē, ka valsts segs izdevumus par mutiskā tulkojuma veikšanu par katru noteikumu projekta 5. punktā minēto </w:t>
            </w:r>
            <w:r w:rsidR="00490D37" w:rsidRPr="005E50CC">
              <w:t>darbību</w:t>
            </w:r>
            <w:r w:rsidR="00B1067B" w:rsidRPr="005E50CC">
              <w:t xml:space="preserve"> viena kriminālprocesa ietvaros</w:t>
            </w:r>
            <w:r w:rsidR="008D1CD0" w:rsidRPr="005E50CC">
              <w:t xml:space="preserve"> kopumā ne vairāk kā divas stundas (piemēram – tikšanās ar aizstāvi, lai sagatavotos pratināšanai pirmstiesas procesā izmeklēšanā)</w:t>
            </w:r>
            <w:r w:rsidR="000B5861" w:rsidRPr="005E50CC">
              <w:t xml:space="preserve">. </w:t>
            </w:r>
            <w:r w:rsidR="0025360C">
              <w:rPr>
                <w:bCs/>
              </w:rPr>
              <w:t>Par šādu nosacījumu vienojās eksperti, strādājot pie likuma „Grozījumi Kriminālprocesa likumā”, kas stāsies spēkā 2013. gada 27. oktobrī, izstrādes, un tas ietverts arī minētā likuma anotācijā.</w:t>
            </w:r>
          </w:p>
          <w:p w:rsidR="00490D37" w:rsidRPr="005E50CC" w:rsidRDefault="0025360C" w:rsidP="00C462A8">
            <w:pPr>
              <w:ind w:firstLine="720"/>
              <w:jc w:val="both"/>
            </w:pPr>
            <w:r w:rsidRPr="005E50CC">
              <w:t>Var</w:t>
            </w:r>
            <w:r w:rsidR="000B5861" w:rsidRPr="005E50CC">
              <w:t xml:space="preserve"> būt situācijas, kad </w:t>
            </w:r>
            <w:r w:rsidR="00430F40" w:rsidRPr="005E50CC">
              <w:t xml:space="preserve">apelācijas vai kasācijas instances tiesa ir atcēlusi attiecīgi pirmās instances tiesas vai apelācijas instances tiesas nolēmumu (vai kasācijas instances tiesa var atcelt arī abu instanču tiesu nolēmumus un nosūtīt lietu jaunai izskatīšanai pirmās instances tiesā) un nosūtījusi lietu jaunai izskatīšanai. Šādos gadījumos personai var būt nepieciešams atkārtoti sastādīt apelācijas un kasācijas sūdzību. </w:t>
            </w:r>
            <w:r w:rsidRPr="005E50CC">
              <w:t xml:space="preserve">Lai nodrošinātu šīs personai garantētās tiesības uz taisnīgu tiesu, </w:t>
            </w:r>
            <w:r w:rsidR="000B5861" w:rsidRPr="005E50CC">
              <w:t xml:space="preserve">noteikumu projekta 6. punktā ir paredzēts, ka </w:t>
            </w:r>
            <w:r w:rsidRPr="005E50CC">
              <w:t>tā paša</w:t>
            </w:r>
            <w:r w:rsidR="000B5861" w:rsidRPr="005E50CC">
              <w:t xml:space="preserve"> kriminālprocesa ietvaros personai ir tiesības saņemt valsts apmaksātu tulkojumu</w:t>
            </w:r>
            <w:r w:rsidRPr="005E50CC">
              <w:t xml:space="preserve"> divu</w:t>
            </w:r>
            <w:r w:rsidR="00430F40" w:rsidRPr="005E50CC">
              <w:t xml:space="preserve"> stundu apmērā</w:t>
            </w:r>
            <w:r w:rsidR="000B5861" w:rsidRPr="005E50CC">
              <w:t xml:space="preserve">, </w:t>
            </w:r>
            <w:r w:rsidR="00490D37" w:rsidRPr="005E50CC">
              <w:t xml:space="preserve">lai iesniegtu apelācijas vai kasācijas sūdzību gadījumos, kad </w:t>
            </w:r>
            <w:r w:rsidR="00490D37" w:rsidRPr="005E50CC">
              <w:rPr>
                <w:bCs/>
              </w:rPr>
              <w:t xml:space="preserve">pirmās instances tiesas vai apelācijas instances tiesas nolēmums tiek atcelts pilnībā vai daļā un krimināllieta tiek nosūtīta jaunai izskatīšanai. </w:t>
            </w:r>
          </w:p>
          <w:p w:rsidR="00C97FF3" w:rsidRPr="005E50CC" w:rsidRDefault="009D281D" w:rsidP="00C462A8">
            <w:pPr>
              <w:pStyle w:val="naiskr"/>
              <w:spacing w:before="0" w:after="0"/>
              <w:ind w:firstLine="669"/>
              <w:jc w:val="both"/>
              <w:rPr>
                <w:bCs/>
                <w:color w:val="000000" w:themeColor="text1"/>
                <w:sz w:val="28"/>
                <w:szCs w:val="28"/>
              </w:rPr>
            </w:pPr>
            <w:r w:rsidRPr="005E50CC">
              <w:rPr>
                <w:bCs/>
              </w:rPr>
              <w:t xml:space="preserve"> </w:t>
            </w:r>
            <w:r w:rsidR="00C97FF3" w:rsidRPr="005E50CC">
              <w:rPr>
                <w:color w:val="000000" w:themeColor="text1"/>
              </w:rPr>
              <w:t>Praksē var veidoties situācijas, ka vienā personas, kurai ir tiesības aizstāvību, sūdzībā, iespējams, tiks ietverti vairāki noteikumu projektā noteiktie tulkošanas gadījumi</w:t>
            </w:r>
            <w:r w:rsidR="0025360C" w:rsidRPr="005E50CC">
              <w:rPr>
                <w:color w:val="000000" w:themeColor="text1"/>
              </w:rPr>
              <w:t xml:space="preserve"> (piemēram, sūdzība par kriminālprocesu veicošās amatpersonas rīcību </w:t>
            </w:r>
            <w:r w:rsidR="0025360C" w:rsidRPr="005E50CC">
              <w:rPr>
                <w:bCs/>
                <w:color w:val="000000" w:themeColor="text1"/>
              </w:rPr>
              <w:lastRenderedPageBreak/>
              <w:t>izmeklēšanā pirmstiesas procesa laikā un vienlaikus arī procesuālā piespiedu līdzekļa piemērošanu),</w:t>
            </w:r>
            <w:r w:rsidR="0025360C" w:rsidRPr="005E50CC">
              <w:rPr>
                <w:color w:val="000000" w:themeColor="text1"/>
              </w:rPr>
              <w:t xml:space="preserve"> vai arī tikšanās laikā tiek gan gatavota sūdzība par drošības līdzekļa grozīšanu, gan notiek gatavošanās pratināšanai</w:t>
            </w:r>
            <w:r w:rsidR="00C97FF3" w:rsidRPr="005E50CC">
              <w:rPr>
                <w:color w:val="000000" w:themeColor="text1"/>
              </w:rPr>
              <w:t>. Tādēļ noteikumu projekt</w:t>
            </w:r>
            <w:r w:rsidR="003C1BC3" w:rsidRPr="005E50CC">
              <w:rPr>
                <w:color w:val="000000" w:themeColor="text1"/>
              </w:rPr>
              <w:t>a 7. punktā</w:t>
            </w:r>
            <w:r w:rsidR="00C97FF3" w:rsidRPr="005E50CC">
              <w:rPr>
                <w:color w:val="000000" w:themeColor="text1"/>
              </w:rPr>
              <w:t xml:space="preserve"> paredzēts, ka tulkojumam izmantotais laiks, lai</w:t>
            </w:r>
            <w:r w:rsidR="0025360C" w:rsidRPr="005E50CC">
              <w:rPr>
                <w:color w:val="000000" w:themeColor="text1"/>
              </w:rPr>
              <w:t xml:space="preserve"> vienlaicīgi</w:t>
            </w:r>
            <w:r w:rsidR="00C97FF3" w:rsidRPr="005E50CC">
              <w:rPr>
                <w:color w:val="000000" w:themeColor="text1"/>
              </w:rPr>
              <w:t xml:space="preserve"> </w:t>
            </w:r>
            <w:r w:rsidR="0025360C" w:rsidRPr="005E50CC">
              <w:rPr>
                <w:color w:val="000000" w:themeColor="text1"/>
              </w:rPr>
              <w:t xml:space="preserve">veiktu vairākas </w:t>
            </w:r>
            <w:r w:rsidR="00C97FF3" w:rsidRPr="005E50CC">
              <w:rPr>
                <w:color w:val="000000" w:themeColor="text1"/>
              </w:rPr>
              <w:t>noteikumu projekta 5. punktā ietvert</w:t>
            </w:r>
            <w:r w:rsidR="0025360C" w:rsidRPr="005E50CC">
              <w:rPr>
                <w:color w:val="000000" w:themeColor="text1"/>
              </w:rPr>
              <w:t>ās</w:t>
            </w:r>
            <w:r w:rsidR="00C97FF3" w:rsidRPr="005E50CC">
              <w:rPr>
                <w:color w:val="000000" w:themeColor="text1"/>
              </w:rPr>
              <w:t xml:space="preserve"> </w:t>
            </w:r>
            <w:r w:rsidR="0025360C" w:rsidRPr="005E50CC">
              <w:rPr>
                <w:color w:val="000000" w:themeColor="text1"/>
              </w:rPr>
              <w:t>darbības</w:t>
            </w:r>
            <w:r w:rsidR="00C97FF3" w:rsidRPr="005E50CC">
              <w:rPr>
                <w:color w:val="000000" w:themeColor="text1"/>
              </w:rPr>
              <w:t>, jāaprēķina proporcionāli vienādās daļās gadījumos, ja noteikumu projekta 13. punktā minētajā iesniegumā ir norādīti vairāki tulkojuma mērķi un tulkojuma veikšanas gaitā personas, kuras izmanto tiesības saņemt tulka pakalpojumus, pašas noteikumu projekta 5. punktā minētās darbības nav nodalījušas.</w:t>
            </w:r>
          </w:p>
          <w:p w:rsidR="00533779" w:rsidRPr="005E50CC" w:rsidRDefault="00AD09C7" w:rsidP="00C462A8">
            <w:pPr>
              <w:pStyle w:val="naiskr"/>
              <w:spacing w:before="0" w:after="0"/>
              <w:ind w:firstLine="669"/>
              <w:jc w:val="both"/>
              <w:rPr>
                <w:bCs/>
              </w:rPr>
            </w:pPr>
            <w:r>
              <w:rPr>
                <w:bCs/>
              </w:rPr>
              <w:t xml:space="preserve">Noteikumu projekta </w:t>
            </w:r>
            <w:r w:rsidR="00CA25AC" w:rsidRPr="005E50CC">
              <w:rPr>
                <w:bCs/>
              </w:rPr>
              <w:t>8</w:t>
            </w:r>
            <w:r w:rsidRPr="005E50CC">
              <w:rPr>
                <w:bCs/>
              </w:rPr>
              <w:t>. punktā noteikts, ka izdevumus par tulkojuma veikšanu atlīdzina procesa virzītāja iestāde, ieslodzījuma vieta vai iestāde, kas administrē tiesas budžetu</w:t>
            </w:r>
            <w:r w:rsidR="006801F2" w:rsidRPr="005E50CC">
              <w:rPr>
                <w:bCs/>
              </w:rPr>
              <w:t xml:space="preserve"> no valsts budžetā šim mērķim paredzētajiem izdevumiem. Šāda norma nepieciešama, jo, ņemot vērā to, ka katrai iestādei ir līgums ar tulkošanas biroju, kurā paredzētas atšķirīgas summas, kā arī to, ka tulkošanas izmaksas atkarībā no valodas, kurā tiek veikts tulkojums, ir dažādas, noteikumu projektā ietvert konkrētas summas nav lietderīgi. </w:t>
            </w:r>
          </w:p>
          <w:p w:rsidR="006801F2" w:rsidRDefault="006801F2" w:rsidP="00C462A8">
            <w:pPr>
              <w:pStyle w:val="naiskr"/>
              <w:spacing w:before="0" w:after="0"/>
              <w:ind w:firstLine="669"/>
              <w:jc w:val="both"/>
              <w:rPr>
                <w:bCs/>
              </w:rPr>
            </w:pPr>
            <w:r w:rsidRPr="005E50CC">
              <w:rPr>
                <w:bCs/>
              </w:rPr>
              <w:t xml:space="preserve">Noteikumu </w:t>
            </w:r>
            <w:r w:rsidR="002F6568" w:rsidRPr="005E50CC">
              <w:rPr>
                <w:bCs/>
              </w:rPr>
              <w:t xml:space="preserve">projekta </w:t>
            </w:r>
            <w:r w:rsidR="00CA25AC" w:rsidRPr="005E50CC">
              <w:rPr>
                <w:bCs/>
              </w:rPr>
              <w:t>9</w:t>
            </w:r>
            <w:r w:rsidR="002F6568" w:rsidRPr="005E50CC">
              <w:rPr>
                <w:bCs/>
              </w:rPr>
              <w:t xml:space="preserve">. un </w:t>
            </w:r>
            <w:r w:rsidR="00F13B70" w:rsidRPr="005E50CC">
              <w:rPr>
                <w:bCs/>
              </w:rPr>
              <w:t>1</w:t>
            </w:r>
            <w:r w:rsidR="00CA25AC" w:rsidRPr="005E50CC">
              <w:rPr>
                <w:bCs/>
              </w:rPr>
              <w:t>1</w:t>
            </w:r>
            <w:r w:rsidR="002F6568" w:rsidRPr="005E50CC">
              <w:rPr>
                <w:bCs/>
              </w:rPr>
              <w:t xml:space="preserve">. punkts paredz, ka laiks, ko tulks patērē, gaidot personas tikšanos ar </w:t>
            </w:r>
            <w:r w:rsidR="00125B12" w:rsidRPr="005E50CC">
              <w:rPr>
                <w:bCs/>
              </w:rPr>
              <w:t>aizstāvi</w:t>
            </w:r>
            <w:r w:rsidR="002F6568" w:rsidRPr="005E50CC">
              <w:rPr>
                <w:bCs/>
              </w:rPr>
              <w:t xml:space="preserve"> līdz brīdim, kad tulkam tiek paziņots par tikšanās</w:t>
            </w:r>
            <w:r w:rsidR="002F6568">
              <w:rPr>
                <w:bCs/>
              </w:rPr>
              <w:t xml:space="preserve"> atlikšanu, tiek ieskaitīts laikā, kas patērēts tulkojuma nodrošināšanai. Savukārt, ja tikšanās nav notikusi personas, kurai ir tiesības uz aizstāvību, neattaisnotas neierašanās dēļ, par attiecīgo apmaksāto stundu skaitu samazina personai piešķirto tulkojuma veida apjomu. </w:t>
            </w:r>
            <w:r w:rsidR="00767BA0">
              <w:rPr>
                <w:bCs/>
              </w:rPr>
              <w:t>Procesa virzītājs var samazināt personai piešķirto tulkojuma veida apjomu, pamatojoties uz KPL 318. panta otro daļu</w:t>
            </w:r>
            <w:r w:rsidR="006E6ADF">
              <w:rPr>
                <w:bCs/>
              </w:rPr>
              <w:t>,</w:t>
            </w:r>
            <w:r w:rsidR="00767BA0">
              <w:rPr>
                <w:bCs/>
              </w:rPr>
              <w:t xml:space="preserve"> pieņemot lēmumu. </w:t>
            </w:r>
          </w:p>
          <w:p w:rsidR="002F6568" w:rsidRPr="005E50CC" w:rsidRDefault="002F6568" w:rsidP="00C462A8">
            <w:pPr>
              <w:pStyle w:val="naiskr"/>
              <w:spacing w:before="0" w:after="0"/>
              <w:ind w:firstLine="669"/>
              <w:jc w:val="both"/>
              <w:rPr>
                <w:bCs/>
              </w:rPr>
            </w:pPr>
            <w:r>
              <w:rPr>
                <w:bCs/>
              </w:rPr>
              <w:t xml:space="preserve">Noteikumu </w:t>
            </w:r>
            <w:r w:rsidRPr="005E50CC">
              <w:rPr>
                <w:bCs/>
              </w:rPr>
              <w:t xml:space="preserve">projekta </w:t>
            </w:r>
            <w:r w:rsidR="00CA25AC" w:rsidRPr="005E50CC">
              <w:rPr>
                <w:bCs/>
              </w:rPr>
              <w:t>10</w:t>
            </w:r>
            <w:r w:rsidRPr="005E50CC">
              <w:rPr>
                <w:bCs/>
              </w:rPr>
              <w:t xml:space="preserve">. punktā noteikts, ka par laiku, kas patērēts gaidot personu vai viņas aizstāvi, kuri nav ieradušies procesa virzītāja vai ieslodzījuma vietas administrācijas noteiktajā laikā, tulkam samaksā 50% apmērā no stundas likmes. </w:t>
            </w:r>
          </w:p>
          <w:p w:rsidR="00731A5F" w:rsidRPr="005E50CC" w:rsidRDefault="006B7F17" w:rsidP="00C462A8">
            <w:pPr>
              <w:pStyle w:val="naiskr"/>
              <w:spacing w:before="0" w:after="0"/>
              <w:ind w:firstLine="669"/>
              <w:jc w:val="both"/>
              <w:rPr>
                <w:bCs/>
              </w:rPr>
            </w:pPr>
            <w:r w:rsidRPr="005E50CC">
              <w:rPr>
                <w:bCs/>
              </w:rPr>
              <w:t>Ja</w:t>
            </w:r>
            <w:r w:rsidR="001C756A" w:rsidRPr="005E50CC">
              <w:rPr>
                <w:bCs/>
              </w:rPr>
              <w:t xml:space="preserve"> tomēr</w:t>
            </w:r>
            <w:r w:rsidRPr="005E50CC">
              <w:rPr>
                <w:bCs/>
              </w:rPr>
              <w:t xml:space="preserve"> tulka praktizēšanas vieta ir ārpus tās administratīvās teritorijas, kurā nodrošināms tulkojums, un nav tulkošanu nav iespējams veikt, izmantojot tehniskos līdzekļus</w:t>
            </w:r>
            <w:r w:rsidR="00F13B70" w:rsidRPr="005E50CC">
              <w:rPr>
                <w:bCs/>
              </w:rPr>
              <w:t xml:space="preserve"> atbilstoši noteikumu projekta 4. punktā ietvertajam pamatpr</w:t>
            </w:r>
            <w:r w:rsidR="00023975" w:rsidRPr="005E50CC">
              <w:rPr>
                <w:bCs/>
              </w:rPr>
              <w:t>i</w:t>
            </w:r>
            <w:r w:rsidR="00F13B70" w:rsidRPr="005E50CC">
              <w:rPr>
                <w:bCs/>
              </w:rPr>
              <w:t>ncipam</w:t>
            </w:r>
            <w:r w:rsidRPr="005E50CC">
              <w:rPr>
                <w:bCs/>
              </w:rPr>
              <w:t>, n</w:t>
            </w:r>
            <w:r w:rsidR="00F45A96" w:rsidRPr="005E50CC">
              <w:rPr>
                <w:bCs/>
              </w:rPr>
              <w:t>oteikumu projekta 1</w:t>
            </w:r>
            <w:r w:rsidR="00CA25AC" w:rsidRPr="005E50CC">
              <w:rPr>
                <w:bCs/>
              </w:rPr>
              <w:t>2</w:t>
            </w:r>
            <w:r w:rsidR="00F45A96" w:rsidRPr="005E50CC">
              <w:rPr>
                <w:bCs/>
              </w:rPr>
              <w:t>. un 1</w:t>
            </w:r>
            <w:r w:rsidR="00CA25AC" w:rsidRPr="005E50CC">
              <w:rPr>
                <w:bCs/>
              </w:rPr>
              <w:t>3</w:t>
            </w:r>
            <w:r w:rsidR="00F45A96" w:rsidRPr="005E50CC">
              <w:rPr>
                <w:bCs/>
              </w:rPr>
              <w:t>. punktā ietverts regulējums attiecībā uz ceļa izdevumu un izdevumu par naktsmītni segšanu</w:t>
            </w:r>
            <w:r w:rsidR="00731A5F" w:rsidRPr="005E50CC">
              <w:rPr>
                <w:bCs/>
              </w:rPr>
              <w:t xml:space="preserve">. </w:t>
            </w:r>
          </w:p>
          <w:p w:rsidR="000B5861" w:rsidRDefault="00731A5F" w:rsidP="00C462A8">
            <w:pPr>
              <w:pStyle w:val="naiskr"/>
              <w:spacing w:before="0" w:after="0"/>
              <w:ind w:firstLine="669"/>
              <w:jc w:val="both"/>
              <w:rPr>
                <w:bCs/>
              </w:rPr>
            </w:pPr>
            <w:r w:rsidRPr="005E50CC">
              <w:rPr>
                <w:bCs/>
              </w:rPr>
              <w:t>Noteikumu projekta IV nodaļā ietverta kārtība, kādā tiek nodrošināti tulka pakalpojumi</w:t>
            </w:r>
            <w:r w:rsidR="001C756A" w:rsidRPr="005E50CC">
              <w:rPr>
                <w:bCs/>
              </w:rPr>
              <w:t xml:space="preserve">. </w:t>
            </w:r>
            <w:r w:rsidR="006206AD" w:rsidRPr="005E50CC">
              <w:rPr>
                <w:bCs/>
              </w:rPr>
              <w:t>Noteikumu projekta 14. pantā noteikts</w:t>
            </w:r>
            <w:r w:rsidRPr="005E50CC">
              <w:rPr>
                <w:bCs/>
              </w:rPr>
              <w:t>, ka, lai persona, kurai ir tiesības uz</w:t>
            </w:r>
            <w:r>
              <w:rPr>
                <w:bCs/>
              </w:rPr>
              <w:t xml:space="preserve"> aizstāvību, saņemtu tulka pakalpojumus saskaņā ar noteikumu projekt</w:t>
            </w:r>
            <w:r w:rsidR="001C756A">
              <w:rPr>
                <w:bCs/>
              </w:rPr>
              <w:t>ā minēto</w:t>
            </w:r>
            <w:r>
              <w:rPr>
                <w:bCs/>
              </w:rPr>
              <w:t xml:space="preserve">, viņai vai viņas aizstāvim ir jāiesniedz iesniegums procesa virzītājam. </w:t>
            </w:r>
            <w:r w:rsidR="006206AD">
              <w:rPr>
                <w:bCs/>
              </w:rPr>
              <w:t>Noteikumu projekta 15. punktā noteikts, ka p</w:t>
            </w:r>
            <w:r>
              <w:rPr>
                <w:bCs/>
              </w:rPr>
              <w:t xml:space="preserve">rocesa virzītājs, saņemot personas vai viņas aizstāvja iesniegumu, </w:t>
            </w:r>
            <w:r>
              <w:rPr>
                <w:bCs/>
              </w:rPr>
              <w:lastRenderedPageBreak/>
              <w:t>izvērtē, kādā apjomā persona jau ir izmantojusi savas tiesības uz valsts apmaksātu tulkojumu. Ja persona tiesības uz valsts apmaksātu tulkojumu pilnībā</w:t>
            </w:r>
            <w:r w:rsidR="001C756A">
              <w:rPr>
                <w:bCs/>
              </w:rPr>
              <w:t xml:space="preserve"> vai daļēji</w:t>
            </w:r>
            <w:r>
              <w:rPr>
                <w:bCs/>
              </w:rPr>
              <w:t xml:space="preserve"> ir izmantojusi, procesa virzītājs pieņem lēmumu par iesnieguma noraidīšanu</w:t>
            </w:r>
            <w:r w:rsidR="004204BC">
              <w:rPr>
                <w:bCs/>
              </w:rPr>
              <w:t xml:space="preserve"> vai daļēju noraidīšanu</w:t>
            </w:r>
            <w:r>
              <w:rPr>
                <w:bCs/>
              </w:rPr>
              <w:t xml:space="preserve"> un par to informē iesniedzēju.</w:t>
            </w:r>
            <w:r w:rsidR="004D4D32" w:rsidRPr="004D4D32">
              <w:rPr>
                <w:rFonts w:cs="Arial Unicode MS"/>
                <w:bCs/>
                <w:lang w:bidi="lo-LA"/>
              </w:rPr>
              <w:t xml:space="preserve"> </w:t>
            </w:r>
            <w:r w:rsidR="004D4D32" w:rsidRPr="004D4D32">
              <w:rPr>
                <w:bCs/>
              </w:rPr>
              <w:t>Tas notiek arī gadījumos, ja personai ir piemērots drošības līdzeklis - apcietinājums.</w:t>
            </w:r>
            <w:r w:rsidR="006206AD">
              <w:rPr>
                <w:bCs/>
              </w:rPr>
              <w:t xml:space="preserve"> </w:t>
            </w:r>
          </w:p>
          <w:p w:rsidR="000B5861" w:rsidRPr="005E50CC" w:rsidRDefault="00774CC7" w:rsidP="00C462A8">
            <w:pPr>
              <w:pStyle w:val="naiskr"/>
              <w:spacing w:before="0" w:after="0"/>
              <w:ind w:firstLine="669"/>
              <w:jc w:val="both"/>
              <w:rPr>
                <w:bCs/>
              </w:rPr>
            </w:pPr>
            <w:r>
              <w:rPr>
                <w:bCs/>
              </w:rPr>
              <w:t xml:space="preserve">Noteikumu projekta </w:t>
            </w:r>
            <w:r w:rsidRPr="005E50CC">
              <w:rPr>
                <w:bCs/>
              </w:rPr>
              <w:t>1</w:t>
            </w:r>
            <w:r w:rsidR="000B5861" w:rsidRPr="005E50CC">
              <w:rPr>
                <w:bCs/>
              </w:rPr>
              <w:t xml:space="preserve">6. </w:t>
            </w:r>
            <w:r w:rsidRPr="005E50CC">
              <w:rPr>
                <w:bCs/>
              </w:rPr>
              <w:t xml:space="preserve">punktā paredzēts, ka </w:t>
            </w:r>
            <w:r w:rsidR="000B5861" w:rsidRPr="005E50CC">
              <w:rPr>
                <w:bCs/>
              </w:rPr>
              <w:t>noteikum</w:t>
            </w:r>
            <w:r w:rsidRPr="005E50CC">
              <w:rPr>
                <w:bCs/>
              </w:rPr>
              <w:t>u</w:t>
            </w:r>
            <w:r w:rsidR="000B5861" w:rsidRPr="005E50CC">
              <w:rPr>
                <w:bCs/>
              </w:rPr>
              <w:t xml:space="preserve"> 14. punktā minēto iesniegumu</w:t>
            </w:r>
            <w:r w:rsidR="007028AE" w:rsidRPr="005E50CC">
              <w:rPr>
                <w:bCs/>
              </w:rPr>
              <w:t xml:space="preserve"> procesa virzītājs</w:t>
            </w:r>
            <w:r w:rsidR="000B5861" w:rsidRPr="005E50CC">
              <w:rPr>
                <w:bCs/>
              </w:rPr>
              <w:t xml:space="preserve"> izskata, noteikumu 11. un 15. punktā minētos </w:t>
            </w:r>
            <w:r w:rsidR="00856CD9" w:rsidRPr="005E50CC">
              <w:rPr>
                <w:bCs/>
              </w:rPr>
              <w:t xml:space="preserve">virzītājs </w:t>
            </w:r>
            <w:r w:rsidR="000B5861" w:rsidRPr="005E50CC">
              <w:rPr>
                <w:bCs/>
              </w:rPr>
              <w:t xml:space="preserve">pieņem un sūdzības par </w:t>
            </w:r>
            <w:r w:rsidR="007028AE" w:rsidRPr="005E50CC">
              <w:rPr>
                <w:bCs/>
              </w:rPr>
              <w:t>procesa virzītāja pieņemtajiem</w:t>
            </w:r>
            <w:r w:rsidRPr="005E50CC">
              <w:rPr>
                <w:bCs/>
              </w:rPr>
              <w:t xml:space="preserve"> lēmumiem</w:t>
            </w:r>
            <w:r w:rsidR="000B5861" w:rsidRPr="005E50CC">
              <w:rPr>
                <w:bCs/>
              </w:rPr>
              <w:t xml:space="preserve"> izskata Kriminālprocesa likumā noteiktajā kārtībā.</w:t>
            </w:r>
          </w:p>
          <w:p w:rsidR="002810D9" w:rsidRPr="005E50CC" w:rsidRDefault="006206AD" w:rsidP="00C462A8">
            <w:pPr>
              <w:pStyle w:val="naiskr"/>
              <w:spacing w:before="0" w:after="0"/>
              <w:ind w:firstLine="669"/>
              <w:jc w:val="both"/>
              <w:rPr>
                <w:bCs/>
              </w:rPr>
            </w:pPr>
            <w:r w:rsidRPr="005E50CC">
              <w:rPr>
                <w:bCs/>
              </w:rPr>
              <w:t>Saskaņā ar KPL 333.</w:t>
            </w:r>
            <w:r w:rsidRPr="005E50CC">
              <w:rPr>
                <w:bCs/>
                <w:vertAlign w:val="superscript"/>
              </w:rPr>
              <w:t>1</w:t>
            </w:r>
            <w:r w:rsidRPr="005E50CC">
              <w:rPr>
                <w:bCs/>
              </w:rPr>
              <w:t xml:space="preserve"> pantu procesā iesaistītā persona savu vai citas personas tiesību un likumīgo interešu nodrošināšanai var iesniegt pieteikumu, iesniegumu vai lūgumu procesa virzītājam vai likumā noteiktajos gadījumos citai amatpersonai, kura pilnvarota veikt kriminālprocesuālu darbību.</w:t>
            </w:r>
            <w:r w:rsidR="002810D9" w:rsidRPr="005E50CC">
              <w:rPr>
                <w:bCs/>
              </w:rPr>
              <w:t xml:space="preserve"> </w:t>
            </w:r>
            <w:r w:rsidRPr="005E50CC">
              <w:rPr>
                <w:bCs/>
              </w:rPr>
              <w:t>Noteikumu projekta 15. punkts izstrādāts</w:t>
            </w:r>
            <w:r w:rsidR="002810D9" w:rsidRPr="005E50CC">
              <w:rPr>
                <w:bCs/>
              </w:rPr>
              <w:t xml:space="preserve"> atbilstoši KPL 335. pantam, kas noteic, ka, ja pieteikumu, iesniegumu vai lūgumu apmierina, rakstveida lēmumu var nenoformēt, bet par to rakstveidā paziņo iesniedzējam un nodrošina tā izpildi. Par pieteikuma, iesnieguma vai lūguma pilnīgu vai daļēju noraidīšanu pieņem motivētu lēmumu, kuru triju darba dienu laikā paziņo iesniedzējam, nosūtot vai izsniedzot viņam tā kopiju.</w:t>
            </w:r>
            <w:r w:rsidR="00FE1318" w:rsidRPr="005E50CC">
              <w:t xml:space="preserve"> Tāpat, piemērojot noteikumu</w:t>
            </w:r>
            <w:r w:rsidR="00525954" w:rsidRPr="005E50CC">
              <w:t xml:space="preserve"> projekta 15. punktu, jāņem vērā KPL 334. pantā noteiktie pieteikumu, iesniegumu un lūgumu izskatīšanas termiņi. KPL 334. pants noteic, ka pieteikumu, iesniegumu vai lūgumu izskata un lēmumu par to pieņem tūlīt pēc tā saņemšanas, ja vien šajā likumā nav noteikts citādi. Ja lēmumu par pieteikumu, iesniegumu vai lūgumu nav iespējams pieņemt tūlīt, tas jāizdara triju darba dienu laikā</w:t>
            </w:r>
            <w:r w:rsidR="007272F6" w:rsidRPr="005E50CC">
              <w:t xml:space="preserve"> pēc tā saņemšanas.</w:t>
            </w:r>
          </w:p>
          <w:p w:rsidR="006801F2" w:rsidRPr="005E50CC" w:rsidRDefault="002810D9" w:rsidP="00C462A8">
            <w:pPr>
              <w:pStyle w:val="naiskr"/>
              <w:spacing w:before="0" w:after="0"/>
              <w:ind w:firstLine="669"/>
              <w:jc w:val="both"/>
              <w:rPr>
                <w:bCs/>
              </w:rPr>
            </w:pPr>
            <w:r w:rsidRPr="005E50CC">
              <w:rPr>
                <w:bCs/>
              </w:rPr>
              <w:t xml:space="preserve"> </w:t>
            </w:r>
            <w:r w:rsidR="00EC31EB" w:rsidRPr="005E50CC">
              <w:t>No noteikumu projekta 17. punkta izriet, ka, ja personai piemērots ar brīvības atņemšanu saistīts drošības līdzeklis, procesa virzītājs iesniegumu par tulkojuma nodrošināšanu nekavējoties, bet, ja kādu objektīvu apsvērumu dēļ tas nav iespējams, tad ne vēlāk kā trīs darba dienu laikā, pārsūta attiecīgās ieslodzījuma vietas administrācijai.</w:t>
            </w:r>
            <w:r w:rsidR="00727B53" w:rsidRPr="005E50CC">
              <w:t xml:space="preserve"> Šāds termiņš noteikts, ievērojot KPL 334. pant</w:t>
            </w:r>
            <w:r w:rsidR="00936D18" w:rsidRPr="005E50CC">
              <w:t>u, kurā paredzēts, ja lēmumu par pieteikumu, iesniegumu vai lūgumu nav iespējams pieņemt tūlīt, tas jāizdara triju darba dienu laikā pēc tā saņemšanas</w:t>
            </w:r>
            <w:r w:rsidR="00727B53" w:rsidRPr="005E50CC">
              <w:t>.</w:t>
            </w:r>
            <w:r w:rsidR="00731A5F">
              <w:rPr>
                <w:bCs/>
              </w:rPr>
              <w:t xml:space="preserve"> Ja persona savas tiesības uz valsts apmaksātu tulkojumu nav izmantojusi vai izmantojusi tās daļēji, procesa virzītājs</w:t>
            </w:r>
            <w:r w:rsidR="004204BC">
              <w:rPr>
                <w:bCs/>
              </w:rPr>
              <w:t xml:space="preserve"> vai, ja personai piemērots drošības līdzeklis – apcietinājums – ieslodzījuma vietas administrācija</w:t>
            </w:r>
            <w:r w:rsidR="00731A5F">
              <w:rPr>
                <w:bCs/>
              </w:rPr>
              <w:t xml:space="preserve"> organizē tulka piedalīšanos, nosaka datumu</w:t>
            </w:r>
            <w:r w:rsidR="00257ED7">
              <w:rPr>
                <w:bCs/>
              </w:rPr>
              <w:t>, vietu</w:t>
            </w:r>
            <w:r w:rsidR="00731A5F">
              <w:rPr>
                <w:bCs/>
              </w:rPr>
              <w:t xml:space="preserve"> un laiku un par to informē iesniedzēju. Ja personai ir piemērots apcietinājums un viņa atrodas ieslodzījuma vietā, procesa virzītājs personas iesniegumu pārsūta ieslodzījuma vietas administrācijai ar lūgumu nodrošināt </w:t>
            </w:r>
            <w:r w:rsidR="00EA7070">
              <w:rPr>
                <w:bCs/>
              </w:rPr>
              <w:t xml:space="preserve">tulkojumu, vienlaikus norādot arī, ja persona jau </w:t>
            </w:r>
            <w:r w:rsidR="00EA7070">
              <w:rPr>
                <w:bCs/>
              </w:rPr>
              <w:lastRenderedPageBreak/>
              <w:t>daļēji savas tiesības uz tulkojumu ir izmantojusi. Pēc tam, kad ieslodzījuma vieta</w:t>
            </w:r>
            <w:r w:rsidR="00E02304">
              <w:rPr>
                <w:bCs/>
              </w:rPr>
              <w:t>s administrācija</w:t>
            </w:r>
            <w:r w:rsidR="00EA7070">
              <w:rPr>
                <w:bCs/>
              </w:rPr>
              <w:t xml:space="preserve"> ir nodrošinājusi </w:t>
            </w:r>
            <w:r w:rsidR="00EA7070" w:rsidRPr="005E50CC">
              <w:rPr>
                <w:bCs/>
              </w:rPr>
              <w:t xml:space="preserve">tulkojumu, </w:t>
            </w:r>
            <w:r w:rsidR="00E02304" w:rsidRPr="005E50CC">
              <w:rPr>
                <w:bCs/>
              </w:rPr>
              <w:t xml:space="preserve">tā </w:t>
            </w:r>
            <w:r w:rsidR="00EA7070" w:rsidRPr="005E50CC">
              <w:rPr>
                <w:bCs/>
              </w:rPr>
              <w:t xml:space="preserve">informē procesa virzītāju. </w:t>
            </w:r>
            <w:r w:rsidR="003E583E" w:rsidRPr="005E50CC">
              <w:rPr>
                <w:bCs/>
              </w:rPr>
              <w:t>Vienlaikus noteikumu projekta 1</w:t>
            </w:r>
            <w:r w:rsidR="00CA25AC" w:rsidRPr="005E50CC">
              <w:rPr>
                <w:bCs/>
              </w:rPr>
              <w:t>9</w:t>
            </w:r>
            <w:r w:rsidR="00125B12" w:rsidRPr="005E50CC">
              <w:rPr>
                <w:bCs/>
              </w:rPr>
              <w:t>.</w:t>
            </w:r>
            <w:r w:rsidR="00EA43B5">
              <w:rPr>
                <w:bCs/>
              </w:rPr>
              <w:t> </w:t>
            </w:r>
            <w:r w:rsidR="00125B12" w:rsidRPr="005E50CC">
              <w:rPr>
                <w:bCs/>
              </w:rPr>
              <w:t xml:space="preserve">punktā paredzēts </w:t>
            </w:r>
            <w:r w:rsidR="003E583E" w:rsidRPr="005E50CC">
              <w:rPr>
                <w:bCs/>
              </w:rPr>
              <w:t>persona</w:t>
            </w:r>
            <w:r w:rsidR="00125B12" w:rsidRPr="005E50CC">
              <w:rPr>
                <w:bCs/>
              </w:rPr>
              <w:t>s</w:t>
            </w:r>
            <w:r w:rsidR="003E583E" w:rsidRPr="005E50CC">
              <w:rPr>
                <w:bCs/>
              </w:rPr>
              <w:t xml:space="preserve"> vai viņas aizstāv</w:t>
            </w:r>
            <w:r w:rsidR="00125B12" w:rsidRPr="005E50CC">
              <w:rPr>
                <w:bCs/>
              </w:rPr>
              <w:t>ja pienākums gadījumos, ja</w:t>
            </w:r>
            <w:r w:rsidR="003E583E" w:rsidRPr="005E50CC">
              <w:rPr>
                <w:bCs/>
              </w:rPr>
              <w:t xml:space="preserve"> nevar ierasties procesa virzītāja vai ieslodzījuma vietas administrācijas not</w:t>
            </w:r>
            <w:r w:rsidR="00767BA0" w:rsidRPr="005E50CC">
              <w:rPr>
                <w:bCs/>
              </w:rPr>
              <w:t>eiktajā laikā un vietā</w:t>
            </w:r>
            <w:r w:rsidR="00C81A52" w:rsidRPr="005E50CC">
              <w:rPr>
                <w:bCs/>
              </w:rPr>
              <w:t>,</w:t>
            </w:r>
            <w:r w:rsidR="00767BA0" w:rsidRPr="005E50CC">
              <w:rPr>
                <w:bCs/>
              </w:rPr>
              <w:t xml:space="preserve"> laikus informē</w:t>
            </w:r>
            <w:r w:rsidR="00125B12" w:rsidRPr="005E50CC">
              <w:rPr>
                <w:bCs/>
              </w:rPr>
              <w:t>t</w:t>
            </w:r>
            <w:r w:rsidR="00767BA0" w:rsidRPr="005E50CC">
              <w:rPr>
                <w:bCs/>
              </w:rPr>
              <w:t xml:space="preserve"> attiecīgo iestādi, lai nerastos lieki izdevumi un varētu plānot citu laiku, kurā visas personas var ierasties. </w:t>
            </w:r>
          </w:p>
          <w:p w:rsidR="00EE79FF" w:rsidRPr="005E50CC" w:rsidRDefault="00F13B70" w:rsidP="00C462A8">
            <w:pPr>
              <w:pStyle w:val="naiskr"/>
              <w:spacing w:before="0" w:after="0"/>
              <w:ind w:firstLine="669"/>
              <w:jc w:val="both"/>
              <w:rPr>
                <w:bCs/>
              </w:rPr>
            </w:pPr>
            <w:r w:rsidRPr="005E50CC">
              <w:rPr>
                <w:bCs/>
              </w:rPr>
              <w:t xml:space="preserve">Noteikumu projekta </w:t>
            </w:r>
            <w:r w:rsidR="00CA25AC" w:rsidRPr="005E50CC">
              <w:rPr>
                <w:bCs/>
              </w:rPr>
              <w:t>20</w:t>
            </w:r>
            <w:r w:rsidR="00257ED7" w:rsidRPr="005E50CC">
              <w:rPr>
                <w:bCs/>
              </w:rPr>
              <w:t>. punktā paredzēts, ka</w:t>
            </w:r>
            <w:r w:rsidR="00257ED7">
              <w:rPr>
                <w:bCs/>
              </w:rPr>
              <w:t xml:space="preserve"> visas trīs iesaistītās personas – persona, kurai ir tiesības uz aizstāvību, aizstāvis un tulks uzreiz pēc tulkojuma veikšanas paraksta paziņojumu, ko tulks 10 dienu laikā (kopā ar attaisnojuma dokumentiem un rēķinu) varēs iesniegt procesa virzītāja iestādē vai ieslodzījuma vietas admin</w:t>
            </w:r>
            <w:r w:rsidR="00C95CCD">
              <w:rPr>
                <w:bCs/>
              </w:rPr>
              <w:t>is</w:t>
            </w:r>
            <w:r w:rsidR="00257ED7">
              <w:rPr>
                <w:bCs/>
              </w:rPr>
              <w:t>trāc</w:t>
            </w:r>
            <w:r w:rsidR="00C95CCD">
              <w:rPr>
                <w:bCs/>
              </w:rPr>
              <w:t>i</w:t>
            </w:r>
            <w:r w:rsidR="00257ED7">
              <w:rPr>
                <w:bCs/>
              </w:rPr>
              <w:t xml:space="preserve">jai. </w:t>
            </w:r>
            <w:r w:rsidR="00C95CCD" w:rsidRPr="005E50CC">
              <w:rPr>
                <w:bCs/>
              </w:rPr>
              <w:t>Vienlaikus situācijās, kad tulks tulkošanu veic, izmantojot tehniskos līdzekļus, tulkam ir iespēja paziņojumu</w:t>
            </w:r>
            <w:r w:rsidR="003C60CC" w:rsidRPr="005E50CC">
              <w:rPr>
                <w:bCs/>
              </w:rPr>
              <w:t xml:space="preserve"> aizpildīt,</w:t>
            </w:r>
            <w:r w:rsidR="00C95CCD" w:rsidRPr="005E50CC">
              <w:rPr>
                <w:bCs/>
              </w:rPr>
              <w:t xml:space="preserve"> parakstīt un nosūtīt to procesa virzītājam vai ieslodzījuma vietas administrācijai</w:t>
            </w:r>
            <w:r w:rsidR="006B7646" w:rsidRPr="005E50CC">
              <w:rPr>
                <w:bCs/>
              </w:rPr>
              <w:t xml:space="preserve"> pa pastu vai elektroniski atbilstoši normatīvajiem aktiem par elektronisko dokumentu izstrādi un apriti</w:t>
            </w:r>
            <w:r w:rsidR="001326B4" w:rsidRPr="005E50CC">
              <w:rPr>
                <w:bCs/>
              </w:rPr>
              <w:t>, jo šajās situācijās nebūs iespējams pēc tulkojuma veikšanas saņemt personas un viņas aizstāvja parakstus.</w:t>
            </w:r>
          </w:p>
          <w:p w:rsidR="003E583E" w:rsidRDefault="00373F49" w:rsidP="00C462A8">
            <w:pPr>
              <w:pStyle w:val="naiskr"/>
              <w:spacing w:before="0" w:after="0"/>
              <w:ind w:firstLine="669"/>
              <w:jc w:val="both"/>
              <w:rPr>
                <w:bCs/>
              </w:rPr>
            </w:pPr>
            <w:r>
              <w:rPr>
                <w:bCs/>
              </w:rPr>
              <w:t>Noteikumu proj</w:t>
            </w:r>
            <w:r w:rsidR="001A28F3">
              <w:rPr>
                <w:bCs/>
              </w:rPr>
              <w:t>ekta V</w:t>
            </w:r>
            <w:r>
              <w:rPr>
                <w:bCs/>
              </w:rPr>
              <w:t xml:space="preserve"> nodaļa paredz kārtību, kādā veicama samaksa par tulkojuma nodrošināšanu un izmaksājami ar to saistītie izdevumi. Nodaļā ietvertās normas paredz, ka tulks pēc tam, kad ir veicis tulkošanu, iesniedz paziņojumu par tulkojuma nodrošināšanu, kuras veidlapa ir ietverta noteikumu projekta 1. pielikumā, kā arī pievieno paziņojumam</w:t>
            </w:r>
            <w:r w:rsidR="00257ED7">
              <w:rPr>
                <w:bCs/>
              </w:rPr>
              <w:t xml:space="preserve"> rēķinu un</w:t>
            </w:r>
            <w:r>
              <w:rPr>
                <w:bCs/>
              </w:rPr>
              <w:t xml:space="preserve"> attaisnojuma dokumentus, kas apliecina ceļa izdevumus un izdevumus par naktsmītni. Mēneša laikā pēc tam, kad pareizi aizpildīts paziņojums ir iesniegts procesa virzītāja iestādē vai ieslodzījuma vietas administrācijai, minētajai iestādei ir jāiemaksā paziņojumā norādītā summa </w:t>
            </w:r>
            <w:r w:rsidR="00257ED7">
              <w:rPr>
                <w:bCs/>
              </w:rPr>
              <w:t>paziņojumā</w:t>
            </w:r>
            <w:r>
              <w:rPr>
                <w:bCs/>
              </w:rPr>
              <w:t xml:space="preserve"> norādītajā (tulkošanas biroja) kredītiestādes kontā. </w:t>
            </w:r>
          </w:p>
          <w:p w:rsidR="00AB2D13" w:rsidRDefault="00AB2D13" w:rsidP="00C462A8">
            <w:pPr>
              <w:pStyle w:val="naiskr"/>
              <w:spacing w:before="0" w:after="0"/>
              <w:ind w:firstLine="669"/>
              <w:jc w:val="both"/>
              <w:rPr>
                <w:bCs/>
              </w:rPr>
            </w:pPr>
            <w:r>
              <w:rPr>
                <w:bCs/>
              </w:rPr>
              <w:t xml:space="preserve">Noteikumu projekta </w:t>
            </w:r>
            <w:r w:rsidRPr="005E50CC">
              <w:rPr>
                <w:bCs/>
              </w:rPr>
              <w:t>2</w:t>
            </w:r>
            <w:r w:rsidR="00CA25AC" w:rsidRPr="005E50CC">
              <w:rPr>
                <w:bCs/>
              </w:rPr>
              <w:t>1</w:t>
            </w:r>
            <w:r w:rsidRPr="005E50CC">
              <w:rPr>
                <w:bCs/>
              </w:rPr>
              <w:t xml:space="preserve">. punktā ir noteikts, ka, lai saņemtu samaksu par tulka pakalpojumu sniegšanu saskaņā ar šiem noteikumiem, tulks iesniedz procesa virzītājam vai ieslodzījuma vietas administrācijai paziņojumu par tulkojuma nodrošināšanu. </w:t>
            </w:r>
            <w:r w:rsidR="00656257" w:rsidRPr="005E50CC">
              <w:rPr>
                <w:bCs/>
              </w:rPr>
              <w:t>Par paziņojuma saņemšanu parakstās</w:t>
            </w:r>
            <w:r w:rsidRPr="005E50CC">
              <w:rPr>
                <w:bCs/>
              </w:rPr>
              <w:t xml:space="preserve"> attiecīgi procesa virzītājs vai ieslodzījuma vietas administrācijas amatpersona. Tā kā šobrīd tiesu budžetu administrē Tiesu administrācija, tad, lai</w:t>
            </w:r>
            <w:r>
              <w:rPr>
                <w:bCs/>
              </w:rPr>
              <w:t xml:space="preserve"> tiktu segti izdevumi par tulka pakalpojumu sniegšanu</w:t>
            </w:r>
            <w:r w:rsidR="00BA5FE0">
              <w:rPr>
                <w:bCs/>
              </w:rPr>
              <w:t xml:space="preserve"> iztiesāšanas laikā</w:t>
            </w:r>
            <w:r>
              <w:rPr>
                <w:bCs/>
              </w:rPr>
              <w:t>, visus tulka iesniegtos dokumentus (paziņojumu, rēķinu un attaisnojuma dokumentus) procesa virzītājam</w:t>
            </w:r>
            <w:r w:rsidR="00BA5FE0">
              <w:rPr>
                <w:bCs/>
              </w:rPr>
              <w:t xml:space="preserve"> </w:t>
            </w:r>
            <w:r>
              <w:rPr>
                <w:bCs/>
              </w:rPr>
              <w:t xml:space="preserve">ir jāiesniedz Tiesu administrācijai, lai tā saskaņā ar noteikumu projekta </w:t>
            </w:r>
            <w:r w:rsidRPr="005E50CC">
              <w:rPr>
                <w:bCs/>
              </w:rPr>
              <w:t>2</w:t>
            </w:r>
            <w:r w:rsidR="00CA25AC" w:rsidRPr="005E50CC">
              <w:rPr>
                <w:bCs/>
              </w:rPr>
              <w:t>4</w:t>
            </w:r>
            <w:r w:rsidRPr="005E50CC">
              <w:rPr>
                <w:bCs/>
              </w:rPr>
              <w:t>.</w:t>
            </w:r>
            <w:r w:rsidR="002B3CA2">
              <w:rPr>
                <w:bCs/>
              </w:rPr>
              <w:t> </w:t>
            </w:r>
            <w:r>
              <w:rPr>
                <w:bCs/>
              </w:rPr>
              <w:t xml:space="preserve">punktu varētu veikt apmaksu. </w:t>
            </w:r>
          </w:p>
          <w:p w:rsidR="00D94485" w:rsidRDefault="00BF69FD" w:rsidP="00C462A8">
            <w:pPr>
              <w:pStyle w:val="naiskr"/>
              <w:spacing w:before="0" w:after="0"/>
              <w:ind w:firstLine="669"/>
              <w:jc w:val="both"/>
              <w:rPr>
                <w:bCs/>
              </w:rPr>
            </w:pPr>
            <w:r>
              <w:rPr>
                <w:bCs/>
              </w:rPr>
              <w:t xml:space="preserve">Saskaņā ar noteikumu projektu tulks </w:t>
            </w:r>
            <w:r w:rsidR="00D94485">
              <w:rPr>
                <w:bCs/>
              </w:rPr>
              <w:t xml:space="preserve">paziņojumu par tulkojuma nodrošināšanu kopā ar attaisnojuma dokumentiem var nosūtīt pa pastu ierakstītā vēstulē, vai arī elektroniski atbilstoši normatīvajiem aktiem par elektronisko dokumentu </w:t>
            </w:r>
            <w:r w:rsidR="00D94485">
              <w:rPr>
                <w:bCs/>
              </w:rPr>
              <w:lastRenderedPageBreak/>
              <w:t xml:space="preserve">izstrādi un apriti. </w:t>
            </w:r>
          </w:p>
          <w:p w:rsidR="00A354E0" w:rsidRPr="00AE45DF" w:rsidRDefault="00D94485" w:rsidP="00AE45DF">
            <w:pPr>
              <w:pStyle w:val="naiskr"/>
              <w:spacing w:before="0" w:after="0"/>
              <w:ind w:firstLine="669"/>
              <w:jc w:val="both"/>
              <w:rPr>
                <w:bCs/>
              </w:rPr>
            </w:pPr>
            <w:r>
              <w:rPr>
                <w:bCs/>
              </w:rPr>
              <w:t xml:space="preserve">Noteikumu projekta </w:t>
            </w:r>
            <w:r w:rsidRPr="005E50CC">
              <w:rPr>
                <w:bCs/>
              </w:rPr>
              <w:t>2</w:t>
            </w:r>
            <w:r w:rsidR="00CA25AC" w:rsidRPr="005E50CC">
              <w:rPr>
                <w:bCs/>
              </w:rPr>
              <w:t>7</w:t>
            </w:r>
            <w:r w:rsidRPr="005E50CC">
              <w:rPr>
                <w:bCs/>
              </w:rPr>
              <w:t>.</w:t>
            </w:r>
            <w:r>
              <w:rPr>
                <w:bCs/>
              </w:rPr>
              <w:t xml:space="preserve"> punkts paredz, ja procesa virzītājs vai ieslodzījuma vietas administrācija konstatē, ka iesniegtais paziņojums par tulkojuma nodrošināšanu nav pilnīgi vai pareizi aizpildīts, tā to atdod atpakaļ tulkam kļūdu novēršanai vai aizpildīšanai. </w:t>
            </w:r>
            <w:r w:rsidRPr="00DB34FB">
              <w:t xml:space="preserve">Ja </w:t>
            </w:r>
            <w:r>
              <w:t xml:space="preserve">procesa virzītājs vai ieslodzījuma vietas </w:t>
            </w:r>
            <w:r w:rsidRPr="00DB34FB">
              <w:t>administrācija konstatē aprēķinu kļūdas, tā pārrēķina samaksas apmēru un mēneš</w:t>
            </w:r>
            <w:r>
              <w:t>a</w:t>
            </w:r>
            <w:r w:rsidRPr="00DB34FB">
              <w:t xml:space="preserve"> laikā pārskaita aprēķināto summu </w:t>
            </w:r>
            <w:r>
              <w:t>paziņojumā par tulkojuma nodrošināšanu</w:t>
            </w:r>
            <w:r w:rsidRPr="00DB34FB">
              <w:t xml:space="preserve"> norādītajā kredītiestādes kontā.</w:t>
            </w:r>
          </w:p>
        </w:tc>
      </w:tr>
      <w:tr w:rsidR="003E601E" w:rsidRPr="004C5345" w:rsidTr="004E7304">
        <w:trPr>
          <w:trHeight w:val="476"/>
        </w:trPr>
        <w:tc>
          <w:tcPr>
            <w:tcW w:w="528" w:type="dxa"/>
          </w:tcPr>
          <w:p w:rsidR="003E601E" w:rsidRPr="004C5345" w:rsidRDefault="003E601E" w:rsidP="00C462A8">
            <w:pPr>
              <w:rPr>
                <w:rFonts w:cs="Times New Roman"/>
              </w:rPr>
            </w:pPr>
            <w:r w:rsidRPr="004C5345">
              <w:rPr>
                <w:rFonts w:cs="Times New Roman"/>
              </w:rPr>
              <w:lastRenderedPageBreak/>
              <w:t> 5.</w:t>
            </w:r>
          </w:p>
        </w:tc>
        <w:tc>
          <w:tcPr>
            <w:tcW w:w="2415" w:type="dxa"/>
          </w:tcPr>
          <w:p w:rsidR="003E601E" w:rsidRPr="004C5345" w:rsidRDefault="003E601E" w:rsidP="00C462A8">
            <w:pPr>
              <w:rPr>
                <w:rFonts w:cs="Times New Roman"/>
              </w:rPr>
            </w:pPr>
            <w:r w:rsidRPr="004C5345">
              <w:rPr>
                <w:rFonts w:cs="Times New Roman"/>
              </w:rPr>
              <w:t>Projekta izstrādē iesaistītās institūcijas</w:t>
            </w:r>
          </w:p>
        </w:tc>
        <w:tc>
          <w:tcPr>
            <w:tcW w:w="6379" w:type="dxa"/>
          </w:tcPr>
          <w:p w:rsidR="003E601E" w:rsidRPr="004C5345" w:rsidRDefault="00EB4367" w:rsidP="00C462A8">
            <w:pPr>
              <w:ind w:firstLine="552"/>
              <w:jc w:val="both"/>
              <w:rPr>
                <w:rFonts w:cs="Times New Roman"/>
              </w:rPr>
            </w:pPr>
            <w:r>
              <w:rPr>
                <w:rFonts w:cs="Times New Roman"/>
              </w:rPr>
              <w:t>Ģenerālprokuratūra</w:t>
            </w:r>
            <w:r w:rsidR="003E601E" w:rsidRPr="004C5345">
              <w:rPr>
                <w:rFonts w:cs="Times New Roman"/>
              </w:rPr>
              <w:t>, Iekšlietu ministrija, Valsts policija, Latvijas Zvērinātu advokātu padome, Korupcijas novēršanas un apkarošanas birojs, Tiesu administrācija.</w:t>
            </w:r>
          </w:p>
        </w:tc>
      </w:tr>
      <w:tr w:rsidR="003E601E" w:rsidRPr="004C5345" w:rsidTr="004E7304">
        <w:trPr>
          <w:trHeight w:val="904"/>
        </w:trPr>
        <w:tc>
          <w:tcPr>
            <w:tcW w:w="528" w:type="dxa"/>
          </w:tcPr>
          <w:p w:rsidR="003E601E" w:rsidRPr="004C5345" w:rsidRDefault="003E601E" w:rsidP="00C462A8">
            <w:pPr>
              <w:rPr>
                <w:rFonts w:cs="Times New Roman"/>
              </w:rPr>
            </w:pPr>
            <w:r w:rsidRPr="004C5345">
              <w:rPr>
                <w:rFonts w:cs="Times New Roman"/>
              </w:rPr>
              <w:t> 6.</w:t>
            </w:r>
          </w:p>
        </w:tc>
        <w:tc>
          <w:tcPr>
            <w:tcW w:w="2415" w:type="dxa"/>
          </w:tcPr>
          <w:p w:rsidR="003E601E" w:rsidRPr="004C5345" w:rsidRDefault="003E601E" w:rsidP="00C462A8">
            <w:pPr>
              <w:rPr>
                <w:rFonts w:cs="Times New Roman"/>
              </w:rPr>
            </w:pPr>
            <w:r w:rsidRPr="004C5345">
              <w:rPr>
                <w:rFonts w:cs="Times New Roman"/>
              </w:rPr>
              <w:t>Iemesli, kādēļ netika nodrošināta sabiedrības līdzdalība</w:t>
            </w:r>
          </w:p>
        </w:tc>
        <w:tc>
          <w:tcPr>
            <w:tcW w:w="6379" w:type="dxa"/>
          </w:tcPr>
          <w:p w:rsidR="003E601E" w:rsidRPr="004C5345" w:rsidRDefault="00A3646C" w:rsidP="00C462A8">
            <w:pPr>
              <w:ind w:firstLine="552"/>
              <w:jc w:val="both"/>
              <w:rPr>
                <w:rFonts w:cs="Times New Roman"/>
              </w:rPr>
            </w:pPr>
            <w:r>
              <w:rPr>
                <w:rFonts w:cs="Times New Roman"/>
              </w:rPr>
              <w:t>Sabiedrības līdzdalība netika nodrošināta, jo diskusijas ar tulkiem un citiem iesaistītajiem sabiedrības pārstāvjiem notika tad, kad tika izstrādāts</w:t>
            </w:r>
            <w:r w:rsidR="00612B17">
              <w:rPr>
                <w:rFonts w:cs="Times New Roman"/>
              </w:rPr>
              <w:t xml:space="preserve"> 2013. gada 23. maija</w:t>
            </w:r>
            <w:r>
              <w:rPr>
                <w:rFonts w:cs="Times New Roman"/>
              </w:rPr>
              <w:t xml:space="preserve"> likums „Grozījumi Kriminālprocesa likumā”, kurā ietverts deleģēju</w:t>
            </w:r>
            <w:r w:rsidR="00B25AED">
              <w:rPr>
                <w:rFonts w:cs="Times New Roman"/>
              </w:rPr>
              <w:t>ms Ministru kabinetam izstrādāt</w:t>
            </w:r>
            <w:r>
              <w:rPr>
                <w:rFonts w:cs="Times New Roman"/>
              </w:rPr>
              <w:t xml:space="preserve"> noteikumus. </w:t>
            </w:r>
          </w:p>
        </w:tc>
      </w:tr>
      <w:tr w:rsidR="003E601E" w:rsidRPr="004C5345" w:rsidTr="004E7304">
        <w:tc>
          <w:tcPr>
            <w:tcW w:w="528" w:type="dxa"/>
          </w:tcPr>
          <w:p w:rsidR="003E601E" w:rsidRPr="004C5345" w:rsidRDefault="003E601E" w:rsidP="00C462A8">
            <w:pPr>
              <w:rPr>
                <w:rFonts w:cs="Times New Roman"/>
              </w:rPr>
            </w:pPr>
            <w:r w:rsidRPr="004C5345">
              <w:rPr>
                <w:rFonts w:cs="Times New Roman"/>
              </w:rPr>
              <w:t> 7.</w:t>
            </w:r>
          </w:p>
        </w:tc>
        <w:tc>
          <w:tcPr>
            <w:tcW w:w="2415" w:type="dxa"/>
          </w:tcPr>
          <w:p w:rsidR="003E601E" w:rsidRPr="004C5345" w:rsidRDefault="003E601E" w:rsidP="00C462A8">
            <w:pPr>
              <w:rPr>
                <w:rFonts w:cs="Times New Roman"/>
              </w:rPr>
            </w:pPr>
            <w:r w:rsidRPr="004C5345">
              <w:rPr>
                <w:rFonts w:cs="Times New Roman"/>
              </w:rPr>
              <w:t>Cita informācija</w:t>
            </w:r>
          </w:p>
        </w:tc>
        <w:tc>
          <w:tcPr>
            <w:tcW w:w="6379" w:type="dxa"/>
          </w:tcPr>
          <w:p w:rsidR="003E601E" w:rsidRPr="004C5345" w:rsidRDefault="00224F2B" w:rsidP="00C462A8">
            <w:pPr>
              <w:ind w:firstLine="552"/>
              <w:jc w:val="both"/>
              <w:rPr>
                <w:rFonts w:cs="Times New Roman"/>
              </w:rPr>
            </w:pPr>
            <w:r>
              <w:rPr>
                <w:rFonts w:cs="Times New Roman"/>
              </w:rPr>
              <w:t>Nav.</w:t>
            </w:r>
          </w:p>
        </w:tc>
      </w:tr>
    </w:tbl>
    <w:p w:rsidR="003E601E" w:rsidRPr="004C5345" w:rsidRDefault="003E601E" w:rsidP="00C462A8">
      <w:pPr>
        <w:ind w:firstLine="375"/>
        <w:jc w:val="both"/>
        <w:rPr>
          <w:rFonts w:cs="Times New Roman"/>
        </w:rPr>
      </w:pPr>
      <w:r w:rsidRPr="004C5345">
        <w:rPr>
          <w:rFonts w:cs="Times New Roman"/>
        </w:rPr>
        <w: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422"/>
        <w:gridCol w:w="6379"/>
      </w:tblGrid>
      <w:tr w:rsidR="003E601E" w:rsidRPr="004C5345" w:rsidTr="004E7304">
        <w:tc>
          <w:tcPr>
            <w:tcW w:w="9322" w:type="dxa"/>
            <w:gridSpan w:val="3"/>
          </w:tcPr>
          <w:p w:rsidR="003E601E" w:rsidRPr="004C5345" w:rsidRDefault="003E601E" w:rsidP="00C462A8">
            <w:pPr>
              <w:jc w:val="center"/>
              <w:rPr>
                <w:rFonts w:cs="Times New Roman"/>
                <w:b/>
                <w:bCs/>
              </w:rPr>
            </w:pPr>
            <w:r w:rsidRPr="004C5345">
              <w:rPr>
                <w:rFonts w:cs="Times New Roman"/>
                <w:b/>
                <w:bCs/>
              </w:rPr>
              <w:t> II. Tiesību akta projekta ietekme uz sabiedrību</w:t>
            </w:r>
          </w:p>
        </w:tc>
      </w:tr>
      <w:tr w:rsidR="003E601E" w:rsidRPr="004C5345" w:rsidTr="004E7304">
        <w:trPr>
          <w:trHeight w:val="467"/>
        </w:trPr>
        <w:tc>
          <w:tcPr>
            <w:tcW w:w="521" w:type="dxa"/>
          </w:tcPr>
          <w:p w:rsidR="003E601E" w:rsidRPr="004C5345" w:rsidRDefault="003E601E" w:rsidP="00C462A8">
            <w:pPr>
              <w:rPr>
                <w:rFonts w:cs="Times New Roman"/>
              </w:rPr>
            </w:pPr>
            <w:r w:rsidRPr="004C5345">
              <w:rPr>
                <w:rFonts w:cs="Times New Roman"/>
              </w:rPr>
              <w:t> 1.</w:t>
            </w:r>
          </w:p>
        </w:tc>
        <w:tc>
          <w:tcPr>
            <w:tcW w:w="2422" w:type="dxa"/>
          </w:tcPr>
          <w:p w:rsidR="003E601E" w:rsidRPr="004C5345" w:rsidRDefault="003E601E" w:rsidP="00C462A8">
            <w:pPr>
              <w:rPr>
                <w:rFonts w:cs="Times New Roman"/>
              </w:rPr>
            </w:pPr>
            <w:r w:rsidRPr="004C5345">
              <w:rPr>
                <w:rFonts w:cs="Times New Roman"/>
              </w:rPr>
              <w:t xml:space="preserve">Sabiedrības </w:t>
            </w:r>
            <w:proofErr w:type="spellStart"/>
            <w:r w:rsidRPr="004C5345">
              <w:rPr>
                <w:rFonts w:cs="Times New Roman"/>
              </w:rPr>
              <w:t>mērķgrupa</w:t>
            </w:r>
            <w:proofErr w:type="spellEnd"/>
          </w:p>
        </w:tc>
        <w:tc>
          <w:tcPr>
            <w:tcW w:w="6379" w:type="dxa"/>
          </w:tcPr>
          <w:p w:rsidR="003E601E" w:rsidRPr="004C5345" w:rsidRDefault="003E601E" w:rsidP="00C462A8">
            <w:pPr>
              <w:jc w:val="both"/>
              <w:rPr>
                <w:rFonts w:cs="Times New Roman"/>
              </w:rPr>
            </w:pPr>
            <w:r w:rsidRPr="004C5345">
              <w:rPr>
                <w:rFonts w:cs="Times New Roman"/>
              </w:rPr>
              <w:t xml:space="preserve">Personas, </w:t>
            </w:r>
            <w:r w:rsidR="00D94485">
              <w:rPr>
                <w:rFonts w:cs="Times New Roman"/>
              </w:rPr>
              <w:t>kurām ir tiesības uz aizstāvību.</w:t>
            </w:r>
          </w:p>
        </w:tc>
      </w:tr>
      <w:tr w:rsidR="003E601E" w:rsidRPr="004C5345" w:rsidTr="004E7304">
        <w:trPr>
          <w:trHeight w:val="523"/>
        </w:trPr>
        <w:tc>
          <w:tcPr>
            <w:tcW w:w="521" w:type="dxa"/>
          </w:tcPr>
          <w:p w:rsidR="003E601E" w:rsidRPr="004C5345" w:rsidRDefault="003E601E" w:rsidP="00C462A8">
            <w:pPr>
              <w:rPr>
                <w:rFonts w:cs="Times New Roman"/>
              </w:rPr>
            </w:pPr>
            <w:r w:rsidRPr="004C5345">
              <w:rPr>
                <w:rFonts w:cs="Times New Roman"/>
              </w:rPr>
              <w:t> 2.</w:t>
            </w:r>
          </w:p>
        </w:tc>
        <w:tc>
          <w:tcPr>
            <w:tcW w:w="2422" w:type="dxa"/>
          </w:tcPr>
          <w:p w:rsidR="003E601E" w:rsidRPr="004C5345" w:rsidRDefault="003E601E" w:rsidP="00C462A8">
            <w:pPr>
              <w:rPr>
                <w:rFonts w:cs="Times New Roman"/>
              </w:rPr>
            </w:pPr>
            <w:r w:rsidRPr="004C5345">
              <w:rPr>
                <w:rFonts w:cs="Times New Roman"/>
              </w:rPr>
              <w:t xml:space="preserve">Citas sabiedrības grupas (bez </w:t>
            </w:r>
            <w:proofErr w:type="spellStart"/>
            <w:r w:rsidRPr="004C5345">
              <w:rPr>
                <w:rFonts w:cs="Times New Roman"/>
              </w:rPr>
              <w:t>mērķgrupas</w:t>
            </w:r>
            <w:proofErr w:type="spellEnd"/>
            <w:r w:rsidRPr="004C5345">
              <w:rPr>
                <w:rFonts w:cs="Times New Roman"/>
              </w:rPr>
              <w:t>), kuras tiesiskais regulējums arī ietekmē vai varētu ietekmēt</w:t>
            </w:r>
          </w:p>
        </w:tc>
        <w:tc>
          <w:tcPr>
            <w:tcW w:w="6379" w:type="dxa"/>
          </w:tcPr>
          <w:p w:rsidR="003E601E" w:rsidRPr="004C5345" w:rsidRDefault="003E601E" w:rsidP="00C462A8">
            <w:pPr>
              <w:jc w:val="both"/>
              <w:rPr>
                <w:rFonts w:cs="Times New Roman"/>
              </w:rPr>
            </w:pPr>
            <w:r w:rsidRPr="004C5345">
              <w:rPr>
                <w:rFonts w:cs="Times New Roman"/>
              </w:rPr>
              <w:t>Amatpersonas, kuras veic kriminālprocesu, advokāti, tulki.</w:t>
            </w:r>
          </w:p>
        </w:tc>
      </w:tr>
      <w:tr w:rsidR="003E601E" w:rsidRPr="004C5345" w:rsidTr="004E7304">
        <w:trPr>
          <w:trHeight w:val="517"/>
        </w:trPr>
        <w:tc>
          <w:tcPr>
            <w:tcW w:w="521" w:type="dxa"/>
          </w:tcPr>
          <w:p w:rsidR="003E601E" w:rsidRPr="004C5345" w:rsidRDefault="003E601E" w:rsidP="00C462A8">
            <w:pPr>
              <w:rPr>
                <w:rFonts w:cs="Times New Roman"/>
              </w:rPr>
            </w:pPr>
            <w:r w:rsidRPr="004C5345">
              <w:rPr>
                <w:rFonts w:cs="Times New Roman"/>
              </w:rPr>
              <w:t> 3.</w:t>
            </w:r>
          </w:p>
        </w:tc>
        <w:tc>
          <w:tcPr>
            <w:tcW w:w="2422" w:type="dxa"/>
          </w:tcPr>
          <w:p w:rsidR="003E601E" w:rsidRPr="004C5345" w:rsidRDefault="003E601E" w:rsidP="00C462A8">
            <w:pPr>
              <w:rPr>
                <w:rFonts w:cs="Times New Roman"/>
              </w:rPr>
            </w:pPr>
            <w:r w:rsidRPr="004C5345">
              <w:rPr>
                <w:rFonts w:cs="Times New Roman"/>
              </w:rPr>
              <w:t>Tiesiskā regulējuma finansiālā ietekme</w:t>
            </w:r>
          </w:p>
        </w:tc>
        <w:tc>
          <w:tcPr>
            <w:tcW w:w="6379" w:type="dxa"/>
          </w:tcPr>
          <w:p w:rsidR="003E601E" w:rsidRPr="00B25AED" w:rsidRDefault="00224F2B" w:rsidP="00C462A8">
            <w:pPr>
              <w:pStyle w:val="Pamatteksts"/>
              <w:jc w:val="both"/>
              <w:rPr>
                <w:b w:val="0"/>
                <w:szCs w:val="24"/>
              </w:rPr>
            </w:pPr>
            <w:r>
              <w:rPr>
                <w:b w:val="0"/>
                <w:szCs w:val="24"/>
              </w:rPr>
              <w:t>Projekts šo jomu neskar.</w:t>
            </w:r>
          </w:p>
        </w:tc>
      </w:tr>
      <w:tr w:rsidR="003E601E" w:rsidRPr="004C5345" w:rsidTr="004E7304">
        <w:trPr>
          <w:trHeight w:val="847"/>
        </w:trPr>
        <w:tc>
          <w:tcPr>
            <w:tcW w:w="521" w:type="dxa"/>
          </w:tcPr>
          <w:p w:rsidR="003E601E" w:rsidRPr="004C5345" w:rsidRDefault="003E601E" w:rsidP="00C462A8">
            <w:pPr>
              <w:rPr>
                <w:rFonts w:cs="Times New Roman"/>
              </w:rPr>
            </w:pPr>
            <w:r w:rsidRPr="004C5345">
              <w:rPr>
                <w:rFonts w:cs="Times New Roman"/>
              </w:rPr>
              <w:t> 4.</w:t>
            </w:r>
          </w:p>
        </w:tc>
        <w:tc>
          <w:tcPr>
            <w:tcW w:w="2422" w:type="dxa"/>
          </w:tcPr>
          <w:p w:rsidR="003E601E" w:rsidRPr="004C5345" w:rsidRDefault="003E601E" w:rsidP="00C462A8">
            <w:pPr>
              <w:rPr>
                <w:rFonts w:cs="Times New Roman"/>
              </w:rPr>
            </w:pPr>
            <w:r w:rsidRPr="004C5345">
              <w:rPr>
                <w:rFonts w:cs="Times New Roman"/>
              </w:rPr>
              <w:t>Tiesiskā regulējuma nefinansiālā ietekme</w:t>
            </w:r>
          </w:p>
        </w:tc>
        <w:tc>
          <w:tcPr>
            <w:tcW w:w="6379" w:type="dxa"/>
          </w:tcPr>
          <w:p w:rsidR="003E601E" w:rsidRPr="004C5345" w:rsidRDefault="003E601E" w:rsidP="00C462A8">
            <w:pPr>
              <w:jc w:val="both"/>
              <w:rPr>
                <w:rFonts w:cs="Times New Roman"/>
              </w:rPr>
            </w:pPr>
            <w:r w:rsidRPr="004C5345">
              <w:rPr>
                <w:rFonts w:cs="Times New Roman"/>
              </w:rPr>
              <w:t>Palielināsies uzticamība tiesu sistēmai, jo efektīvāk tiks garantētas personas tiesības uz taisnīgu tiesu.</w:t>
            </w:r>
          </w:p>
        </w:tc>
      </w:tr>
      <w:tr w:rsidR="003E601E" w:rsidRPr="004C5345" w:rsidTr="004E7304">
        <w:trPr>
          <w:trHeight w:val="531"/>
        </w:trPr>
        <w:tc>
          <w:tcPr>
            <w:tcW w:w="521" w:type="dxa"/>
          </w:tcPr>
          <w:p w:rsidR="003E601E" w:rsidRPr="004C5345" w:rsidRDefault="003E601E" w:rsidP="00C462A8">
            <w:pPr>
              <w:rPr>
                <w:rFonts w:cs="Times New Roman"/>
              </w:rPr>
            </w:pPr>
            <w:r w:rsidRPr="004C5345">
              <w:rPr>
                <w:rFonts w:cs="Times New Roman"/>
              </w:rPr>
              <w:t> 5.</w:t>
            </w:r>
          </w:p>
        </w:tc>
        <w:tc>
          <w:tcPr>
            <w:tcW w:w="2422" w:type="dxa"/>
          </w:tcPr>
          <w:p w:rsidR="003E601E" w:rsidRPr="004C5345" w:rsidRDefault="003E601E" w:rsidP="00C462A8">
            <w:pPr>
              <w:rPr>
                <w:rFonts w:cs="Times New Roman"/>
              </w:rPr>
            </w:pPr>
            <w:r w:rsidRPr="004C5345">
              <w:rPr>
                <w:rFonts w:cs="Times New Roman"/>
              </w:rPr>
              <w:t> Administratīvās procedūras raksturojums</w:t>
            </w:r>
          </w:p>
        </w:tc>
        <w:tc>
          <w:tcPr>
            <w:tcW w:w="6379" w:type="dxa"/>
          </w:tcPr>
          <w:p w:rsidR="003E601E" w:rsidRPr="004C5345" w:rsidRDefault="003E601E" w:rsidP="00C462A8">
            <w:pPr>
              <w:rPr>
                <w:rFonts w:cs="Times New Roman"/>
              </w:rPr>
            </w:pPr>
            <w:r w:rsidRPr="004C5345">
              <w:rPr>
                <w:rFonts w:cs="Times New Roman"/>
              </w:rPr>
              <w:t>Projekts šo jomu neskar.</w:t>
            </w:r>
          </w:p>
        </w:tc>
      </w:tr>
      <w:tr w:rsidR="003E601E" w:rsidRPr="004C5345" w:rsidTr="004E7304">
        <w:trPr>
          <w:trHeight w:val="357"/>
        </w:trPr>
        <w:tc>
          <w:tcPr>
            <w:tcW w:w="521" w:type="dxa"/>
          </w:tcPr>
          <w:p w:rsidR="003E601E" w:rsidRPr="004C5345" w:rsidRDefault="003E601E" w:rsidP="00C462A8">
            <w:pPr>
              <w:rPr>
                <w:rFonts w:cs="Times New Roman"/>
              </w:rPr>
            </w:pPr>
            <w:r w:rsidRPr="004C5345">
              <w:rPr>
                <w:rFonts w:cs="Times New Roman"/>
              </w:rPr>
              <w:t> 6.</w:t>
            </w:r>
          </w:p>
        </w:tc>
        <w:tc>
          <w:tcPr>
            <w:tcW w:w="2422" w:type="dxa"/>
          </w:tcPr>
          <w:p w:rsidR="003E601E" w:rsidRPr="004C5345" w:rsidRDefault="003E601E" w:rsidP="00C462A8">
            <w:pPr>
              <w:rPr>
                <w:rFonts w:cs="Times New Roman"/>
              </w:rPr>
            </w:pPr>
            <w:r w:rsidRPr="004C5345">
              <w:rPr>
                <w:rFonts w:cs="Times New Roman"/>
              </w:rPr>
              <w:t> Administratīvo izmaksu monetārs novērtējums</w:t>
            </w:r>
          </w:p>
        </w:tc>
        <w:tc>
          <w:tcPr>
            <w:tcW w:w="6379" w:type="dxa"/>
          </w:tcPr>
          <w:p w:rsidR="003E601E" w:rsidRPr="004C5345" w:rsidRDefault="003E601E" w:rsidP="00C462A8">
            <w:pPr>
              <w:rPr>
                <w:rFonts w:cs="Times New Roman"/>
              </w:rPr>
            </w:pPr>
            <w:r w:rsidRPr="004C5345">
              <w:rPr>
                <w:rFonts w:cs="Times New Roman"/>
              </w:rPr>
              <w:t>Projekts šo jomu neskar.</w:t>
            </w:r>
          </w:p>
        </w:tc>
      </w:tr>
      <w:tr w:rsidR="003E601E" w:rsidRPr="004C5345" w:rsidTr="004E7304">
        <w:tc>
          <w:tcPr>
            <w:tcW w:w="521" w:type="dxa"/>
          </w:tcPr>
          <w:p w:rsidR="003E601E" w:rsidRPr="004C5345" w:rsidRDefault="003E601E" w:rsidP="00C462A8">
            <w:pPr>
              <w:rPr>
                <w:rFonts w:cs="Times New Roman"/>
              </w:rPr>
            </w:pPr>
            <w:r w:rsidRPr="004C5345">
              <w:rPr>
                <w:rFonts w:cs="Times New Roman"/>
              </w:rPr>
              <w:t> 7.</w:t>
            </w:r>
          </w:p>
        </w:tc>
        <w:tc>
          <w:tcPr>
            <w:tcW w:w="2422" w:type="dxa"/>
          </w:tcPr>
          <w:p w:rsidR="003E601E" w:rsidRPr="004C5345" w:rsidRDefault="003E601E" w:rsidP="00C462A8">
            <w:pPr>
              <w:rPr>
                <w:rFonts w:cs="Times New Roman"/>
              </w:rPr>
            </w:pPr>
            <w:r w:rsidRPr="004C5345">
              <w:rPr>
                <w:rFonts w:cs="Times New Roman"/>
              </w:rPr>
              <w:t> Cita informācija</w:t>
            </w:r>
          </w:p>
        </w:tc>
        <w:tc>
          <w:tcPr>
            <w:tcW w:w="6379" w:type="dxa"/>
          </w:tcPr>
          <w:p w:rsidR="003E601E" w:rsidRPr="004C5345" w:rsidRDefault="003E601E" w:rsidP="00C462A8">
            <w:pPr>
              <w:rPr>
                <w:rFonts w:cs="Times New Roman"/>
              </w:rPr>
            </w:pPr>
            <w:r w:rsidRPr="004C5345">
              <w:rPr>
                <w:rFonts w:cs="Times New Roman"/>
              </w:rPr>
              <w:t>Nav.</w:t>
            </w:r>
          </w:p>
        </w:tc>
      </w:tr>
    </w:tbl>
    <w:p w:rsidR="003E601E" w:rsidRPr="004C5345" w:rsidRDefault="003E601E" w:rsidP="003E601E">
      <w:pPr>
        <w:spacing w:line="120" w:lineRule="auto"/>
        <w:rPr>
          <w:rFonts w:cs="Times New Roman"/>
        </w:rPr>
      </w:pPr>
    </w:p>
    <w:p w:rsidR="003E601E" w:rsidRPr="004C5345" w:rsidRDefault="003E601E" w:rsidP="003E601E">
      <w:pPr>
        <w:spacing w:before="75" w:after="75"/>
        <w:jc w:val="both"/>
        <w:rPr>
          <w:rFonts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571"/>
        <w:gridCol w:w="1447"/>
        <w:gridCol w:w="1617"/>
        <w:gridCol w:w="1597"/>
        <w:gridCol w:w="1597"/>
        <w:gridCol w:w="1094"/>
      </w:tblGrid>
      <w:tr w:rsidR="003E601E" w:rsidRPr="004C5345" w:rsidTr="004E7304">
        <w:tc>
          <w:tcPr>
            <w:tcW w:w="9923" w:type="dxa"/>
            <w:gridSpan w:val="6"/>
            <w:vAlign w:val="center"/>
          </w:tcPr>
          <w:p w:rsidR="003E601E" w:rsidRPr="004C5345" w:rsidRDefault="003E601E" w:rsidP="004E7304">
            <w:pPr>
              <w:snapToGrid w:val="0"/>
              <w:jc w:val="center"/>
              <w:rPr>
                <w:rFonts w:cs="Times New Roman"/>
                <w:b/>
              </w:rPr>
            </w:pPr>
            <w:r w:rsidRPr="004C5345">
              <w:rPr>
                <w:rFonts w:cs="Times New Roman"/>
                <w:b/>
              </w:rPr>
              <w:t>III. Tiesību akta projekta ietekme uz valsts budžetu un pašvaldību budžetiem</w:t>
            </w:r>
          </w:p>
        </w:tc>
      </w:tr>
      <w:tr w:rsidR="003E601E" w:rsidRPr="004C5345" w:rsidTr="004E7304">
        <w:tc>
          <w:tcPr>
            <w:tcW w:w="2571" w:type="dxa"/>
            <w:vMerge w:val="restart"/>
            <w:vAlign w:val="center"/>
          </w:tcPr>
          <w:p w:rsidR="003E601E" w:rsidRPr="004C5345" w:rsidRDefault="003E601E" w:rsidP="004E7304">
            <w:pPr>
              <w:snapToGrid w:val="0"/>
              <w:jc w:val="center"/>
              <w:rPr>
                <w:rFonts w:cs="Times New Roman"/>
                <w:b/>
                <w:bCs/>
              </w:rPr>
            </w:pPr>
            <w:r w:rsidRPr="004C5345">
              <w:rPr>
                <w:rFonts w:cs="Times New Roman"/>
                <w:b/>
                <w:bCs/>
              </w:rPr>
              <w:t>Rādītāji</w:t>
            </w:r>
          </w:p>
        </w:tc>
        <w:tc>
          <w:tcPr>
            <w:tcW w:w="3064" w:type="dxa"/>
            <w:gridSpan w:val="2"/>
            <w:vMerge w:val="restart"/>
            <w:vAlign w:val="center"/>
          </w:tcPr>
          <w:p w:rsidR="003E601E" w:rsidRPr="004C5345" w:rsidRDefault="003E601E" w:rsidP="004E7304">
            <w:pPr>
              <w:snapToGrid w:val="0"/>
              <w:jc w:val="center"/>
              <w:rPr>
                <w:rFonts w:cs="Times New Roman"/>
                <w:b/>
                <w:bCs/>
              </w:rPr>
            </w:pPr>
            <w:r w:rsidRPr="004C5345">
              <w:rPr>
                <w:rFonts w:cs="Times New Roman"/>
                <w:b/>
                <w:bCs/>
              </w:rPr>
              <w:t>2012</w:t>
            </w:r>
          </w:p>
        </w:tc>
        <w:tc>
          <w:tcPr>
            <w:tcW w:w="4288" w:type="dxa"/>
            <w:gridSpan w:val="3"/>
            <w:vAlign w:val="center"/>
          </w:tcPr>
          <w:p w:rsidR="003E601E" w:rsidRPr="004C5345" w:rsidRDefault="003E601E" w:rsidP="004E7304">
            <w:pPr>
              <w:snapToGrid w:val="0"/>
              <w:jc w:val="center"/>
              <w:rPr>
                <w:rFonts w:cs="Times New Roman"/>
              </w:rPr>
            </w:pPr>
            <w:r w:rsidRPr="004C5345">
              <w:rPr>
                <w:rFonts w:cs="Times New Roman"/>
              </w:rPr>
              <w:t>Turpmākie trīs gadi (</w:t>
            </w:r>
            <w:proofErr w:type="spellStart"/>
            <w:r w:rsidRPr="004C5345">
              <w:rPr>
                <w:rFonts w:cs="Times New Roman"/>
              </w:rPr>
              <w:t>tūkst</w:t>
            </w:r>
            <w:proofErr w:type="spellEnd"/>
            <w:r w:rsidRPr="004C5345">
              <w:rPr>
                <w:rFonts w:cs="Times New Roman"/>
              </w:rPr>
              <w:t>. latu)</w:t>
            </w:r>
          </w:p>
        </w:tc>
      </w:tr>
      <w:tr w:rsidR="003E601E" w:rsidRPr="004C5345" w:rsidTr="004E7304">
        <w:tc>
          <w:tcPr>
            <w:tcW w:w="2571" w:type="dxa"/>
            <w:vMerge/>
            <w:vAlign w:val="center"/>
          </w:tcPr>
          <w:p w:rsidR="003E601E" w:rsidRPr="004C5345" w:rsidRDefault="003E601E" w:rsidP="004E7304">
            <w:pPr>
              <w:snapToGrid w:val="0"/>
              <w:rPr>
                <w:rFonts w:cs="Times New Roman"/>
              </w:rPr>
            </w:pPr>
          </w:p>
        </w:tc>
        <w:tc>
          <w:tcPr>
            <w:tcW w:w="3064" w:type="dxa"/>
            <w:gridSpan w:val="2"/>
            <w:vMerge/>
            <w:vAlign w:val="center"/>
          </w:tcPr>
          <w:p w:rsidR="003E601E" w:rsidRPr="004C5345" w:rsidRDefault="003E601E" w:rsidP="004E7304">
            <w:pPr>
              <w:snapToGrid w:val="0"/>
              <w:rPr>
                <w:rFonts w:cs="Times New Roman"/>
              </w:rPr>
            </w:pPr>
          </w:p>
        </w:tc>
        <w:tc>
          <w:tcPr>
            <w:tcW w:w="1597" w:type="dxa"/>
            <w:vAlign w:val="center"/>
          </w:tcPr>
          <w:p w:rsidR="003E601E" w:rsidRPr="004C5345" w:rsidRDefault="003E601E" w:rsidP="004E7304">
            <w:pPr>
              <w:snapToGrid w:val="0"/>
              <w:jc w:val="center"/>
              <w:rPr>
                <w:rFonts w:cs="Times New Roman"/>
                <w:b/>
                <w:bCs/>
              </w:rPr>
            </w:pPr>
            <w:r w:rsidRPr="004C5345">
              <w:rPr>
                <w:rFonts w:cs="Times New Roman"/>
                <w:b/>
                <w:bCs/>
              </w:rPr>
              <w:t>2013</w:t>
            </w:r>
          </w:p>
        </w:tc>
        <w:tc>
          <w:tcPr>
            <w:tcW w:w="1597" w:type="dxa"/>
            <w:vAlign w:val="center"/>
          </w:tcPr>
          <w:p w:rsidR="003E601E" w:rsidRPr="004C5345" w:rsidRDefault="003E601E" w:rsidP="004E7304">
            <w:pPr>
              <w:snapToGrid w:val="0"/>
              <w:jc w:val="center"/>
              <w:rPr>
                <w:rFonts w:cs="Times New Roman"/>
                <w:b/>
                <w:bCs/>
              </w:rPr>
            </w:pPr>
            <w:r w:rsidRPr="004C5345">
              <w:rPr>
                <w:rFonts w:cs="Times New Roman"/>
                <w:b/>
                <w:bCs/>
              </w:rPr>
              <w:t>2014</w:t>
            </w:r>
          </w:p>
        </w:tc>
        <w:tc>
          <w:tcPr>
            <w:tcW w:w="1094" w:type="dxa"/>
            <w:vAlign w:val="center"/>
          </w:tcPr>
          <w:p w:rsidR="003E601E" w:rsidRPr="004C5345" w:rsidRDefault="003E601E" w:rsidP="004E7304">
            <w:pPr>
              <w:snapToGrid w:val="0"/>
              <w:jc w:val="center"/>
              <w:rPr>
                <w:rFonts w:cs="Times New Roman"/>
                <w:b/>
                <w:bCs/>
              </w:rPr>
            </w:pPr>
            <w:r w:rsidRPr="004C5345">
              <w:rPr>
                <w:rFonts w:cs="Times New Roman"/>
                <w:b/>
                <w:bCs/>
              </w:rPr>
              <w:t>2015</w:t>
            </w:r>
          </w:p>
        </w:tc>
      </w:tr>
      <w:tr w:rsidR="003E601E" w:rsidRPr="004C5345" w:rsidTr="004E7304">
        <w:tc>
          <w:tcPr>
            <w:tcW w:w="2571" w:type="dxa"/>
            <w:vMerge/>
            <w:vAlign w:val="center"/>
          </w:tcPr>
          <w:p w:rsidR="003E601E" w:rsidRPr="004C5345" w:rsidRDefault="003E601E" w:rsidP="004E7304">
            <w:pPr>
              <w:snapToGrid w:val="0"/>
              <w:rPr>
                <w:rFonts w:cs="Times New Roman"/>
              </w:rPr>
            </w:pPr>
          </w:p>
        </w:tc>
        <w:tc>
          <w:tcPr>
            <w:tcW w:w="1447" w:type="dxa"/>
            <w:vAlign w:val="center"/>
          </w:tcPr>
          <w:p w:rsidR="003E601E" w:rsidRPr="004C5345" w:rsidRDefault="003E601E" w:rsidP="004E7304">
            <w:pPr>
              <w:snapToGrid w:val="0"/>
              <w:jc w:val="center"/>
              <w:rPr>
                <w:rFonts w:cs="Times New Roman"/>
              </w:rPr>
            </w:pPr>
            <w:r w:rsidRPr="004C5345">
              <w:rPr>
                <w:rFonts w:cs="Times New Roman"/>
              </w:rPr>
              <w:t xml:space="preserve">Saskaņā ar valsts budžetu kārtējam </w:t>
            </w:r>
            <w:r w:rsidRPr="004C5345">
              <w:rPr>
                <w:rFonts w:cs="Times New Roman"/>
              </w:rPr>
              <w:lastRenderedPageBreak/>
              <w:t>gadam</w:t>
            </w:r>
          </w:p>
        </w:tc>
        <w:tc>
          <w:tcPr>
            <w:tcW w:w="1617" w:type="dxa"/>
            <w:vAlign w:val="center"/>
          </w:tcPr>
          <w:p w:rsidR="003E601E" w:rsidRPr="004C5345" w:rsidRDefault="003E601E" w:rsidP="004E7304">
            <w:pPr>
              <w:snapToGrid w:val="0"/>
              <w:jc w:val="center"/>
              <w:rPr>
                <w:rFonts w:cs="Times New Roman"/>
              </w:rPr>
            </w:pPr>
            <w:r w:rsidRPr="004C5345">
              <w:rPr>
                <w:rFonts w:cs="Times New Roman"/>
              </w:rPr>
              <w:lastRenderedPageBreak/>
              <w:t xml:space="preserve">Izmaiņas kārtējā gadā, salīdzinot ar </w:t>
            </w:r>
            <w:r w:rsidRPr="004C5345">
              <w:rPr>
                <w:rFonts w:cs="Times New Roman"/>
              </w:rPr>
              <w:lastRenderedPageBreak/>
              <w:t>budžetu kārtējam gadam</w:t>
            </w:r>
          </w:p>
        </w:tc>
        <w:tc>
          <w:tcPr>
            <w:tcW w:w="1597" w:type="dxa"/>
            <w:vAlign w:val="center"/>
          </w:tcPr>
          <w:p w:rsidR="003E601E" w:rsidRPr="004C5345" w:rsidRDefault="003E601E" w:rsidP="004E7304">
            <w:pPr>
              <w:snapToGrid w:val="0"/>
              <w:jc w:val="center"/>
              <w:rPr>
                <w:rFonts w:cs="Times New Roman"/>
              </w:rPr>
            </w:pPr>
            <w:r w:rsidRPr="004C5345">
              <w:rPr>
                <w:rFonts w:cs="Times New Roman"/>
              </w:rPr>
              <w:lastRenderedPageBreak/>
              <w:t xml:space="preserve">Izmaiņas, salīdzinot ar kārtējo (2012) </w:t>
            </w:r>
            <w:r w:rsidRPr="004C5345">
              <w:rPr>
                <w:rFonts w:cs="Times New Roman"/>
              </w:rPr>
              <w:lastRenderedPageBreak/>
              <w:t>gadu</w:t>
            </w:r>
          </w:p>
        </w:tc>
        <w:tc>
          <w:tcPr>
            <w:tcW w:w="1597" w:type="dxa"/>
            <w:vAlign w:val="center"/>
          </w:tcPr>
          <w:p w:rsidR="003E601E" w:rsidRPr="004C5345" w:rsidRDefault="003E601E" w:rsidP="004E7304">
            <w:pPr>
              <w:snapToGrid w:val="0"/>
              <w:jc w:val="center"/>
              <w:rPr>
                <w:rFonts w:cs="Times New Roman"/>
              </w:rPr>
            </w:pPr>
            <w:r w:rsidRPr="004C5345">
              <w:rPr>
                <w:rFonts w:cs="Times New Roman"/>
              </w:rPr>
              <w:lastRenderedPageBreak/>
              <w:t xml:space="preserve">Izmaiņas, salīdzinot ar kārtējo (2012) </w:t>
            </w:r>
            <w:r w:rsidRPr="004C5345">
              <w:rPr>
                <w:rFonts w:cs="Times New Roman"/>
              </w:rPr>
              <w:lastRenderedPageBreak/>
              <w:t>gadu</w:t>
            </w:r>
          </w:p>
        </w:tc>
        <w:tc>
          <w:tcPr>
            <w:tcW w:w="1094" w:type="dxa"/>
            <w:vAlign w:val="center"/>
          </w:tcPr>
          <w:p w:rsidR="003E601E" w:rsidRPr="004C5345" w:rsidRDefault="003E601E" w:rsidP="004E7304">
            <w:pPr>
              <w:snapToGrid w:val="0"/>
              <w:jc w:val="center"/>
              <w:rPr>
                <w:rFonts w:cs="Times New Roman"/>
              </w:rPr>
            </w:pPr>
            <w:r w:rsidRPr="004C5345">
              <w:rPr>
                <w:rFonts w:cs="Times New Roman"/>
              </w:rPr>
              <w:lastRenderedPageBreak/>
              <w:t xml:space="preserve">Izmaiņas, salīdzinot ar kārtējo </w:t>
            </w:r>
            <w:r w:rsidRPr="004C5345">
              <w:rPr>
                <w:rFonts w:cs="Times New Roman"/>
              </w:rPr>
              <w:lastRenderedPageBreak/>
              <w:t>(2012) gadu</w:t>
            </w:r>
          </w:p>
        </w:tc>
      </w:tr>
      <w:tr w:rsidR="003E601E" w:rsidRPr="004C5345" w:rsidTr="004E7304">
        <w:tc>
          <w:tcPr>
            <w:tcW w:w="2571" w:type="dxa"/>
            <w:vAlign w:val="center"/>
          </w:tcPr>
          <w:p w:rsidR="003E601E" w:rsidRPr="004C5345" w:rsidRDefault="003E601E" w:rsidP="004E7304">
            <w:pPr>
              <w:snapToGrid w:val="0"/>
              <w:jc w:val="center"/>
              <w:rPr>
                <w:rFonts w:cs="Times New Roman"/>
              </w:rPr>
            </w:pPr>
            <w:r w:rsidRPr="004C5345">
              <w:rPr>
                <w:rFonts w:cs="Times New Roman"/>
              </w:rPr>
              <w:lastRenderedPageBreak/>
              <w:t>1</w:t>
            </w:r>
          </w:p>
        </w:tc>
        <w:tc>
          <w:tcPr>
            <w:tcW w:w="1447" w:type="dxa"/>
            <w:vAlign w:val="center"/>
          </w:tcPr>
          <w:p w:rsidR="003E601E" w:rsidRPr="004C5345" w:rsidRDefault="003E601E" w:rsidP="004E7304">
            <w:pPr>
              <w:snapToGrid w:val="0"/>
              <w:jc w:val="center"/>
              <w:rPr>
                <w:rFonts w:cs="Times New Roman"/>
              </w:rPr>
            </w:pPr>
            <w:r w:rsidRPr="004C5345">
              <w:rPr>
                <w:rFonts w:cs="Times New Roman"/>
              </w:rPr>
              <w:t>2</w:t>
            </w:r>
          </w:p>
        </w:tc>
        <w:tc>
          <w:tcPr>
            <w:tcW w:w="1617" w:type="dxa"/>
            <w:vAlign w:val="center"/>
          </w:tcPr>
          <w:p w:rsidR="003E601E" w:rsidRPr="004C5345" w:rsidRDefault="003E601E" w:rsidP="004E7304">
            <w:pPr>
              <w:snapToGrid w:val="0"/>
              <w:jc w:val="center"/>
              <w:rPr>
                <w:rFonts w:cs="Times New Roman"/>
              </w:rPr>
            </w:pPr>
            <w:r w:rsidRPr="004C5345">
              <w:rPr>
                <w:rFonts w:cs="Times New Roman"/>
              </w:rPr>
              <w:t>3</w:t>
            </w:r>
          </w:p>
        </w:tc>
        <w:tc>
          <w:tcPr>
            <w:tcW w:w="1597" w:type="dxa"/>
            <w:vAlign w:val="center"/>
          </w:tcPr>
          <w:p w:rsidR="003E601E" w:rsidRPr="004C5345" w:rsidRDefault="003E601E" w:rsidP="004E7304">
            <w:pPr>
              <w:snapToGrid w:val="0"/>
              <w:jc w:val="center"/>
              <w:rPr>
                <w:rFonts w:cs="Times New Roman"/>
              </w:rPr>
            </w:pPr>
            <w:r w:rsidRPr="004C5345">
              <w:rPr>
                <w:rFonts w:cs="Times New Roman"/>
              </w:rPr>
              <w:t>4</w:t>
            </w:r>
          </w:p>
        </w:tc>
        <w:tc>
          <w:tcPr>
            <w:tcW w:w="1597" w:type="dxa"/>
            <w:vAlign w:val="center"/>
          </w:tcPr>
          <w:p w:rsidR="003E601E" w:rsidRPr="004C5345" w:rsidRDefault="003E601E" w:rsidP="004E7304">
            <w:pPr>
              <w:snapToGrid w:val="0"/>
              <w:jc w:val="center"/>
              <w:rPr>
                <w:rFonts w:cs="Times New Roman"/>
              </w:rPr>
            </w:pPr>
            <w:r w:rsidRPr="004C5345">
              <w:rPr>
                <w:rFonts w:cs="Times New Roman"/>
              </w:rPr>
              <w:t>5</w:t>
            </w:r>
          </w:p>
        </w:tc>
        <w:tc>
          <w:tcPr>
            <w:tcW w:w="1094" w:type="dxa"/>
            <w:vAlign w:val="center"/>
          </w:tcPr>
          <w:p w:rsidR="003E601E" w:rsidRPr="004C5345" w:rsidRDefault="003E601E" w:rsidP="004E7304">
            <w:pPr>
              <w:snapToGrid w:val="0"/>
              <w:jc w:val="center"/>
              <w:rPr>
                <w:rFonts w:cs="Times New Roman"/>
              </w:rPr>
            </w:pPr>
            <w:r w:rsidRPr="004C5345">
              <w:rPr>
                <w:rFonts w:cs="Times New Roman"/>
              </w:rPr>
              <w:t>6</w:t>
            </w:r>
          </w:p>
        </w:tc>
      </w:tr>
      <w:tr w:rsidR="003E601E" w:rsidRPr="004C5345" w:rsidTr="004E7304">
        <w:tc>
          <w:tcPr>
            <w:tcW w:w="2571" w:type="dxa"/>
          </w:tcPr>
          <w:p w:rsidR="003E601E" w:rsidRPr="004C5345" w:rsidRDefault="003E601E" w:rsidP="004E7304">
            <w:pPr>
              <w:snapToGrid w:val="0"/>
              <w:jc w:val="both"/>
              <w:rPr>
                <w:rFonts w:cs="Times New Roman"/>
              </w:rPr>
            </w:pPr>
            <w:r w:rsidRPr="004C5345">
              <w:rPr>
                <w:rFonts w:cs="Times New Roman"/>
              </w:rPr>
              <w:t>1. Budžeta ieņēmumi:</w:t>
            </w:r>
          </w:p>
        </w:tc>
        <w:tc>
          <w:tcPr>
            <w:tcW w:w="1447" w:type="dxa"/>
          </w:tcPr>
          <w:p w:rsidR="003E601E" w:rsidRPr="004C5345" w:rsidRDefault="00046EFB" w:rsidP="004E7304">
            <w:pPr>
              <w:snapToGrid w:val="0"/>
              <w:jc w:val="center"/>
              <w:rPr>
                <w:rFonts w:cs="Times New Roman"/>
              </w:rPr>
            </w:pPr>
            <w:r>
              <w:rPr>
                <w:rFonts w:cs="Times New Roman"/>
              </w:rPr>
              <w:t>0</w:t>
            </w:r>
          </w:p>
        </w:tc>
        <w:tc>
          <w:tcPr>
            <w:tcW w:w="1617" w:type="dxa"/>
          </w:tcPr>
          <w:p w:rsidR="003E601E" w:rsidRPr="004C5345" w:rsidRDefault="00046EFB" w:rsidP="004E7304">
            <w:pPr>
              <w:snapToGrid w:val="0"/>
              <w:jc w:val="center"/>
              <w:rPr>
                <w:rFonts w:cs="Times New Roman"/>
              </w:rPr>
            </w:pPr>
            <w:r>
              <w:rPr>
                <w:rFonts w:cs="Times New Roman"/>
              </w:rPr>
              <w:t>0</w:t>
            </w:r>
          </w:p>
        </w:tc>
        <w:tc>
          <w:tcPr>
            <w:tcW w:w="1597" w:type="dxa"/>
          </w:tcPr>
          <w:p w:rsidR="003E601E" w:rsidRPr="004C5345" w:rsidRDefault="00046EFB" w:rsidP="004E7304">
            <w:pPr>
              <w:snapToGrid w:val="0"/>
              <w:jc w:val="center"/>
              <w:rPr>
                <w:rFonts w:cs="Times New Roman"/>
              </w:rPr>
            </w:pPr>
            <w:r>
              <w:rPr>
                <w:rFonts w:cs="Times New Roman"/>
              </w:rPr>
              <w:t>0</w:t>
            </w:r>
          </w:p>
        </w:tc>
        <w:tc>
          <w:tcPr>
            <w:tcW w:w="1597" w:type="dxa"/>
          </w:tcPr>
          <w:p w:rsidR="003E601E" w:rsidRPr="004C5345" w:rsidRDefault="00046EFB" w:rsidP="004E7304">
            <w:pPr>
              <w:snapToGrid w:val="0"/>
              <w:jc w:val="center"/>
              <w:rPr>
                <w:rFonts w:cs="Times New Roman"/>
              </w:rPr>
            </w:pPr>
            <w:r>
              <w:rPr>
                <w:rFonts w:cs="Times New Roman"/>
              </w:rPr>
              <w:t>0</w:t>
            </w:r>
          </w:p>
        </w:tc>
        <w:tc>
          <w:tcPr>
            <w:tcW w:w="1094" w:type="dxa"/>
          </w:tcPr>
          <w:p w:rsidR="003E601E" w:rsidRPr="004C5345" w:rsidRDefault="00046EFB" w:rsidP="004E7304">
            <w:pPr>
              <w:snapToGrid w:val="0"/>
              <w:jc w:val="center"/>
              <w:rPr>
                <w:rFonts w:cs="Times New Roman"/>
              </w:rPr>
            </w:pPr>
            <w:r>
              <w:rPr>
                <w:rFonts w:cs="Times New Roman"/>
              </w:rPr>
              <w:t>0</w:t>
            </w:r>
          </w:p>
        </w:tc>
      </w:tr>
      <w:tr w:rsidR="003E601E" w:rsidRPr="004C5345" w:rsidTr="004E7304">
        <w:tc>
          <w:tcPr>
            <w:tcW w:w="2571" w:type="dxa"/>
          </w:tcPr>
          <w:p w:rsidR="003E601E" w:rsidRPr="004C5345" w:rsidRDefault="003E601E" w:rsidP="004E7304">
            <w:pPr>
              <w:snapToGrid w:val="0"/>
              <w:rPr>
                <w:rFonts w:cs="Times New Roman"/>
              </w:rPr>
            </w:pPr>
            <w:r w:rsidRPr="004C5345">
              <w:rPr>
                <w:rFonts w:cs="Times New Roman"/>
              </w:rPr>
              <w:t>1.1. valsts pamatbudžets, tai skaitā ieņēmumi no maksas pakalpojumiem un citi pašu ieņēmumi</w:t>
            </w:r>
          </w:p>
        </w:tc>
        <w:tc>
          <w:tcPr>
            <w:tcW w:w="1447" w:type="dxa"/>
          </w:tcPr>
          <w:p w:rsidR="003E601E" w:rsidRPr="004C5345" w:rsidRDefault="003E601E" w:rsidP="004E7304">
            <w:pPr>
              <w:snapToGrid w:val="0"/>
              <w:jc w:val="center"/>
              <w:rPr>
                <w:rFonts w:cs="Times New Roman"/>
              </w:rPr>
            </w:pPr>
          </w:p>
        </w:tc>
        <w:tc>
          <w:tcPr>
            <w:tcW w:w="161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094" w:type="dxa"/>
          </w:tcPr>
          <w:p w:rsidR="003E601E" w:rsidRPr="004C5345" w:rsidRDefault="003E601E" w:rsidP="004E7304">
            <w:pPr>
              <w:snapToGrid w:val="0"/>
              <w:jc w:val="center"/>
              <w:rPr>
                <w:rFonts w:cs="Times New Roman"/>
              </w:rPr>
            </w:pPr>
          </w:p>
        </w:tc>
      </w:tr>
      <w:tr w:rsidR="003E601E" w:rsidRPr="004C5345" w:rsidTr="004E7304">
        <w:tc>
          <w:tcPr>
            <w:tcW w:w="2571" w:type="dxa"/>
          </w:tcPr>
          <w:p w:rsidR="003E601E" w:rsidRPr="004C5345" w:rsidRDefault="003E601E" w:rsidP="004E7304">
            <w:pPr>
              <w:snapToGrid w:val="0"/>
              <w:rPr>
                <w:rFonts w:cs="Times New Roman"/>
              </w:rPr>
            </w:pPr>
            <w:r w:rsidRPr="004C5345">
              <w:rPr>
                <w:rFonts w:cs="Times New Roman"/>
              </w:rPr>
              <w:t>1.2. valsts speciālais budžets</w:t>
            </w:r>
          </w:p>
        </w:tc>
        <w:tc>
          <w:tcPr>
            <w:tcW w:w="1447" w:type="dxa"/>
          </w:tcPr>
          <w:p w:rsidR="003E601E" w:rsidRPr="004C5345" w:rsidRDefault="003E601E" w:rsidP="004E7304">
            <w:pPr>
              <w:snapToGrid w:val="0"/>
              <w:jc w:val="center"/>
              <w:rPr>
                <w:rFonts w:cs="Times New Roman"/>
              </w:rPr>
            </w:pPr>
          </w:p>
        </w:tc>
        <w:tc>
          <w:tcPr>
            <w:tcW w:w="161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094" w:type="dxa"/>
          </w:tcPr>
          <w:p w:rsidR="003E601E" w:rsidRPr="004C5345" w:rsidRDefault="003E601E" w:rsidP="004E7304">
            <w:pPr>
              <w:snapToGrid w:val="0"/>
              <w:jc w:val="center"/>
              <w:rPr>
                <w:rFonts w:cs="Times New Roman"/>
              </w:rPr>
            </w:pPr>
          </w:p>
        </w:tc>
      </w:tr>
      <w:tr w:rsidR="003E601E" w:rsidRPr="004C5345" w:rsidTr="004E7304">
        <w:tc>
          <w:tcPr>
            <w:tcW w:w="2571" w:type="dxa"/>
          </w:tcPr>
          <w:p w:rsidR="003E601E" w:rsidRPr="004C5345" w:rsidRDefault="003E601E" w:rsidP="004E7304">
            <w:pPr>
              <w:snapToGrid w:val="0"/>
              <w:jc w:val="both"/>
              <w:rPr>
                <w:rFonts w:cs="Times New Roman"/>
              </w:rPr>
            </w:pPr>
            <w:r w:rsidRPr="004C5345">
              <w:rPr>
                <w:rFonts w:cs="Times New Roman"/>
              </w:rPr>
              <w:t>1.3. pašvaldību budžets</w:t>
            </w:r>
          </w:p>
        </w:tc>
        <w:tc>
          <w:tcPr>
            <w:tcW w:w="1447" w:type="dxa"/>
          </w:tcPr>
          <w:p w:rsidR="003E601E" w:rsidRPr="004C5345" w:rsidRDefault="003E601E" w:rsidP="004E7304">
            <w:pPr>
              <w:snapToGrid w:val="0"/>
              <w:jc w:val="center"/>
              <w:rPr>
                <w:rFonts w:cs="Times New Roman"/>
              </w:rPr>
            </w:pPr>
          </w:p>
        </w:tc>
        <w:tc>
          <w:tcPr>
            <w:tcW w:w="161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094" w:type="dxa"/>
          </w:tcPr>
          <w:p w:rsidR="003E601E" w:rsidRPr="004C5345" w:rsidRDefault="003E601E" w:rsidP="004E7304">
            <w:pPr>
              <w:snapToGrid w:val="0"/>
              <w:jc w:val="center"/>
              <w:rPr>
                <w:rFonts w:cs="Times New Roman"/>
              </w:rPr>
            </w:pPr>
          </w:p>
        </w:tc>
      </w:tr>
      <w:tr w:rsidR="003E601E" w:rsidRPr="004C5345" w:rsidTr="004E7304">
        <w:tc>
          <w:tcPr>
            <w:tcW w:w="2571" w:type="dxa"/>
          </w:tcPr>
          <w:p w:rsidR="003E601E" w:rsidRPr="004C5345" w:rsidRDefault="003E601E" w:rsidP="004E7304">
            <w:pPr>
              <w:snapToGrid w:val="0"/>
              <w:jc w:val="both"/>
              <w:rPr>
                <w:rFonts w:cs="Times New Roman"/>
              </w:rPr>
            </w:pPr>
            <w:r w:rsidRPr="004C5345">
              <w:rPr>
                <w:rFonts w:cs="Times New Roman"/>
              </w:rPr>
              <w:t>2. Budžeta izdevumi:</w:t>
            </w:r>
          </w:p>
        </w:tc>
        <w:tc>
          <w:tcPr>
            <w:tcW w:w="1447" w:type="dxa"/>
          </w:tcPr>
          <w:p w:rsidR="003E601E" w:rsidRPr="004C5345" w:rsidRDefault="00046EFB" w:rsidP="004E7304">
            <w:pPr>
              <w:snapToGrid w:val="0"/>
              <w:jc w:val="center"/>
              <w:rPr>
                <w:rFonts w:cs="Times New Roman"/>
              </w:rPr>
            </w:pPr>
            <w:r>
              <w:rPr>
                <w:rFonts w:cs="Times New Roman"/>
              </w:rPr>
              <w:t>0</w:t>
            </w:r>
          </w:p>
        </w:tc>
        <w:tc>
          <w:tcPr>
            <w:tcW w:w="1617" w:type="dxa"/>
          </w:tcPr>
          <w:p w:rsidR="003E601E" w:rsidRPr="004C5345" w:rsidRDefault="00046EFB" w:rsidP="004E7304">
            <w:pPr>
              <w:snapToGrid w:val="0"/>
              <w:jc w:val="center"/>
              <w:rPr>
                <w:rFonts w:cs="Times New Roman"/>
              </w:rPr>
            </w:pPr>
            <w:r>
              <w:rPr>
                <w:rFonts w:cs="Times New Roman"/>
              </w:rPr>
              <w:t>0</w:t>
            </w:r>
          </w:p>
        </w:tc>
        <w:tc>
          <w:tcPr>
            <w:tcW w:w="1597" w:type="dxa"/>
          </w:tcPr>
          <w:p w:rsidR="003E601E" w:rsidRPr="004C5345" w:rsidRDefault="00046EFB" w:rsidP="004E7304">
            <w:pPr>
              <w:snapToGrid w:val="0"/>
              <w:jc w:val="center"/>
              <w:rPr>
                <w:rFonts w:cs="Times New Roman"/>
              </w:rPr>
            </w:pPr>
            <w:r>
              <w:rPr>
                <w:rFonts w:cs="Times New Roman"/>
              </w:rPr>
              <w:t>0</w:t>
            </w:r>
          </w:p>
        </w:tc>
        <w:tc>
          <w:tcPr>
            <w:tcW w:w="1597" w:type="dxa"/>
          </w:tcPr>
          <w:p w:rsidR="003E601E" w:rsidRPr="004C5345" w:rsidRDefault="00046EFB" w:rsidP="004E7304">
            <w:pPr>
              <w:snapToGrid w:val="0"/>
              <w:jc w:val="center"/>
              <w:rPr>
                <w:rFonts w:cs="Times New Roman"/>
              </w:rPr>
            </w:pPr>
            <w:r>
              <w:rPr>
                <w:rFonts w:cs="Times New Roman"/>
              </w:rPr>
              <w:t>0</w:t>
            </w:r>
          </w:p>
        </w:tc>
        <w:tc>
          <w:tcPr>
            <w:tcW w:w="1094" w:type="dxa"/>
          </w:tcPr>
          <w:p w:rsidR="003E601E" w:rsidRPr="004C5345" w:rsidRDefault="00046EFB" w:rsidP="004E7304">
            <w:pPr>
              <w:snapToGrid w:val="0"/>
              <w:jc w:val="center"/>
              <w:rPr>
                <w:rFonts w:cs="Times New Roman"/>
              </w:rPr>
            </w:pPr>
            <w:r>
              <w:rPr>
                <w:rFonts w:cs="Times New Roman"/>
              </w:rPr>
              <w:t>0</w:t>
            </w:r>
          </w:p>
        </w:tc>
      </w:tr>
      <w:tr w:rsidR="003E601E" w:rsidRPr="004C5345" w:rsidTr="004E7304">
        <w:tc>
          <w:tcPr>
            <w:tcW w:w="2571" w:type="dxa"/>
          </w:tcPr>
          <w:p w:rsidR="003E601E" w:rsidRPr="004C5345" w:rsidRDefault="003E601E" w:rsidP="004E7304">
            <w:pPr>
              <w:snapToGrid w:val="0"/>
              <w:rPr>
                <w:rFonts w:cs="Times New Roman"/>
              </w:rPr>
            </w:pPr>
            <w:r w:rsidRPr="004C5345">
              <w:rPr>
                <w:rFonts w:cs="Times New Roman"/>
              </w:rPr>
              <w:t>2.1. valsts pamatbudžets</w:t>
            </w:r>
          </w:p>
        </w:tc>
        <w:tc>
          <w:tcPr>
            <w:tcW w:w="1447" w:type="dxa"/>
          </w:tcPr>
          <w:p w:rsidR="003E601E" w:rsidRPr="004C5345" w:rsidRDefault="003E601E" w:rsidP="004E7304">
            <w:pPr>
              <w:snapToGrid w:val="0"/>
              <w:jc w:val="center"/>
              <w:rPr>
                <w:rFonts w:cs="Times New Roman"/>
              </w:rPr>
            </w:pPr>
          </w:p>
        </w:tc>
        <w:tc>
          <w:tcPr>
            <w:tcW w:w="161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094" w:type="dxa"/>
          </w:tcPr>
          <w:p w:rsidR="003E601E" w:rsidRPr="004C5345" w:rsidRDefault="003E601E" w:rsidP="004E7304">
            <w:pPr>
              <w:snapToGrid w:val="0"/>
              <w:jc w:val="center"/>
              <w:rPr>
                <w:rFonts w:cs="Times New Roman"/>
              </w:rPr>
            </w:pPr>
          </w:p>
        </w:tc>
      </w:tr>
      <w:tr w:rsidR="003E601E" w:rsidRPr="004C5345" w:rsidTr="004E7304">
        <w:tc>
          <w:tcPr>
            <w:tcW w:w="2571" w:type="dxa"/>
          </w:tcPr>
          <w:p w:rsidR="003E601E" w:rsidRPr="004C5345" w:rsidRDefault="003E601E" w:rsidP="004E7304">
            <w:pPr>
              <w:snapToGrid w:val="0"/>
              <w:jc w:val="both"/>
              <w:rPr>
                <w:rFonts w:cs="Times New Roman"/>
              </w:rPr>
            </w:pPr>
            <w:r w:rsidRPr="004C5345">
              <w:rPr>
                <w:rFonts w:cs="Times New Roman"/>
              </w:rPr>
              <w:t>2.2. valsts speciālais budžets</w:t>
            </w:r>
          </w:p>
        </w:tc>
        <w:tc>
          <w:tcPr>
            <w:tcW w:w="1447" w:type="dxa"/>
          </w:tcPr>
          <w:p w:rsidR="003E601E" w:rsidRPr="004C5345" w:rsidRDefault="003E601E" w:rsidP="004E7304">
            <w:pPr>
              <w:snapToGrid w:val="0"/>
              <w:jc w:val="center"/>
              <w:rPr>
                <w:rFonts w:cs="Times New Roman"/>
              </w:rPr>
            </w:pPr>
          </w:p>
        </w:tc>
        <w:tc>
          <w:tcPr>
            <w:tcW w:w="161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094" w:type="dxa"/>
          </w:tcPr>
          <w:p w:rsidR="003E601E" w:rsidRPr="004C5345" w:rsidRDefault="003E601E" w:rsidP="004E7304">
            <w:pPr>
              <w:snapToGrid w:val="0"/>
              <w:jc w:val="center"/>
              <w:rPr>
                <w:rFonts w:cs="Times New Roman"/>
              </w:rPr>
            </w:pPr>
          </w:p>
        </w:tc>
      </w:tr>
      <w:tr w:rsidR="003E601E" w:rsidRPr="004C5345" w:rsidTr="004E7304">
        <w:tc>
          <w:tcPr>
            <w:tcW w:w="2571" w:type="dxa"/>
          </w:tcPr>
          <w:p w:rsidR="003E601E" w:rsidRPr="004C5345" w:rsidRDefault="003E601E" w:rsidP="004E7304">
            <w:pPr>
              <w:snapToGrid w:val="0"/>
              <w:jc w:val="both"/>
              <w:rPr>
                <w:rFonts w:cs="Times New Roman"/>
              </w:rPr>
            </w:pPr>
            <w:r w:rsidRPr="004C5345">
              <w:rPr>
                <w:rFonts w:cs="Times New Roman"/>
              </w:rPr>
              <w:t>2.3. pašvaldību budžets</w:t>
            </w:r>
          </w:p>
        </w:tc>
        <w:tc>
          <w:tcPr>
            <w:tcW w:w="1447" w:type="dxa"/>
          </w:tcPr>
          <w:p w:rsidR="003E601E" w:rsidRPr="004C5345" w:rsidRDefault="003E601E" w:rsidP="004E7304">
            <w:pPr>
              <w:snapToGrid w:val="0"/>
              <w:jc w:val="center"/>
              <w:rPr>
                <w:rFonts w:cs="Times New Roman"/>
              </w:rPr>
            </w:pPr>
          </w:p>
        </w:tc>
        <w:tc>
          <w:tcPr>
            <w:tcW w:w="161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094" w:type="dxa"/>
          </w:tcPr>
          <w:p w:rsidR="003E601E" w:rsidRPr="004C5345" w:rsidRDefault="003E601E" w:rsidP="004E7304">
            <w:pPr>
              <w:snapToGrid w:val="0"/>
              <w:jc w:val="center"/>
              <w:rPr>
                <w:rFonts w:cs="Times New Roman"/>
              </w:rPr>
            </w:pPr>
          </w:p>
        </w:tc>
      </w:tr>
      <w:tr w:rsidR="003E601E" w:rsidRPr="004C5345" w:rsidTr="004E7304">
        <w:tc>
          <w:tcPr>
            <w:tcW w:w="2571" w:type="dxa"/>
          </w:tcPr>
          <w:p w:rsidR="003E601E" w:rsidRPr="004C5345" w:rsidRDefault="003E601E" w:rsidP="004E7304">
            <w:pPr>
              <w:snapToGrid w:val="0"/>
              <w:jc w:val="both"/>
              <w:rPr>
                <w:rFonts w:cs="Times New Roman"/>
              </w:rPr>
            </w:pPr>
            <w:r w:rsidRPr="004C5345">
              <w:rPr>
                <w:rFonts w:cs="Times New Roman"/>
              </w:rPr>
              <w:t>3. Finansiālā ietekme:</w:t>
            </w:r>
          </w:p>
        </w:tc>
        <w:tc>
          <w:tcPr>
            <w:tcW w:w="1447" w:type="dxa"/>
          </w:tcPr>
          <w:p w:rsidR="003E601E" w:rsidRPr="004C5345" w:rsidRDefault="00046EFB" w:rsidP="004E7304">
            <w:pPr>
              <w:snapToGrid w:val="0"/>
              <w:ind w:left="-160" w:right="-161"/>
              <w:jc w:val="center"/>
              <w:rPr>
                <w:rFonts w:cs="Times New Roman"/>
              </w:rPr>
            </w:pPr>
            <w:r>
              <w:rPr>
                <w:rFonts w:cs="Times New Roman"/>
              </w:rPr>
              <w:t>0</w:t>
            </w:r>
          </w:p>
        </w:tc>
        <w:tc>
          <w:tcPr>
            <w:tcW w:w="1617" w:type="dxa"/>
          </w:tcPr>
          <w:p w:rsidR="003E601E" w:rsidRPr="004C5345" w:rsidRDefault="00046EFB" w:rsidP="004E7304">
            <w:pPr>
              <w:snapToGrid w:val="0"/>
              <w:jc w:val="center"/>
              <w:rPr>
                <w:rFonts w:cs="Times New Roman"/>
              </w:rPr>
            </w:pPr>
            <w:r>
              <w:rPr>
                <w:rFonts w:cs="Times New Roman"/>
              </w:rPr>
              <w:t>0</w:t>
            </w:r>
          </w:p>
        </w:tc>
        <w:tc>
          <w:tcPr>
            <w:tcW w:w="1597" w:type="dxa"/>
          </w:tcPr>
          <w:p w:rsidR="003E601E" w:rsidRPr="004C5345" w:rsidRDefault="00046EFB" w:rsidP="004E7304">
            <w:pPr>
              <w:snapToGrid w:val="0"/>
              <w:jc w:val="center"/>
              <w:rPr>
                <w:rFonts w:cs="Times New Roman"/>
              </w:rPr>
            </w:pPr>
            <w:r>
              <w:rPr>
                <w:rFonts w:cs="Times New Roman"/>
              </w:rPr>
              <w:t>0</w:t>
            </w:r>
          </w:p>
        </w:tc>
        <w:tc>
          <w:tcPr>
            <w:tcW w:w="1597" w:type="dxa"/>
          </w:tcPr>
          <w:p w:rsidR="003E601E" w:rsidRPr="004C5345" w:rsidRDefault="00046EFB" w:rsidP="00CD2C88">
            <w:pPr>
              <w:snapToGrid w:val="0"/>
              <w:jc w:val="center"/>
              <w:rPr>
                <w:rFonts w:cs="Times New Roman"/>
              </w:rPr>
            </w:pPr>
            <w:r>
              <w:rPr>
                <w:rFonts w:cs="Times New Roman"/>
              </w:rPr>
              <w:t>0</w:t>
            </w:r>
          </w:p>
        </w:tc>
        <w:tc>
          <w:tcPr>
            <w:tcW w:w="1094" w:type="dxa"/>
          </w:tcPr>
          <w:p w:rsidR="003E601E" w:rsidRPr="004C5345" w:rsidRDefault="00046EFB" w:rsidP="004E7304">
            <w:pPr>
              <w:snapToGrid w:val="0"/>
              <w:jc w:val="center"/>
              <w:rPr>
                <w:rFonts w:cs="Times New Roman"/>
              </w:rPr>
            </w:pPr>
            <w:r>
              <w:rPr>
                <w:rFonts w:cs="Times New Roman"/>
              </w:rPr>
              <w:t>0</w:t>
            </w:r>
          </w:p>
        </w:tc>
      </w:tr>
      <w:tr w:rsidR="003E601E" w:rsidRPr="004C5345" w:rsidTr="004E7304">
        <w:tc>
          <w:tcPr>
            <w:tcW w:w="2571" w:type="dxa"/>
          </w:tcPr>
          <w:p w:rsidR="003E601E" w:rsidRPr="004C5345" w:rsidRDefault="003E601E" w:rsidP="004E7304">
            <w:pPr>
              <w:snapToGrid w:val="0"/>
              <w:rPr>
                <w:rFonts w:cs="Times New Roman"/>
              </w:rPr>
            </w:pPr>
            <w:r w:rsidRPr="004C5345">
              <w:rPr>
                <w:rFonts w:cs="Times New Roman"/>
              </w:rPr>
              <w:t>3.1. valsts pamatbudžets</w:t>
            </w:r>
          </w:p>
        </w:tc>
        <w:tc>
          <w:tcPr>
            <w:tcW w:w="1447" w:type="dxa"/>
          </w:tcPr>
          <w:p w:rsidR="003E601E" w:rsidRPr="004C5345" w:rsidRDefault="003E601E" w:rsidP="004E7304">
            <w:pPr>
              <w:snapToGrid w:val="0"/>
              <w:ind w:left="-160"/>
              <w:jc w:val="center"/>
              <w:rPr>
                <w:rFonts w:cs="Times New Roman"/>
                <w:b/>
              </w:rPr>
            </w:pPr>
          </w:p>
        </w:tc>
        <w:tc>
          <w:tcPr>
            <w:tcW w:w="1617" w:type="dxa"/>
          </w:tcPr>
          <w:p w:rsidR="003E601E" w:rsidRPr="004C5345" w:rsidRDefault="003E601E" w:rsidP="004E7304">
            <w:pPr>
              <w:snapToGrid w:val="0"/>
              <w:jc w:val="center"/>
              <w:rPr>
                <w:rFonts w:cs="Times New Roman"/>
                <w:b/>
              </w:rPr>
            </w:pPr>
          </w:p>
        </w:tc>
        <w:tc>
          <w:tcPr>
            <w:tcW w:w="159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094" w:type="dxa"/>
          </w:tcPr>
          <w:p w:rsidR="003E601E" w:rsidRPr="004C5345" w:rsidRDefault="003E601E" w:rsidP="00CD2C88">
            <w:pPr>
              <w:snapToGrid w:val="0"/>
              <w:jc w:val="center"/>
              <w:rPr>
                <w:rFonts w:cs="Times New Roman"/>
              </w:rPr>
            </w:pPr>
          </w:p>
        </w:tc>
      </w:tr>
      <w:tr w:rsidR="003E601E" w:rsidRPr="004C5345" w:rsidTr="004E7304">
        <w:tc>
          <w:tcPr>
            <w:tcW w:w="2571" w:type="dxa"/>
          </w:tcPr>
          <w:p w:rsidR="003E601E" w:rsidRPr="004C5345" w:rsidRDefault="003E601E" w:rsidP="004E7304">
            <w:pPr>
              <w:snapToGrid w:val="0"/>
              <w:jc w:val="both"/>
              <w:rPr>
                <w:rFonts w:cs="Times New Roman"/>
              </w:rPr>
            </w:pPr>
            <w:r w:rsidRPr="004C5345">
              <w:rPr>
                <w:rFonts w:cs="Times New Roman"/>
              </w:rPr>
              <w:t>3.2. speciālais budžets</w:t>
            </w:r>
          </w:p>
        </w:tc>
        <w:tc>
          <w:tcPr>
            <w:tcW w:w="1447" w:type="dxa"/>
          </w:tcPr>
          <w:p w:rsidR="003E601E" w:rsidRPr="004C5345" w:rsidRDefault="003E601E" w:rsidP="004E7304">
            <w:pPr>
              <w:snapToGrid w:val="0"/>
              <w:jc w:val="center"/>
              <w:rPr>
                <w:rFonts w:cs="Times New Roman"/>
              </w:rPr>
            </w:pPr>
          </w:p>
        </w:tc>
        <w:tc>
          <w:tcPr>
            <w:tcW w:w="161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094" w:type="dxa"/>
          </w:tcPr>
          <w:p w:rsidR="003E601E" w:rsidRPr="004C5345" w:rsidRDefault="003E601E" w:rsidP="004E7304">
            <w:pPr>
              <w:snapToGrid w:val="0"/>
              <w:jc w:val="center"/>
              <w:rPr>
                <w:rFonts w:cs="Times New Roman"/>
              </w:rPr>
            </w:pPr>
          </w:p>
        </w:tc>
      </w:tr>
      <w:tr w:rsidR="003E601E" w:rsidRPr="004C5345" w:rsidTr="004E7304">
        <w:tc>
          <w:tcPr>
            <w:tcW w:w="2571" w:type="dxa"/>
          </w:tcPr>
          <w:p w:rsidR="003E601E" w:rsidRPr="004C5345" w:rsidRDefault="003E601E" w:rsidP="004E7304">
            <w:pPr>
              <w:snapToGrid w:val="0"/>
              <w:jc w:val="both"/>
              <w:rPr>
                <w:rFonts w:cs="Times New Roman"/>
              </w:rPr>
            </w:pPr>
            <w:r w:rsidRPr="004C5345">
              <w:rPr>
                <w:rFonts w:cs="Times New Roman"/>
              </w:rPr>
              <w:t>3.3. pašvaldību budžets</w:t>
            </w:r>
          </w:p>
        </w:tc>
        <w:tc>
          <w:tcPr>
            <w:tcW w:w="1447" w:type="dxa"/>
          </w:tcPr>
          <w:p w:rsidR="003E601E" w:rsidRPr="004C5345" w:rsidRDefault="003E601E" w:rsidP="004E7304">
            <w:pPr>
              <w:snapToGrid w:val="0"/>
              <w:jc w:val="center"/>
              <w:rPr>
                <w:rFonts w:cs="Times New Roman"/>
              </w:rPr>
            </w:pPr>
          </w:p>
        </w:tc>
        <w:tc>
          <w:tcPr>
            <w:tcW w:w="161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094" w:type="dxa"/>
          </w:tcPr>
          <w:p w:rsidR="003E601E" w:rsidRPr="004C5345" w:rsidRDefault="003E601E" w:rsidP="004E7304">
            <w:pPr>
              <w:snapToGrid w:val="0"/>
              <w:jc w:val="center"/>
              <w:rPr>
                <w:rFonts w:cs="Times New Roman"/>
              </w:rPr>
            </w:pPr>
          </w:p>
        </w:tc>
      </w:tr>
      <w:tr w:rsidR="003E601E" w:rsidRPr="004C5345" w:rsidTr="004E7304">
        <w:tc>
          <w:tcPr>
            <w:tcW w:w="2571" w:type="dxa"/>
            <w:vMerge w:val="restart"/>
          </w:tcPr>
          <w:p w:rsidR="003E601E" w:rsidRPr="004C5345" w:rsidRDefault="003E601E" w:rsidP="004E7304">
            <w:pPr>
              <w:snapToGrid w:val="0"/>
              <w:rPr>
                <w:rFonts w:cs="Times New Roman"/>
              </w:rPr>
            </w:pPr>
            <w:r w:rsidRPr="004C5345">
              <w:rPr>
                <w:rFonts w:cs="Times New Roman"/>
              </w:rPr>
              <w:t>4. Finanšu līdzekļi papildu izdevumu finansēšanai (kompensējošu izdevumu samazinājumu norāda ar "+" zīmi)</w:t>
            </w:r>
          </w:p>
        </w:tc>
        <w:tc>
          <w:tcPr>
            <w:tcW w:w="1447" w:type="dxa"/>
            <w:vMerge w:val="restart"/>
          </w:tcPr>
          <w:p w:rsidR="003E601E" w:rsidRPr="004C5345" w:rsidRDefault="00046EFB" w:rsidP="004E7304">
            <w:pPr>
              <w:snapToGrid w:val="0"/>
              <w:jc w:val="center"/>
              <w:rPr>
                <w:rFonts w:cs="Times New Roman"/>
              </w:rPr>
            </w:pPr>
            <w:r>
              <w:rPr>
                <w:rFonts w:cs="Times New Roman"/>
              </w:rPr>
              <w:t>0</w:t>
            </w:r>
          </w:p>
        </w:tc>
        <w:tc>
          <w:tcPr>
            <w:tcW w:w="1617" w:type="dxa"/>
          </w:tcPr>
          <w:p w:rsidR="003E601E" w:rsidRPr="004C5345" w:rsidRDefault="00046EFB" w:rsidP="004E7304">
            <w:pPr>
              <w:snapToGrid w:val="0"/>
              <w:jc w:val="center"/>
              <w:rPr>
                <w:rFonts w:cs="Times New Roman"/>
              </w:rPr>
            </w:pPr>
            <w:r>
              <w:rPr>
                <w:rFonts w:cs="Times New Roman"/>
              </w:rPr>
              <w:t>0</w:t>
            </w:r>
          </w:p>
        </w:tc>
        <w:tc>
          <w:tcPr>
            <w:tcW w:w="1597" w:type="dxa"/>
          </w:tcPr>
          <w:p w:rsidR="003E601E" w:rsidRPr="004C5345" w:rsidRDefault="00046EFB" w:rsidP="004E7304">
            <w:pPr>
              <w:snapToGrid w:val="0"/>
              <w:jc w:val="center"/>
              <w:rPr>
                <w:rFonts w:cs="Times New Roman"/>
              </w:rPr>
            </w:pPr>
            <w:r>
              <w:rPr>
                <w:rFonts w:cs="Times New Roman"/>
              </w:rPr>
              <w:t>0</w:t>
            </w:r>
          </w:p>
        </w:tc>
        <w:tc>
          <w:tcPr>
            <w:tcW w:w="1597" w:type="dxa"/>
          </w:tcPr>
          <w:p w:rsidR="003E601E" w:rsidRPr="004C5345" w:rsidRDefault="00046EFB" w:rsidP="004E7304">
            <w:pPr>
              <w:snapToGrid w:val="0"/>
              <w:jc w:val="center"/>
              <w:rPr>
                <w:rFonts w:cs="Times New Roman"/>
              </w:rPr>
            </w:pPr>
            <w:r>
              <w:rPr>
                <w:rFonts w:cs="Times New Roman"/>
              </w:rPr>
              <w:t>0</w:t>
            </w:r>
          </w:p>
        </w:tc>
        <w:tc>
          <w:tcPr>
            <w:tcW w:w="1094" w:type="dxa"/>
          </w:tcPr>
          <w:p w:rsidR="003E601E" w:rsidRPr="004C5345" w:rsidRDefault="00046EFB" w:rsidP="004E7304">
            <w:pPr>
              <w:snapToGrid w:val="0"/>
              <w:jc w:val="center"/>
              <w:rPr>
                <w:rFonts w:cs="Times New Roman"/>
              </w:rPr>
            </w:pPr>
            <w:r>
              <w:rPr>
                <w:rFonts w:cs="Times New Roman"/>
              </w:rPr>
              <w:t>0</w:t>
            </w:r>
          </w:p>
        </w:tc>
      </w:tr>
      <w:tr w:rsidR="003E601E" w:rsidRPr="004C5345" w:rsidTr="004E7304">
        <w:tc>
          <w:tcPr>
            <w:tcW w:w="2571" w:type="dxa"/>
            <w:vMerge/>
          </w:tcPr>
          <w:p w:rsidR="003E601E" w:rsidRPr="004C5345" w:rsidRDefault="003E601E" w:rsidP="004E7304">
            <w:pPr>
              <w:snapToGrid w:val="0"/>
              <w:rPr>
                <w:rFonts w:cs="Times New Roman"/>
              </w:rPr>
            </w:pPr>
          </w:p>
        </w:tc>
        <w:tc>
          <w:tcPr>
            <w:tcW w:w="1447" w:type="dxa"/>
            <w:vMerge/>
          </w:tcPr>
          <w:p w:rsidR="003E601E" w:rsidRPr="004C5345" w:rsidRDefault="003E601E" w:rsidP="004E7304">
            <w:pPr>
              <w:snapToGrid w:val="0"/>
              <w:rPr>
                <w:rFonts w:cs="Times New Roman"/>
              </w:rPr>
            </w:pPr>
          </w:p>
        </w:tc>
        <w:tc>
          <w:tcPr>
            <w:tcW w:w="161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094" w:type="dxa"/>
          </w:tcPr>
          <w:p w:rsidR="003E601E" w:rsidRPr="004C5345" w:rsidRDefault="003E601E" w:rsidP="004E7304">
            <w:pPr>
              <w:snapToGrid w:val="0"/>
              <w:jc w:val="center"/>
              <w:rPr>
                <w:rFonts w:cs="Times New Roman"/>
              </w:rPr>
            </w:pPr>
          </w:p>
        </w:tc>
      </w:tr>
      <w:tr w:rsidR="003E601E" w:rsidRPr="004C5345" w:rsidTr="004E7304">
        <w:tc>
          <w:tcPr>
            <w:tcW w:w="2571" w:type="dxa"/>
            <w:vMerge/>
          </w:tcPr>
          <w:p w:rsidR="003E601E" w:rsidRPr="004C5345" w:rsidRDefault="003E601E" w:rsidP="004E7304">
            <w:pPr>
              <w:snapToGrid w:val="0"/>
              <w:rPr>
                <w:rFonts w:cs="Times New Roman"/>
              </w:rPr>
            </w:pPr>
          </w:p>
        </w:tc>
        <w:tc>
          <w:tcPr>
            <w:tcW w:w="1447" w:type="dxa"/>
            <w:vMerge/>
          </w:tcPr>
          <w:p w:rsidR="003E601E" w:rsidRPr="004C5345" w:rsidRDefault="003E601E" w:rsidP="004E7304">
            <w:pPr>
              <w:snapToGrid w:val="0"/>
              <w:rPr>
                <w:rFonts w:cs="Times New Roman"/>
              </w:rPr>
            </w:pPr>
          </w:p>
        </w:tc>
        <w:tc>
          <w:tcPr>
            <w:tcW w:w="1617" w:type="dxa"/>
          </w:tcPr>
          <w:p w:rsidR="003E601E" w:rsidRPr="004C5345" w:rsidRDefault="003E601E" w:rsidP="004E7304">
            <w:pPr>
              <w:snapToGrid w:val="0"/>
              <w:rPr>
                <w:rFonts w:cs="Times New Roman"/>
              </w:rPr>
            </w:pPr>
          </w:p>
        </w:tc>
        <w:tc>
          <w:tcPr>
            <w:tcW w:w="1597" w:type="dxa"/>
          </w:tcPr>
          <w:p w:rsidR="003E601E" w:rsidRPr="004C5345" w:rsidRDefault="003E601E" w:rsidP="004E7304">
            <w:pPr>
              <w:snapToGrid w:val="0"/>
              <w:rPr>
                <w:rFonts w:cs="Times New Roman"/>
              </w:rPr>
            </w:pPr>
          </w:p>
        </w:tc>
        <w:tc>
          <w:tcPr>
            <w:tcW w:w="1597" w:type="dxa"/>
          </w:tcPr>
          <w:p w:rsidR="003E601E" w:rsidRPr="004C5345" w:rsidRDefault="003E601E" w:rsidP="004E7304">
            <w:pPr>
              <w:snapToGrid w:val="0"/>
              <w:rPr>
                <w:rFonts w:cs="Times New Roman"/>
              </w:rPr>
            </w:pPr>
          </w:p>
        </w:tc>
        <w:tc>
          <w:tcPr>
            <w:tcW w:w="1094" w:type="dxa"/>
          </w:tcPr>
          <w:p w:rsidR="003E601E" w:rsidRPr="004C5345" w:rsidRDefault="003E601E" w:rsidP="004E7304">
            <w:pPr>
              <w:snapToGrid w:val="0"/>
              <w:rPr>
                <w:rFonts w:cs="Times New Roman"/>
              </w:rPr>
            </w:pPr>
          </w:p>
        </w:tc>
      </w:tr>
      <w:tr w:rsidR="003E601E" w:rsidRPr="004C5345" w:rsidTr="004E7304">
        <w:tc>
          <w:tcPr>
            <w:tcW w:w="2571" w:type="dxa"/>
          </w:tcPr>
          <w:p w:rsidR="003E601E" w:rsidRPr="004C5345" w:rsidRDefault="003E601E" w:rsidP="004E7304">
            <w:pPr>
              <w:snapToGrid w:val="0"/>
              <w:jc w:val="both"/>
              <w:rPr>
                <w:rFonts w:cs="Times New Roman"/>
              </w:rPr>
            </w:pPr>
            <w:r w:rsidRPr="004C5345">
              <w:rPr>
                <w:rFonts w:cs="Times New Roman"/>
              </w:rPr>
              <w:t>5. Precizēta finansiālā ietekme:</w:t>
            </w:r>
          </w:p>
        </w:tc>
        <w:tc>
          <w:tcPr>
            <w:tcW w:w="1447" w:type="dxa"/>
            <w:vMerge w:val="restart"/>
          </w:tcPr>
          <w:p w:rsidR="003E601E" w:rsidRPr="004C5345" w:rsidRDefault="00046EFB" w:rsidP="004E7304">
            <w:pPr>
              <w:snapToGrid w:val="0"/>
              <w:jc w:val="center"/>
              <w:rPr>
                <w:rFonts w:cs="Times New Roman"/>
              </w:rPr>
            </w:pPr>
            <w:r>
              <w:rPr>
                <w:rFonts w:cs="Times New Roman"/>
              </w:rPr>
              <w:t>0</w:t>
            </w:r>
          </w:p>
        </w:tc>
        <w:tc>
          <w:tcPr>
            <w:tcW w:w="1617" w:type="dxa"/>
          </w:tcPr>
          <w:p w:rsidR="003E601E" w:rsidRPr="004C5345" w:rsidRDefault="00046EFB" w:rsidP="004E7304">
            <w:pPr>
              <w:snapToGrid w:val="0"/>
              <w:jc w:val="center"/>
              <w:rPr>
                <w:rFonts w:cs="Times New Roman"/>
              </w:rPr>
            </w:pPr>
            <w:r>
              <w:rPr>
                <w:rFonts w:cs="Times New Roman"/>
              </w:rPr>
              <w:t>0</w:t>
            </w:r>
          </w:p>
        </w:tc>
        <w:tc>
          <w:tcPr>
            <w:tcW w:w="1597" w:type="dxa"/>
          </w:tcPr>
          <w:p w:rsidR="003E601E" w:rsidRPr="004C5345" w:rsidRDefault="00046EFB" w:rsidP="004E7304">
            <w:pPr>
              <w:snapToGrid w:val="0"/>
              <w:jc w:val="center"/>
              <w:rPr>
                <w:rFonts w:cs="Times New Roman"/>
              </w:rPr>
            </w:pPr>
            <w:r>
              <w:rPr>
                <w:rFonts w:cs="Times New Roman"/>
              </w:rPr>
              <w:t>0</w:t>
            </w:r>
          </w:p>
        </w:tc>
        <w:tc>
          <w:tcPr>
            <w:tcW w:w="1597" w:type="dxa"/>
          </w:tcPr>
          <w:p w:rsidR="003E601E" w:rsidRPr="004C5345" w:rsidRDefault="00046EFB" w:rsidP="004E7304">
            <w:pPr>
              <w:snapToGrid w:val="0"/>
              <w:jc w:val="center"/>
              <w:rPr>
                <w:rFonts w:cs="Times New Roman"/>
              </w:rPr>
            </w:pPr>
            <w:r>
              <w:rPr>
                <w:rFonts w:cs="Times New Roman"/>
              </w:rPr>
              <w:t>0</w:t>
            </w:r>
          </w:p>
        </w:tc>
        <w:tc>
          <w:tcPr>
            <w:tcW w:w="1094" w:type="dxa"/>
          </w:tcPr>
          <w:p w:rsidR="003E601E" w:rsidRPr="004C5345" w:rsidRDefault="00046EFB" w:rsidP="004E7304">
            <w:pPr>
              <w:snapToGrid w:val="0"/>
              <w:jc w:val="center"/>
              <w:rPr>
                <w:rFonts w:cs="Times New Roman"/>
              </w:rPr>
            </w:pPr>
            <w:r>
              <w:rPr>
                <w:rFonts w:cs="Times New Roman"/>
              </w:rPr>
              <w:t>0</w:t>
            </w:r>
          </w:p>
        </w:tc>
      </w:tr>
      <w:tr w:rsidR="003E601E" w:rsidRPr="004C5345" w:rsidTr="004E7304">
        <w:tc>
          <w:tcPr>
            <w:tcW w:w="2571" w:type="dxa"/>
          </w:tcPr>
          <w:p w:rsidR="003E601E" w:rsidRPr="004C5345" w:rsidRDefault="003E601E" w:rsidP="004E7304">
            <w:pPr>
              <w:snapToGrid w:val="0"/>
              <w:rPr>
                <w:rFonts w:cs="Times New Roman"/>
              </w:rPr>
            </w:pPr>
            <w:r w:rsidRPr="004C5345">
              <w:rPr>
                <w:rFonts w:cs="Times New Roman"/>
              </w:rPr>
              <w:t>5.1. valsts pamatbudžets</w:t>
            </w:r>
          </w:p>
        </w:tc>
        <w:tc>
          <w:tcPr>
            <w:tcW w:w="1447" w:type="dxa"/>
            <w:vMerge/>
          </w:tcPr>
          <w:p w:rsidR="003E601E" w:rsidRPr="004C5345" w:rsidRDefault="003E601E" w:rsidP="004E7304">
            <w:pPr>
              <w:snapToGrid w:val="0"/>
              <w:rPr>
                <w:rFonts w:cs="Times New Roman"/>
              </w:rPr>
            </w:pPr>
          </w:p>
        </w:tc>
        <w:tc>
          <w:tcPr>
            <w:tcW w:w="161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597" w:type="dxa"/>
          </w:tcPr>
          <w:p w:rsidR="003E601E" w:rsidRPr="004C5345" w:rsidRDefault="003E601E" w:rsidP="004E7304">
            <w:pPr>
              <w:snapToGrid w:val="0"/>
              <w:jc w:val="center"/>
              <w:rPr>
                <w:rFonts w:cs="Times New Roman"/>
              </w:rPr>
            </w:pPr>
          </w:p>
        </w:tc>
        <w:tc>
          <w:tcPr>
            <w:tcW w:w="1094" w:type="dxa"/>
          </w:tcPr>
          <w:p w:rsidR="003E601E" w:rsidRPr="004C5345" w:rsidRDefault="003E601E" w:rsidP="004E7304">
            <w:pPr>
              <w:snapToGrid w:val="0"/>
              <w:jc w:val="center"/>
              <w:rPr>
                <w:rFonts w:cs="Times New Roman"/>
              </w:rPr>
            </w:pPr>
          </w:p>
        </w:tc>
      </w:tr>
      <w:tr w:rsidR="003E601E" w:rsidRPr="004C5345" w:rsidTr="004E7304">
        <w:tc>
          <w:tcPr>
            <w:tcW w:w="2571" w:type="dxa"/>
          </w:tcPr>
          <w:p w:rsidR="003E601E" w:rsidRPr="004C5345" w:rsidRDefault="003E601E" w:rsidP="00C462A8">
            <w:pPr>
              <w:snapToGrid w:val="0"/>
              <w:jc w:val="both"/>
              <w:rPr>
                <w:rFonts w:cs="Times New Roman"/>
              </w:rPr>
            </w:pPr>
            <w:r w:rsidRPr="004C5345">
              <w:rPr>
                <w:rFonts w:cs="Times New Roman"/>
              </w:rPr>
              <w:t>5.2. speciālais budžets</w:t>
            </w:r>
          </w:p>
        </w:tc>
        <w:tc>
          <w:tcPr>
            <w:tcW w:w="1447" w:type="dxa"/>
            <w:vMerge/>
          </w:tcPr>
          <w:p w:rsidR="003E601E" w:rsidRPr="004C5345" w:rsidRDefault="003E601E" w:rsidP="00C462A8">
            <w:pPr>
              <w:snapToGrid w:val="0"/>
              <w:rPr>
                <w:rFonts w:cs="Times New Roman"/>
              </w:rPr>
            </w:pPr>
          </w:p>
        </w:tc>
        <w:tc>
          <w:tcPr>
            <w:tcW w:w="1617" w:type="dxa"/>
          </w:tcPr>
          <w:p w:rsidR="003E601E" w:rsidRPr="004C5345" w:rsidRDefault="003E601E" w:rsidP="00C462A8">
            <w:pPr>
              <w:snapToGrid w:val="0"/>
              <w:jc w:val="center"/>
              <w:rPr>
                <w:rFonts w:cs="Times New Roman"/>
              </w:rPr>
            </w:pPr>
          </w:p>
        </w:tc>
        <w:tc>
          <w:tcPr>
            <w:tcW w:w="1597" w:type="dxa"/>
          </w:tcPr>
          <w:p w:rsidR="003E601E" w:rsidRPr="004C5345" w:rsidRDefault="003E601E" w:rsidP="00C462A8">
            <w:pPr>
              <w:snapToGrid w:val="0"/>
              <w:jc w:val="center"/>
              <w:rPr>
                <w:rFonts w:cs="Times New Roman"/>
              </w:rPr>
            </w:pPr>
          </w:p>
        </w:tc>
        <w:tc>
          <w:tcPr>
            <w:tcW w:w="1597" w:type="dxa"/>
          </w:tcPr>
          <w:p w:rsidR="003E601E" w:rsidRPr="004C5345" w:rsidRDefault="003E601E" w:rsidP="00C462A8">
            <w:pPr>
              <w:snapToGrid w:val="0"/>
              <w:jc w:val="center"/>
              <w:rPr>
                <w:rFonts w:cs="Times New Roman"/>
              </w:rPr>
            </w:pPr>
          </w:p>
        </w:tc>
        <w:tc>
          <w:tcPr>
            <w:tcW w:w="1094" w:type="dxa"/>
          </w:tcPr>
          <w:p w:rsidR="003E601E" w:rsidRPr="004C5345" w:rsidRDefault="003E601E" w:rsidP="00C462A8">
            <w:pPr>
              <w:snapToGrid w:val="0"/>
              <w:jc w:val="center"/>
              <w:rPr>
                <w:rFonts w:cs="Times New Roman"/>
              </w:rPr>
            </w:pPr>
          </w:p>
        </w:tc>
      </w:tr>
      <w:tr w:rsidR="003E601E" w:rsidRPr="004C5345" w:rsidTr="004E7304">
        <w:tc>
          <w:tcPr>
            <w:tcW w:w="2571" w:type="dxa"/>
          </w:tcPr>
          <w:p w:rsidR="003E601E" w:rsidRPr="004C5345" w:rsidRDefault="003E601E" w:rsidP="00C462A8">
            <w:pPr>
              <w:snapToGrid w:val="0"/>
              <w:jc w:val="both"/>
              <w:rPr>
                <w:rFonts w:cs="Times New Roman"/>
              </w:rPr>
            </w:pPr>
            <w:r w:rsidRPr="004C5345">
              <w:rPr>
                <w:rFonts w:cs="Times New Roman"/>
              </w:rPr>
              <w:t>5.3. pašvaldību budžets</w:t>
            </w:r>
          </w:p>
        </w:tc>
        <w:tc>
          <w:tcPr>
            <w:tcW w:w="1447" w:type="dxa"/>
            <w:vMerge/>
          </w:tcPr>
          <w:p w:rsidR="003E601E" w:rsidRPr="004C5345" w:rsidRDefault="003E601E" w:rsidP="00C462A8">
            <w:pPr>
              <w:snapToGrid w:val="0"/>
              <w:rPr>
                <w:rFonts w:cs="Times New Roman"/>
              </w:rPr>
            </w:pPr>
          </w:p>
        </w:tc>
        <w:tc>
          <w:tcPr>
            <w:tcW w:w="1617" w:type="dxa"/>
          </w:tcPr>
          <w:p w:rsidR="003E601E" w:rsidRPr="004C5345" w:rsidRDefault="003E601E" w:rsidP="00C462A8">
            <w:pPr>
              <w:snapToGrid w:val="0"/>
              <w:rPr>
                <w:rFonts w:cs="Times New Roman"/>
              </w:rPr>
            </w:pPr>
          </w:p>
        </w:tc>
        <w:tc>
          <w:tcPr>
            <w:tcW w:w="1597" w:type="dxa"/>
          </w:tcPr>
          <w:p w:rsidR="003E601E" w:rsidRPr="004C5345" w:rsidRDefault="003E601E" w:rsidP="00C462A8">
            <w:pPr>
              <w:snapToGrid w:val="0"/>
              <w:rPr>
                <w:rFonts w:cs="Times New Roman"/>
              </w:rPr>
            </w:pPr>
          </w:p>
        </w:tc>
        <w:tc>
          <w:tcPr>
            <w:tcW w:w="1597" w:type="dxa"/>
          </w:tcPr>
          <w:p w:rsidR="003E601E" w:rsidRPr="004C5345" w:rsidRDefault="003E601E" w:rsidP="00C462A8">
            <w:pPr>
              <w:snapToGrid w:val="0"/>
              <w:rPr>
                <w:rFonts w:cs="Times New Roman"/>
              </w:rPr>
            </w:pPr>
          </w:p>
        </w:tc>
        <w:tc>
          <w:tcPr>
            <w:tcW w:w="1094" w:type="dxa"/>
          </w:tcPr>
          <w:p w:rsidR="003E601E" w:rsidRPr="004C5345" w:rsidRDefault="003E601E" w:rsidP="00C462A8">
            <w:pPr>
              <w:snapToGrid w:val="0"/>
              <w:rPr>
                <w:rFonts w:cs="Times New Roman"/>
              </w:rPr>
            </w:pPr>
          </w:p>
        </w:tc>
      </w:tr>
      <w:tr w:rsidR="003E601E" w:rsidRPr="004C5345" w:rsidTr="00344571">
        <w:trPr>
          <w:trHeight w:val="598"/>
        </w:trPr>
        <w:tc>
          <w:tcPr>
            <w:tcW w:w="9923" w:type="dxa"/>
            <w:gridSpan w:val="6"/>
          </w:tcPr>
          <w:p w:rsidR="003E601E" w:rsidRPr="0021373C" w:rsidRDefault="003E601E" w:rsidP="00344571">
            <w:pPr>
              <w:snapToGrid w:val="0"/>
              <w:jc w:val="both"/>
              <w:rPr>
                <w:rFonts w:cs="Times New Roman"/>
              </w:rPr>
            </w:pPr>
            <w:r w:rsidRPr="004C5345">
              <w:rPr>
                <w:rFonts w:cs="Times New Roman"/>
              </w:rPr>
              <w:t>6. Detalizēts ieņēmumu un izdevumu aprēķins (ja nepieciešams, detalizētu ieņēmumu un izdevumu aprēķinu var p</w:t>
            </w:r>
            <w:r w:rsidR="0021373C">
              <w:rPr>
                <w:rFonts w:cs="Times New Roman"/>
              </w:rPr>
              <w:t>ievienot anotācijas pielikumā).</w:t>
            </w:r>
          </w:p>
        </w:tc>
      </w:tr>
      <w:tr w:rsidR="003E601E" w:rsidRPr="004C5345" w:rsidTr="004E7304">
        <w:tc>
          <w:tcPr>
            <w:tcW w:w="2571" w:type="dxa"/>
          </w:tcPr>
          <w:p w:rsidR="003E601E" w:rsidRPr="004C5345" w:rsidRDefault="003E601E" w:rsidP="00C462A8">
            <w:pPr>
              <w:snapToGrid w:val="0"/>
              <w:jc w:val="both"/>
              <w:rPr>
                <w:rFonts w:cs="Times New Roman"/>
              </w:rPr>
            </w:pPr>
            <w:r w:rsidRPr="004C5345">
              <w:rPr>
                <w:rFonts w:cs="Times New Roman"/>
              </w:rPr>
              <w:t>7. Cita informācija</w:t>
            </w:r>
          </w:p>
        </w:tc>
        <w:tc>
          <w:tcPr>
            <w:tcW w:w="7352" w:type="dxa"/>
            <w:gridSpan w:val="5"/>
          </w:tcPr>
          <w:p w:rsidR="003E601E" w:rsidRPr="004C5345" w:rsidRDefault="008A1A8C" w:rsidP="00C462A8">
            <w:pPr>
              <w:pStyle w:val="Paraststmeklis"/>
              <w:spacing w:before="0" w:beforeAutospacing="0" w:after="0" w:afterAutospacing="0"/>
              <w:jc w:val="both"/>
            </w:pPr>
            <w:r w:rsidRPr="008A1A8C">
              <w:t xml:space="preserve">Normatīvā akta projekta ietekme uz valsts un pašvaldību budžetiem atspoguļota </w:t>
            </w:r>
            <w:r>
              <w:t xml:space="preserve">2013. gada 23. maija </w:t>
            </w:r>
            <w:r w:rsidRPr="008A1A8C">
              <w:t>likuma „Grozījumi Kriminālprocesa likumā” sākotnējās ietekmes novērtējuma ziņojuma (anotācijas) III.</w:t>
            </w:r>
            <w:r w:rsidR="006B7646">
              <w:t xml:space="preserve"> </w:t>
            </w:r>
            <w:r w:rsidRPr="008A1A8C">
              <w:t>sadaļā.</w:t>
            </w:r>
          </w:p>
        </w:tc>
      </w:tr>
    </w:tbl>
    <w:p w:rsidR="003E601E" w:rsidRPr="004C5345" w:rsidRDefault="003E601E" w:rsidP="00C462A8">
      <w:pPr>
        <w:rPr>
          <w:rFonts w:cs="Times New Roman"/>
        </w:rPr>
      </w:pPr>
    </w:p>
    <w:p w:rsidR="003E601E" w:rsidRPr="004C5345" w:rsidRDefault="003E601E" w:rsidP="00C462A8">
      <w:pPr>
        <w:jc w:val="both"/>
        <w:rPr>
          <w:rFonts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608"/>
        <w:gridCol w:w="5329"/>
      </w:tblGrid>
      <w:tr w:rsidR="003E601E" w:rsidRPr="004C5345" w:rsidTr="00474BFA">
        <w:tc>
          <w:tcPr>
            <w:tcW w:w="9464" w:type="dxa"/>
            <w:gridSpan w:val="3"/>
          </w:tcPr>
          <w:p w:rsidR="003E601E" w:rsidRPr="004C5345" w:rsidRDefault="003E601E" w:rsidP="00C462A8">
            <w:pPr>
              <w:jc w:val="center"/>
              <w:rPr>
                <w:rFonts w:cs="Times New Roman"/>
              </w:rPr>
            </w:pPr>
            <w:r w:rsidRPr="004C5345">
              <w:rPr>
                <w:rFonts w:cs="Times New Roman"/>
                <w:b/>
                <w:bCs/>
              </w:rPr>
              <w:t> VI. Sabiedrības līdzdalība un šīs līdzdalības rezultāti</w:t>
            </w:r>
          </w:p>
        </w:tc>
      </w:tr>
      <w:tr w:rsidR="003E601E" w:rsidRPr="004C5345" w:rsidTr="00474BFA">
        <w:trPr>
          <w:trHeight w:val="553"/>
        </w:trPr>
        <w:tc>
          <w:tcPr>
            <w:tcW w:w="527" w:type="dxa"/>
          </w:tcPr>
          <w:p w:rsidR="003E601E" w:rsidRPr="004C5345" w:rsidRDefault="003E601E" w:rsidP="00C462A8">
            <w:pPr>
              <w:rPr>
                <w:rFonts w:cs="Times New Roman"/>
              </w:rPr>
            </w:pPr>
            <w:r w:rsidRPr="004C5345">
              <w:rPr>
                <w:rFonts w:cs="Times New Roman"/>
              </w:rPr>
              <w:t> 1.</w:t>
            </w:r>
          </w:p>
        </w:tc>
        <w:tc>
          <w:tcPr>
            <w:tcW w:w="3608" w:type="dxa"/>
          </w:tcPr>
          <w:p w:rsidR="003E601E" w:rsidRPr="004C5345" w:rsidRDefault="003E601E" w:rsidP="00C462A8">
            <w:pPr>
              <w:rPr>
                <w:rFonts w:cs="Times New Roman"/>
              </w:rPr>
            </w:pPr>
            <w:r w:rsidRPr="004C5345">
              <w:rPr>
                <w:rFonts w:cs="Times New Roman"/>
              </w:rPr>
              <w:t> Sabiedrības informēšana par projekta izstrādes uzsākšanu</w:t>
            </w:r>
          </w:p>
        </w:tc>
        <w:tc>
          <w:tcPr>
            <w:tcW w:w="5329" w:type="dxa"/>
          </w:tcPr>
          <w:p w:rsidR="003E601E" w:rsidRPr="004C5345" w:rsidRDefault="00046EFB" w:rsidP="00C462A8">
            <w:pPr>
              <w:ind w:firstLine="416"/>
              <w:jc w:val="both"/>
              <w:rPr>
                <w:rFonts w:cs="Times New Roman"/>
              </w:rPr>
            </w:pPr>
            <w:r>
              <w:rPr>
                <w:rFonts w:cs="Times New Roman"/>
              </w:rPr>
              <w:t>Projekts šo jomu neskar</w:t>
            </w:r>
            <w:r w:rsidR="00224F2B">
              <w:rPr>
                <w:rFonts w:cs="Times New Roman"/>
              </w:rPr>
              <w:t>.</w:t>
            </w:r>
          </w:p>
        </w:tc>
      </w:tr>
      <w:tr w:rsidR="003E601E" w:rsidRPr="004C5345" w:rsidTr="00474BFA">
        <w:trPr>
          <w:trHeight w:val="339"/>
        </w:trPr>
        <w:tc>
          <w:tcPr>
            <w:tcW w:w="527" w:type="dxa"/>
          </w:tcPr>
          <w:p w:rsidR="003E601E" w:rsidRPr="004C5345" w:rsidRDefault="003E601E" w:rsidP="00C462A8">
            <w:pPr>
              <w:rPr>
                <w:rFonts w:cs="Times New Roman"/>
              </w:rPr>
            </w:pPr>
            <w:r w:rsidRPr="004C5345">
              <w:rPr>
                <w:rFonts w:cs="Times New Roman"/>
              </w:rPr>
              <w:t> 2.</w:t>
            </w:r>
          </w:p>
        </w:tc>
        <w:tc>
          <w:tcPr>
            <w:tcW w:w="3608" w:type="dxa"/>
          </w:tcPr>
          <w:p w:rsidR="003E601E" w:rsidRPr="004C5345" w:rsidRDefault="003E601E" w:rsidP="00C462A8">
            <w:pPr>
              <w:rPr>
                <w:rFonts w:cs="Times New Roman"/>
              </w:rPr>
            </w:pPr>
            <w:r w:rsidRPr="004C5345">
              <w:rPr>
                <w:rFonts w:cs="Times New Roman"/>
              </w:rPr>
              <w:t> Sabiedrības līdzdalība projekta izstrādē</w:t>
            </w:r>
          </w:p>
        </w:tc>
        <w:tc>
          <w:tcPr>
            <w:tcW w:w="5329" w:type="dxa"/>
          </w:tcPr>
          <w:p w:rsidR="003E601E" w:rsidRPr="004C5345" w:rsidRDefault="00046EFB" w:rsidP="00C462A8">
            <w:pPr>
              <w:ind w:firstLine="416"/>
              <w:jc w:val="both"/>
              <w:rPr>
                <w:rFonts w:cs="Times New Roman"/>
              </w:rPr>
            </w:pPr>
            <w:r>
              <w:rPr>
                <w:rFonts w:cs="Times New Roman"/>
              </w:rPr>
              <w:t>Projekts šo jomu neskar</w:t>
            </w:r>
            <w:r w:rsidR="00224F2B">
              <w:rPr>
                <w:rFonts w:cs="Times New Roman"/>
              </w:rPr>
              <w:t>.</w:t>
            </w:r>
          </w:p>
        </w:tc>
      </w:tr>
      <w:tr w:rsidR="003E601E" w:rsidRPr="004C5345" w:rsidTr="00474BFA">
        <w:trPr>
          <w:trHeight w:val="375"/>
        </w:trPr>
        <w:tc>
          <w:tcPr>
            <w:tcW w:w="527" w:type="dxa"/>
          </w:tcPr>
          <w:p w:rsidR="003E601E" w:rsidRPr="004C5345" w:rsidRDefault="003E601E" w:rsidP="00C462A8">
            <w:pPr>
              <w:rPr>
                <w:rFonts w:cs="Times New Roman"/>
              </w:rPr>
            </w:pPr>
            <w:r w:rsidRPr="004C5345">
              <w:rPr>
                <w:rFonts w:cs="Times New Roman"/>
              </w:rPr>
              <w:t> 3.</w:t>
            </w:r>
          </w:p>
        </w:tc>
        <w:tc>
          <w:tcPr>
            <w:tcW w:w="3608" w:type="dxa"/>
          </w:tcPr>
          <w:p w:rsidR="003E601E" w:rsidRPr="004C5345" w:rsidRDefault="003E601E" w:rsidP="00C462A8">
            <w:pPr>
              <w:rPr>
                <w:rFonts w:cs="Times New Roman"/>
              </w:rPr>
            </w:pPr>
            <w:r w:rsidRPr="004C5345">
              <w:rPr>
                <w:rFonts w:cs="Times New Roman"/>
              </w:rPr>
              <w:t> Sabiedrības līdzdalības rezultāti</w:t>
            </w:r>
          </w:p>
        </w:tc>
        <w:tc>
          <w:tcPr>
            <w:tcW w:w="5329" w:type="dxa"/>
          </w:tcPr>
          <w:p w:rsidR="003E601E" w:rsidRPr="004C5345" w:rsidRDefault="00046EFB" w:rsidP="00C462A8">
            <w:pPr>
              <w:ind w:firstLine="416"/>
              <w:jc w:val="both"/>
              <w:rPr>
                <w:rFonts w:cs="Times New Roman"/>
              </w:rPr>
            </w:pPr>
            <w:r>
              <w:rPr>
                <w:rFonts w:cs="Times New Roman"/>
              </w:rPr>
              <w:t>Projekts šo jomu neskar</w:t>
            </w:r>
            <w:r w:rsidR="00224F2B">
              <w:rPr>
                <w:rFonts w:cs="Times New Roman"/>
              </w:rPr>
              <w:t>.</w:t>
            </w:r>
          </w:p>
        </w:tc>
      </w:tr>
      <w:tr w:rsidR="003E601E" w:rsidRPr="004C5345" w:rsidTr="00474BFA">
        <w:trPr>
          <w:trHeight w:val="397"/>
        </w:trPr>
        <w:tc>
          <w:tcPr>
            <w:tcW w:w="527" w:type="dxa"/>
          </w:tcPr>
          <w:p w:rsidR="003E601E" w:rsidRPr="004C5345" w:rsidRDefault="003E601E" w:rsidP="00C462A8">
            <w:pPr>
              <w:rPr>
                <w:rFonts w:cs="Times New Roman"/>
              </w:rPr>
            </w:pPr>
            <w:r w:rsidRPr="004C5345">
              <w:rPr>
                <w:rFonts w:cs="Times New Roman"/>
              </w:rPr>
              <w:lastRenderedPageBreak/>
              <w:t> 4.</w:t>
            </w:r>
          </w:p>
        </w:tc>
        <w:tc>
          <w:tcPr>
            <w:tcW w:w="3608" w:type="dxa"/>
          </w:tcPr>
          <w:p w:rsidR="003E601E" w:rsidRPr="004C5345" w:rsidRDefault="003E601E" w:rsidP="00C462A8">
            <w:pPr>
              <w:rPr>
                <w:rFonts w:cs="Times New Roman"/>
              </w:rPr>
            </w:pPr>
            <w:r w:rsidRPr="004C5345">
              <w:rPr>
                <w:rFonts w:cs="Times New Roman"/>
              </w:rPr>
              <w:t> Saeimas un ekspertu līdzdalība</w:t>
            </w:r>
          </w:p>
        </w:tc>
        <w:tc>
          <w:tcPr>
            <w:tcW w:w="5329" w:type="dxa"/>
          </w:tcPr>
          <w:p w:rsidR="003E601E" w:rsidRPr="004C5345" w:rsidRDefault="003E601E" w:rsidP="00C462A8">
            <w:pPr>
              <w:jc w:val="both"/>
              <w:rPr>
                <w:rFonts w:cs="Times New Roman"/>
              </w:rPr>
            </w:pPr>
            <w:r w:rsidRPr="004C5345">
              <w:rPr>
                <w:rFonts w:cs="Times New Roman"/>
              </w:rPr>
              <w:t>Likumprojekts tika izstrādāts, izskatot to</w:t>
            </w:r>
            <w:r w:rsidR="008158CB" w:rsidRPr="004C5345">
              <w:rPr>
                <w:rFonts w:cs="Times New Roman"/>
              </w:rPr>
              <w:t xml:space="preserve"> ar </w:t>
            </w:r>
            <w:r w:rsidR="005F3A48">
              <w:rPr>
                <w:rFonts w:cs="Times New Roman"/>
              </w:rPr>
              <w:t xml:space="preserve">2013. gada </w:t>
            </w:r>
            <w:r w:rsidR="009B7ACC">
              <w:rPr>
                <w:rFonts w:cs="Times New Roman"/>
              </w:rPr>
              <w:t>17.</w:t>
            </w:r>
            <w:r w:rsidR="005F3A48">
              <w:rPr>
                <w:rFonts w:cs="Times New Roman"/>
              </w:rPr>
              <w:t xml:space="preserve"> jūnija </w:t>
            </w:r>
            <w:r w:rsidR="008158CB" w:rsidRPr="004C5345">
              <w:rPr>
                <w:rFonts w:cs="Times New Roman"/>
              </w:rPr>
              <w:t>tieslietu ministra rīkojumu</w:t>
            </w:r>
            <w:r w:rsidR="005F3A48">
              <w:rPr>
                <w:rFonts w:cs="Times New Roman"/>
              </w:rPr>
              <w:t xml:space="preserve"> </w:t>
            </w:r>
            <w:proofErr w:type="spellStart"/>
            <w:r w:rsidR="005F3A48">
              <w:rPr>
                <w:rFonts w:cs="Times New Roman"/>
              </w:rPr>
              <w:t>Nr</w:t>
            </w:r>
            <w:proofErr w:type="spellEnd"/>
            <w:r w:rsidR="005F3A48">
              <w:rPr>
                <w:rFonts w:cs="Times New Roman"/>
              </w:rPr>
              <w:t xml:space="preserve">. </w:t>
            </w:r>
            <w:r w:rsidR="009B7ACC">
              <w:rPr>
                <w:rFonts w:cs="Times New Roman"/>
              </w:rPr>
              <w:t>1-1/234</w:t>
            </w:r>
            <w:r w:rsidR="005F3A48">
              <w:rPr>
                <w:rFonts w:cs="Times New Roman"/>
              </w:rPr>
              <w:t xml:space="preserve"> „Par </w:t>
            </w:r>
            <w:r w:rsidR="005F3A48" w:rsidRPr="005F3A48">
              <w:rPr>
                <w:rFonts w:cs="Times New Roman"/>
              </w:rPr>
              <w:t>darba grupas izveidošanu, lai izstrādātu Ministru kabineta noteikumu projektu par kārtību un apjomu, kādā personai, kurai ir tiesības uz aizstāvību, ja tā neprot valsts valodu, tiek nodrošināta tulka palīdzība</w:t>
            </w:r>
            <w:r w:rsidR="005F3A48">
              <w:rPr>
                <w:rFonts w:cs="Times New Roman"/>
              </w:rPr>
              <w:t>”</w:t>
            </w:r>
            <w:r w:rsidR="008158CB" w:rsidRPr="004C5345">
              <w:rPr>
                <w:rFonts w:cs="Times New Roman"/>
              </w:rPr>
              <w:t xml:space="preserve"> izveidotajā darba grupā</w:t>
            </w:r>
            <w:r w:rsidRPr="004C5345">
              <w:rPr>
                <w:rFonts w:cs="Times New Roman"/>
              </w:rPr>
              <w:t>, kurā piedalās</w:t>
            </w:r>
            <w:r w:rsidR="00AA7A9F">
              <w:rPr>
                <w:rFonts w:cs="Times New Roman"/>
              </w:rPr>
              <w:t xml:space="preserve"> Tieslietu ministrijas,</w:t>
            </w:r>
            <w:r w:rsidRPr="004C5345">
              <w:rPr>
                <w:rFonts w:cs="Times New Roman"/>
              </w:rPr>
              <w:t xml:space="preserve"> </w:t>
            </w:r>
            <w:r w:rsidR="009B7ACC">
              <w:rPr>
                <w:rFonts w:cs="Times New Roman"/>
              </w:rPr>
              <w:t xml:space="preserve">Iekšlietu ministrijas, </w:t>
            </w:r>
            <w:r w:rsidRPr="004C5345">
              <w:rPr>
                <w:rFonts w:cs="Times New Roman"/>
              </w:rPr>
              <w:t>Ģenerālpro</w:t>
            </w:r>
            <w:r w:rsidR="005F3A48">
              <w:rPr>
                <w:rFonts w:cs="Times New Roman"/>
              </w:rPr>
              <w:t>kuratūras, Ieslodzījuma vietu pārvaldes, Tiesu administrācijas, Korupcijas novēršanas un apkarošanas dienesta</w:t>
            </w:r>
            <w:r w:rsidR="009B7ACC">
              <w:rPr>
                <w:rFonts w:cs="Times New Roman"/>
              </w:rPr>
              <w:t>, Valsts policijas</w:t>
            </w:r>
            <w:r w:rsidR="005F3A48">
              <w:rPr>
                <w:rFonts w:cs="Times New Roman"/>
              </w:rPr>
              <w:t xml:space="preserve"> </w:t>
            </w:r>
            <w:r w:rsidR="002B1BB4">
              <w:rPr>
                <w:rFonts w:cs="Times New Roman"/>
              </w:rPr>
              <w:t xml:space="preserve">un advokatūras </w:t>
            </w:r>
            <w:r w:rsidR="005F3A48">
              <w:rPr>
                <w:rFonts w:cs="Times New Roman"/>
              </w:rPr>
              <w:t>pārstāvji</w:t>
            </w:r>
            <w:r w:rsidRPr="004C5345">
              <w:rPr>
                <w:rFonts w:cs="Times New Roman"/>
              </w:rPr>
              <w:t>.</w:t>
            </w:r>
          </w:p>
        </w:tc>
      </w:tr>
      <w:tr w:rsidR="003E601E" w:rsidRPr="004C5345" w:rsidTr="00474BFA">
        <w:trPr>
          <w:trHeight w:val="476"/>
        </w:trPr>
        <w:tc>
          <w:tcPr>
            <w:tcW w:w="527" w:type="dxa"/>
          </w:tcPr>
          <w:p w:rsidR="003E601E" w:rsidRPr="004C5345" w:rsidRDefault="003E601E" w:rsidP="00C462A8">
            <w:pPr>
              <w:rPr>
                <w:rFonts w:cs="Times New Roman"/>
              </w:rPr>
            </w:pPr>
            <w:r w:rsidRPr="004C5345">
              <w:rPr>
                <w:rFonts w:cs="Times New Roman"/>
              </w:rPr>
              <w:t> 5.</w:t>
            </w:r>
          </w:p>
        </w:tc>
        <w:tc>
          <w:tcPr>
            <w:tcW w:w="3608" w:type="dxa"/>
          </w:tcPr>
          <w:p w:rsidR="003E601E" w:rsidRPr="004C5345" w:rsidRDefault="003E601E" w:rsidP="00C462A8">
            <w:pPr>
              <w:rPr>
                <w:rFonts w:cs="Times New Roman"/>
              </w:rPr>
            </w:pPr>
            <w:r w:rsidRPr="004C5345">
              <w:rPr>
                <w:rFonts w:cs="Times New Roman"/>
              </w:rPr>
              <w:t> Cita informācija</w:t>
            </w:r>
          </w:p>
        </w:tc>
        <w:tc>
          <w:tcPr>
            <w:tcW w:w="5329" w:type="dxa"/>
          </w:tcPr>
          <w:p w:rsidR="003E601E" w:rsidRPr="004C5345" w:rsidRDefault="003E601E" w:rsidP="00C462A8">
            <w:pPr>
              <w:ind w:firstLine="416"/>
              <w:rPr>
                <w:rFonts w:cs="Times New Roman"/>
              </w:rPr>
            </w:pPr>
            <w:r w:rsidRPr="004C5345">
              <w:rPr>
                <w:rFonts w:cs="Times New Roman"/>
              </w:rPr>
              <w:t>Nav.</w:t>
            </w:r>
          </w:p>
        </w:tc>
      </w:tr>
    </w:tbl>
    <w:p w:rsidR="00C462A8" w:rsidRDefault="003E601E" w:rsidP="00C462A8">
      <w:pPr>
        <w:spacing w:before="75" w:after="75"/>
        <w:ind w:firstLine="375"/>
        <w:jc w:val="both"/>
        <w:rPr>
          <w:rFonts w:cs="Times New Roman"/>
        </w:rPr>
      </w:pPr>
      <w:r w:rsidRPr="004C5345">
        <w:rPr>
          <w:rFonts w:cs="Times New Roman"/>
        </w:rPr>
        <w:t> </w:t>
      </w:r>
    </w:p>
    <w:p w:rsidR="003E601E" w:rsidRPr="00023975" w:rsidRDefault="00023975" w:rsidP="00C462A8">
      <w:pPr>
        <w:spacing w:before="75" w:after="75"/>
        <w:ind w:firstLine="375"/>
        <w:jc w:val="both"/>
        <w:rPr>
          <w:i/>
        </w:rPr>
      </w:pPr>
      <w:r w:rsidRPr="00023975">
        <w:rPr>
          <w:i/>
        </w:rPr>
        <w:t xml:space="preserve">Anotācijas </w:t>
      </w:r>
      <w:r>
        <w:rPr>
          <w:i/>
        </w:rPr>
        <w:t>IV,</w:t>
      </w:r>
      <w:r w:rsidRPr="00023975">
        <w:rPr>
          <w:i/>
        </w:rPr>
        <w:t xml:space="preserve"> </w:t>
      </w:r>
      <w:r>
        <w:rPr>
          <w:i/>
        </w:rPr>
        <w:t>V</w:t>
      </w:r>
      <w:r w:rsidRPr="00023975">
        <w:rPr>
          <w:i/>
        </w:rPr>
        <w:t>, VII sadaļa – projekts šīs jomas neskar.</w:t>
      </w:r>
    </w:p>
    <w:p w:rsidR="00023975" w:rsidRPr="004C5345" w:rsidRDefault="00023975" w:rsidP="003E601E">
      <w:pPr>
        <w:pStyle w:val="naisf"/>
        <w:tabs>
          <w:tab w:val="left" w:pos="6710"/>
        </w:tabs>
        <w:spacing w:before="0" w:beforeAutospacing="0" w:after="0" w:afterAutospacing="0"/>
      </w:pPr>
    </w:p>
    <w:p w:rsidR="003E601E" w:rsidRDefault="003E601E" w:rsidP="004D49EF">
      <w:pPr>
        <w:tabs>
          <w:tab w:val="left" w:pos="6521"/>
        </w:tabs>
        <w:ind w:right="-143"/>
        <w:rPr>
          <w:rFonts w:cs="Times New Roman"/>
        </w:rPr>
      </w:pPr>
      <w:r w:rsidRPr="004C5345">
        <w:rPr>
          <w:rFonts w:cs="Times New Roman"/>
        </w:rPr>
        <w:t>Tieslietu ministr</w:t>
      </w:r>
      <w:r w:rsidR="00CC77B7">
        <w:rPr>
          <w:rFonts w:cs="Times New Roman"/>
        </w:rPr>
        <w:t>s</w:t>
      </w:r>
      <w:r w:rsidRPr="004C5345">
        <w:rPr>
          <w:rFonts w:cs="Times New Roman"/>
        </w:rPr>
        <w:tab/>
      </w:r>
      <w:r w:rsidR="00CC77B7">
        <w:rPr>
          <w:rFonts w:cs="Times New Roman"/>
        </w:rPr>
        <w:t xml:space="preserve">J. </w:t>
      </w:r>
      <w:proofErr w:type="spellStart"/>
      <w:r w:rsidR="00CC77B7">
        <w:rPr>
          <w:rFonts w:cs="Times New Roman"/>
        </w:rPr>
        <w:t>Bordāns</w:t>
      </w:r>
      <w:proofErr w:type="spellEnd"/>
    </w:p>
    <w:p w:rsidR="00885319" w:rsidRDefault="00885319" w:rsidP="004D49EF">
      <w:pPr>
        <w:tabs>
          <w:tab w:val="left" w:pos="6521"/>
        </w:tabs>
        <w:ind w:right="-143"/>
        <w:rPr>
          <w:rFonts w:cs="Times New Roman"/>
        </w:rPr>
      </w:pPr>
    </w:p>
    <w:p w:rsidR="00885319" w:rsidRDefault="00885319" w:rsidP="004D49EF">
      <w:pPr>
        <w:tabs>
          <w:tab w:val="left" w:pos="6521"/>
        </w:tabs>
        <w:ind w:right="-143"/>
        <w:rPr>
          <w:rFonts w:cs="Times New Roman"/>
        </w:rPr>
      </w:pPr>
      <w:r>
        <w:rPr>
          <w:rFonts w:cs="Times New Roman"/>
        </w:rPr>
        <w:t>Iesniedzējs:</w:t>
      </w:r>
    </w:p>
    <w:p w:rsidR="00885319" w:rsidRPr="004C5345" w:rsidRDefault="00EE6A3F" w:rsidP="004D49EF">
      <w:pPr>
        <w:tabs>
          <w:tab w:val="left" w:pos="6521"/>
        </w:tabs>
        <w:ind w:right="-143"/>
        <w:rPr>
          <w:rFonts w:cs="Times New Roman"/>
        </w:rPr>
      </w:pPr>
      <w:r>
        <w:rPr>
          <w:rFonts w:cs="Times New Roman"/>
        </w:rPr>
        <w:t>tieslietu ministr</w:t>
      </w:r>
      <w:r w:rsidR="00885319">
        <w:rPr>
          <w:rFonts w:cs="Times New Roman"/>
        </w:rPr>
        <w:t>s</w:t>
      </w:r>
      <w:r>
        <w:rPr>
          <w:rFonts w:cs="Times New Roman"/>
        </w:rPr>
        <w:tab/>
        <w:t xml:space="preserve">J. </w:t>
      </w:r>
      <w:proofErr w:type="spellStart"/>
      <w:r>
        <w:rPr>
          <w:rFonts w:cs="Times New Roman"/>
        </w:rPr>
        <w:t>Bordāns</w:t>
      </w:r>
      <w:proofErr w:type="spellEnd"/>
    </w:p>
    <w:p w:rsidR="003E601E" w:rsidRDefault="003E601E" w:rsidP="003E601E">
      <w:pPr>
        <w:rPr>
          <w:rFonts w:cs="Times New Roman"/>
        </w:rPr>
      </w:pPr>
    </w:p>
    <w:p w:rsidR="00F363D4" w:rsidRDefault="00F363D4" w:rsidP="003E601E">
      <w:pPr>
        <w:rPr>
          <w:rFonts w:cs="Times New Roman"/>
        </w:rPr>
      </w:pPr>
    </w:p>
    <w:p w:rsidR="00F363D4" w:rsidRDefault="00F363D4" w:rsidP="003E601E">
      <w:pPr>
        <w:rPr>
          <w:rFonts w:cs="Times New Roman"/>
        </w:rPr>
      </w:pPr>
    </w:p>
    <w:p w:rsidR="00F363D4" w:rsidRDefault="00F363D4" w:rsidP="003E601E">
      <w:pPr>
        <w:rPr>
          <w:rFonts w:cs="Times New Roman"/>
        </w:rPr>
      </w:pPr>
    </w:p>
    <w:p w:rsidR="004D49EF" w:rsidRPr="003D0790" w:rsidRDefault="005E50CC" w:rsidP="004D49EF">
      <w:pPr>
        <w:jc w:val="both"/>
        <w:rPr>
          <w:sz w:val="22"/>
          <w:szCs w:val="22"/>
        </w:rPr>
      </w:pPr>
      <w:r>
        <w:rPr>
          <w:sz w:val="22"/>
          <w:szCs w:val="22"/>
        </w:rPr>
        <w:t>1</w:t>
      </w:r>
      <w:r w:rsidR="00B5680D">
        <w:rPr>
          <w:sz w:val="22"/>
          <w:szCs w:val="22"/>
        </w:rPr>
        <w:t>7</w:t>
      </w:r>
      <w:r w:rsidR="003D0790">
        <w:rPr>
          <w:sz w:val="22"/>
          <w:szCs w:val="22"/>
        </w:rPr>
        <w:t>.</w:t>
      </w:r>
      <w:r w:rsidR="00511614">
        <w:rPr>
          <w:sz w:val="22"/>
          <w:szCs w:val="22"/>
        </w:rPr>
        <w:t>10</w:t>
      </w:r>
      <w:r w:rsidR="003D0790">
        <w:rPr>
          <w:sz w:val="22"/>
          <w:szCs w:val="22"/>
        </w:rPr>
        <w:t xml:space="preserve">.2013. </w:t>
      </w:r>
      <w:r w:rsidR="00B375AC">
        <w:rPr>
          <w:sz w:val="22"/>
          <w:szCs w:val="22"/>
        </w:rPr>
        <w:t>09</w:t>
      </w:r>
      <w:r w:rsidR="004D49EF" w:rsidRPr="003D0790">
        <w:rPr>
          <w:sz w:val="22"/>
          <w:szCs w:val="22"/>
        </w:rPr>
        <w:t>:</w:t>
      </w:r>
      <w:r>
        <w:rPr>
          <w:sz w:val="22"/>
          <w:szCs w:val="22"/>
        </w:rPr>
        <w:t>4</w:t>
      </w:r>
      <w:r w:rsidR="004D49EF" w:rsidRPr="003D0790">
        <w:rPr>
          <w:sz w:val="22"/>
          <w:szCs w:val="22"/>
        </w:rPr>
        <w:t>0</w:t>
      </w:r>
    </w:p>
    <w:p w:rsidR="004D49EF" w:rsidRPr="003D0790" w:rsidRDefault="00AA7A9F" w:rsidP="004D49EF">
      <w:pPr>
        <w:jc w:val="both"/>
        <w:rPr>
          <w:sz w:val="22"/>
          <w:szCs w:val="22"/>
        </w:rPr>
      </w:pPr>
      <w:r w:rsidRPr="003D0790">
        <w:rPr>
          <w:sz w:val="22"/>
          <w:szCs w:val="22"/>
        </w:rPr>
        <w:t>2</w:t>
      </w:r>
      <w:r w:rsidR="00AE45DF">
        <w:rPr>
          <w:sz w:val="22"/>
          <w:szCs w:val="22"/>
        </w:rPr>
        <w:t>784</w:t>
      </w:r>
      <w:bookmarkStart w:id="0" w:name="_GoBack"/>
      <w:bookmarkEnd w:id="0"/>
    </w:p>
    <w:p w:rsidR="004D49EF" w:rsidRPr="003D0790" w:rsidRDefault="004D49EF" w:rsidP="004D49EF">
      <w:pPr>
        <w:jc w:val="both"/>
        <w:rPr>
          <w:sz w:val="22"/>
          <w:szCs w:val="22"/>
        </w:rPr>
      </w:pPr>
      <w:r w:rsidRPr="003D0790">
        <w:rPr>
          <w:sz w:val="22"/>
          <w:szCs w:val="22"/>
        </w:rPr>
        <w:t>I.Rudzīte</w:t>
      </w:r>
    </w:p>
    <w:p w:rsidR="004D49EF" w:rsidRPr="003D0790" w:rsidRDefault="004D49EF" w:rsidP="004D49EF">
      <w:pPr>
        <w:jc w:val="both"/>
        <w:rPr>
          <w:sz w:val="22"/>
          <w:szCs w:val="22"/>
        </w:rPr>
      </w:pPr>
      <w:r w:rsidRPr="003D0790">
        <w:rPr>
          <w:sz w:val="22"/>
          <w:szCs w:val="22"/>
        </w:rPr>
        <w:t xml:space="preserve">67036931, </w:t>
      </w:r>
      <w:hyperlink r:id="rId9" w:history="1">
        <w:r w:rsidRPr="003D0790">
          <w:rPr>
            <w:rStyle w:val="Hipersaite"/>
            <w:sz w:val="22"/>
            <w:szCs w:val="22"/>
          </w:rPr>
          <w:t>Inese.Rudzite@tm.gov.lv</w:t>
        </w:r>
      </w:hyperlink>
      <w:r w:rsidRPr="003D0790">
        <w:rPr>
          <w:sz w:val="22"/>
          <w:szCs w:val="22"/>
        </w:rPr>
        <w:t xml:space="preserve"> </w:t>
      </w:r>
    </w:p>
    <w:p w:rsidR="004E7304" w:rsidRPr="004C5345" w:rsidRDefault="004E7304">
      <w:pPr>
        <w:rPr>
          <w:rFonts w:cs="Times New Roman"/>
        </w:rPr>
      </w:pPr>
    </w:p>
    <w:sectPr w:rsidR="004E7304" w:rsidRPr="004C5345" w:rsidSect="003D079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70" w:rsidRDefault="00EA7070" w:rsidP="00C1099F">
      <w:r>
        <w:separator/>
      </w:r>
    </w:p>
  </w:endnote>
  <w:endnote w:type="continuationSeparator" w:id="0">
    <w:p w:rsidR="00EA7070" w:rsidRDefault="00EA7070" w:rsidP="00C1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70" w:rsidRPr="00B51B3F" w:rsidRDefault="00B51B3F" w:rsidP="00B51B3F">
    <w:pPr>
      <w:pStyle w:val="Kjene"/>
      <w:jc w:val="both"/>
      <w:rPr>
        <w:b/>
        <w:bCs/>
        <w:sz w:val="20"/>
        <w:szCs w:val="20"/>
        <w:lang w:val="lv-LV"/>
      </w:rPr>
    </w:pPr>
    <w:r w:rsidRPr="00C1099F">
      <w:rPr>
        <w:sz w:val="20"/>
        <w:szCs w:val="20"/>
        <w:lang w:val="lv-LV"/>
      </w:rPr>
      <w:t>TM</w:t>
    </w:r>
    <w:r w:rsidR="00885319">
      <w:rPr>
        <w:sz w:val="20"/>
        <w:szCs w:val="20"/>
        <w:lang w:val="lv-LV"/>
      </w:rPr>
      <w:t>A</w:t>
    </w:r>
    <w:r w:rsidRPr="00C1099F">
      <w:rPr>
        <w:sz w:val="20"/>
        <w:szCs w:val="20"/>
        <w:lang w:val="lv-LV"/>
      </w:rPr>
      <w:t>not_</w:t>
    </w:r>
    <w:r w:rsidR="005E50CC">
      <w:rPr>
        <w:sz w:val="20"/>
        <w:szCs w:val="20"/>
        <w:lang w:val="lv-LV"/>
      </w:rPr>
      <w:t>1</w:t>
    </w:r>
    <w:r w:rsidR="00B5680D">
      <w:rPr>
        <w:sz w:val="20"/>
        <w:szCs w:val="20"/>
        <w:lang w:val="lv-LV"/>
      </w:rPr>
      <w:t>7</w:t>
    </w:r>
    <w:r w:rsidR="00A00417">
      <w:rPr>
        <w:sz w:val="20"/>
        <w:szCs w:val="20"/>
        <w:lang w:val="lv-LV"/>
      </w:rPr>
      <w:t>10</w:t>
    </w:r>
    <w:r w:rsidRPr="00C1099F">
      <w:rPr>
        <w:sz w:val="20"/>
        <w:szCs w:val="20"/>
        <w:lang w:val="lv-LV"/>
      </w:rPr>
      <w:t xml:space="preserve">13_tulkosana; Ministru kabineta noteikumu projekta </w:t>
    </w:r>
    <w:r w:rsidRPr="00C1099F">
      <w:rPr>
        <w:bCs/>
        <w:sz w:val="20"/>
        <w:szCs w:val="20"/>
      </w:rPr>
      <w:t>„</w:t>
    </w:r>
    <w:r w:rsidRPr="00750D47">
      <w:rPr>
        <w:bCs/>
        <w:sz w:val="20"/>
        <w:szCs w:val="20"/>
        <w:lang w:val="lv-LV"/>
      </w:rPr>
      <w:t>Kārtība un apjoms, kādā personai, kurai ir tiesības uz aizstāvību, tikšanās laikā ar aizstāvi tiek nodrošināta tulka palīdzība</w:t>
    </w:r>
    <w:r w:rsidRPr="00C1099F">
      <w:rPr>
        <w:sz w:val="20"/>
        <w:szCs w:val="20"/>
      </w:rPr>
      <w:t xml:space="preserve">” </w:t>
    </w:r>
    <w:r w:rsidRPr="00C1099F">
      <w:rPr>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6E" w:rsidRPr="0076606E" w:rsidRDefault="0076606E" w:rsidP="0076606E">
    <w:pPr>
      <w:pStyle w:val="Kjene"/>
      <w:jc w:val="both"/>
      <w:rPr>
        <w:b/>
        <w:bCs/>
        <w:sz w:val="20"/>
        <w:szCs w:val="20"/>
        <w:lang w:val="lv-LV"/>
      </w:rPr>
    </w:pPr>
    <w:r w:rsidRPr="00C1099F">
      <w:rPr>
        <w:sz w:val="20"/>
        <w:szCs w:val="20"/>
        <w:lang w:val="lv-LV"/>
      </w:rPr>
      <w:t>TM</w:t>
    </w:r>
    <w:r w:rsidR="00885319">
      <w:rPr>
        <w:sz w:val="20"/>
        <w:szCs w:val="20"/>
        <w:lang w:val="lv-LV"/>
      </w:rPr>
      <w:t>A</w:t>
    </w:r>
    <w:r w:rsidRPr="00C1099F">
      <w:rPr>
        <w:sz w:val="20"/>
        <w:szCs w:val="20"/>
        <w:lang w:val="lv-LV"/>
      </w:rPr>
      <w:t>not_</w:t>
    </w:r>
    <w:r w:rsidR="00546572">
      <w:rPr>
        <w:sz w:val="20"/>
        <w:szCs w:val="20"/>
        <w:lang w:val="lv-LV"/>
      </w:rPr>
      <w:t>1</w:t>
    </w:r>
    <w:r w:rsidR="00B5680D">
      <w:rPr>
        <w:sz w:val="20"/>
        <w:szCs w:val="20"/>
        <w:lang w:val="lv-LV"/>
      </w:rPr>
      <w:t>7</w:t>
    </w:r>
    <w:r w:rsidR="00A00417">
      <w:rPr>
        <w:sz w:val="20"/>
        <w:szCs w:val="20"/>
        <w:lang w:val="lv-LV"/>
      </w:rPr>
      <w:t>10</w:t>
    </w:r>
    <w:r w:rsidRPr="00C1099F">
      <w:rPr>
        <w:sz w:val="20"/>
        <w:szCs w:val="20"/>
        <w:lang w:val="lv-LV"/>
      </w:rPr>
      <w:t xml:space="preserve">13_tulkosana; Ministru kabineta noteikumu projekta </w:t>
    </w:r>
    <w:r w:rsidRPr="00C1099F">
      <w:rPr>
        <w:bCs/>
        <w:sz w:val="20"/>
        <w:szCs w:val="20"/>
      </w:rPr>
      <w:t>„</w:t>
    </w:r>
    <w:r w:rsidR="00750D47" w:rsidRPr="00750D47">
      <w:rPr>
        <w:bCs/>
        <w:sz w:val="20"/>
        <w:szCs w:val="20"/>
        <w:lang w:val="lv-LV"/>
      </w:rPr>
      <w:t>Kārtība un apjoms, kādā personai, kurai ir tiesības uz aizstāvību, tikšanās laikā ar aizstāvi tiek nodrošināta tulka palīdzība</w:t>
    </w:r>
    <w:r w:rsidRPr="00C1099F">
      <w:rPr>
        <w:sz w:val="20"/>
        <w:szCs w:val="20"/>
      </w:rPr>
      <w:t xml:space="preserve">” </w:t>
    </w:r>
    <w:r w:rsidRPr="00C1099F">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70" w:rsidRDefault="00EA7070" w:rsidP="00C1099F">
      <w:r>
        <w:separator/>
      </w:r>
    </w:p>
  </w:footnote>
  <w:footnote w:type="continuationSeparator" w:id="0">
    <w:p w:rsidR="00EA7070" w:rsidRDefault="00EA7070" w:rsidP="00C1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376676"/>
      <w:docPartObj>
        <w:docPartGallery w:val="Page Numbers (Top of Page)"/>
        <w:docPartUnique/>
      </w:docPartObj>
    </w:sdtPr>
    <w:sdtEndPr/>
    <w:sdtContent>
      <w:p w:rsidR="0076606E" w:rsidRDefault="0076606E">
        <w:pPr>
          <w:pStyle w:val="Galvene"/>
          <w:jc w:val="center"/>
        </w:pPr>
        <w:r>
          <w:fldChar w:fldCharType="begin"/>
        </w:r>
        <w:r>
          <w:instrText>PAGE   \* MERGEFORMAT</w:instrText>
        </w:r>
        <w:r>
          <w:fldChar w:fldCharType="separate"/>
        </w:r>
        <w:r w:rsidR="00AE45DF" w:rsidRPr="00AE45DF">
          <w:rPr>
            <w:noProof/>
            <w:lang w:val="lv-LV"/>
          </w:rPr>
          <w:t>9</w:t>
        </w:r>
        <w:r>
          <w:fldChar w:fldCharType="end"/>
        </w:r>
      </w:p>
    </w:sdtContent>
  </w:sdt>
  <w:p w:rsidR="0076606E" w:rsidRDefault="0076606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760"/>
    <w:multiLevelType w:val="hybridMultilevel"/>
    <w:tmpl w:val="9404E2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DC6DCE"/>
    <w:multiLevelType w:val="hybridMultilevel"/>
    <w:tmpl w:val="7C50A15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EC22B4"/>
    <w:multiLevelType w:val="hybridMultilevel"/>
    <w:tmpl w:val="FADC6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14A6A69"/>
    <w:multiLevelType w:val="hybridMultilevel"/>
    <w:tmpl w:val="E304C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1E"/>
    <w:rsid w:val="00000B2E"/>
    <w:rsid w:val="00010D29"/>
    <w:rsid w:val="00023975"/>
    <w:rsid w:val="00046EFB"/>
    <w:rsid w:val="00051BBF"/>
    <w:rsid w:val="0005507D"/>
    <w:rsid w:val="0008575E"/>
    <w:rsid w:val="000A6BC8"/>
    <w:rsid w:val="000B5861"/>
    <w:rsid w:val="00114A6C"/>
    <w:rsid w:val="00125B12"/>
    <w:rsid w:val="001326B4"/>
    <w:rsid w:val="0015029E"/>
    <w:rsid w:val="001629BC"/>
    <w:rsid w:val="00162D2C"/>
    <w:rsid w:val="00173A63"/>
    <w:rsid w:val="001969CB"/>
    <w:rsid w:val="001A28F3"/>
    <w:rsid w:val="001C756A"/>
    <w:rsid w:val="001D7976"/>
    <w:rsid w:val="001E11F4"/>
    <w:rsid w:val="001E3F9B"/>
    <w:rsid w:val="0021373C"/>
    <w:rsid w:val="00224F2B"/>
    <w:rsid w:val="002423B0"/>
    <w:rsid w:val="0025360C"/>
    <w:rsid w:val="00257ED7"/>
    <w:rsid w:val="002810D9"/>
    <w:rsid w:val="002855AC"/>
    <w:rsid w:val="002941FB"/>
    <w:rsid w:val="002B1BB4"/>
    <w:rsid w:val="002B3CA2"/>
    <w:rsid w:val="002E6B3F"/>
    <w:rsid w:val="002F6568"/>
    <w:rsid w:val="00303CF0"/>
    <w:rsid w:val="00334DA0"/>
    <w:rsid w:val="00344571"/>
    <w:rsid w:val="00371D2D"/>
    <w:rsid w:val="00373F49"/>
    <w:rsid w:val="003A6973"/>
    <w:rsid w:val="003B2684"/>
    <w:rsid w:val="003C1BC3"/>
    <w:rsid w:val="003C60CC"/>
    <w:rsid w:val="003D0790"/>
    <w:rsid w:val="003E583E"/>
    <w:rsid w:val="003E601E"/>
    <w:rsid w:val="003E79D9"/>
    <w:rsid w:val="003F5F4B"/>
    <w:rsid w:val="004204BC"/>
    <w:rsid w:val="00430F40"/>
    <w:rsid w:val="00452831"/>
    <w:rsid w:val="00474BFA"/>
    <w:rsid w:val="00490D37"/>
    <w:rsid w:val="004B6FBF"/>
    <w:rsid w:val="004B7EE7"/>
    <w:rsid w:val="004C5345"/>
    <w:rsid w:val="004C7128"/>
    <w:rsid w:val="004D49EF"/>
    <w:rsid w:val="004D4D32"/>
    <w:rsid w:val="004E7304"/>
    <w:rsid w:val="0050162C"/>
    <w:rsid w:val="00507C21"/>
    <w:rsid w:val="00511614"/>
    <w:rsid w:val="00525954"/>
    <w:rsid w:val="00532BDE"/>
    <w:rsid w:val="00533779"/>
    <w:rsid w:val="00535D50"/>
    <w:rsid w:val="00546572"/>
    <w:rsid w:val="00547057"/>
    <w:rsid w:val="005D712B"/>
    <w:rsid w:val="005E50CC"/>
    <w:rsid w:val="005F352F"/>
    <w:rsid w:val="005F3A48"/>
    <w:rsid w:val="00612B17"/>
    <w:rsid w:val="006157D6"/>
    <w:rsid w:val="006206AD"/>
    <w:rsid w:val="00621FE2"/>
    <w:rsid w:val="00656257"/>
    <w:rsid w:val="006708E9"/>
    <w:rsid w:val="006801F2"/>
    <w:rsid w:val="006B7646"/>
    <w:rsid w:val="006B7F17"/>
    <w:rsid w:val="006D22A8"/>
    <w:rsid w:val="006E6ADF"/>
    <w:rsid w:val="007028AE"/>
    <w:rsid w:val="007272F6"/>
    <w:rsid w:val="00727B53"/>
    <w:rsid w:val="00731A5F"/>
    <w:rsid w:val="0074262C"/>
    <w:rsid w:val="00750D47"/>
    <w:rsid w:val="00751884"/>
    <w:rsid w:val="0076606E"/>
    <w:rsid w:val="007679FC"/>
    <w:rsid w:val="00767BA0"/>
    <w:rsid w:val="00772202"/>
    <w:rsid w:val="00774CC7"/>
    <w:rsid w:val="007B0461"/>
    <w:rsid w:val="007D51A6"/>
    <w:rsid w:val="007D5E8E"/>
    <w:rsid w:val="008158CB"/>
    <w:rsid w:val="00816A56"/>
    <w:rsid w:val="00827134"/>
    <w:rsid w:val="0083080F"/>
    <w:rsid w:val="00856CD9"/>
    <w:rsid w:val="00885319"/>
    <w:rsid w:val="00887675"/>
    <w:rsid w:val="008928DF"/>
    <w:rsid w:val="008A1A8C"/>
    <w:rsid w:val="008C0D4F"/>
    <w:rsid w:val="008D1CD0"/>
    <w:rsid w:val="008D46C0"/>
    <w:rsid w:val="008E3DCB"/>
    <w:rsid w:val="009118D4"/>
    <w:rsid w:val="009212FA"/>
    <w:rsid w:val="00936D18"/>
    <w:rsid w:val="009A309E"/>
    <w:rsid w:val="009A4A08"/>
    <w:rsid w:val="009B4768"/>
    <w:rsid w:val="009B7ACC"/>
    <w:rsid w:val="009D281D"/>
    <w:rsid w:val="009E644B"/>
    <w:rsid w:val="00A00417"/>
    <w:rsid w:val="00A125C0"/>
    <w:rsid w:val="00A2780C"/>
    <w:rsid w:val="00A354E0"/>
    <w:rsid w:val="00A3646C"/>
    <w:rsid w:val="00A36703"/>
    <w:rsid w:val="00A657E3"/>
    <w:rsid w:val="00AA7A9F"/>
    <w:rsid w:val="00AB2D13"/>
    <w:rsid w:val="00AD09C7"/>
    <w:rsid w:val="00AE43EB"/>
    <w:rsid w:val="00AE45DF"/>
    <w:rsid w:val="00AF4D6C"/>
    <w:rsid w:val="00B03554"/>
    <w:rsid w:val="00B1067B"/>
    <w:rsid w:val="00B11194"/>
    <w:rsid w:val="00B25AED"/>
    <w:rsid w:val="00B375AC"/>
    <w:rsid w:val="00B51B3F"/>
    <w:rsid w:val="00B5680D"/>
    <w:rsid w:val="00B82CA4"/>
    <w:rsid w:val="00B93B15"/>
    <w:rsid w:val="00BA5FE0"/>
    <w:rsid w:val="00BF69FD"/>
    <w:rsid w:val="00C1099F"/>
    <w:rsid w:val="00C10D19"/>
    <w:rsid w:val="00C229AA"/>
    <w:rsid w:val="00C3175D"/>
    <w:rsid w:val="00C462A8"/>
    <w:rsid w:val="00C50BFB"/>
    <w:rsid w:val="00C81A52"/>
    <w:rsid w:val="00C90A0F"/>
    <w:rsid w:val="00C9362C"/>
    <w:rsid w:val="00C95CCD"/>
    <w:rsid w:val="00C97FF3"/>
    <w:rsid w:val="00CA25AC"/>
    <w:rsid w:val="00CC77B7"/>
    <w:rsid w:val="00CD2C88"/>
    <w:rsid w:val="00D315C0"/>
    <w:rsid w:val="00D34381"/>
    <w:rsid w:val="00D35803"/>
    <w:rsid w:val="00D374BA"/>
    <w:rsid w:val="00D678A0"/>
    <w:rsid w:val="00D94485"/>
    <w:rsid w:val="00D9791A"/>
    <w:rsid w:val="00DA11AA"/>
    <w:rsid w:val="00DA7A7B"/>
    <w:rsid w:val="00DF3EC1"/>
    <w:rsid w:val="00DF755D"/>
    <w:rsid w:val="00E02304"/>
    <w:rsid w:val="00E054AE"/>
    <w:rsid w:val="00E061EE"/>
    <w:rsid w:val="00E24C31"/>
    <w:rsid w:val="00E2764B"/>
    <w:rsid w:val="00E71F12"/>
    <w:rsid w:val="00E774F7"/>
    <w:rsid w:val="00EA43B5"/>
    <w:rsid w:val="00EA7070"/>
    <w:rsid w:val="00EB4367"/>
    <w:rsid w:val="00EB61E4"/>
    <w:rsid w:val="00EC31EB"/>
    <w:rsid w:val="00EC4549"/>
    <w:rsid w:val="00EE4EC0"/>
    <w:rsid w:val="00EE6A3F"/>
    <w:rsid w:val="00EE79FF"/>
    <w:rsid w:val="00EF5180"/>
    <w:rsid w:val="00F1070F"/>
    <w:rsid w:val="00F13B70"/>
    <w:rsid w:val="00F363D4"/>
    <w:rsid w:val="00F45A96"/>
    <w:rsid w:val="00F71BEF"/>
    <w:rsid w:val="00F84F9B"/>
    <w:rsid w:val="00FB6A0B"/>
    <w:rsid w:val="00FB7D07"/>
    <w:rsid w:val="00FC63F8"/>
    <w:rsid w:val="00FD7E59"/>
    <w:rsid w:val="00FE1318"/>
    <w:rsid w:val="00FF0D50"/>
    <w:rsid w:val="00FF5A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E601E"/>
    <w:rPr>
      <w:rFonts w:eastAsia="Times New Roman" w:cs="Arial Unicode MS"/>
      <w:lang w:eastAsia="lv-LV" w:bidi="lo-LA"/>
    </w:rPr>
  </w:style>
  <w:style w:type="paragraph" w:styleId="Virsraksts1">
    <w:name w:val="heading 1"/>
    <w:basedOn w:val="Parasts"/>
    <w:link w:val="Virsraksts1Rakstz"/>
    <w:uiPriority w:val="9"/>
    <w:qFormat/>
    <w:rsid w:val="003E601E"/>
    <w:pPr>
      <w:outlineLvl w:val="0"/>
    </w:pPr>
    <w:rPr>
      <w:rFonts w:ascii="Tahoma" w:hAnsi="Tahoma" w:cs="Times New Roman"/>
      <w:b/>
      <w:bCs/>
      <w:kern w:val="36"/>
      <w:sz w:val="38"/>
      <w:szCs w:val="38"/>
      <w:lang w:val="x-none" w:eastAsia="x-none"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E601E"/>
    <w:rPr>
      <w:rFonts w:ascii="Tahoma" w:eastAsia="Times New Roman" w:hAnsi="Tahoma"/>
      <w:b/>
      <w:bCs/>
      <w:kern w:val="36"/>
      <w:sz w:val="38"/>
      <w:szCs w:val="38"/>
      <w:lang w:val="x-none" w:eastAsia="x-none"/>
    </w:rPr>
  </w:style>
  <w:style w:type="paragraph" w:styleId="Sarakstarindkopa">
    <w:name w:val="List Paragraph"/>
    <w:basedOn w:val="Parasts"/>
    <w:uiPriority w:val="34"/>
    <w:qFormat/>
    <w:rsid w:val="003E601E"/>
    <w:pPr>
      <w:ind w:left="720"/>
      <w:contextualSpacing/>
    </w:pPr>
  </w:style>
  <w:style w:type="paragraph" w:styleId="Galvene">
    <w:name w:val="header"/>
    <w:basedOn w:val="Parasts"/>
    <w:link w:val="GalveneRakstz"/>
    <w:uiPriority w:val="99"/>
    <w:unhideWhenUsed/>
    <w:rsid w:val="003E601E"/>
    <w:pPr>
      <w:tabs>
        <w:tab w:val="center" w:pos="4153"/>
        <w:tab w:val="right" w:pos="8306"/>
      </w:tabs>
    </w:pPr>
    <w:rPr>
      <w:lang w:val="x-none" w:eastAsia="x-none"/>
    </w:rPr>
  </w:style>
  <w:style w:type="character" w:customStyle="1" w:styleId="GalveneRakstz">
    <w:name w:val="Galvene Rakstz."/>
    <w:basedOn w:val="Noklusjumarindkopasfonts"/>
    <w:link w:val="Galvene"/>
    <w:uiPriority w:val="99"/>
    <w:rsid w:val="003E601E"/>
    <w:rPr>
      <w:rFonts w:eastAsia="Times New Roman" w:cs="Arial Unicode MS"/>
      <w:lang w:val="x-none" w:eastAsia="x-none" w:bidi="lo-LA"/>
    </w:rPr>
  </w:style>
  <w:style w:type="paragraph" w:styleId="Kjene">
    <w:name w:val="footer"/>
    <w:basedOn w:val="Parasts"/>
    <w:link w:val="KjeneRakstz"/>
    <w:uiPriority w:val="99"/>
    <w:unhideWhenUsed/>
    <w:rsid w:val="003E601E"/>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3E601E"/>
    <w:rPr>
      <w:rFonts w:eastAsia="Times New Roman" w:cs="Arial Unicode MS"/>
      <w:lang w:val="x-none" w:eastAsia="x-none" w:bidi="lo-LA"/>
    </w:rPr>
  </w:style>
  <w:style w:type="paragraph" w:styleId="Balonteksts">
    <w:name w:val="Balloon Text"/>
    <w:basedOn w:val="Parasts"/>
    <w:link w:val="BalontekstsRakstz"/>
    <w:uiPriority w:val="99"/>
    <w:semiHidden/>
    <w:unhideWhenUsed/>
    <w:rsid w:val="003E601E"/>
    <w:rPr>
      <w:rFonts w:ascii="Tahoma" w:hAnsi="Tahoma" w:cs="Tahoma"/>
      <w:sz w:val="16"/>
      <w:szCs w:val="16"/>
      <w:lang w:val="x-none" w:eastAsia="x-none"/>
    </w:rPr>
  </w:style>
  <w:style w:type="character" w:customStyle="1" w:styleId="BalontekstsRakstz">
    <w:name w:val="Balonteksts Rakstz."/>
    <w:basedOn w:val="Noklusjumarindkopasfonts"/>
    <w:link w:val="Balonteksts"/>
    <w:uiPriority w:val="99"/>
    <w:semiHidden/>
    <w:rsid w:val="003E601E"/>
    <w:rPr>
      <w:rFonts w:ascii="Tahoma" w:eastAsia="Times New Roman" w:hAnsi="Tahoma" w:cs="Tahoma"/>
      <w:sz w:val="16"/>
      <w:szCs w:val="16"/>
      <w:lang w:val="x-none" w:eastAsia="x-none" w:bidi="lo-LA"/>
    </w:rPr>
  </w:style>
  <w:style w:type="character" w:styleId="Komentraatsauce">
    <w:name w:val="annotation reference"/>
    <w:uiPriority w:val="99"/>
    <w:semiHidden/>
    <w:unhideWhenUsed/>
    <w:rsid w:val="003E601E"/>
    <w:rPr>
      <w:rFonts w:cs="Times New Roman"/>
      <w:sz w:val="16"/>
      <w:szCs w:val="16"/>
    </w:rPr>
  </w:style>
  <w:style w:type="paragraph" w:styleId="Komentrateksts">
    <w:name w:val="annotation text"/>
    <w:basedOn w:val="Parasts"/>
    <w:link w:val="KomentratekstsRakstz"/>
    <w:uiPriority w:val="99"/>
    <w:unhideWhenUsed/>
    <w:rsid w:val="003E601E"/>
    <w:rPr>
      <w:sz w:val="20"/>
      <w:szCs w:val="20"/>
      <w:lang w:val="x-none" w:eastAsia="x-none"/>
    </w:rPr>
  </w:style>
  <w:style w:type="character" w:customStyle="1" w:styleId="KomentratekstsRakstz">
    <w:name w:val="Komentāra teksts Rakstz."/>
    <w:basedOn w:val="Noklusjumarindkopasfonts"/>
    <w:link w:val="Komentrateksts"/>
    <w:uiPriority w:val="99"/>
    <w:rsid w:val="003E601E"/>
    <w:rPr>
      <w:rFonts w:eastAsia="Times New Roman" w:cs="Arial Unicode MS"/>
      <w:sz w:val="20"/>
      <w:szCs w:val="20"/>
      <w:lang w:val="x-none" w:eastAsia="x-none" w:bidi="lo-LA"/>
    </w:rPr>
  </w:style>
  <w:style w:type="paragraph" w:styleId="Komentratma">
    <w:name w:val="annotation subject"/>
    <w:basedOn w:val="Komentrateksts"/>
    <w:next w:val="Komentrateksts"/>
    <w:link w:val="KomentratmaRakstz"/>
    <w:uiPriority w:val="99"/>
    <w:semiHidden/>
    <w:unhideWhenUsed/>
    <w:rsid w:val="003E601E"/>
    <w:rPr>
      <w:b/>
      <w:bCs/>
    </w:rPr>
  </w:style>
  <w:style w:type="character" w:customStyle="1" w:styleId="KomentratmaRakstz">
    <w:name w:val="Komentāra tēma Rakstz."/>
    <w:basedOn w:val="KomentratekstsRakstz"/>
    <w:link w:val="Komentratma"/>
    <w:uiPriority w:val="99"/>
    <w:semiHidden/>
    <w:rsid w:val="003E601E"/>
    <w:rPr>
      <w:rFonts w:eastAsia="Times New Roman" w:cs="Arial Unicode MS"/>
      <w:b/>
      <w:bCs/>
      <w:sz w:val="20"/>
      <w:szCs w:val="20"/>
      <w:lang w:val="x-none" w:eastAsia="x-none" w:bidi="lo-LA"/>
    </w:rPr>
  </w:style>
  <w:style w:type="character" w:styleId="Hipersaite">
    <w:name w:val="Hyperlink"/>
    <w:uiPriority w:val="99"/>
    <w:unhideWhenUsed/>
    <w:rsid w:val="003E601E"/>
    <w:rPr>
      <w:rFonts w:cs="Times New Roman"/>
      <w:color w:val="0000FF"/>
      <w:u w:val="single"/>
    </w:rPr>
  </w:style>
  <w:style w:type="paragraph" w:styleId="Vresteksts">
    <w:name w:val="footnote text"/>
    <w:basedOn w:val="Parasts"/>
    <w:link w:val="VrestekstsRakstz"/>
    <w:uiPriority w:val="99"/>
    <w:unhideWhenUsed/>
    <w:rsid w:val="003E601E"/>
    <w:rPr>
      <w:sz w:val="20"/>
      <w:szCs w:val="20"/>
      <w:lang w:val="x-none" w:eastAsia="x-none"/>
    </w:rPr>
  </w:style>
  <w:style w:type="character" w:customStyle="1" w:styleId="VrestekstsRakstz">
    <w:name w:val="Vēres teksts Rakstz."/>
    <w:basedOn w:val="Noklusjumarindkopasfonts"/>
    <w:link w:val="Vresteksts"/>
    <w:uiPriority w:val="99"/>
    <w:rsid w:val="003E601E"/>
    <w:rPr>
      <w:rFonts w:eastAsia="Times New Roman" w:cs="Arial Unicode MS"/>
      <w:sz w:val="20"/>
      <w:szCs w:val="20"/>
      <w:lang w:val="x-none" w:eastAsia="x-none" w:bidi="lo-LA"/>
    </w:rPr>
  </w:style>
  <w:style w:type="character" w:styleId="Vresatsauce">
    <w:name w:val="footnote reference"/>
    <w:uiPriority w:val="99"/>
    <w:semiHidden/>
    <w:unhideWhenUsed/>
    <w:rsid w:val="003E601E"/>
    <w:rPr>
      <w:rFonts w:cs="Times New Roman"/>
      <w:vertAlign w:val="superscript"/>
    </w:rPr>
  </w:style>
  <w:style w:type="paragraph" w:styleId="Prskatjums">
    <w:name w:val="Revision"/>
    <w:hidden/>
    <w:uiPriority w:val="99"/>
    <w:semiHidden/>
    <w:rsid w:val="003E601E"/>
    <w:rPr>
      <w:rFonts w:eastAsia="Times New Roman" w:cs="Arial Unicode MS"/>
      <w:lang w:eastAsia="lv-LV" w:bidi="lo-LA"/>
    </w:rPr>
  </w:style>
  <w:style w:type="paragraph" w:styleId="Paraststmeklis">
    <w:name w:val="Normal (Web)"/>
    <w:basedOn w:val="Parasts"/>
    <w:unhideWhenUsed/>
    <w:rsid w:val="003E601E"/>
    <w:pPr>
      <w:spacing w:before="100" w:beforeAutospacing="1" w:after="100" w:afterAutospacing="1"/>
    </w:pPr>
    <w:rPr>
      <w:rFonts w:eastAsia="Calibri" w:cs="Times New Roman"/>
      <w:lang w:bidi="ar-SA"/>
    </w:rPr>
  </w:style>
  <w:style w:type="character" w:styleId="Izteiksmgs">
    <w:name w:val="Strong"/>
    <w:uiPriority w:val="22"/>
    <w:qFormat/>
    <w:rsid w:val="003E601E"/>
    <w:rPr>
      <w:b/>
      <w:bCs/>
    </w:rPr>
  </w:style>
  <w:style w:type="paragraph" w:styleId="Pamatteksts">
    <w:name w:val="Body Text"/>
    <w:basedOn w:val="Parasts"/>
    <w:link w:val="PamattekstsRakstz"/>
    <w:uiPriority w:val="99"/>
    <w:rsid w:val="003E601E"/>
    <w:pPr>
      <w:jc w:val="center"/>
    </w:pPr>
    <w:rPr>
      <w:rFonts w:cs="Times New Roman"/>
      <w:b/>
      <w:szCs w:val="20"/>
      <w:lang w:bidi="ar-SA"/>
    </w:rPr>
  </w:style>
  <w:style w:type="character" w:customStyle="1" w:styleId="PamattekstsRakstz">
    <w:name w:val="Pamatteksts Rakstz."/>
    <w:basedOn w:val="Noklusjumarindkopasfonts"/>
    <w:link w:val="Pamatteksts"/>
    <w:uiPriority w:val="99"/>
    <w:rsid w:val="003E601E"/>
    <w:rPr>
      <w:rFonts w:eastAsia="Times New Roman"/>
      <w:b/>
      <w:szCs w:val="20"/>
      <w:lang w:eastAsia="lv-LV"/>
    </w:rPr>
  </w:style>
  <w:style w:type="paragraph" w:styleId="Pamattekstaatkpe2">
    <w:name w:val="Body Text Indent 2"/>
    <w:basedOn w:val="Parasts"/>
    <w:link w:val="Pamattekstaatkpe2Rakstz"/>
    <w:rsid w:val="003E601E"/>
    <w:pPr>
      <w:ind w:firstLine="709"/>
      <w:jc w:val="both"/>
    </w:pPr>
    <w:rPr>
      <w:rFonts w:cs="Times New Roman"/>
      <w:sz w:val="28"/>
      <w:szCs w:val="20"/>
      <w:lang w:eastAsia="en-US" w:bidi="ar-SA"/>
    </w:rPr>
  </w:style>
  <w:style w:type="character" w:customStyle="1" w:styleId="Pamattekstaatkpe2Rakstz">
    <w:name w:val="Pamatteksta atkāpe 2 Rakstz."/>
    <w:basedOn w:val="Noklusjumarindkopasfonts"/>
    <w:link w:val="Pamattekstaatkpe2"/>
    <w:rsid w:val="003E601E"/>
    <w:rPr>
      <w:rFonts w:eastAsia="Times New Roman"/>
      <w:sz w:val="28"/>
      <w:szCs w:val="20"/>
    </w:rPr>
  </w:style>
  <w:style w:type="paragraph" w:customStyle="1" w:styleId="naisvisr">
    <w:name w:val="naisvisr"/>
    <w:basedOn w:val="Parasts"/>
    <w:rsid w:val="003E601E"/>
    <w:pPr>
      <w:spacing w:before="100" w:beforeAutospacing="1" w:after="100" w:afterAutospacing="1"/>
    </w:pPr>
    <w:rPr>
      <w:rFonts w:cs="Times New Roman"/>
      <w:lang w:bidi="ar-SA"/>
    </w:rPr>
  </w:style>
  <w:style w:type="paragraph" w:customStyle="1" w:styleId="naisf">
    <w:name w:val="naisf"/>
    <w:basedOn w:val="Parasts"/>
    <w:rsid w:val="003E601E"/>
    <w:pPr>
      <w:spacing w:before="100" w:beforeAutospacing="1" w:after="100" w:afterAutospacing="1"/>
    </w:pPr>
    <w:rPr>
      <w:rFonts w:cs="Times New Roman"/>
      <w:lang w:bidi="ar-SA"/>
    </w:rPr>
  </w:style>
  <w:style w:type="paragraph" w:customStyle="1" w:styleId="StyleRight">
    <w:name w:val="Style Right"/>
    <w:basedOn w:val="Parasts"/>
    <w:rsid w:val="003E601E"/>
    <w:pPr>
      <w:spacing w:after="120"/>
      <w:ind w:firstLine="720"/>
      <w:jc w:val="right"/>
    </w:pPr>
    <w:rPr>
      <w:rFonts w:cs="Times New Roman"/>
      <w:sz w:val="28"/>
      <w:szCs w:val="28"/>
      <w:lang w:eastAsia="en-US" w:bidi="ar-SA"/>
    </w:rPr>
  </w:style>
  <w:style w:type="paragraph" w:customStyle="1" w:styleId="Char">
    <w:name w:val="Char"/>
    <w:basedOn w:val="Parasts"/>
    <w:next w:val="Parasts"/>
    <w:rsid w:val="003E601E"/>
    <w:pPr>
      <w:spacing w:before="120" w:after="160" w:line="240" w:lineRule="exact"/>
      <w:ind w:firstLine="720"/>
      <w:jc w:val="both"/>
    </w:pPr>
    <w:rPr>
      <w:rFonts w:ascii="Verdana" w:hAnsi="Verdana" w:cs="Times New Roman"/>
      <w:sz w:val="20"/>
      <w:szCs w:val="20"/>
      <w:lang w:val="en-US" w:eastAsia="en-US" w:bidi="ar-SA"/>
    </w:rPr>
  </w:style>
  <w:style w:type="paragraph" w:customStyle="1" w:styleId="Char1">
    <w:name w:val="Char1"/>
    <w:basedOn w:val="Parasts"/>
    <w:next w:val="Parasts"/>
    <w:rsid w:val="003E601E"/>
    <w:pPr>
      <w:spacing w:before="120" w:after="160" w:line="240" w:lineRule="exact"/>
      <w:ind w:firstLine="720"/>
      <w:jc w:val="both"/>
    </w:pPr>
    <w:rPr>
      <w:rFonts w:ascii="Verdana" w:hAnsi="Verdana" w:cs="Times New Roman"/>
      <w:sz w:val="20"/>
      <w:szCs w:val="20"/>
      <w:lang w:val="en-US" w:eastAsia="en-US" w:bidi="ar-SA"/>
    </w:rPr>
  </w:style>
  <w:style w:type="paragraph" w:customStyle="1" w:styleId="naisnod">
    <w:name w:val="naisnod"/>
    <w:basedOn w:val="Parasts"/>
    <w:rsid w:val="003E601E"/>
    <w:pPr>
      <w:spacing w:before="150" w:after="150"/>
      <w:jc w:val="center"/>
    </w:pPr>
    <w:rPr>
      <w:rFonts w:cs="Times New Roman"/>
      <w:b/>
      <w:bCs/>
      <w:lang w:bidi="ar-SA"/>
    </w:rPr>
  </w:style>
  <w:style w:type="paragraph" w:customStyle="1" w:styleId="naislab">
    <w:name w:val="naislab"/>
    <w:basedOn w:val="Parasts"/>
    <w:rsid w:val="003E601E"/>
    <w:pPr>
      <w:spacing w:before="75" w:after="75"/>
      <w:jc w:val="right"/>
    </w:pPr>
    <w:rPr>
      <w:rFonts w:cs="Times New Roman"/>
      <w:lang w:bidi="ar-SA"/>
    </w:rPr>
  </w:style>
  <w:style w:type="paragraph" w:customStyle="1" w:styleId="naiskr">
    <w:name w:val="naiskr"/>
    <w:basedOn w:val="Parasts"/>
    <w:rsid w:val="003E601E"/>
    <w:pPr>
      <w:spacing w:before="75" w:after="75"/>
    </w:pPr>
    <w:rPr>
      <w:rFonts w:cs="Times New Roman"/>
      <w:lang w:bidi="ar-SA"/>
    </w:rPr>
  </w:style>
  <w:style w:type="paragraph" w:customStyle="1" w:styleId="naisc">
    <w:name w:val="naisc"/>
    <w:basedOn w:val="Parasts"/>
    <w:rsid w:val="003E601E"/>
    <w:pPr>
      <w:spacing w:before="75" w:after="75"/>
      <w:jc w:val="center"/>
    </w:pPr>
    <w:rPr>
      <w:rFonts w:cs="Times New Roman"/>
      <w:lang w:bidi="ar-SA"/>
    </w:rPr>
  </w:style>
  <w:style w:type="table" w:styleId="Reatabula">
    <w:name w:val="Table Grid"/>
    <w:basedOn w:val="Parastatabula"/>
    <w:uiPriority w:val="59"/>
    <w:rsid w:val="003E601E"/>
    <w:rPr>
      <w:rFonts w:ascii="Calibri" w:eastAsia="Times New Roman" w:hAnsi="Calibri"/>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Parasts"/>
    <w:rsid w:val="003E601E"/>
    <w:pPr>
      <w:spacing w:before="300" w:after="150"/>
      <w:ind w:left="375" w:firstLine="375"/>
      <w:jc w:val="both"/>
    </w:pPr>
    <w:rPr>
      <w:rFonts w:cs="Times New Roman"/>
      <w:b/>
      <w:bCs/>
      <w:lang w:bidi="ar-SA"/>
    </w:rPr>
  </w:style>
  <w:style w:type="paragraph" w:styleId="Pamattekstsaratkpi">
    <w:name w:val="Body Text Indent"/>
    <w:basedOn w:val="Parasts"/>
    <w:link w:val="PamattekstsaratkpiRakstz"/>
    <w:uiPriority w:val="99"/>
    <w:rsid w:val="003E601E"/>
    <w:pPr>
      <w:ind w:firstLine="720"/>
      <w:jc w:val="both"/>
    </w:pPr>
    <w:rPr>
      <w:rFonts w:cs="Times New Roman"/>
      <w:lang w:val="x-none" w:eastAsia="ru-RU" w:bidi="ar-SA"/>
    </w:rPr>
  </w:style>
  <w:style w:type="character" w:customStyle="1" w:styleId="PamattekstsaratkpiRakstz">
    <w:name w:val="Pamatteksts ar atkāpi Rakstz."/>
    <w:basedOn w:val="Noklusjumarindkopasfonts"/>
    <w:link w:val="Pamattekstsaratkpi"/>
    <w:uiPriority w:val="99"/>
    <w:rsid w:val="003E601E"/>
    <w:rPr>
      <w:rFonts w:eastAsia="Times New Roman"/>
      <w:lang w:val="x-none" w:eastAsia="ru-RU"/>
    </w:rPr>
  </w:style>
  <w:style w:type="character" w:customStyle="1" w:styleId="iil-resultnotpaid1">
    <w:name w:val="iil-resultnotpaid1"/>
    <w:rsid w:val="003E601E"/>
    <w:rPr>
      <w:rFonts w:ascii="Arial" w:hAnsi="Arial" w:cs="Arial"/>
      <w:color w:val="0F1478"/>
      <w:sz w:val="15"/>
      <w:szCs w:val="15"/>
    </w:rPr>
  </w:style>
  <w:style w:type="paragraph" w:styleId="Pamattekstaatkpe3">
    <w:name w:val="Body Text Indent 3"/>
    <w:basedOn w:val="Parasts"/>
    <w:link w:val="Pamattekstaatkpe3Rakstz"/>
    <w:uiPriority w:val="99"/>
    <w:semiHidden/>
    <w:unhideWhenUsed/>
    <w:rsid w:val="003E601E"/>
    <w:pPr>
      <w:spacing w:after="120" w:line="276" w:lineRule="auto"/>
      <w:ind w:left="283"/>
    </w:pPr>
    <w:rPr>
      <w:rFonts w:ascii="Calibri" w:hAnsi="Calibri" w:cs="Times New Roman"/>
      <w:sz w:val="16"/>
      <w:szCs w:val="16"/>
      <w:lang w:val="x-none" w:eastAsia="en-US" w:bidi="ar-SA"/>
    </w:rPr>
  </w:style>
  <w:style w:type="character" w:customStyle="1" w:styleId="Pamattekstaatkpe3Rakstz">
    <w:name w:val="Pamatteksta atkāpe 3 Rakstz."/>
    <w:basedOn w:val="Noklusjumarindkopasfonts"/>
    <w:link w:val="Pamattekstaatkpe3"/>
    <w:uiPriority w:val="99"/>
    <w:semiHidden/>
    <w:rsid w:val="003E601E"/>
    <w:rPr>
      <w:rFonts w:ascii="Calibri" w:eastAsia="Times New Roman" w:hAnsi="Calibri"/>
      <w:sz w:val="16"/>
      <w:szCs w:val="16"/>
      <w:lang w:val="x-none"/>
    </w:rPr>
  </w:style>
  <w:style w:type="character" w:styleId="Izmantotahipersaite">
    <w:name w:val="FollowedHyperlink"/>
    <w:uiPriority w:val="99"/>
    <w:semiHidden/>
    <w:unhideWhenUsed/>
    <w:rsid w:val="003E601E"/>
    <w:rPr>
      <w:rFonts w:cs="Times New Roman"/>
      <w:color w:val="800080"/>
      <w:u w:val="single"/>
    </w:rPr>
  </w:style>
  <w:style w:type="paragraph" w:customStyle="1" w:styleId="msonospacing0">
    <w:name w:val="msonospacing"/>
    <w:basedOn w:val="Parasts"/>
    <w:rsid w:val="003E601E"/>
    <w:rPr>
      <w:rFonts w:ascii="Calibri" w:hAnsi="Calibri" w:cs="Times New Roman"/>
      <w:sz w:val="22"/>
      <w:szCs w:val="22"/>
      <w:lang w:bidi="ar-SA"/>
    </w:rPr>
  </w:style>
  <w:style w:type="paragraph" w:styleId="Nosaukums">
    <w:name w:val="Title"/>
    <w:basedOn w:val="Parasts"/>
    <w:link w:val="NosaukumsRakstz"/>
    <w:qFormat/>
    <w:rsid w:val="003E601E"/>
    <w:pPr>
      <w:jc w:val="center"/>
    </w:pPr>
    <w:rPr>
      <w:rFonts w:cs="Times New Roman"/>
      <w:sz w:val="28"/>
      <w:szCs w:val="28"/>
      <w:lang w:bidi="ar-SA"/>
    </w:rPr>
  </w:style>
  <w:style w:type="character" w:customStyle="1" w:styleId="NosaukumsRakstz">
    <w:name w:val="Nosaukums Rakstz."/>
    <w:basedOn w:val="Noklusjumarindkopasfonts"/>
    <w:link w:val="Nosaukums"/>
    <w:rsid w:val="003E601E"/>
    <w:rPr>
      <w:rFonts w:eastAsia="Times New Roman"/>
      <w:sz w:val="28"/>
      <w:szCs w:val="28"/>
      <w:lang w:eastAsia="lv-LV"/>
    </w:rPr>
  </w:style>
  <w:style w:type="character" w:customStyle="1" w:styleId="spelle">
    <w:name w:val="spelle"/>
    <w:rsid w:val="003E6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E601E"/>
    <w:rPr>
      <w:rFonts w:eastAsia="Times New Roman" w:cs="Arial Unicode MS"/>
      <w:lang w:eastAsia="lv-LV" w:bidi="lo-LA"/>
    </w:rPr>
  </w:style>
  <w:style w:type="paragraph" w:styleId="Virsraksts1">
    <w:name w:val="heading 1"/>
    <w:basedOn w:val="Parasts"/>
    <w:link w:val="Virsraksts1Rakstz"/>
    <w:uiPriority w:val="9"/>
    <w:qFormat/>
    <w:rsid w:val="003E601E"/>
    <w:pPr>
      <w:outlineLvl w:val="0"/>
    </w:pPr>
    <w:rPr>
      <w:rFonts w:ascii="Tahoma" w:hAnsi="Tahoma" w:cs="Times New Roman"/>
      <w:b/>
      <w:bCs/>
      <w:kern w:val="36"/>
      <w:sz w:val="38"/>
      <w:szCs w:val="38"/>
      <w:lang w:val="x-none" w:eastAsia="x-none"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E601E"/>
    <w:rPr>
      <w:rFonts w:ascii="Tahoma" w:eastAsia="Times New Roman" w:hAnsi="Tahoma"/>
      <w:b/>
      <w:bCs/>
      <w:kern w:val="36"/>
      <w:sz w:val="38"/>
      <w:szCs w:val="38"/>
      <w:lang w:val="x-none" w:eastAsia="x-none"/>
    </w:rPr>
  </w:style>
  <w:style w:type="paragraph" w:styleId="Sarakstarindkopa">
    <w:name w:val="List Paragraph"/>
    <w:basedOn w:val="Parasts"/>
    <w:uiPriority w:val="34"/>
    <w:qFormat/>
    <w:rsid w:val="003E601E"/>
    <w:pPr>
      <w:ind w:left="720"/>
      <w:contextualSpacing/>
    </w:pPr>
  </w:style>
  <w:style w:type="paragraph" w:styleId="Galvene">
    <w:name w:val="header"/>
    <w:basedOn w:val="Parasts"/>
    <w:link w:val="GalveneRakstz"/>
    <w:uiPriority w:val="99"/>
    <w:unhideWhenUsed/>
    <w:rsid w:val="003E601E"/>
    <w:pPr>
      <w:tabs>
        <w:tab w:val="center" w:pos="4153"/>
        <w:tab w:val="right" w:pos="8306"/>
      </w:tabs>
    </w:pPr>
    <w:rPr>
      <w:lang w:val="x-none" w:eastAsia="x-none"/>
    </w:rPr>
  </w:style>
  <w:style w:type="character" w:customStyle="1" w:styleId="GalveneRakstz">
    <w:name w:val="Galvene Rakstz."/>
    <w:basedOn w:val="Noklusjumarindkopasfonts"/>
    <w:link w:val="Galvene"/>
    <w:uiPriority w:val="99"/>
    <w:rsid w:val="003E601E"/>
    <w:rPr>
      <w:rFonts w:eastAsia="Times New Roman" w:cs="Arial Unicode MS"/>
      <w:lang w:val="x-none" w:eastAsia="x-none" w:bidi="lo-LA"/>
    </w:rPr>
  </w:style>
  <w:style w:type="paragraph" w:styleId="Kjene">
    <w:name w:val="footer"/>
    <w:basedOn w:val="Parasts"/>
    <w:link w:val="KjeneRakstz"/>
    <w:uiPriority w:val="99"/>
    <w:unhideWhenUsed/>
    <w:rsid w:val="003E601E"/>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3E601E"/>
    <w:rPr>
      <w:rFonts w:eastAsia="Times New Roman" w:cs="Arial Unicode MS"/>
      <w:lang w:val="x-none" w:eastAsia="x-none" w:bidi="lo-LA"/>
    </w:rPr>
  </w:style>
  <w:style w:type="paragraph" w:styleId="Balonteksts">
    <w:name w:val="Balloon Text"/>
    <w:basedOn w:val="Parasts"/>
    <w:link w:val="BalontekstsRakstz"/>
    <w:uiPriority w:val="99"/>
    <w:semiHidden/>
    <w:unhideWhenUsed/>
    <w:rsid w:val="003E601E"/>
    <w:rPr>
      <w:rFonts w:ascii="Tahoma" w:hAnsi="Tahoma" w:cs="Tahoma"/>
      <w:sz w:val="16"/>
      <w:szCs w:val="16"/>
      <w:lang w:val="x-none" w:eastAsia="x-none"/>
    </w:rPr>
  </w:style>
  <w:style w:type="character" w:customStyle="1" w:styleId="BalontekstsRakstz">
    <w:name w:val="Balonteksts Rakstz."/>
    <w:basedOn w:val="Noklusjumarindkopasfonts"/>
    <w:link w:val="Balonteksts"/>
    <w:uiPriority w:val="99"/>
    <w:semiHidden/>
    <w:rsid w:val="003E601E"/>
    <w:rPr>
      <w:rFonts w:ascii="Tahoma" w:eastAsia="Times New Roman" w:hAnsi="Tahoma" w:cs="Tahoma"/>
      <w:sz w:val="16"/>
      <w:szCs w:val="16"/>
      <w:lang w:val="x-none" w:eastAsia="x-none" w:bidi="lo-LA"/>
    </w:rPr>
  </w:style>
  <w:style w:type="character" w:styleId="Komentraatsauce">
    <w:name w:val="annotation reference"/>
    <w:uiPriority w:val="99"/>
    <w:semiHidden/>
    <w:unhideWhenUsed/>
    <w:rsid w:val="003E601E"/>
    <w:rPr>
      <w:rFonts w:cs="Times New Roman"/>
      <w:sz w:val="16"/>
      <w:szCs w:val="16"/>
    </w:rPr>
  </w:style>
  <w:style w:type="paragraph" w:styleId="Komentrateksts">
    <w:name w:val="annotation text"/>
    <w:basedOn w:val="Parasts"/>
    <w:link w:val="KomentratekstsRakstz"/>
    <w:uiPriority w:val="99"/>
    <w:unhideWhenUsed/>
    <w:rsid w:val="003E601E"/>
    <w:rPr>
      <w:sz w:val="20"/>
      <w:szCs w:val="20"/>
      <w:lang w:val="x-none" w:eastAsia="x-none"/>
    </w:rPr>
  </w:style>
  <w:style w:type="character" w:customStyle="1" w:styleId="KomentratekstsRakstz">
    <w:name w:val="Komentāra teksts Rakstz."/>
    <w:basedOn w:val="Noklusjumarindkopasfonts"/>
    <w:link w:val="Komentrateksts"/>
    <w:uiPriority w:val="99"/>
    <w:rsid w:val="003E601E"/>
    <w:rPr>
      <w:rFonts w:eastAsia="Times New Roman" w:cs="Arial Unicode MS"/>
      <w:sz w:val="20"/>
      <w:szCs w:val="20"/>
      <w:lang w:val="x-none" w:eastAsia="x-none" w:bidi="lo-LA"/>
    </w:rPr>
  </w:style>
  <w:style w:type="paragraph" w:styleId="Komentratma">
    <w:name w:val="annotation subject"/>
    <w:basedOn w:val="Komentrateksts"/>
    <w:next w:val="Komentrateksts"/>
    <w:link w:val="KomentratmaRakstz"/>
    <w:uiPriority w:val="99"/>
    <w:semiHidden/>
    <w:unhideWhenUsed/>
    <w:rsid w:val="003E601E"/>
    <w:rPr>
      <w:b/>
      <w:bCs/>
    </w:rPr>
  </w:style>
  <w:style w:type="character" w:customStyle="1" w:styleId="KomentratmaRakstz">
    <w:name w:val="Komentāra tēma Rakstz."/>
    <w:basedOn w:val="KomentratekstsRakstz"/>
    <w:link w:val="Komentratma"/>
    <w:uiPriority w:val="99"/>
    <w:semiHidden/>
    <w:rsid w:val="003E601E"/>
    <w:rPr>
      <w:rFonts w:eastAsia="Times New Roman" w:cs="Arial Unicode MS"/>
      <w:b/>
      <w:bCs/>
      <w:sz w:val="20"/>
      <w:szCs w:val="20"/>
      <w:lang w:val="x-none" w:eastAsia="x-none" w:bidi="lo-LA"/>
    </w:rPr>
  </w:style>
  <w:style w:type="character" w:styleId="Hipersaite">
    <w:name w:val="Hyperlink"/>
    <w:uiPriority w:val="99"/>
    <w:unhideWhenUsed/>
    <w:rsid w:val="003E601E"/>
    <w:rPr>
      <w:rFonts w:cs="Times New Roman"/>
      <w:color w:val="0000FF"/>
      <w:u w:val="single"/>
    </w:rPr>
  </w:style>
  <w:style w:type="paragraph" w:styleId="Vresteksts">
    <w:name w:val="footnote text"/>
    <w:basedOn w:val="Parasts"/>
    <w:link w:val="VrestekstsRakstz"/>
    <w:uiPriority w:val="99"/>
    <w:unhideWhenUsed/>
    <w:rsid w:val="003E601E"/>
    <w:rPr>
      <w:sz w:val="20"/>
      <w:szCs w:val="20"/>
      <w:lang w:val="x-none" w:eastAsia="x-none"/>
    </w:rPr>
  </w:style>
  <w:style w:type="character" w:customStyle="1" w:styleId="VrestekstsRakstz">
    <w:name w:val="Vēres teksts Rakstz."/>
    <w:basedOn w:val="Noklusjumarindkopasfonts"/>
    <w:link w:val="Vresteksts"/>
    <w:uiPriority w:val="99"/>
    <w:rsid w:val="003E601E"/>
    <w:rPr>
      <w:rFonts w:eastAsia="Times New Roman" w:cs="Arial Unicode MS"/>
      <w:sz w:val="20"/>
      <w:szCs w:val="20"/>
      <w:lang w:val="x-none" w:eastAsia="x-none" w:bidi="lo-LA"/>
    </w:rPr>
  </w:style>
  <w:style w:type="character" w:styleId="Vresatsauce">
    <w:name w:val="footnote reference"/>
    <w:uiPriority w:val="99"/>
    <w:semiHidden/>
    <w:unhideWhenUsed/>
    <w:rsid w:val="003E601E"/>
    <w:rPr>
      <w:rFonts w:cs="Times New Roman"/>
      <w:vertAlign w:val="superscript"/>
    </w:rPr>
  </w:style>
  <w:style w:type="paragraph" w:styleId="Prskatjums">
    <w:name w:val="Revision"/>
    <w:hidden/>
    <w:uiPriority w:val="99"/>
    <w:semiHidden/>
    <w:rsid w:val="003E601E"/>
    <w:rPr>
      <w:rFonts w:eastAsia="Times New Roman" w:cs="Arial Unicode MS"/>
      <w:lang w:eastAsia="lv-LV" w:bidi="lo-LA"/>
    </w:rPr>
  </w:style>
  <w:style w:type="paragraph" w:styleId="Paraststmeklis">
    <w:name w:val="Normal (Web)"/>
    <w:basedOn w:val="Parasts"/>
    <w:unhideWhenUsed/>
    <w:rsid w:val="003E601E"/>
    <w:pPr>
      <w:spacing w:before="100" w:beforeAutospacing="1" w:after="100" w:afterAutospacing="1"/>
    </w:pPr>
    <w:rPr>
      <w:rFonts w:eastAsia="Calibri" w:cs="Times New Roman"/>
      <w:lang w:bidi="ar-SA"/>
    </w:rPr>
  </w:style>
  <w:style w:type="character" w:styleId="Izteiksmgs">
    <w:name w:val="Strong"/>
    <w:uiPriority w:val="22"/>
    <w:qFormat/>
    <w:rsid w:val="003E601E"/>
    <w:rPr>
      <w:b/>
      <w:bCs/>
    </w:rPr>
  </w:style>
  <w:style w:type="paragraph" w:styleId="Pamatteksts">
    <w:name w:val="Body Text"/>
    <w:basedOn w:val="Parasts"/>
    <w:link w:val="PamattekstsRakstz"/>
    <w:uiPriority w:val="99"/>
    <w:rsid w:val="003E601E"/>
    <w:pPr>
      <w:jc w:val="center"/>
    </w:pPr>
    <w:rPr>
      <w:rFonts w:cs="Times New Roman"/>
      <w:b/>
      <w:szCs w:val="20"/>
      <w:lang w:bidi="ar-SA"/>
    </w:rPr>
  </w:style>
  <w:style w:type="character" w:customStyle="1" w:styleId="PamattekstsRakstz">
    <w:name w:val="Pamatteksts Rakstz."/>
    <w:basedOn w:val="Noklusjumarindkopasfonts"/>
    <w:link w:val="Pamatteksts"/>
    <w:uiPriority w:val="99"/>
    <w:rsid w:val="003E601E"/>
    <w:rPr>
      <w:rFonts w:eastAsia="Times New Roman"/>
      <w:b/>
      <w:szCs w:val="20"/>
      <w:lang w:eastAsia="lv-LV"/>
    </w:rPr>
  </w:style>
  <w:style w:type="paragraph" w:styleId="Pamattekstaatkpe2">
    <w:name w:val="Body Text Indent 2"/>
    <w:basedOn w:val="Parasts"/>
    <w:link w:val="Pamattekstaatkpe2Rakstz"/>
    <w:rsid w:val="003E601E"/>
    <w:pPr>
      <w:ind w:firstLine="709"/>
      <w:jc w:val="both"/>
    </w:pPr>
    <w:rPr>
      <w:rFonts w:cs="Times New Roman"/>
      <w:sz w:val="28"/>
      <w:szCs w:val="20"/>
      <w:lang w:eastAsia="en-US" w:bidi="ar-SA"/>
    </w:rPr>
  </w:style>
  <w:style w:type="character" w:customStyle="1" w:styleId="Pamattekstaatkpe2Rakstz">
    <w:name w:val="Pamatteksta atkāpe 2 Rakstz."/>
    <w:basedOn w:val="Noklusjumarindkopasfonts"/>
    <w:link w:val="Pamattekstaatkpe2"/>
    <w:rsid w:val="003E601E"/>
    <w:rPr>
      <w:rFonts w:eastAsia="Times New Roman"/>
      <w:sz w:val="28"/>
      <w:szCs w:val="20"/>
    </w:rPr>
  </w:style>
  <w:style w:type="paragraph" w:customStyle="1" w:styleId="naisvisr">
    <w:name w:val="naisvisr"/>
    <w:basedOn w:val="Parasts"/>
    <w:rsid w:val="003E601E"/>
    <w:pPr>
      <w:spacing w:before="100" w:beforeAutospacing="1" w:after="100" w:afterAutospacing="1"/>
    </w:pPr>
    <w:rPr>
      <w:rFonts w:cs="Times New Roman"/>
      <w:lang w:bidi="ar-SA"/>
    </w:rPr>
  </w:style>
  <w:style w:type="paragraph" w:customStyle="1" w:styleId="naisf">
    <w:name w:val="naisf"/>
    <w:basedOn w:val="Parasts"/>
    <w:rsid w:val="003E601E"/>
    <w:pPr>
      <w:spacing w:before="100" w:beforeAutospacing="1" w:after="100" w:afterAutospacing="1"/>
    </w:pPr>
    <w:rPr>
      <w:rFonts w:cs="Times New Roman"/>
      <w:lang w:bidi="ar-SA"/>
    </w:rPr>
  </w:style>
  <w:style w:type="paragraph" w:customStyle="1" w:styleId="StyleRight">
    <w:name w:val="Style Right"/>
    <w:basedOn w:val="Parasts"/>
    <w:rsid w:val="003E601E"/>
    <w:pPr>
      <w:spacing w:after="120"/>
      <w:ind w:firstLine="720"/>
      <w:jc w:val="right"/>
    </w:pPr>
    <w:rPr>
      <w:rFonts w:cs="Times New Roman"/>
      <w:sz w:val="28"/>
      <w:szCs w:val="28"/>
      <w:lang w:eastAsia="en-US" w:bidi="ar-SA"/>
    </w:rPr>
  </w:style>
  <w:style w:type="paragraph" w:customStyle="1" w:styleId="Char">
    <w:name w:val="Char"/>
    <w:basedOn w:val="Parasts"/>
    <w:next w:val="Parasts"/>
    <w:rsid w:val="003E601E"/>
    <w:pPr>
      <w:spacing w:before="120" w:after="160" w:line="240" w:lineRule="exact"/>
      <w:ind w:firstLine="720"/>
      <w:jc w:val="both"/>
    </w:pPr>
    <w:rPr>
      <w:rFonts w:ascii="Verdana" w:hAnsi="Verdana" w:cs="Times New Roman"/>
      <w:sz w:val="20"/>
      <w:szCs w:val="20"/>
      <w:lang w:val="en-US" w:eastAsia="en-US" w:bidi="ar-SA"/>
    </w:rPr>
  </w:style>
  <w:style w:type="paragraph" w:customStyle="1" w:styleId="Char1">
    <w:name w:val="Char1"/>
    <w:basedOn w:val="Parasts"/>
    <w:next w:val="Parasts"/>
    <w:rsid w:val="003E601E"/>
    <w:pPr>
      <w:spacing w:before="120" w:after="160" w:line="240" w:lineRule="exact"/>
      <w:ind w:firstLine="720"/>
      <w:jc w:val="both"/>
    </w:pPr>
    <w:rPr>
      <w:rFonts w:ascii="Verdana" w:hAnsi="Verdana" w:cs="Times New Roman"/>
      <w:sz w:val="20"/>
      <w:szCs w:val="20"/>
      <w:lang w:val="en-US" w:eastAsia="en-US" w:bidi="ar-SA"/>
    </w:rPr>
  </w:style>
  <w:style w:type="paragraph" w:customStyle="1" w:styleId="naisnod">
    <w:name w:val="naisnod"/>
    <w:basedOn w:val="Parasts"/>
    <w:rsid w:val="003E601E"/>
    <w:pPr>
      <w:spacing w:before="150" w:after="150"/>
      <w:jc w:val="center"/>
    </w:pPr>
    <w:rPr>
      <w:rFonts w:cs="Times New Roman"/>
      <w:b/>
      <w:bCs/>
      <w:lang w:bidi="ar-SA"/>
    </w:rPr>
  </w:style>
  <w:style w:type="paragraph" w:customStyle="1" w:styleId="naislab">
    <w:name w:val="naislab"/>
    <w:basedOn w:val="Parasts"/>
    <w:rsid w:val="003E601E"/>
    <w:pPr>
      <w:spacing w:before="75" w:after="75"/>
      <w:jc w:val="right"/>
    </w:pPr>
    <w:rPr>
      <w:rFonts w:cs="Times New Roman"/>
      <w:lang w:bidi="ar-SA"/>
    </w:rPr>
  </w:style>
  <w:style w:type="paragraph" w:customStyle="1" w:styleId="naiskr">
    <w:name w:val="naiskr"/>
    <w:basedOn w:val="Parasts"/>
    <w:rsid w:val="003E601E"/>
    <w:pPr>
      <w:spacing w:before="75" w:after="75"/>
    </w:pPr>
    <w:rPr>
      <w:rFonts w:cs="Times New Roman"/>
      <w:lang w:bidi="ar-SA"/>
    </w:rPr>
  </w:style>
  <w:style w:type="paragraph" w:customStyle="1" w:styleId="naisc">
    <w:name w:val="naisc"/>
    <w:basedOn w:val="Parasts"/>
    <w:rsid w:val="003E601E"/>
    <w:pPr>
      <w:spacing w:before="75" w:after="75"/>
      <w:jc w:val="center"/>
    </w:pPr>
    <w:rPr>
      <w:rFonts w:cs="Times New Roman"/>
      <w:lang w:bidi="ar-SA"/>
    </w:rPr>
  </w:style>
  <w:style w:type="table" w:styleId="Reatabula">
    <w:name w:val="Table Grid"/>
    <w:basedOn w:val="Parastatabula"/>
    <w:uiPriority w:val="59"/>
    <w:rsid w:val="003E601E"/>
    <w:rPr>
      <w:rFonts w:ascii="Calibri" w:eastAsia="Times New Roman" w:hAnsi="Calibri"/>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Parasts"/>
    <w:rsid w:val="003E601E"/>
    <w:pPr>
      <w:spacing w:before="300" w:after="150"/>
      <w:ind w:left="375" w:firstLine="375"/>
      <w:jc w:val="both"/>
    </w:pPr>
    <w:rPr>
      <w:rFonts w:cs="Times New Roman"/>
      <w:b/>
      <w:bCs/>
      <w:lang w:bidi="ar-SA"/>
    </w:rPr>
  </w:style>
  <w:style w:type="paragraph" w:styleId="Pamattekstsaratkpi">
    <w:name w:val="Body Text Indent"/>
    <w:basedOn w:val="Parasts"/>
    <w:link w:val="PamattekstsaratkpiRakstz"/>
    <w:uiPriority w:val="99"/>
    <w:rsid w:val="003E601E"/>
    <w:pPr>
      <w:ind w:firstLine="720"/>
      <w:jc w:val="both"/>
    </w:pPr>
    <w:rPr>
      <w:rFonts w:cs="Times New Roman"/>
      <w:lang w:val="x-none" w:eastAsia="ru-RU" w:bidi="ar-SA"/>
    </w:rPr>
  </w:style>
  <w:style w:type="character" w:customStyle="1" w:styleId="PamattekstsaratkpiRakstz">
    <w:name w:val="Pamatteksts ar atkāpi Rakstz."/>
    <w:basedOn w:val="Noklusjumarindkopasfonts"/>
    <w:link w:val="Pamattekstsaratkpi"/>
    <w:uiPriority w:val="99"/>
    <w:rsid w:val="003E601E"/>
    <w:rPr>
      <w:rFonts w:eastAsia="Times New Roman"/>
      <w:lang w:val="x-none" w:eastAsia="ru-RU"/>
    </w:rPr>
  </w:style>
  <w:style w:type="character" w:customStyle="1" w:styleId="iil-resultnotpaid1">
    <w:name w:val="iil-resultnotpaid1"/>
    <w:rsid w:val="003E601E"/>
    <w:rPr>
      <w:rFonts w:ascii="Arial" w:hAnsi="Arial" w:cs="Arial"/>
      <w:color w:val="0F1478"/>
      <w:sz w:val="15"/>
      <w:szCs w:val="15"/>
    </w:rPr>
  </w:style>
  <w:style w:type="paragraph" w:styleId="Pamattekstaatkpe3">
    <w:name w:val="Body Text Indent 3"/>
    <w:basedOn w:val="Parasts"/>
    <w:link w:val="Pamattekstaatkpe3Rakstz"/>
    <w:uiPriority w:val="99"/>
    <w:semiHidden/>
    <w:unhideWhenUsed/>
    <w:rsid w:val="003E601E"/>
    <w:pPr>
      <w:spacing w:after="120" w:line="276" w:lineRule="auto"/>
      <w:ind w:left="283"/>
    </w:pPr>
    <w:rPr>
      <w:rFonts w:ascii="Calibri" w:hAnsi="Calibri" w:cs="Times New Roman"/>
      <w:sz w:val="16"/>
      <w:szCs w:val="16"/>
      <w:lang w:val="x-none" w:eastAsia="en-US" w:bidi="ar-SA"/>
    </w:rPr>
  </w:style>
  <w:style w:type="character" w:customStyle="1" w:styleId="Pamattekstaatkpe3Rakstz">
    <w:name w:val="Pamatteksta atkāpe 3 Rakstz."/>
    <w:basedOn w:val="Noklusjumarindkopasfonts"/>
    <w:link w:val="Pamattekstaatkpe3"/>
    <w:uiPriority w:val="99"/>
    <w:semiHidden/>
    <w:rsid w:val="003E601E"/>
    <w:rPr>
      <w:rFonts w:ascii="Calibri" w:eastAsia="Times New Roman" w:hAnsi="Calibri"/>
      <w:sz w:val="16"/>
      <w:szCs w:val="16"/>
      <w:lang w:val="x-none"/>
    </w:rPr>
  </w:style>
  <w:style w:type="character" w:styleId="Izmantotahipersaite">
    <w:name w:val="FollowedHyperlink"/>
    <w:uiPriority w:val="99"/>
    <w:semiHidden/>
    <w:unhideWhenUsed/>
    <w:rsid w:val="003E601E"/>
    <w:rPr>
      <w:rFonts w:cs="Times New Roman"/>
      <w:color w:val="800080"/>
      <w:u w:val="single"/>
    </w:rPr>
  </w:style>
  <w:style w:type="paragraph" w:customStyle="1" w:styleId="msonospacing0">
    <w:name w:val="msonospacing"/>
    <w:basedOn w:val="Parasts"/>
    <w:rsid w:val="003E601E"/>
    <w:rPr>
      <w:rFonts w:ascii="Calibri" w:hAnsi="Calibri" w:cs="Times New Roman"/>
      <w:sz w:val="22"/>
      <w:szCs w:val="22"/>
      <w:lang w:bidi="ar-SA"/>
    </w:rPr>
  </w:style>
  <w:style w:type="paragraph" w:styleId="Nosaukums">
    <w:name w:val="Title"/>
    <w:basedOn w:val="Parasts"/>
    <w:link w:val="NosaukumsRakstz"/>
    <w:qFormat/>
    <w:rsid w:val="003E601E"/>
    <w:pPr>
      <w:jc w:val="center"/>
    </w:pPr>
    <w:rPr>
      <w:rFonts w:cs="Times New Roman"/>
      <w:sz w:val="28"/>
      <w:szCs w:val="28"/>
      <w:lang w:bidi="ar-SA"/>
    </w:rPr>
  </w:style>
  <w:style w:type="character" w:customStyle="1" w:styleId="NosaukumsRakstz">
    <w:name w:val="Nosaukums Rakstz."/>
    <w:basedOn w:val="Noklusjumarindkopasfonts"/>
    <w:link w:val="Nosaukums"/>
    <w:rsid w:val="003E601E"/>
    <w:rPr>
      <w:rFonts w:eastAsia="Times New Roman"/>
      <w:sz w:val="28"/>
      <w:szCs w:val="28"/>
      <w:lang w:eastAsia="lv-LV"/>
    </w:rPr>
  </w:style>
  <w:style w:type="character" w:customStyle="1" w:styleId="spelle">
    <w:name w:val="spelle"/>
    <w:rsid w:val="003E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7782">
      <w:bodyDiv w:val="1"/>
      <w:marLeft w:val="0"/>
      <w:marRight w:val="0"/>
      <w:marTop w:val="0"/>
      <w:marBottom w:val="0"/>
      <w:divBdr>
        <w:top w:val="none" w:sz="0" w:space="0" w:color="auto"/>
        <w:left w:val="none" w:sz="0" w:space="0" w:color="auto"/>
        <w:bottom w:val="none" w:sz="0" w:space="0" w:color="auto"/>
        <w:right w:val="none" w:sz="0" w:space="0" w:color="auto"/>
      </w:divBdr>
      <w:divsChild>
        <w:div w:id="406348587">
          <w:marLeft w:val="0"/>
          <w:marRight w:val="0"/>
          <w:marTop w:val="0"/>
          <w:marBottom w:val="0"/>
          <w:divBdr>
            <w:top w:val="none" w:sz="0" w:space="0" w:color="auto"/>
            <w:left w:val="none" w:sz="0" w:space="0" w:color="auto"/>
            <w:bottom w:val="none" w:sz="0" w:space="0" w:color="auto"/>
            <w:right w:val="none" w:sz="0" w:space="0" w:color="auto"/>
          </w:divBdr>
          <w:divsChild>
            <w:div w:id="643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2952">
      <w:bodyDiv w:val="1"/>
      <w:marLeft w:val="0"/>
      <w:marRight w:val="0"/>
      <w:marTop w:val="0"/>
      <w:marBottom w:val="0"/>
      <w:divBdr>
        <w:top w:val="none" w:sz="0" w:space="0" w:color="auto"/>
        <w:left w:val="none" w:sz="0" w:space="0" w:color="auto"/>
        <w:bottom w:val="none" w:sz="0" w:space="0" w:color="auto"/>
        <w:right w:val="none" w:sz="0" w:space="0" w:color="auto"/>
      </w:divBdr>
      <w:divsChild>
        <w:div w:id="275527705">
          <w:marLeft w:val="0"/>
          <w:marRight w:val="0"/>
          <w:marTop w:val="0"/>
          <w:marBottom w:val="0"/>
          <w:divBdr>
            <w:top w:val="none" w:sz="0" w:space="0" w:color="auto"/>
            <w:left w:val="none" w:sz="0" w:space="0" w:color="auto"/>
            <w:bottom w:val="none" w:sz="0" w:space="0" w:color="auto"/>
            <w:right w:val="none" w:sz="0" w:space="0" w:color="auto"/>
          </w:divBdr>
          <w:divsChild>
            <w:div w:id="9562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1522">
      <w:bodyDiv w:val="1"/>
      <w:marLeft w:val="0"/>
      <w:marRight w:val="0"/>
      <w:marTop w:val="0"/>
      <w:marBottom w:val="0"/>
      <w:divBdr>
        <w:top w:val="none" w:sz="0" w:space="0" w:color="auto"/>
        <w:left w:val="none" w:sz="0" w:space="0" w:color="auto"/>
        <w:bottom w:val="none" w:sz="0" w:space="0" w:color="auto"/>
        <w:right w:val="none" w:sz="0" w:space="0" w:color="auto"/>
      </w:divBdr>
      <w:divsChild>
        <w:div w:id="1230461599">
          <w:marLeft w:val="0"/>
          <w:marRight w:val="0"/>
          <w:marTop w:val="0"/>
          <w:marBottom w:val="0"/>
          <w:divBdr>
            <w:top w:val="none" w:sz="0" w:space="0" w:color="auto"/>
            <w:left w:val="none" w:sz="0" w:space="0" w:color="auto"/>
            <w:bottom w:val="none" w:sz="0" w:space="0" w:color="auto"/>
            <w:right w:val="none" w:sz="0" w:space="0" w:color="auto"/>
          </w:divBdr>
          <w:divsChild>
            <w:div w:id="1095445689">
              <w:marLeft w:val="0"/>
              <w:marRight w:val="0"/>
              <w:marTop w:val="0"/>
              <w:marBottom w:val="0"/>
              <w:divBdr>
                <w:top w:val="none" w:sz="0" w:space="0" w:color="auto"/>
                <w:left w:val="none" w:sz="0" w:space="0" w:color="auto"/>
                <w:bottom w:val="none" w:sz="0" w:space="0" w:color="auto"/>
                <w:right w:val="none" w:sz="0" w:space="0" w:color="auto"/>
              </w:divBdr>
              <w:divsChild>
                <w:div w:id="2064019969">
                  <w:marLeft w:val="0"/>
                  <w:marRight w:val="0"/>
                  <w:marTop w:val="0"/>
                  <w:marBottom w:val="0"/>
                  <w:divBdr>
                    <w:top w:val="none" w:sz="0" w:space="0" w:color="auto"/>
                    <w:left w:val="none" w:sz="0" w:space="0" w:color="auto"/>
                    <w:bottom w:val="none" w:sz="0" w:space="0" w:color="auto"/>
                    <w:right w:val="none" w:sz="0" w:space="0" w:color="auto"/>
                  </w:divBdr>
                  <w:divsChild>
                    <w:div w:id="21350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5293">
      <w:bodyDiv w:val="1"/>
      <w:marLeft w:val="0"/>
      <w:marRight w:val="0"/>
      <w:marTop w:val="0"/>
      <w:marBottom w:val="0"/>
      <w:divBdr>
        <w:top w:val="none" w:sz="0" w:space="0" w:color="auto"/>
        <w:left w:val="none" w:sz="0" w:space="0" w:color="auto"/>
        <w:bottom w:val="none" w:sz="0" w:space="0" w:color="auto"/>
        <w:right w:val="none" w:sz="0" w:space="0" w:color="auto"/>
      </w:divBdr>
    </w:div>
    <w:div w:id="1043871309">
      <w:bodyDiv w:val="1"/>
      <w:marLeft w:val="0"/>
      <w:marRight w:val="0"/>
      <w:marTop w:val="0"/>
      <w:marBottom w:val="0"/>
      <w:divBdr>
        <w:top w:val="none" w:sz="0" w:space="0" w:color="auto"/>
        <w:left w:val="none" w:sz="0" w:space="0" w:color="auto"/>
        <w:bottom w:val="none" w:sz="0" w:space="0" w:color="auto"/>
        <w:right w:val="none" w:sz="0" w:space="0" w:color="auto"/>
      </w:divBdr>
      <w:divsChild>
        <w:div w:id="1489131307">
          <w:marLeft w:val="0"/>
          <w:marRight w:val="0"/>
          <w:marTop w:val="0"/>
          <w:marBottom w:val="0"/>
          <w:divBdr>
            <w:top w:val="none" w:sz="0" w:space="0" w:color="auto"/>
            <w:left w:val="none" w:sz="0" w:space="0" w:color="auto"/>
            <w:bottom w:val="none" w:sz="0" w:space="0" w:color="auto"/>
            <w:right w:val="none" w:sz="0" w:space="0" w:color="auto"/>
          </w:divBdr>
          <w:divsChild>
            <w:div w:id="673915248">
              <w:marLeft w:val="0"/>
              <w:marRight w:val="0"/>
              <w:marTop w:val="0"/>
              <w:marBottom w:val="0"/>
              <w:divBdr>
                <w:top w:val="none" w:sz="0" w:space="0" w:color="auto"/>
                <w:left w:val="none" w:sz="0" w:space="0" w:color="auto"/>
                <w:bottom w:val="none" w:sz="0" w:space="0" w:color="auto"/>
                <w:right w:val="none" w:sz="0" w:space="0" w:color="auto"/>
              </w:divBdr>
              <w:divsChild>
                <w:div w:id="2132161921">
                  <w:marLeft w:val="0"/>
                  <w:marRight w:val="0"/>
                  <w:marTop w:val="0"/>
                  <w:marBottom w:val="0"/>
                  <w:divBdr>
                    <w:top w:val="none" w:sz="0" w:space="0" w:color="auto"/>
                    <w:left w:val="none" w:sz="0" w:space="0" w:color="auto"/>
                    <w:bottom w:val="none" w:sz="0" w:space="0" w:color="auto"/>
                    <w:right w:val="none" w:sz="0" w:space="0" w:color="auto"/>
                  </w:divBdr>
                  <w:divsChild>
                    <w:div w:id="2721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4100">
      <w:bodyDiv w:val="1"/>
      <w:marLeft w:val="0"/>
      <w:marRight w:val="0"/>
      <w:marTop w:val="0"/>
      <w:marBottom w:val="0"/>
      <w:divBdr>
        <w:top w:val="none" w:sz="0" w:space="0" w:color="auto"/>
        <w:left w:val="none" w:sz="0" w:space="0" w:color="auto"/>
        <w:bottom w:val="none" w:sz="0" w:space="0" w:color="auto"/>
        <w:right w:val="none" w:sz="0" w:space="0" w:color="auto"/>
      </w:divBdr>
    </w:div>
    <w:div w:id="1990788353">
      <w:bodyDiv w:val="1"/>
      <w:marLeft w:val="0"/>
      <w:marRight w:val="0"/>
      <w:marTop w:val="0"/>
      <w:marBottom w:val="0"/>
      <w:divBdr>
        <w:top w:val="none" w:sz="0" w:space="0" w:color="auto"/>
        <w:left w:val="none" w:sz="0" w:space="0" w:color="auto"/>
        <w:bottom w:val="none" w:sz="0" w:space="0" w:color="auto"/>
        <w:right w:val="none" w:sz="0" w:space="0" w:color="auto"/>
      </w:divBdr>
    </w:div>
    <w:div w:id="2022855572">
      <w:bodyDiv w:val="1"/>
      <w:marLeft w:val="0"/>
      <w:marRight w:val="0"/>
      <w:marTop w:val="0"/>
      <w:marBottom w:val="0"/>
      <w:divBdr>
        <w:top w:val="none" w:sz="0" w:space="0" w:color="auto"/>
        <w:left w:val="none" w:sz="0" w:space="0" w:color="auto"/>
        <w:bottom w:val="none" w:sz="0" w:space="0" w:color="auto"/>
        <w:right w:val="none" w:sz="0" w:space="0" w:color="auto"/>
      </w:divBdr>
      <w:divsChild>
        <w:div w:id="174078860">
          <w:marLeft w:val="0"/>
          <w:marRight w:val="0"/>
          <w:marTop w:val="0"/>
          <w:marBottom w:val="0"/>
          <w:divBdr>
            <w:top w:val="none" w:sz="0" w:space="0" w:color="auto"/>
            <w:left w:val="none" w:sz="0" w:space="0" w:color="auto"/>
            <w:bottom w:val="none" w:sz="0" w:space="0" w:color="auto"/>
            <w:right w:val="none" w:sz="0" w:space="0" w:color="auto"/>
          </w:divBdr>
          <w:divsChild>
            <w:div w:id="1169783783">
              <w:marLeft w:val="0"/>
              <w:marRight w:val="0"/>
              <w:marTop w:val="0"/>
              <w:marBottom w:val="0"/>
              <w:divBdr>
                <w:top w:val="none" w:sz="0" w:space="0" w:color="auto"/>
                <w:left w:val="none" w:sz="0" w:space="0" w:color="auto"/>
                <w:bottom w:val="none" w:sz="0" w:space="0" w:color="auto"/>
                <w:right w:val="none" w:sz="0" w:space="0" w:color="auto"/>
              </w:divBdr>
              <w:divsChild>
                <w:div w:id="880240362">
                  <w:marLeft w:val="0"/>
                  <w:marRight w:val="0"/>
                  <w:marTop w:val="0"/>
                  <w:marBottom w:val="0"/>
                  <w:divBdr>
                    <w:top w:val="none" w:sz="0" w:space="0" w:color="auto"/>
                    <w:left w:val="none" w:sz="0" w:space="0" w:color="auto"/>
                    <w:bottom w:val="none" w:sz="0" w:space="0" w:color="auto"/>
                    <w:right w:val="none" w:sz="0" w:space="0" w:color="auto"/>
                  </w:divBdr>
                  <w:divsChild>
                    <w:div w:id="16162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se.Rudzit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DD95-01F9-4D5D-A859-26A5ACC4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13683</Words>
  <Characters>7800</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Ministru kabineta noteikumu projekta „Kārtība un apjoms, kādā personai, kurai ir tiesības uz aizstāvību, tikšanās laikā ar aizstāvi tiek nodrošināta tulka palīdzība” sākotnējās ietekmes novērtējuma ziņojums (anotācija)</vt:lpstr>
    </vt:vector>
  </TitlesOfParts>
  <Company>Tieslietu ministrija</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un apjoms, kādā personai, kurai ir tiesības uz aizstāvību, tikšanās laikā ar aizstāvi tiek nodrošināta tulka palīdzība” sākotnējās ietekmes novērtējuma ziņojums (anotācija)</dc:title>
  <dc:subject>Anotācija</dc:subject>
  <dc:creator>Inese Rudzite</dc:creator>
  <dc:description>67036931, Inese.Rudzite@tm.gov.lv</dc:description>
  <cp:lastModifiedBy>Inese Rudzite</cp:lastModifiedBy>
  <cp:revision>5</cp:revision>
  <cp:lastPrinted>2013-10-08T05:32:00Z</cp:lastPrinted>
  <dcterms:created xsi:type="dcterms:W3CDTF">2013-10-16T13:07:00Z</dcterms:created>
  <dcterms:modified xsi:type="dcterms:W3CDTF">2013-10-17T06:56:00Z</dcterms:modified>
</cp:coreProperties>
</file>