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0C" w:rsidRPr="00FE6221" w:rsidRDefault="009004CC" w:rsidP="0072490C">
      <w:pPr>
        <w:pStyle w:val="naisc"/>
        <w:spacing w:before="0" w:beforeAutospacing="0" w:after="0" w:afterAutospacing="0"/>
        <w:jc w:val="center"/>
        <w:rPr>
          <w:b/>
        </w:rPr>
      </w:pPr>
      <w:r w:rsidRPr="00FE6221">
        <w:rPr>
          <w:b/>
        </w:rPr>
        <w:t>Ministru kabineta noteikumu projekta „</w:t>
      </w:r>
      <w:r w:rsidR="001F07A1" w:rsidRPr="00FE6221">
        <w:rPr>
          <w:b/>
        </w:rPr>
        <w:t>Noteikumi par valsts nodevu</w:t>
      </w:r>
      <w:r w:rsidR="00F11CCE" w:rsidRPr="00FE6221">
        <w:rPr>
          <w:b/>
        </w:rPr>
        <w:t xml:space="preserve"> par īpašuma tiesību un ķīlas tiesību nostiprināšanu zemesgrāmatā</w:t>
      </w:r>
      <w:r w:rsidRPr="00FE6221">
        <w:rPr>
          <w:b/>
        </w:rPr>
        <w:t>”</w:t>
      </w:r>
      <w:r w:rsidR="0072490C" w:rsidRPr="00FE6221">
        <w:rPr>
          <w:b/>
        </w:rPr>
        <w:t xml:space="preserve"> anotācija</w:t>
      </w:r>
    </w:p>
    <w:p w:rsidR="0072490C" w:rsidRPr="00FE6221" w:rsidRDefault="0072490C" w:rsidP="0072490C">
      <w:pPr>
        <w:pStyle w:val="naisc"/>
        <w:spacing w:before="0" w:beforeAutospacing="0" w:after="0" w:afterAutospacing="0"/>
        <w:jc w:val="center"/>
        <w:rPr>
          <w:b/>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09"/>
        <w:gridCol w:w="159"/>
        <w:gridCol w:w="833"/>
        <w:gridCol w:w="10"/>
        <w:gridCol w:w="141"/>
        <w:gridCol w:w="426"/>
        <w:gridCol w:w="823"/>
        <w:gridCol w:w="584"/>
        <w:gridCol w:w="792"/>
        <w:gridCol w:w="1376"/>
        <w:gridCol w:w="1376"/>
      </w:tblGrid>
      <w:tr w:rsidR="00AF27DD"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vAlign w:val="center"/>
          </w:tcPr>
          <w:p w:rsidR="00B2625F" w:rsidRPr="00FE6221" w:rsidRDefault="00084695" w:rsidP="007520B0">
            <w:pPr>
              <w:pStyle w:val="naisnod"/>
              <w:spacing w:before="0" w:beforeAutospacing="0" w:after="0" w:afterAutospacing="0"/>
              <w:ind w:left="2520"/>
              <w:rPr>
                <w:b/>
                <w:bCs/>
              </w:rPr>
            </w:pPr>
            <w:r w:rsidRPr="00FE6221">
              <w:rPr>
                <w:b/>
                <w:bCs/>
              </w:rPr>
              <w:t>I. </w:t>
            </w:r>
            <w:r w:rsidR="00AF27DD" w:rsidRPr="00FE6221">
              <w:rPr>
                <w:b/>
                <w:bCs/>
              </w:rPr>
              <w:t>Kādēļ normatīvais akts ir vajadzīgs</w:t>
            </w:r>
          </w:p>
        </w:tc>
      </w:tr>
      <w:tr w:rsidR="00AF27DD" w:rsidRPr="00FE6221" w:rsidTr="000052F2">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A415E1">
            <w:pPr>
              <w:pStyle w:val="naiskr"/>
            </w:pPr>
            <w:r w:rsidRPr="00FE6221">
              <w:t> 1. Atsauce uz Deklarāciju par Ministru kabineta iecerēto darbību, politikas plānošanas dokumentu un citiem dokumentiem, kuros dots uzdevums izstrādāt normatīvā akta projektu</w:t>
            </w:r>
          </w:p>
        </w:tc>
        <w:tc>
          <w:tcPr>
            <w:tcW w:w="6520" w:type="dxa"/>
            <w:gridSpan w:val="10"/>
            <w:tcBorders>
              <w:top w:val="outset" w:sz="6" w:space="0" w:color="auto"/>
              <w:left w:val="outset" w:sz="6" w:space="0" w:color="auto"/>
              <w:bottom w:val="outset" w:sz="6" w:space="0" w:color="auto"/>
              <w:right w:val="outset" w:sz="6" w:space="0" w:color="auto"/>
            </w:tcBorders>
          </w:tcPr>
          <w:p w:rsidR="008A01F5" w:rsidRPr="00FE6221" w:rsidRDefault="008A01F5" w:rsidP="008A01F5">
            <w:pPr>
              <w:spacing w:line="240" w:lineRule="atLeast"/>
              <w:jc w:val="both"/>
            </w:pPr>
            <w:r w:rsidRPr="00FE6221">
              <w:t xml:space="preserve">2009. gada </w:t>
            </w:r>
            <w:r w:rsidR="008F6988" w:rsidRPr="00FE6221">
              <w:t>29</w:t>
            </w:r>
            <w:r w:rsidRPr="00FE6221">
              <w:t>. </w:t>
            </w:r>
            <w:r w:rsidR="008F6988" w:rsidRPr="00FE6221">
              <w:t xml:space="preserve">aprīlī spēkā stājas </w:t>
            </w:r>
            <w:r w:rsidRPr="00FE6221">
              <w:t>likumprojekt</w:t>
            </w:r>
            <w:r w:rsidR="008F6988" w:rsidRPr="00FE6221">
              <w:t>s</w:t>
            </w:r>
            <w:r w:rsidRPr="00FE6221">
              <w:t xml:space="preserve"> „Grozījumi Zemesgrāmatu likumā”, ar kuru Zemesgrāmatu likuma 106. panta otrajā daļā noteikts deleģējums Ministru kabinetam izdot noteikumus par </w:t>
            </w:r>
            <w:r w:rsidR="001F07A1" w:rsidRPr="00FE6221">
              <w:t>īpašuma tiesību un ķīlas tiesību nostiprināšanu zemesgrāmatā maksājamās valsts nodevas apmēru un samaksas kārtību, kā arī atbrīvojumus no valsts nodevas samaksas.</w:t>
            </w:r>
          </w:p>
          <w:p w:rsidR="009E3404" w:rsidRPr="00FE6221" w:rsidRDefault="009E3404" w:rsidP="004B2322">
            <w:pPr>
              <w:jc w:val="both"/>
            </w:pPr>
          </w:p>
        </w:tc>
      </w:tr>
      <w:tr w:rsidR="00AF27DD" w:rsidRPr="00FE6221" w:rsidTr="000052F2">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72490C">
            <w:pPr>
              <w:pStyle w:val="naiskr"/>
            </w:pPr>
            <w:r w:rsidRPr="00FE6221">
              <w:t> 2. Pašreizējās situācijas raksturojums</w:t>
            </w:r>
          </w:p>
        </w:tc>
        <w:tc>
          <w:tcPr>
            <w:tcW w:w="6520" w:type="dxa"/>
            <w:gridSpan w:val="10"/>
            <w:tcBorders>
              <w:top w:val="outset" w:sz="6" w:space="0" w:color="auto"/>
              <w:left w:val="outset" w:sz="6" w:space="0" w:color="auto"/>
              <w:bottom w:val="outset" w:sz="6" w:space="0" w:color="auto"/>
              <w:right w:val="outset" w:sz="6" w:space="0" w:color="auto"/>
            </w:tcBorders>
          </w:tcPr>
          <w:p w:rsidR="00656E35" w:rsidRPr="00FE6221" w:rsidRDefault="00656E35" w:rsidP="00656E35">
            <w:pPr>
              <w:jc w:val="both"/>
              <w:rPr>
                <w:iCs/>
              </w:rPr>
            </w:pPr>
            <w:r w:rsidRPr="00FE6221">
              <w:rPr>
                <w:iCs/>
              </w:rPr>
              <w:t xml:space="preserve">2001. gada 23. janvāra Ministru kabineta noteikumi Nr. 28 „Noteikumi par valsts nodevu par notariālo darbību izpildi un īpašuma tiesību un ķīlas tiesību nostiprināšanu zemesgrāmatā” (turpmāk – Ministru kabineta noteikumi Nr. 28) ir izdoti, pamatojoties uz likuma „Par nodokļiem un nodevām” 10. pantu, kas noteic, ka </w:t>
            </w:r>
            <w:r w:rsidRPr="00FE6221">
              <w:t xml:space="preserve">valsts nodevas tiek uzliktas saskaņā ar likumiem un Ministru kabineta noteikumiem, pašvaldību nodevas - ar pašvaldības domes (padomes) izdotiem saistošiem noteikumiem. </w:t>
            </w:r>
            <w:r w:rsidRPr="00FE6221">
              <w:rPr>
                <w:iCs/>
              </w:rPr>
              <w:t xml:space="preserve">Sarakstē ar Finanšu ministriju tika konstatēts, ka likuma „Par nodokļiem un nodevām” 10. panta otrā daļa (saskaņā ar kuru </w:t>
            </w:r>
            <w:bookmarkStart w:id="0" w:name="bkm0"/>
            <w:r w:rsidRPr="00FE6221">
              <w:rPr>
                <w:iCs/>
              </w:rPr>
              <w:t xml:space="preserve">Ministru kabineta noteikumos </w:t>
            </w:r>
            <w:bookmarkEnd w:id="0"/>
            <w:r w:rsidR="0079133B" w:rsidRPr="00FE6221">
              <w:rPr>
                <w:iCs/>
              </w:rPr>
              <w:fldChar w:fldCharType="begin"/>
            </w:r>
            <w:r w:rsidRPr="00FE6221">
              <w:rPr>
                <w:iCs/>
              </w:rPr>
              <w:instrText xml:space="preserve"> HYPERLINK "http://pro.nais.lv/naiser/text.cfm?Ref=0103011995020232770&amp;Req=0103011995020232770&amp;Key=0101032002090300402&amp;Hash=" \o "Noteikumi par ārvalstu komersantu un organizāciju pārstāvniecību un pārstāvju reģistrācijas valsts nodevu" \t "_top" </w:instrText>
            </w:r>
            <w:r w:rsidR="0079133B" w:rsidRPr="00FE6221">
              <w:rPr>
                <w:iCs/>
              </w:rPr>
              <w:fldChar w:fldCharType="separate"/>
            </w:r>
            <w:r w:rsidRPr="00FE6221">
              <w:rPr>
                <w:rStyle w:val="Hyperlink"/>
                <w:iCs/>
                <w:color w:val="auto"/>
                <w:u w:val="none"/>
              </w:rPr>
              <w:t>par valsts nodevām</w:t>
            </w:r>
            <w:r w:rsidR="0079133B" w:rsidRPr="00FE6221">
              <w:rPr>
                <w:iCs/>
              </w:rPr>
              <w:fldChar w:fldCharType="end"/>
            </w:r>
            <w:r w:rsidRPr="00FE6221">
              <w:rPr>
                <w:iCs/>
              </w:rPr>
              <w:t xml:space="preserve"> jāparedz to </w:t>
            </w:r>
            <w:hyperlink r:id="rId8" w:tgtFrame="_top" w:tooltip="Noteikumi par kārtību, kādā nodokļi, valsts nodevas un citi obligātie maksājumi ieskaitāmi valsts budžetā" w:history="1">
              <w:r w:rsidRPr="00FE6221">
                <w:rPr>
                  <w:rStyle w:val="Hyperlink"/>
                  <w:iCs/>
                  <w:color w:val="auto"/>
                  <w:u w:val="none"/>
                </w:rPr>
                <w:t>maksāšanas kārtība</w:t>
              </w:r>
            </w:hyperlink>
            <w:r w:rsidRPr="00FE6221">
              <w:rPr>
                <w:iCs/>
              </w:rPr>
              <w:t xml:space="preserve">, likmes un atvieglojumi, ja likumos nav noteikts citādi) nav uzskatāma par pilnvarojumu Ministru kabinetam izdot noteikumus par valsts nodevām. </w:t>
            </w:r>
          </w:p>
          <w:p w:rsidR="00731D3E" w:rsidRPr="00FE6221" w:rsidRDefault="00656E35" w:rsidP="008B0401">
            <w:pPr>
              <w:pStyle w:val="naisf"/>
              <w:spacing w:before="0" w:beforeAutospacing="0" w:after="0" w:afterAutospacing="0"/>
              <w:jc w:val="both"/>
            </w:pPr>
            <w:r w:rsidRPr="00FE6221">
              <w:rPr>
                <w:iCs/>
              </w:rPr>
              <w:t>Izvērtējot minēto tika konstatēta nepieciešamība veikt grozījumus Zemesgrāmatu likumā, papildinot to ar deleģējumu Ministru kabinetam izdot</w:t>
            </w:r>
            <w:r w:rsidR="003035EE">
              <w:rPr>
                <w:iCs/>
              </w:rPr>
              <w:t xml:space="preserve"> </w:t>
            </w:r>
            <w:r w:rsidRPr="00FE6221">
              <w:rPr>
                <w:iCs/>
              </w:rPr>
              <w:t xml:space="preserve">noteikumus </w:t>
            </w:r>
            <w:r w:rsidR="008B0401">
              <w:rPr>
                <w:iCs/>
              </w:rPr>
              <w:t>par</w:t>
            </w:r>
            <w:r w:rsidR="008B0401" w:rsidRPr="00FE6221">
              <w:rPr>
                <w:iCs/>
              </w:rPr>
              <w:t xml:space="preserve"> </w:t>
            </w:r>
            <w:r w:rsidR="001F07A1" w:rsidRPr="00FE6221">
              <w:t>īpašuma tiesību un ķīlas tiesību nostiprināšanu zemesgrāmatā maksājamās valsts nodevas apmēru un samaksas kārtību, kā arī atbrīvojumus no valsts nodevas samaksas.</w:t>
            </w:r>
          </w:p>
        </w:tc>
      </w:tr>
      <w:tr w:rsidR="00AF27DD" w:rsidRPr="00FE6221" w:rsidTr="000052F2">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A415E1">
            <w:pPr>
              <w:pStyle w:val="naiskr"/>
            </w:pPr>
            <w:r w:rsidRPr="00FE6221">
              <w:t> 3.  Normatīvā akta projekta būtība</w:t>
            </w:r>
          </w:p>
        </w:tc>
        <w:tc>
          <w:tcPr>
            <w:tcW w:w="6520" w:type="dxa"/>
            <w:gridSpan w:val="10"/>
            <w:tcBorders>
              <w:top w:val="outset" w:sz="6" w:space="0" w:color="auto"/>
              <w:left w:val="outset" w:sz="6" w:space="0" w:color="auto"/>
              <w:bottom w:val="outset" w:sz="6" w:space="0" w:color="auto"/>
              <w:right w:val="outset" w:sz="6" w:space="0" w:color="auto"/>
            </w:tcBorders>
          </w:tcPr>
          <w:p w:rsidR="009E3404" w:rsidRPr="00FE6221" w:rsidRDefault="00481186" w:rsidP="00155E12">
            <w:pPr>
              <w:pStyle w:val="naiskr"/>
              <w:spacing w:before="0" w:beforeAutospacing="0" w:after="0" w:afterAutospacing="0"/>
              <w:jc w:val="both"/>
            </w:pPr>
            <w:r w:rsidRPr="00FE6221">
              <w:t>Ministru kabineta noteikumu projekts „</w:t>
            </w:r>
            <w:r w:rsidR="001F07A1" w:rsidRPr="00FE6221">
              <w:t>Noteikumi par valsts nodevu par īpašuma tiesību un ķīlas tiesību nostiprināšanu zemesgrāmatā</w:t>
            </w:r>
            <w:r w:rsidRPr="00FE6221">
              <w:t>” (turpmāk – Ministru kabineta noteikumu projekts) noteic</w:t>
            </w:r>
            <w:r w:rsidR="001F07A1" w:rsidRPr="00FE6221">
              <w:t xml:space="preserve"> </w:t>
            </w:r>
            <w:r w:rsidR="00BB2DD8" w:rsidRPr="00FE6221">
              <w:t>valsts nodevas par īpašuma tiesību un ķīlas tiesību nostiprināšanu zemesgrāmatā apmēru un samaksas kārtību, kā arī atbrīvojumus no valsts nodevas samaksas</w:t>
            </w:r>
            <w:r w:rsidRPr="00FE6221">
              <w:t>.</w:t>
            </w:r>
          </w:p>
          <w:p w:rsidR="00155E12" w:rsidRPr="00FE6221" w:rsidRDefault="00155E12" w:rsidP="00155E12">
            <w:pPr>
              <w:jc w:val="both"/>
            </w:pPr>
            <w:r w:rsidRPr="00FE6221">
              <w:t xml:space="preserve">Vienlaikus norādāms, ka </w:t>
            </w:r>
            <w:r w:rsidR="00A20E4B" w:rsidRPr="00FE6221">
              <w:rPr>
                <w:bCs/>
              </w:rPr>
              <w:t>Zemesgrāmatu likums</w:t>
            </w:r>
            <w:r w:rsidRPr="00FE6221">
              <w:rPr>
                <w:bCs/>
              </w:rPr>
              <w:t xml:space="preserve"> paredz pievienot zemesgrāmatā iesniedzamajiem dokumentiem pierādījum</w:t>
            </w:r>
            <w:r w:rsidR="00A20E4B" w:rsidRPr="00FE6221">
              <w:rPr>
                <w:bCs/>
              </w:rPr>
              <w:t>u</w:t>
            </w:r>
            <w:r w:rsidRPr="00FE6221">
              <w:rPr>
                <w:bCs/>
              </w:rPr>
              <w:t>s par nodev</w:t>
            </w:r>
            <w:r w:rsidR="005F4631" w:rsidRPr="00FE6221">
              <w:rPr>
                <w:bCs/>
              </w:rPr>
              <w:t>u</w:t>
            </w:r>
            <w:r w:rsidRPr="00FE6221">
              <w:rPr>
                <w:bCs/>
              </w:rPr>
              <w:t xml:space="preserve"> samaksu. Pašreiz, arī veicot maksājumu</w:t>
            </w:r>
            <w:r w:rsidR="00A20E4B" w:rsidRPr="00FE6221">
              <w:rPr>
                <w:bCs/>
              </w:rPr>
              <w:t>s</w:t>
            </w:r>
            <w:r w:rsidRPr="00FE6221">
              <w:rPr>
                <w:bCs/>
              </w:rPr>
              <w:t xml:space="preserve"> par valsts nodevu vai kancelejas nodevu, izmantojot elektroniskās saziņas līdzekļus</w:t>
            </w:r>
            <w:r w:rsidR="00A20E4B" w:rsidRPr="00FE6221">
              <w:rPr>
                <w:bCs/>
              </w:rPr>
              <w:t xml:space="preserve"> (tajā skaitā, internetbanku)</w:t>
            </w:r>
            <w:r w:rsidRPr="00FE6221">
              <w:rPr>
                <w:bCs/>
              </w:rPr>
              <w:t>, persona nav atbrīvota no pierādījumu iesniegšanas</w:t>
            </w:r>
            <w:r w:rsidR="003035EE">
              <w:rPr>
                <w:bCs/>
              </w:rPr>
              <w:t xml:space="preserve"> zemesgrāmatu nodaļā</w:t>
            </w:r>
            <w:r w:rsidRPr="00FE6221">
              <w:rPr>
                <w:bCs/>
              </w:rPr>
              <w:t xml:space="preserve">. Tādējādi personai </w:t>
            </w:r>
            <w:r w:rsidR="001F07A1" w:rsidRPr="00FE6221">
              <w:rPr>
                <w:bCs/>
              </w:rPr>
              <w:t xml:space="preserve">jāvēršas </w:t>
            </w:r>
            <w:r w:rsidRPr="00FE6221">
              <w:rPr>
                <w:bCs/>
              </w:rPr>
              <w:t>zemesgrāmatā vairākkārtīgi – gan, lai saņemtu precīzu valsts nodevas un kancelejas nodevas aprēķinu, gan, lai iesniegtu pierādījumus par veikto</w:t>
            </w:r>
            <w:r w:rsidR="00A20E4B" w:rsidRPr="00FE6221">
              <w:rPr>
                <w:bCs/>
              </w:rPr>
              <w:t xml:space="preserve"> nodevu</w:t>
            </w:r>
            <w:r w:rsidRPr="00FE6221">
              <w:rPr>
                <w:bCs/>
              </w:rPr>
              <w:t xml:space="preserve"> samaksu. Tas rada neērtības klientam un kavē tiesību uz nekustamo īpašumu nostiprināšanas zemesgrāmatā procesu kopumā. </w:t>
            </w:r>
            <w:r w:rsidRPr="00FE6221">
              <w:t xml:space="preserve">Izstrādājot minēto Ministru kabineta noteikumu projektu, tajā papildus </w:t>
            </w:r>
            <w:r w:rsidR="00F14683" w:rsidRPr="00FE6221">
              <w:t>ir</w:t>
            </w:r>
            <w:r w:rsidRPr="00FE6221">
              <w:t xml:space="preserve"> iestrādāts regulējums par kārtību, kādā zemesgrāmatas nodaļa elektroniski var pārliecināties par maksājumu veikšanu.</w:t>
            </w:r>
            <w:r w:rsidR="00F14683" w:rsidRPr="00FE6221">
              <w:t xml:space="preserve"> Līdz ar to </w:t>
            </w:r>
            <w:r w:rsidRPr="00FE6221">
              <w:t xml:space="preserve">Ministru kabineta noteikumu projekts paredz maksājuma uzdevumā obligāti </w:t>
            </w:r>
            <w:r w:rsidRPr="00FE6221">
              <w:lastRenderedPageBreak/>
              <w:t>ietveramo informāciju, pēc kuras zemesgrāmatu nodaļas darbinieks var pārliecināties par maksājuma veikšanu</w:t>
            </w:r>
            <w:r w:rsidR="00C3149B" w:rsidRPr="00FE6221">
              <w:t xml:space="preserve"> Va</w:t>
            </w:r>
            <w:r w:rsidR="0060094C" w:rsidRPr="00FE6221">
              <w:t>lsts kases informācijas sistēmā.</w:t>
            </w:r>
          </w:p>
          <w:p w:rsidR="00984981" w:rsidRPr="00270B69" w:rsidRDefault="00155E12" w:rsidP="00CB7E37">
            <w:pPr>
              <w:jc w:val="both"/>
              <w:rPr>
                <w:color w:val="1D1C1C"/>
              </w:rPr>
            </w:pPr>
            <w:r w:rsidRPr="00270B69">
              <w:t xml:space="preserve">Papildus vēršama uzmanība uz to, ka 2009. gada </w:t>
            </w:r>
            <w:r w:rsidRPr="00270B69">
              <w:rPr>
                <w:bCs/>
                <w:color w:val="1D1C1C"/>
              </w:rPr>
              <w:t xml:space="preserve">1. janvārī stājās spēkā Eiropas Savienības direktīva 2008/7/EK par netiešajiem nodokļiem, ko uzliek kapitāla piesaistīšanai. Līdz 2009. gadam tika piemērota 1969. gada 17. jūlija Padomes direktīva 69/335/EEK par netiešajiem nodokļiem, ko uzliek kapitāla piesaistīšanai, kas paredzēja, ka </w:t>
            </w:r>
            <w:r w:rsidRPr="00270B69">
              <w:rPr>
                <w:color w:val="1D1C1C"/>
              </w:rPr>
              <w:t xml:space="preserve">kapitāla </w:t>
            </w:r>
            <w:r w:rsidR="00C11563" w:rsidRPr="00270B69">
              <w:rPr>
                <w:color w:val="1D1C1C"/>
              </w:rPr>
              <w:t>nodokļa likme nevar pārsniegt 2</w:t>
            </w:r>
            <w:r w:rsidRPr="00270B69">
              <w:rPr>
                <w:color w:val="1D1C1C"/>
              </w:rPr>
              <w:t>%, līdz ar to līdz 2009. gadam 1. janvārim direktīvas prasības Latvijā nebija pārkāptas.</w:t>
            </w:r>
            <w:r w:rsidRPr="00270B69">
              <w:rPr>
                <w:bCs/>
                <w:color w:val="1D1C1C"/>
              </w:rPr>
              <w:t xml:space="preserve"> Taču Eiropas Savienības direktīvas 2008/7/EK mērķis</w:t>
            </w:r>
            <w:r w:rsidRPr="00270B69">
              <w:rPr>
                <w:color w:val="1D1C1C"/>
              </w:rPr>
              <w:t xml:space="preserve"> ir pēc iespējas samazināt šķēršļus kapitāla kustībai ES ietvaros.</w:t>
            </w:r>
            <w:r w:rsidR="00984981">
              <w:rPr>
                <w:color w:val="1D1C1C"/>
              </w:rPr>
              <w:tab/>
            </w:r>
          </w:p>
          <w:p w:rsidR="00984981" w:rsidRPr="00984981" w:rsidRDefault="00E24F0D" w:rsidP="00984981">
            <w:pPr>
              <w:jc w:val="both"/>
              <w:rPr>
                <w:color w:val="365F91"/>
              </w:rPr>
            </w:pPr>
            <w:r w:rsidRPr="00270B69">
              <w:t>Tāpat norādāms, ka līdz 2009. gada 1. janvārim zemesgrāmatu nodaļas tiesnesis, aprēķinot valsts nodevu</w:t>
            </w:r>
            <w:r w:rsidR="00AB7B66" w:rsidRPr="00270B69">
              <w:t xml:space="preserve"> par īpašuma tiesību nostiprināšanu saskaņā ar </w:t>
            </w:r>
            <w:r w:rsidR="003035EE">
              <w:t>nekustamā īpašuma</w:t>
            </w:r>
            <w:r w:rsidR="003035EE" w:rsidRPr="00270B69">
              <w:t xml:space="preserve"> </w:t>
            </w:r>
            <w:r w:rsidR="00AB7B66" w:rsidRPr="00270B69">
              <w:t xml:space="preserve">ieguldīšanu </w:t>
            </w:r>
            <w:r w:rsidR="003035EE">
              <w:t>kapitālsabiedrības</w:t>
            </w:r>
            <w:r w:rsidR="003035EE" w:rsidRPr="00270B69">
              <w:t xml:space="preserve"> </w:t>
            </w:r>
            <w:r w:rsidR="00AB7B66" w:rsidRPr="00270B69">
              <w:t xml:space="preserve">pamatkapitālā, līdz šim iekasēja 2% apmērā no augstākā novērtējuma, t.i., ieguldījuma summas vai īpašuma kadastrālās vērtības. </w:t>
            </w:r>
            <w:r w:rsidR="00CB7E37" w:rsidRPr="00270B69">
              <w:t>Pamatojoties uz minēto, Ministru kabineta noteikumu projekt</w:t>
            </w:r>
            <w:r w:rsidR="00AB7B66" w:rsidRPr="00270B69">
              <w:t>s</w:t>
            </w:r>
            <w:r w:rsidRPr="00270B69">
              <w:t xml:space="preserve"> </w:t>
            </w:r>
            <w:r w:rsidR="00AB7B66" w:rsidRPr="00270B69">
              <w:t>paredz</w:t>
            </w:r>
            <w:r w:rsidRPr="00270B69">
              <w:t>, ka gadījumos, kad kapitālsabiedrība (arī valsts un pašvaldību kapitālsabiedrības, kuru pamatkapitālu veido valsts vai pašvaldību ieguldījumi), ieguldot nekustamo īpašumu kapitālsabiedrības pamatkapitālā</w:t>
            </w:r>
            <w:r w:rsidR="00277F7A">
              <w:t>,</w:t>
            </w:r>
            <w:r w:rsidRPr="00270B69">
              <w:t xml:space="preserve"> maksās valsts nodevu</w:t>
            </w:r>
            <w:r w:rsidR="00984981">
              <w:t xml:space="preserve"> </w:t>
            </w:r>
            <w:r w:rsidR="003911BC">
              <w:t>1 </w:t>
            </w:r>
            <w:r w:rsidR="00984981">
              <w:t>% apmērā</w:t>
            </w:r>
            <w:r w:rsidR="00277F7A">
              <w:t xml:space="preserve"> </w:t>
            </w:r>
            <w:r w:rsidR="00984981">
              <w:t>no kapitālsabiedrības pamatkapitāl</w:t>
            </w:r>
            <w:r w:rsidR="003911BC">
              <w:t>ā</w:t>
            </w:r>
            <w:r w:rsidR="00984981">
              <w:t xml:space="preserve"> ieguldāmās nekustamā īpašuma ieguldījuma summas (latos), bet ne vairāk kā</w:t>
            </w:r>
            <w:r w:rsidRPr="00270B69">
              <w:t xml:space="preserve"> Ls </w:t>
            </w:r>
            <w:r w:rsidR="00984981">
              <w:t>1000</w:t>
            </w:r>
            <w:r w:rsidRPr="00270B69">
              <w:t>.</w:t>
            </w:r>
            <w:r w:rsidR="00AB7B66" w:rsidRPr="00270B69">
              <w:t xml:space="preserve"> Tādējādi</w:t>
            </w:r>
            <w:r w:rsidR="003911BC">
              <w:t>,</w:t>
            </w:r>
            <w:r w:rsidR="00AB7B66" w:rsidRPr="00270B69">
              <w:t xml:space="preserve"> </w:t>
            </w:r>
            <w:r w:rsidR="003035EE" w:rsidRPr="00270B69">
              <w:t xml:space="preserve">ieviešot 2009. gada </w:t>
            </w:r>
            <w:r w:rsidR="003035EE" w:rsidRPr="00270B69">
              <w:rPr>
                <w:bCs/>
              </w:rPr>
              <w:t>1. janvāra Eiropas Savienības direktīvu 2008/7/EK par netiešajiem nodokļiem, ko uzliek kapitāla piesaistīšanai</w:t>
            </w:r>
            <w:r w:rsidR="003035EE">
              <w:rPr>
                <w:bCs/>
              </w:rPr>
              <w:t>,</w:t>
            </w:r>
            <w:r w:rsidR="003035EE" w:rsidRPr="00270B69">
              <w:t xml:space="preserve"> </w:t>
            </w:r>
            <w:r w:rsidR="00AB7B66" w:rsidRPr="00270B69">
              <w:t>Ministru kabineta noteikumu projekts paredz labvēlīgāku risinājumu</w:t>
            </w:r>
            <w:r w:rsidR="00AB7B66" w:rsidRPr="00270B69">
              <w:rPr>
                <w:bCs/>
              </w:rPr>
              <w:t>.</w:t>
            </w:r>
            <w:r w:rsidR="00984981">
              <w:rPr>
                <w:bCs/>
              </w:rPr>
              <w:t xml:space="preserve"> </w:t>
            </w:r>
            <w:r w:rsidR="00984981" w:rsidRPr="00984981">
              <w:rPr>
                <w:bCs/>
              </w:rPr>
              <w:t>Papildus</w:t>
            </w:r>
            <w:r w:rsidR="00277F7A">
              <w:rPr>
                <w:bCs/>
              </w:rPr>
              <w:t xml:space="preserve">, izmantojot </w:t>
            </w:r>
            <w:r w:rsidR="00277F7A" w:rsidRPr="00270B69">
              <w:rPr>
                <w:bCs/>
              </w:rPr>
              <w:t>Eiropas Savienības direktīv</w:t>
            </w:r>
            <w:r w:rsidR="00277F7A">
              <w:rPr>
                <w:bCs/>
              </w:rPr>
              <w:t>ā</w:t>
            </w:r>
            <w:r w:rsidR="00277F7A" w:rsidRPr="00270B69">
              <w:rPr>
                <w:bCs/>
              </w:rPr>
              <w:t xml:space="preserve"> 2008/7/EK par netiešajiem nodokļiem, ko uzliek kapitāla piesaistīšanai</w:t>
            </w:r>
            <w:r w:rsidR="00277F7A">
              <w:rPr>
                <w:bCs/>
              </w:rPr>
              <w:t>, noteiktās dalībvalsts tiesības</w:t>
            </w:r>
            <w:r w:rsidR="003911BC">
              <w:rPr>
                <w:bCs/>
              </w:rPr>
              <w:t xml:space="preserve"> atbrīvot atsevišķas kapitālsabiedrības no valsts  nodevas</w:t>
            </w:r>
            <w:r w:rsidR="00277F7A">
              <w:rPr>
                <w:bCs/>
              </w:rPr>
              <w:t>, noteikumu projekts paredz, ka, piemēram, kapitālsabiedrība, ja tās sniedz pakalpojumu</w:t>
            </w:r>
            <w:r w:rsidR="00730C25">
              <w:rPr>
                <w:bCs/>
              </w:rPr>
              <w:t xml:space="preserve"> sabiedrības vajadzībām, </w:t>
            </w:r>
            <w:r w:rsidR="00277F7A">
              <w:rPr>
                <w:bCs/>
              </w:rPr>
              <w:t>ja valstij vai pašvaldībai pieder vismaz puse no kapitālsabiedrības pamatkapitāla, atbrīvotas no valsts nodevas par īpašuma tiesību nostiprināšanu zemesgrāmatā</w:t>
            </w:r>
            <w:r w:rsidR="003035EE">
              <w:rPr>
                <w:bCs/>
              </w:rPr>
              <w:t>.</w:t>
            </w:r>
          </w:p>
          <w:p w:rsidR="004150AA" w:rsidRPr="00FE6221" w:rsidRDefault="00155E12" w:rsidP="00155E12">
            <w:pPr>
              <w:jc w:val="both"/>
            </w:pPr>
            <w:r w:rsidRPr="00FE6221">
              <w:rPr>
                <w:color w:val="1D1C1C"/>
              </w:rPr>
              <w:t>Pašreiz Ministru kabineta noteikumi Nr. 28 neparedz valsts nodevas apmēru par īpašuma tiesību nostiprināšanu mantiniekiem uz notāra izsniegtas mantojuma apliecības pamata, taču</w:t>
            </w:r>
            <w:r w:rsidR="00C3149B" w:rsidRPr="00FE6221">
              <w:rPr>
                <w:color w:val="1D1C1C"/>
              </w:rPr>
              <w:t xml:space="preserve"> zemesgrāmatu nodaļas tiesnesis, lemjot jautājumu par īpašuma tiesību nostiprināšanu uz notāra izsniegtas mantojuma apliecības, piemēroja</w:t>
            </w:r>
            <w:r w:rsidRPr="00FE6221">
              <w:rPr>
                <w:color w:val="1D1C1C"/>
              </w:rPr>
              <w:t xml:space="preserve"> Civilprocesa likuma </w:t>
            </w:r>
            <w:r w:rsidRPr="00FE6221">
              <w:t>Pārejas noteikumu 16. </w:t>
            </w:r>
            <w:r w:rsidR="00C3149B" w:rsidRPr="00FE6221">
              <w:t xml:space="preserve">punktā </w:t>
            </w:r>
            <w:r w:rsidRPr="00FE6221">
              <w:t>notei</w:t>
            </w:r>
            <w:r w:rsidR="00C3149B" w:rsidRPr="00FE6221">
              <w:t>kto</w:t>
            </w:r>
            <w:r w:rsidRPr="00FE6221">
              <w:t xml:space="preserve"> valsts nodevas apmēru </w:t>
            </w:r>
            <w:r w:rsidRPr="00FE6221">
              <w:rPr>
                <w:color w:val="1D1C1C"/>
              </w:rPr>
              <w:t>par īpašuma tiesību nostiprināšanu mantiniekiem uz notāra izsniegtas mantojuma apliecības pamata. Pamatojoties uz minēto Ministru kabineta noteikumu projekts paredz valsts nodevas apmēru par īpašuma tiesību nosti</w:t>
            </w:r>
            <w:r w:rsidR="00727A61" w:rsidRPr="00FE6221">
              <w:rPr>
                <w:color w:val="1D1C1C"/>
              </w:rPr>
              <w:t>prināšanu mantiniekiem uz notāra</w:t>
            </w:r>
            <w:r w:rsidRPr="00FE6221">
              <w:rPr>
                <w:color w:val="1D1C1C"/>
              </w:rPr>
              <w:t xml:space="preserve"> izsniegtas</w:t>
            </w:r>
            <w:r w:rsidR="00727A61" w:rsidRPr="00FE6221">
              <w:rPr>
                <w:color w:val="1D1C1C"/>
              </w:rPr>
              <w:t xml:space="preserve"> </w:t>
            </w:r>
            <w:r w:rsidRPr="00FE6221">
              <w:rPr>
                <w:color w:val="1D1C1C"/>
              </w:rPr>
              <w:t>mantojuma apliecības pamat</w:t>
            </w:r>
            <w:r w:rsidR="00727A61" w:rsidRPr="00FE6221">
              <w:rPr>
                <w:color w:val="1D1C1C"/>
              </w:rPr>
              <w:t>a</w:t>
            </w:r>
            <w:r w:rsidR="003035EE">
              <w:rPr>
                <w:color w:val="1D1C1C"/>
              </w:rPr>
              <w:t>, līdz ar to</w:t>
            </w:r>
            <w:r w:rsidR="004150AA" w:rsidRPr="00FE6221">
              <w:t xml:space="preserve"> stājoties spēkā Ministru kabineta noteikumu projektam, valsts nodevu par nekustamā īpašuma tiesību nostiprināšanu mantiniekiem uz notāra izsniegtas mantojuma apliecības </w:t>
            </w:r>
            <w:r w:rsidR="009C0ADC" w:rsidRPr="00FE6221">
              <w:t xml:space="preserve">pamata </w:t>
            </w:r>
            <w:r w:rsidR="004150AA" w:rsidRPr="00FE6221">
              <w:t>aprēķināma saskaņā ar šiem noteikumiem.</w:t>
            </w:r>
          </w:p>
          <w:p w:rsidR="00155E12" w:rsidRPr="00FE6221" w:rsidRDefault="00C11563" w:rsidP="00155E12">
            <w:pPr>
              <w:jc w:val="both"/>
              <w:rPr>
                <w:color w:val="1D1C1C"/>
              </w:rPr>
            </w:pPr>
            <w:r w:rsidRPr="00FE6221">
              <w:rPr>
                <w:color w:val="1D1C1C"/>
              </w:rPr>
              <w:t xml:space="preserve">Tāpat </w:t>
            </w:r>
            <w:r w:rsidR="00155E12" w:rsidRPr="00FE6221">
              <w:rPr>
                <w:color w:val="1D1C1C"/>
              </w:rPr>
              <w:t xml:space="preserve">Ministru kabineta noteikumi Nr. 28 noteic, ka par ķīlas </w:t>
            </w:r>
            <w:r w:rsidR="00155E12" w:rsidRPr="00FE6221">
              <w:rPr>
                <w:color w:val="1D1C1C"/>
              </w:rPr>
              <w:lastRenderedPageBreak/>
              <w:t xml:space="preserve">tiesību nostiprināšanu zemesgrāmatā maksājama valsts nodeva 0,1 % no </w:t>
            </w:r>
            <w:r w:rsidR="00D666AD" w:rsidRPr="00FE6221">
              <w:rPr>
                <w:color w:val="1D1C1C"/>
              </w:rPr>
              <w:t>aizdevuma līguma</w:t>
            </w:r>
            <w:r w:rsidR="00155E12" w:rsidRPr="00FE6221">
              <w:rPr>
                <w:color w:val="1D1C1C"/>
              </w:rPr>
              <w:t xml:space="preserve"> summas (latos), bet ne vairāk kā </w:t>
            </w:r>
            <w:r w:rsidRPr="00FE6221">
              <w:rPr>
                <w:color w:val="1D1C1C"/>
              </w:rPr>
              <w:t xml:space="preserve">Ls </w:t>
            </w:r>
            <w:r w:rsidR="00155E12" w:rsidRPr="00FE6221">
              <w:rPr>
                <w:color w:val="1D1C1C"/>
              </w:rPr>
              <w:t xml:space="preserve">1000, tādejādi nosakot maksimālo valsts nodevas apmēru, kas maksājams par ķīlas tiesību nostiprināšanu. </w:t>
            </w:r>
            <w:r w:rsidR="00155E12" w:rsidRPr="00FE6221">
              <w:t xml:space="preserve">Savukārt Latvijas Republikas Augstākās tiesas Senāts 2008. gada 12. februārī, pieņemot lēmumu lietā Nr. SKC-181/2008 norādīja, ka, </w:t>
            </w:r>
            <w:r w:rsidR="008F70A1" w:rsidRPr="00FE6221">
              <w:t>lemjot jautājumu</w:t>
            </w:r>
            <w:r w:rsidR="00155E12" w:rsidRPr="00FE6221">
              <w:t xml:space="preserve">, par valsts nodevas samaksu, nostiprinot ķīlas tiesību grozījumu zemesgrāmatā, ir nepieciešams noskaidrot, vai lūgums par ķīlas tiesību nostiprināšanu ir saistīts ar jau iepriekš noslēgtu kredīta līgumu un kredīta izsniegšana un ar to saistītais ķīlas tiesību pārgrozījums ir viens no noslēgtā līguma izpildes posmiem vai arī ķīlas tiesību nostiprināšana ir saistīta ar jauna patstāvīga kredīta līguma noslēgšanu. Senāts norādīja, ka gadījumā, ja lūgums par ķīlas tiesību nostiprināšanu, neskatoties uz to, kādā formā tas izteikts, ir saistīts ar jauna kredīta līguma noslēgšanu, nostiprinājuma lūdzējam ir pienākums samaksāt valsts nodevu. Tas, ka nostiprinājuma lūgumā tiek lietots formulējums par ieraksta grozīšanu, nenozīmē, ka tas patiesībā nav jaunas tiesības nostiprinājums. Taču gadījumā, kad ķīlas tiesību nostiprināšana ir saistīta ar jau iepriekš noslēgtu kredīta līgumu un kredīta izsniegšana un ar to saistītais ķīlas tiesību pārgrozījums ir viens no noslēgtā līguma izpildes posmiem, maksājama valsts nodeva, taču tā nedrīkst pārsniegt maksimālo valsts nodevas summu, kas maksājama nostiprinot ķīlas tiesību grozījumu zemesgrāmatā. </w:t>
            </w:r>
          </w:p>
          <w:p w:rsidR="00155E12" w:rsidRPr="00FE6221" w:rsidRDefault="00155E12" w:rsidP="00155E12">
            <w:pPr>
              <w:jc w:val="both"/>
            </w:pPr>
            <w:r w:rsidRPr="00FE6221">
              <w:t>Tādejādi Ministru kabineta noteikumu projekts paredz, ka par katra ķīlas tiesību grozījuma nostiprināšanu zemesgrāmatā maksājama valsts nodeva 0,1% no summas (latos), par kuru tiek palielināt</w:t>
            </w:r>
            <w:r w:rsidR="008F6988" w:rsidRPr="00FE6221">
              <w:t>a</w:t>
            </w:r>
            <w:r w:rsidRPr="00FE6221">
              <w:t xml:space="preserve"> </w:t>
            </w:r>
            <w:r w:rsidR="00D666AD" w:rsidRPr="00FE6221">
              <w:t>aizdevuma summa</w:t>
            </w:r>
            <w:r w:rsidRPr="00FE6221">
              <w:t xml:space="preserve">, bet ne vairāk kā Ls 1000 no </w:t>
            </w:r>
            <w:r w:rsidR="00727A61" w:rsidRPr="00FE6221">
              <w:t xml:space="preserve">kopējās </w:t>
            </w:r>
            <w:r w:rsidR="0060094C" w:rsidRPr="00FE6221">
              <w:t>aizdevuma</w:t>
            </w:r>
            <w:r w:rsidRPr="00FE6221">
              <w:t xml:space="preserve"> summas.</w:t>
            </w:r>
          </w:p>
          <w:p w:rsidR="00155E12" w:rsidRPr="00FE6221" w:rsidRDefault="00155E12" w:rsidP="00155E12">
            <w:pPr>
              <w:pStyle w:val="BodyText"/>
              <w:spacing w:after="0"/>
              <w:jc w:val="both"/>
            </w:pPr>
            <w:r w:rsidRPr="00FE6221">
              <w:t xml:space="preserve">Tāpat Ministru kabineta noteikumu projekts izstrādāts arī atbilstoši Ministru kabineta 2007. gada 25. septembra sēdes </w:t>
            </w:r>
            <w:proofErr w:type="spellStart"/>
            <w:r w:rsidRPr="00FE6221">
              <w:t>protokollēmuma</w:t>
            </w:r>
            <w:proofErr w:type="spellEnd"/>
            <w:r w:rsidRPr="00FE6221">
              <w:t xml:space="preserve"> (prot. Nr. 53, 3.§) 3. </w:t>
            </w:r>
            <w:r w:rsidR="00BB696C" w:rsidRPr="00FE6221">
              <w:t>p</w:t>
            </w:r>
            <w:r w:rsidRPr="00FE6221">
              <w:t>unktam</w:t>
            </w:r>
            <w:r w:rsidR="00BB696C" w:rsidRPr="00FE6221">
              <w:t>. S</w:t>
            </w:r>
            <w:r w:rsidRPr="00FE6221">
              <w:t>askaņā ar Zemnieku un zvejnieku saimniecību likumu zemnieku</w:t>
            </w:r>
            <w:r w:rsidR="00003747">
              <w:t xml:space="preserve"> saimniecībām</w:t>
            </w:r>
            <w:r w:rsidRPr="00FE6221">
              <w:t xml:space="preserve"> un zvejnieku saimniecībām </w:t>
            </w:r>
            <w:r w:rsidR="00CE37A1">
              <w:t>pārejas</w:t>
            </w:r>
            <w:r w:rsidRPr="00FE6221">
              <w:t xml:space="preserve"> posmā ir jāveic pārreģistrācija komercreģistrā kādā no Zemnieku un zvejnieku saimniecību likuma Pārejas noteikumos paredzētajiem veidiem vai arī jāveic zemnieku un zvejnieku saimniecības likvidācija. Attiecīgi ir nepieciešams arī sakārtot nekustamā īpašuma īpašumtiesību nostiprināšanu zemesgrāmatā uz citas personas vārda.</w:t>
            </w:r>
          </w:p>
          <w:p w:rsidR="003035EE" w:rsidRPr="00FE6221" w:rsidRDefault="00155E12" w:rsidP="003035EE">
            <w:pPr>
              <w:pStyle w:val="BodyText"/>
              <w:spacing w:after="0"/>
              <w:jc w:val="both"/>
            </w:pPr>
            <w:r w:rsidRPr="00FE6221">
              <w:t>Gadījumā, kad nekustamais īpašums ir reģistrēts uz zemnieka vai zvejnieka saimniecības kā juridiskas personas vārda un zemnieka vai zvejnieka saimniecība tiek reģistrēta komercreģistrā vai pārveidojas par cita veida komercsabiedrību, saimniecība ir atbrīvojama no valsts nodevas par nekustamā īpašuma pārreģistrāciju zemesgrāmatā samaksas, jo minētajā gadījumā nekustamā īpašuma pārreģistrācija zemesgrāmatā nav uzskatāma par mantas atsavināšanas darījumu.</w:t>
            </w:r>
            <w:r w:rsidR="003035EE">
              <w:t xml:space="preserve"> Papildus norādāms, ka zemnieku </w:t>
            </w:r>
            <w:r w:rsidR="008B0401">
              <w:t xml:space="preserve">saimniecības </w:t>
            </w:r>
            <w:r w:rsidR="003035EE">
              <w:t>un zvejnieku</w:t>
            </w:r>
            <w:r w:rsidR="008B0401">
              <w:t xml:space="preserve"> saimniecības</w:t>
            </w:r>
            <w:r w:rsidR="003035EE">
              <w:t xml:space="preserve"> īpašnieku atbrīvojums no valsts nodevas par īpašuma tiesību pārreģistrāciju zemesgrāmatā,</w:t>
            </w:r>
            <w:r w:rsidR="003035EE" w:rsidRPr="00FE6221">
              <w:t xml:space="preserve"> nerada ietekmi uz</w:t>
            </w:r>
            <w:r w:rsidR="003035EE">
              <w:t xml:space="preserve"> valsts un pašvaldību budžetiem</w:t>
            </w:r>
            <w:r w:rsidR="003911BC">
              <w:t>,</w:t>
            </w:r>
            <w:r w:rsidR="003035EE">
              <w:t xml:space="preserve"> jo šādi papildu </w:t>
            </w:r>
            <w:r w:rsidR="003035EE" w:rsidRPr="00FE6221">
              <w:t xml:space="preserve">ieņēmumi valsts budžetā netika plānoti, kā arī nav nepieciešami papildus izdevumi zemesgrāmatu nodaļu darba </w:t>
            </w:r>
            <w:r w:rsidR="003035EE" w:rsidRPr="00FE6221">
              <w:lastRenderedPageBreak/>
              <w:t>nodrošināšanai, jo pārreģistrācija</w:t>
            </w:r>
            <w:r w:rsidR="00003747">
              <w:t>i</w:t>
            </w:r>
            <w:r w:rsidR="003035EE" w:rsidRPr="00FE6221">
              <w:t xml:space="preserve"> ir paredzēt</w:t>
            </w:r>
            <w:r w:rsidR="00003747">
              <w:t>s pārejas posms</w:t>
            </w:r>
            <w:r w:rsidR="003035EE" w:rsidRPr="00FE6221">
              <w:t xml:space="preserve"> un neradīs ārkārtas noslodzi zemesgrāmatu nodaļām</w:t>
            </w:r>
            <w:r w:rsidR="003035EE">
              <w:t>.</w:t>
            </w:r>
          </w:p>
          <w:p w:rsidR="00155E12" w:rsidRPr="00FE6221" w:rsidRDefault="003035EE" w:rsidP="00155E12">
            <w:pPr>
              <w:pStyle w:val="BodyText"/>
              <w:spacing w:after="0"/>
              <w:jc w:val="both"/>
            </w:pPr>
            <w:r>
              <w:t>Papildus norādāms, ka</w:t>
            </w:r>
            <w:r w:rsidR="00155E12" w:rsidRPr="00FE6221">
              <w:t xml:space="preserve"> gadījumā, ja nekustamais īpašums ir reģistrēts uz zemnieku vai zvejnieku saimniecības kā juridiskas personas vārda, bet šī saimniecība reformas ietvaros tiek likvidēta, valsts nodeva ir jāmaksā. </w:t>
            </w:r>
          </w:p>
          <w:p w:rsidR="00155E12" w:rsidRPr="00FE6221" w:rsidRDefault="00155E12" w:rsidP="00155E12">
            <w:pPr>
              <w:jc w:val="both"/>
            </w:pPr>
            <w:r w:rsidRPr="00FE6221">
              <w:t>Pamatojoties uz minēto, Ministru kabineta noteikumu projekts paredz, ka zemnieku vai zvejnieku saimniecības vai to īpašnieki ir atbrīvojami no valsts nodevas samaksas, ja tiem īpašuma tiesības pāriet saskaņā ar Zemnieku un zvejnieku saimniecību likuma pārejas noteikumu 3. punktu.</w:t>
            </w:r>
          </w:p>
          <w:p w:rsidR="00155E12" w:rsidRPr="00FE6221" w:rsidRDefault="00155E12" w:rsidP="00155E12">
            <w:pPr>
              <w:jc w:val="both"/>
            </w:pPr>
            <w:r w:rsidRPr="00FE6221">
              <w:t xml:space="preserve">Atbilstoši Komerclikuma 335. panta piektajai un sestajai daļai, 336. panta trešajai un piektajai daļai, 337. panta otrajai un trešajai daļai un 351. pantam reorganizācija ir process, kura rezultātā notiek </w:t>
            </w:r>
            <w:proofErr w:type="spellStart"/>
            <w:r w:rsidRPr="00FE6221">
              <w:t>sukcesija</w:t>
            </w:r>
            <w:proofErr w:type="spellEnd"/>
            <w:r w:rsidRPr="00FE6221">
              <w:t xml:space="preserve">, tas ir, tiesības un saistības pāriet iegūstošajai sabiedrībai, kā arī sabiedrības dalībniekiem. Reorganizācijas procesā notiek sadalāmo, pārveidojamo un pievienojamo sabiedrību mantas nodošana iegūstošajai sabiedrībai un reorganizācijas procesa rezultātā tiesības un saistības pāriet iegūstošajai sabiedrībai, kā arī sabiedrības dalībnieki kļūst par iegūstošās sabiedrības dalībniekiem. Saskaņā ar Komerclikuma 343. panta astoto daļu reorganizācijas procesā attiecīgā sabiedrība noslēdz līgumu, </w:t>
            </w:r>
            <w:r w:rsidR="00BB696C" w:rsidRPr="00FE6221">
              <w:t xml:space="preserve">kas </w:t>
            </w:r>
            <w:r w:rsidRPr="00FE6221">
              <w:t xml:space="preserve">ir kā sabiedrības dalībnieku savstarpējā vienošanās par tiesisku attiecību nodibināšanu, pārgrozīšanu vai izbeigšanu, un līguma mērķis ir nodibināt saistību tiesību. Līdz ar to iegūstošā sabiedrība turpina pievienojamās vai sadalāmās sabiedrības mantiskās attiecības un lūdz nevis jaunas tiesības nostiprināšanu, bet gan esošā īpašuma tiesību grozīšanu. </w:t>
            </w:r>
          </w:p>
          <w:p w:rsidR="00155E12" w:rsidRPr="00FE6221" w:rsidRDefault="00155E12" w:rsidP="00727A61">
            <w:pPr>
              <w:jc w:val="both"/>
            </w:pPr>
            <w:r w:rsidRPr="00FE6221">
              <w:t>Latvijas Republikas Augstākās tiesas Senāta Civillietu departaments 2006. gada 2. novembra lēmumā lietā Nr. SKC-869 norādīja, ka reorganizācija nav uzskatāma par mantas atsavināšanu. Ievērojot minēto Ministru kabineta noteikumu projekts noteic, ka no valsts nodevas ir atbrīvojama kapitālsabiedrība, ja tiesības uz nekustamu īpašumu tā iegūst reorganizācijas rezultātā.</w:t>
            </w:r>
          </w:p>
          <w:p w:rsidR="00727A61" w:rsidRPr="00FE6221" w:rsidRDefault="00727A61" w:rsidP="00CE37A1">
            <w:pPr>
              <w:pStyle w:val="naisf"/>
              <w:spacing w:before="0" w:beforeAutospacing="0" w:after="0" w:afterAutospacing="0"/>
              <w:jc w:val="both"/>
            </w:pPr>
            <w:r w:rsidRPr="00FE6221">
              <w:t>Papildus no valsts nodevas samaksas ir atbrīvota valsts un pašvaldība, ja saskaņā ar Valsts un pašvaldību atsavināšanas likumu tās viena otrai nodod bez atlīdzības vai maina nekustamos īpašumus</w:t>
            </w:r>
            <w:r w:rsidR="00FD6036" w:rsidRPr="00FE6221">
              <w:t>;</w:t>
            </w:r>
            <w:r w:rsidRPr="00FE6221">
              <w:t xml:space="preserve"> ja saskaņā ar Civillikuma 416. panta pirmo daļu </w:t>
            </w:r>
            <w:r w:rsidR="00FD6036" w:rsidRPr="00FE6221">
              <w:t xml:space="preserve">tai piekrīt bezmantinieku manta, kā arī </w:t>
            </w:r>
            <w:r w:rsidRPr="00FE6221">
              <w:t>valsts vai pašvaldība - par īpašuma tiesību nostiprināšanu zemesgrāmatā, ja nekustamais īpašuma atsa</w:t>
            </w:r>
            <w:r w:rsidR="00FD6036" w:rsidRPr="00FE6221">
              <w:t xml:space="preserve">vināts </w:t>
            </w:r>
            <w:r w:rsidRPr="00FE6221">
              <w:t>sabiedriskajām vajadzībām</w:t>
            </w:r>
            <w:r w:rsidR="00FD6036" w:rsidRPr="00FE6221">
              <w:t>.</w:t>
            </w:r>
            <w:r w:rsidR="008F6988" w:rsidRPr="00FE6221">
              <w:t xml:space="preserve"> Tāpat no valsts nodevas samaksas ir atbrīvotas personas, kas īpašuma tiesības iegūst saskaņā ar likumu „Par valsts un pašvaldību īpašuma objektu privatizāciju” un likumu „Valsts un pašvaldības mantas atsavināšanas likums”, jo </w:t>
            </w:r>
            <w:r w:rsidR="003C7AE6" w:rsidRPr="00FE6221">
              <w:t>darījumā, uz kura pamata iegūts nekustamais īpašums, kā maksāšanas līdzeklis pilnībā vai daļēji izmantoti privatizācijas sertifikāti</w:t>
            </w:r>
            <w:r w:rsidR="00CC0DC6" w:rsidRPr="00FE6221">
              <w:t xml:space="preserve"> un personas, kuras īpašuma tiesības iegūst uz notāra izsniegtas mantojuma apliecības pamata, ja manto</w:t>
            </w:r>
            <w:r w:rsidR="00277F7A">
              <w:t>tā nekustamā īpašuma</w:t>
            </w:r>
            <w:r w:rsidR="00CC0DC6" w:rsidRPr="00FE6221">
              <w:t xml:space="preserve"> vērtība ir mazāka par 10 minimālajām mēnešalgām.</w:t>
            </w:r>
          </w:p>
        </w:tc>
      </w:tr>
      <w:tr w:rsidR="00AF27DD" w:rsidRPr="00FE6221" w:rsidTr="000052F2">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A415E1">
            <w:pPr>
              <w:pStyle w:val="naiskr"/>
            </w:pPr>
            <w:r w:rsidRPr="00FE6221">
              <w:lastRenderedPageBreak/>
              <w:t> 4. Cita informācija</w:t>
            </w:r>
          </w:p>
        </w:tc>
        <w:tc>
          <w:tcPr>
            <w:tcW w:w="6520" w:type="dxa"/>
            <w:gridSpan w:val="10"/>
            <w:tcBorders>
              <w:top w:val="outset" w:sz="6" w:space="0" w:color="auto"/>
              <w:left w:val="outset" w:sz="6" w:space="0" w:color="auto"/>
              <w:bottom w:val="outset" w:sz="6" w:space="0" w:color="auto"/>
              <w:right w:val="outset" w:sz="6" w:space="0" w:color="auto"/>
            </w:tcBorders>
          </w:tcPr>
          <w:p w:rsidR="003E1B40" w:rsidRPr="00FE6221" w:rsidRDefault="00FD6036" w:rsidP="00C11563">
            <w:pPr>
              <w:jc w:val="both"/>
            </w:pPr>
            <w:r w:rsidRPr="00FE6221">
              <w:t xml:space="preserve">Izstrādājot Ministru kabineta noteikumu projektu ir </w:t>
            </w:r>
            <w:r w:rsidR="00C11563" w:rsidRPr="00FE6221">
              <w:t xml:space="preserve">izvērtēti un </w:t>
            </w:r>
            <w:r w:rsidRPr="00FE6221">
              <w:t xml:space="preserve">ņemti vērā </w:t>
            </w:r>
            <w:r w:rsidR="00C11563" w:rsidRPr="00FE6221">
              <w:t>zemesgrāmatu nodaļu tiesnešu</w:t>
            </w:r>
            <w:r w:rsidRPr="00FE6221">
              <w:t xml:space="preserve"> iesniegtie priekšlikumi.</w:t>
            </w:r>
          </w:p>
        </w:tc>
      </w:tr>
      <w:tr w:rsidR="00AF27DD"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vAlign w:val="center"/>
          </w:tcPr>
          <w:p w:rsidR="00B2625F" w:rsidRPr="00FE6221" w:rsidRDefault="00AF27DD" w:rsidP="007520B0">
            <w:pPr>
              <w:pStyle w:val="naisnod"/>
              <w:spacing w:before="0" w:beforeAutospacing="0" w:after="0" w:afterAutospacing="0"/>
              <w:jc w:val="center"/>
              <w:rPr>
                <w:b/>
                <w:bCs/>
              </w:rPr>
            </w:pPr>
            <w:r w:rsidRPr="00FE6221">
              <w:rPr>
                <w:b/>
              </w:rPr>
              <w:lastRenderedPageBreak/>
              <w:t>II.</w:t>
            </w:r>
            <w:r w:rsidRPr="00FE6221">
              <w:t xml:space="preserve"> </w:t>
            </w:r>
            <w:r w:rsidRPr="00FE6221">
              <w:rPr>
                <w:b/>
              </w:rPr>
              <w:t>Kāda var būt normatīvā akta ietekme uz</w:t>
            </w:r>
            <w:r w:rsidR="0072490C" w:rsidRPr="00FE6221">
              <w:rPr>
                <w:b/>
              </w:rPr>
              <w:t xml:space="preserve"> </w:t>
            </w:r>
            <w:r w:rsidRPr="00FE6221">
              <w:rPr>
                <w:b/>
                <w:bCs/>
              </w:rPr>
              <w:t>sabiedrības un tautsaimniecības attīstību</w:t>
            </w:r>
          </w:p>
        </w:tc>
      </w:tr>
      <w:tr w:rsidR="00AF27DD" w:rsidRPr="00FE6221" w:rsidTr="002B2A76">
        <w:trPr>
          <w:tblCellSpacing w:w="0" w:type="dxa"/>
        </w:trPr>
        <w:tc>
          <w:tcPr>
            <w:tcW w:w="2709" w:type="dxa"/>
            <w:tcBorders>
              <w:top w:val="outset" w:sz="6" w:space="0" w:color="auto"/>
              <w:left w:val="outset" w:sz="6" w:space="0" w:color="auto"/>
              <w:bottom w:val="outset" w:sz="6" w:space="0" w:color="auto"/>
              <w:right w:val="outset" w:sz="6" w:space="0" w:color="auto"/>
            </w:tcBorders>
          </w:tcPr>
          <w:p w:rsidR="009E3404" w:rsidRPr="00FE6221" w:rsidRDefault="00AF27DD" w:rsidP="009E3404">
            <w:pPr>
              <w:pStyle w:val="naiskr"/>
              <w:numPr>
                <w:ilvl w:val="0"/>
                <w:numId w:val="4"/>
              </w:numPr>
            </w:pPr>
            <w:r w:rsidRPr="00FE6221">
              <w:t>Vispārēja ietekme uz sabiedrības un tautsaimniecības pārmaiņām</w:t>
            </w:r>
          </w:p>
        </w:tc>
        <w:tc>
          <w:tcPr>
            <w:tcW w:w="6520" w:type="dxa"/>
            <w:gridSpan w:val="10"/>
            <w:tcBorders>
              <w:top w:val="outset" w:sz="6" w:space="0" w:color="auto"/>
              <w:left w:val="outset" w:sz="6" w:space="0" w:color="auto"/>
              <w:bottom w:val="outset" w:sz="6" w:space="0" w:color="auto"/>
              <w:right w:val="outset" w:sz="6" w:space="0" w:color="auto"/>
            </w:tcBorders>
          </w:tcPr>
          <w:p w:rsidR="00AF27DD" w:rsidRPr="00FE6221" w:rsidRDefault="0072490C" w:rsidP="00084695">
            <w:pPr>
              <w:pStyle w:val="naiskr"/>
              <w:spacing w:before="0" w:beforeAutospacing="0" w:after="0" w:afterAutospacing="0"/>
            </w:pPr>
            <w:r w:rsidRPr="00FE6221">
              <w:t>Nav attiecināms.</w:t>
            </w:r>
          </w:p>
        </w:tc>
      </w:tr>
      <w:tr w:rsidR="00AF27DD" w:rsidRPr="00FE6221" w:rsidTr="002B2A76">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A415E1">
            <w:pPr>
              <w:pStyle w:val="naiskr"/>
            </w:pPr>
            <w:r w:rsidRPr="00FE6221">
              <w:t> 2. Ekonomiskā ietekme:</w:t>
            </w:r>
          </w:p>
          <w:p w:rsidR="00AF27DD" w:rsidRPr="00FE6221" w:rsidRDefault="00AF27DD" w:rsidP="00A415E1">
            <w:pPr>
              <w:pStyle w:val="naiskr"/>
            </w:pPr>
            <w:r w:rsidRPr="00FE6221">
              <w:t>2.1. makroekonomiskā vide;</w:t>
            </w:r>
          </w:p>
          <w:p w:rsidR="00AF27DD" w:rsidRPr="00FE6221" w:rsidRDefault="00AF27DD" w:rsidP="00A415E1">
            <w:pPr>
              <w:pStyle w:val="naiskr"/>
            </w:pPr>
            <w:r w:rsidRPr="00FE6221">
              <w:t>2.2. preču un pakalpojumu ražošanas apjoms un kvalitāte;</w:t>
            </w:r>
          </w:p>
          <w:p w:rsidR="00AF27DD" w:rsidRPr="00FE6221" w:rsidRDefault="00AF27DD" w:rsidP="00A415E1">
            <w:pPr>
              <w:pStyle w:val="naiskr"/>
            </w:pPr>
            <w:r w:rsidRPr="00FE6221">
              <w:t>2.3. cenas;</w:t>
            </w:r>
          </w:p>
          <w:p w:rsidR="00AF27DD" w:rsidRPr="00FE6221" w:rsidRDefault="00AF27DD" w:rsidP="00A415E1">
            <w:pPr>
              <w:pStyle w:val="naiskr"/>
            </w:pPr>
            <w:r w:rsidRPr="00FE6221">
              <w:t>2.4. eksporta un importa apjoms;</w:t>
            </w:r>
          </w:p>
          <w:p w:rsidR="00AF27DD" w:rsidRPr="00FE6221" w:rsidRDefault="00AF27DD" w:rsidP="00A415E1">
            <w:pPr>
              <w:pStyle w:val="naiskr"/>
            </w:pPr>
            <w:r w:rsidRPr="00FE6221">
              <w:t>2.5. konkurences apstākļi;</w:t>
            </w:r>
          </w:p>
          <w:p w:rsidR="00AF27DD" w:rsidRPr="00FE6221" w:rsidRDefault="00AF27DD" w:rsidP="00A415E1">
            <w:pPr>
              <w:pStyle w:val="naiskr"/>
            </w:pPr>
            <w:r w:rsidRPr="00FE6221">
              <w:t>2.6. jauninājumi un pētījumi;</w:t>
            </w:r>
          </w:p>
          <w:p w:rsidR="003911BC" w:rsidRPr="00FE6221" w:rsidRDefault="00AF27DD" w:rsidP="00A415E1">
            <w:pPr>
              <w:pStyle w:val="naiskr"/>
            </w:pPr>
            <w:r w:rsidRPr="00FE6221">
              <w:t>2.7. augstāka resursu izmantošanas efektivitāte</w:t>
            </w:r>
          </w:p>
          <w:p w:rsidR="009E3404" w:rsidRPr="00FE6221" w:rsidRDefault="009E3404" w:rsidP="00A415E1">
            <w:pPr>
              <w:pStyle w:val="naiskr"/>
            </w:pPr>
          </w:p>
        </w:tc>
        <w:tc>
          <w:tcPr>
            <w:tcW w:w="6520" w:type="dxa"/>
            <w:gridSpan w:val="10"/>
            <w:tcBorders>
              <w:top w:val="outset" w:sz="6" w:space="0" w:color="auto"/>
              <w:left w:val="outset" w:sz="6" w:space="0" w:color="auto"/>
              <w:bottom w:val="outset" w:sz="6" w:space="0" w:color="auto"/>
              <w:right w:val="outset" w:sz="6" w:space="0" w:color="auto"/>
            </w:tcBorders>
          </w:tcPr>
          <w:p w:rsidR="00AF27DD" w:rsidRPr="00FE6221" w:rsidRDefault="0072490C" w:rsidP="00A415E1">
            <w:pPr>
              <w:pStyle w:val="naiskr"/>
            </w:pPr>
            <w:r w:rsidRPr="00FE6221">
              <w:t>Nav attiecināms.</w:t>
            </w:r>
          </w:p>
        </w:tc>
      </w:tr>
      <w:tr w:rsidR="00AF27DD" w:rsidRPr="00FE6221" w:rsidTr="002B2A76">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A415E1">
            <w:pPr>
              <w:pStyle w:val="naiskr"/>
            </w:pPr>
            <w:r w:rsidRPr="00FE6221">
              <w:t> 3. Ietekme uz uzņēmējdarbības vidi, administratīvajām procedūrām un administratīvo slogu komersantiem, pašnodarbinātajām personām, zemnieku un zvejnieku saimniecībām</w:t>
            </w:r>
          </w:p>
          <w:p w:rsidR="009E3404" w:rsidRPr="00FE6221" w:rsidRDefault="009E3404" w:rsidP="00A415E1">
            <w:pPr>
              <w:pStyle w:val="naiskr"/>
            </w:pPr>
          </w:p>
        </w:tc>
        <w:tc>
          <w:tcPr>
            <w:tcW w:w="6520" w:type="dxa"/>
            <w:gridSpan w:val="10"/>
            <w:tcBorders>
              <w:top w:val="outset" w:sz="6" w:space="0" w:color="auto"/>
              <w:left w:val="outset" w:sz="6" w:space="0" w:color="auto"/>
              <w:bottom w:val="outset" w:sz="6" w:space="0" w:color="auto"/>
              <w:right w:val="outset" w:sz="6" w:space="0" w:color="auto"/>
            </w:tcBorders>
          </w:tcPr>
          <w:p w:rsidR="00C560DA" w:rsidRPr="00270B69" w:rsidRDefault="00FC7789" w:rsidP="00C560DA">
            <w:pPr>
              <w:jc w:val="both"/>
              <w:rPr>
                <w:color w:val="1D1C1C"/>
              </w:rPr>
            </w:pPr>
            <w:r w:rsidRPr="00270B69">
              <w:t>Ministru kabineta n</w:t>
            </w:r>
            <w:r w:rsidR="00C560DA" w:rsidRPr="00270B69">
              <w:t xml:space="preserve">oteikumu projekts, saskaņā ar </w:t>
            </w:r>
            <w:r w:rsidRPr="00270B69">
              <w:rPr>
                <w:bCs/>
                <w:color w:val="1D1C1C"/>
              </w:rPr>
              <w:t>Eiropas Savienības direktīvu 2008/7/EK par netiešajiem nodokļiem, ko uzliek kapitāla piesaistīšanai</w:t>
            </w:r>
            <w:r w:rsidRPr="00270B69">
              <w:t>, paredz</w:t>
            </w:r>
            <w:r w:rsidR="00C560DA" w:rsidRPr="00270B69">
              <w:rPr>
                <w:color w:val="1D1C1C"/>
              </w:rPr>
              <w:t>, ka</w:t>
            </w:r>
            <w:r w:rsidR="00C560DA" w:rsidRPr="00270B69">
              <w:t xml:space="preserve"> gadījumos, kad kapitālsabiedrība, arī valsts un pašvaldību kapitālsabiedrības, kuru pamatkapitālu veido tikai valsts vai pašvaldību ieguldījumi, ieguldot nekustamo īpašumu kapitālsabiedrības pamatkapitālā maksās valsts nodevu</w:t>
            </w:r>
            <w:r w:rsidR="00984981">
              <w:t xml:space="preserve"> 1% apmērā no kapitālsabiedrības pamatkapitālā ieguldāmās nekustamā īpašuma ieguldījuma summas (latos</w:t>
            </w:r>
            <w:r w:rsidR="00277F7A">
              <w:t>)</w:t>
            </w:r>
            <w:r w:rsidR="00984981">
              <w:t>, bet ne vairāk kā</w:t>
            </w:r>
            <w:r w:rsidR="00C560DA" w:rsidRPr="00270B69">
              <w:t xml:space="preserve"> Ls </w:t>
            </w:r>
            <w:r w:rsidR="00984981">
              <w:t>100</w:t>
            </w:r>
            <w:r w:rsidR="00C560DA" w:rsidRPr="00270B69">
              <w:t xml:space="preserve">0. </w:t>
            </w:r>
          </w:p>
          <w:p w:rsidR="00FC7789" w:rsidRPr="00270B69" w:rsidRDefault="00FC7789" w:rsidP="00FC7789">
            <w:pPr>
              <w:jc w:val="both"/>
            </w:pPr>
            <w:r w:rsidRPr="00270B69">
              <w:t xml:space="preserve">Iestrādājot nacionālajā normatīvajā aktā </w:t>
            </w:r>
            <w:r w:rsidRPr="00270B69">
              <w:rPr>
                <w:bCs/>
                <w:color w:val="1D1C1C"/>
              </w:rPr>
              <w:t>Eiropas Savienības direktīvas 2008/7/EK par netiešajiem nodokļiem, ko uzliek kapitāla piesaistīšanai, normas, tiek samazināti šķēršļi kapitāla kustībai, proti, jauna nodeva uz</w:t>
            </w:r>
            <w:r w:rsidR="00C560DA" w:rsidRPr="00270B69">
              <w:rPr>
                <w:bCs/>
                <w:color w:val="1D1C1C"/>
              </w:rPr>
              <w:t xml:space="preserve"> ieguldījumiem piemērota netiek;</w:t>
            </w:r>
            <w:r w:rsidRPr="00270B69">
              <w:rPr>
                <w:bCs/>
                <w:color w:val="1D1C1C"/>
              </w:rPr>
              <w:t xml:space="preserve"> ja valstī nodeva uz ieguldījumu kapitālā ir samazināta vai atcelta, to attiecīgi palielināt vai no jauna ieviest vairs nevar; nodevas apmērs nevar pārsniegt 1%.</w:t>
            </w:r>
          </w:p>
          <w:p w:rsidR="00AF27DD" w:rsidRPr="00C560DA" w:rsidRDefault="00FC7789" w:rsidP="003035EE">
            <w:pPr>
              <w:jc w:val="both"/>
              <w:rPr>
                <w:color w:val="1D1C1C"/>
              </w:rPr>
            </w:pPr>
            <w:r w:rsidRPr="00270B69">
              <w:t>Pamatojoties uz minēto, kā arī ņemot vērā to,</w:t>
            </w:r>
            <w:r w:rsidR="003035EE">
              <w:t xml:space="preserve"> ka</w:t>
            </w:r>
            <w:r w:rsidRPr="00270B69">
              <w:t xml:space="preserve"> </w:t>
            </w:r>
            <w:r w:rsidR="00C560DA" w:rsidRPr="00270B69">
              <w:rPr>
                <w:color w:val="1D1C1C"/>
              </w:rPr>
              <w:t xml:space="preserve">līdz 2009. gada 1. janvārim zemesgrāmatu nodaļas tiesnesis, aprēķinot valsts nodevu par īpašuma tiesību nostiprināšanu saskaņā ar </w:t>
            </w:r>
            <w:r w:rsidR="003035EE">
              <w:rPr>
                <w:color w:val="1D1C1C"/>
              </w:rPr>
              <w:t>nekustamā īpašuma</w:t>
            </w:r>
            <w:r w:rsidR="003035EE" w:rsidRPr="00270B69">
              <w:rPr>
                <w:color w:val="1D1C1C"/>
              </w:rPr>
              <w:t xml:space="preserve"> </w:t>
            </w:r>
            <w:r w:rsidR="00C560DA" w:rsidRPr="00270B69">
              <w:rPr>
                <w:color w:val="1D1C1C"/>
              </w:rPr>
              <w:t xml:space="preserve">ieguldīšanu </w:t>
            </w:r>
            <w:r w:rsidR="00277F7A">
              <w:rPr>
                <w:color w:val="1D1C1C"/>
              </w:rPr>
              <w:t>kapitālsabiedrības</w:t>
            </w:r>
            <w:r w:rsidR="00277F7A" w:rsidRPr="00270B69">
              <w:rPr>
                <w:color w:val="1D1C1C"/>
              </w:rPr>
              <w:t xml:space="preserve"> </w:t>
            </w:r>
            <w:r w:rsidR="00C560DA" w:rsidRPr="00270B69">
              <w:rPr>
                <w:color w:val="1D1C1C"/>
              </w:rPr>
              <w:t xml:space="preserve">pamatkapitālā, līdz šim iekasēja 2% apmērā no augstākā novērtējuma, t.i., ieguldījuma summas vai īpašuma kadastrālās vērtības, </w:t>
            </w:r>
            <w:r w:rsidR="00C560DA" w:rsidRPr="00270B69">
              <w:t xml:space="preserve">Ministru kabineta </w:t>
            </w:r>
            <w:r w:rsidR="00C560DA" w:rsidRPr="00270B69">
              <w:lastRenderedPageBreak/>
              <w:t xml:space="preserve">noteikumu projekts paredz labvēlīgāku risinājumu, </w:t>
            </w:r>
            <w:r w:rsidR="00277F7A">
              <w:t>jo</w:t>
            </w:r>
            <w:r w:rsidRPr="00270B69">
              <w:rPr>
                <w:bCs/>
                <w:color w:val="1D1C1C"/>
              </w:rPr>
              <w:t xml:space="preserve"> </w:t>
            </w:r>
            <w:r w:rsidR="00C560DA" w:rsidRPr="00270B69">
              <w:rPr>
                <w:bCs/>
                <w:color w:val="1D1C1C"/>
              </w:rPr>
              <w:t>kapitālsabiedrībām</w:t>
            </w:r>
            <w:r w:rsidR="00277F7A">
              <w:rPr>
                <w:bCs/>
                <w:color w:val="1D1C1C"/>
              </w:rPr>
              <w:t xml:space="preserve"> tiek samazināti</w:t>
            </w:r>
            <w:r w:rsidR="00C560DA" w:rsidRPr="00270B69">
              <w:rPr>
                <w:bCs/>
                <w:color w:val="1D1C1C"/>
              </w:rPr>
              <w:t xml:space="preserve"> </w:t>
            </w:r>
            <w:r w:rsidRPr="00270B69">
              <w:rPr>
                <w:bCs/>
                <w:color w:val="1D1C1C"/>
              </w:rPr>
              <w:t>izdevum</w:t>
            </w:r>
            <w:r w:rsidR="00C560DA" w:rsidRPr="00270B69">
              <w:rPr>
                <w:bCs/>
                <w:color w:val="1D1C1C"/>
              </w:rPr>
              <w:t>i</w:t>
            </w:r>
            <w:r w:rsidRPr="00270B69">
              <w:rPr>
                <w:bCs/>
                <w:color w:val="1D1C1C"/>
              </w:rPr>
              <w:t xml:space="preserve"> pie īpašuma reģistrācijas zemesgrāmatā.</w:t>
            </w:r>
          </w:p>
        </w:tc>
      </w:tr>
      <w:tr w:rsidR="00AF27DD" w:rsidRPr="00FE6221" w:rsidTr="002B2A76">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A415E1">
            <w:pPr>
              <w:pStyle w:val="naiskr"/>
            </w:pPr>
            <w:r w:rsidRPr="00FE6221">
              <w:lastRenderedPageBreak/>
              <w:t> 4. Ietekme uz administratīvajām procedūrām un administratīvo slogu fiziskām personām</w:t>
            </w:r>
          </w:p>
          <w:p w:rsidR="009E3404" w:rsidRPr="00FE6221" w:rsidRDefault="009E3404" w:rsidP="00A415E1">
            <w:pPr>
              <w:pStyle w:val="naiskr"/>
            </w:pPr>
          </w:p>
        </w:tc>
        <w:tc>
          <w:tcPr>
            <w:tcW w:w="6520" w:type="dxa"/>
            <w:gridSpan w:val="10"/>
            <w:tcBorders>
              <w:top w:val="outset" w:sz="6" w:space="0" w:color="auto"/>
              <w:left w:val="outset" w:sz="6" w:space="0" w:color="auto"/>
              <w:bottom w:val="outset" w:sz="6" w:space="0" w:color="auto"/>
              <w:right w:val="outset" w:sz="6" w:space="0" w:color="auto"/>
            </w:tcBorders>
          </w:tcPr>
          <w:p w:rsidR="00AF27DD" w:rsidRPr="00FE6221" w:rsidRDefault="0072490C" w:rsidP="00A415E1">
            <w:pPr>
              <w:pStyle w:val="naiskr"/>
            </w:pPr>
            <w:r w:rsidRPr="00C560DA">
              <w:t>Nav attiecināms.</w:t>
            </w:r>
          </w:p>
        </w:tc>
      </w:tr>
      <w:tr w:rsidR="00AF27DD" w:rsidRPr="00FE6221" w:rsidTr="002B2A76">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A415E1">
            <w:pPr>
              <w:pStyle w:val="naiskr"/>
            </w:pPr>
            <w:r w:rsidRPr="00FE6221">
              <w:t> 5. Sociālā ietekme:  </w:t>
            </w:r>
          </w:p>
          <w:p w:rsidR="00AF27DD" w:rsidRPr="00FE6221" w:rsidRDefault="00AF27DD" w:rsidP="00A415E1">
            <w:pPr>
              <w:pStyle w:val="naiskr"/>
            </w:pPr>
            <w:r w:rsidRPr="00FE6221">
              <w:t>5.1. sociālās situācijas izmaiņas;</w:t>
            </w:r>
          </w:p>
          <w:p w:rsidR="00AF27DD" w:rsidRPr="00FE6221" w:rsidRDefault="00AF27DD" w:rsidP="00A415E1">
            <w:pPr>
              <w:pStyle w:val="naiskr"/>
            </w:pPr>
            <w:r w:rsidRPr="00FE6221">
              <w:t>5.2. nodarbinātība</w:t>
            </w:r>
          </w:p>
        </w:tc>
        <w:tc>
          <w:tcPr>
            <w:tcW w:w="6520" w:type="dxa"/>
            <w:gridSpan w:val="10"/>
            <w:tcBorders>
              <w:top w:val="outset" w:sz="6" w:space="0" w:color="auto"/>
              <w:left w:val="outset" w:sz="6" w:space="0" w:color="auto"/>
              <w:bottom w:val="outset" w:sz="6" w:space="0" w:color="auto"/>
              <w:right w:val="outset" w:sz="6" w:space="0" w:color="auto"/>
            </w:tcBorders>
          </w:tcPr>
          <w:p w:rsidR="00AF27DD" w:rsidRPr="00FE6221" w:rsidRDefault="006208A9" w:rsidP="007520B0">
            <w:pPr>
              <w:pStyle w:val="naiskr"/>
              <w:jc w:val="both"/>
            </w:pPr>
            <w:r w:rsidRPr="00FE6221">
              <w:t>Nav attiecināms</w:t>
            </w:r>
            <w:r w:rsidR="000D6F89" w:rsidRPr="00FE6221">
              <w:t>.</w:t>
            </w:r>
          </w:p>
        </w:tc>
      </w:tr>
      <w:tr w:rsidR="00AF27DD" w:rsidRPr="00FE6221" w:rsidTr="002B2A76">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A415E1">
            <w:pPr>
              <w:pStyle w:val="naiskr"/>
            </w:pPr>
            <w:r w:rsidRPr="00FE6221">
              <w:t> 6. Ietekme uz vidi:</w:t>
            </w:r>
          </w:p>
          <w:p w:rsidR="00AF27DD" w:rsidRPr="00FE6221" w:rsidRDefault="00AF27DD" w:rsidP="00A415E1">
            <w:pPr>
              <w:pStyle w:val="naiskr"/>
            </w:pPr>
            <w:r w:rsidRPr="00FE6221">
              <w:t>6.1. dabas resursu lietošana;</w:t>
            </w:r>
          </w:p>
          <w:p w:rsidR="00AF27DD" w:rsidRPr="00FE6221" w:rsidRDefault="00AF27DD" w:rsidP="00A415E1">
            <w:pPr>
              <w:pStyle w:val="naiskr"/>
            </w:pPr>
            <w:r w:rsidRPr="00FE6221">
              <w:t>6.2. ietekme uz piesārņojošo vielu emisiju vidē;</w:t>
            </w:r>
          </w:p>
          <w:p w:rsidR="00AF27DD" w:rsidRPr="00FE6221" w:rsidRDefault="00AF27DD" w:rsidP="00A415E1">
            <w:pPr>
              <w:pStyle w:val="naiskr"/>
            </w:pPr>
            <w:r w:rsidRPr="00FE6221">
              <w:t>6.3. darbības radītie atkritumi;</w:t>
            </w:r>
          </w:p>
          <w:p w:rsidR="00AF27DD" w:rsidRPr="00FE6221" w:rsidRDefault="00AF27DD" w:rsidP="00A415E1">
            <w:pPr>
              <w:pStyle w:val="naiskr"/>
            </w:pPr>
            <w:r w:rsidRPr="00FE6221">
              <w:t>6.4. ķīmisko vielu produktu ražošana;</w:t>
            </w:r>
          </w:p>
          <w:p w:rsidR="00AF27DD" w:rsidRPr="00FE6221" w:rsidRDefault="00AF27DD" w:rsidP="00A415E1">
            <w:pPr>
              <w:pStyle w:val="naiskr"/>
            </w:pPr>
            <w:r w:rsidRPr="00FE6221">
              <w:t>6.5. ietekme uz īpaši aizsargājamām sugām vai biotopiem;</w:t>
            </w:r>
          </w:p>
          <w:p w:rsidR="00AF27DD" w:rsidRPr="00FE6221" w:rsidRDefault="00AF27DD" w:rsidP="00A415E1">
            <w:pPr>
              <w:pStyle w:val="naiskr"/>
            </w:pPr>
            <w:r w:rsidRPr="00FE6221">
              <w:t>6.6. ietekme uz īpaši aizsargājamām teritorijām;</w:t>
            </w:r>
          </w:p>
          <w:p w:rsidR="00AF27DD" w:rsidRPr="00FE6221" w:rsidRDefault="00AF27DD" w:rsidP="00A415E1">
            <w:pPr>
              <w:pStyle w:val="naiskr"/>
            </w:pPr>
            <w:r w:rsidRPr="00FE6221">
              <w:t>6.7. cita veida piesārņojuma emisija vidē</w:t>
            </w:r>
          </w:p>
          <w:p w:rsidR="009E3404" w:rsidRPr="00FE6221" w:rsidRDefault="009E3404" w:rsidP="00A415E1">
            <w:pPr>
              <w:pStyle w:val="naiskr"/>
            </w:pPr>
          </w:p>
        </w:tc>
        <w:tc>
          <w:tcPr>
            <w:tcW w:w="6520" w:type="dxa"/>
            <w:gridSpan w:val="10"/>
            <w:tcBorders>
              <w:top w:val="outset" w:sz="6" w:space="0" w:color="auto"/>
              <w:left w:val="outset" w:sz="6" w:space="0" w:color="auto"/>
              <w:bottom w:val="outset" w:sz="6" w:space="0" w:color="auto"/>
              <w:right w:val="outset" w:sz="6" w:space="0" w:color="auto"/>
            </w:tcBorders>
          </w:tcPr>
          <w:p w:rsidR="00AF27DD" w:rsidRPr="00FE6221" w:rsidRDefault="0072490C" w:rsidP="00A415E1">
            <w:pPr>
              <w:pStyle w:val="naiskr"/>
            </w:pPr>
            <w:r w:rsidRPr="00FE6221">
              <w:t>Nav attiecināms.</w:t>
            </w:r>
          </w:p>
        </w:tc>
      </w:tr>
      <w:tr w:rsidR="00AF27DD" w:rsidRPr="00FE6221" w:rsidTr="002B2A76">
        <w:trPr>
          <w:tblCellSpacing w:w="0" w:type="dxa"/>
        </w:trPr>
        <w:tc>
          <w:tcPr>
            <w:tcW w:w="2709" w:type="dxa"/>
            <w:tcBorders>
              <w:top w:val="outset" w:sz="6" w:space="0" w:color="auto"/>
              <w:left w:val="outset" w:sz="6" w:space="0" w:color="auto"/>
              <w:bottom w:val="outset" w:sz="6" w:space="0" w:color="auto"/>
              <w:right w:val="outset" w:sz="6" w:space="0" w:color="auto"/>
            </w:tcBorders>
          </w:tcPr>
          <w:p w:rsidR="00AF27DD" w:rsidRPr="00FE6221" w:rsidRDefault="00AF27DD" w:rsidP="00084695">
            <w:pPr>
              <w:pStyle w:val="naiskr"/>
              <w:spacing w:before="0" w:beforeAutospacing="0" w:after="0" w:afterAutospacing="0"/>
            </w:pPr>
            <w:r w:rsidRPr="00FE6221">
              <w:t> 7. Cita ietekme</w:t>
            </w:r>
          </w:p>
        </w:tc>
        <w:tc>
          <w:tcPr>
            <w:tcW w:w="6520" w:type="dxa"/>
            <w:gridSpan w:val="10"/>
            <w:tcBorders>
              <w:top w:val="outset" w:sz="6" w:space="0" w:color="auto"/>
              <w:left w:val="outset" w:sz="6" w:space="0" w:color="auto"/>
              <w:bottom w:val="outset" w:sz="6" w:space="0" w:color="auto"/>
              <w:right w:val="outset" w:sz="6" w:space="0" w:color="auto"/>
            </w:tcBorders>
          </w:tcPr>
          <w:p w:rsidR="005A4060" w:rsidRPr="00FE6221" w:rsidRDefault="00263C2A" w:rsidP="00263C2A">
            <w:pPr>
              <w:pStyle w:val="naiskr"/>
              <w:spacing w:before="0" w:beforeAutospacing="0" w:after="0" w:afterAutospacing="0"/>
              <w:jc w:val="both"/>
            </w:pPr>
            <w:r w:rsidRPr="00FE6221">
              <w:t xml:space="preserve">Ekonomikas ministrija atbilstoši 2008. gada 19. maija rīkojuma Nr. 263 5. punktam ir izstrādājusi Uzņēmējdarbības vides uzlabošanas pasākumu plānu 2009. gadam (turpmāk – Pasākuma plāns), kurš 2009. gada 6. janvārī tika izskatīts Ministru kabineta sēdē. Viens no Pasākuma plāna uzdevumiem noteic veicamo procedūru samazināšu nekustamā īpašuma reģistrācijas procesā. </w:t>
            </w:r>
          </w:p>
          <w:p w:rsidR="00263C2A" w:rsidRPr="00FE6221" w:rsidRDefault="00263C2A" w:rsidP="0024207D">
            <w:pPr>
              <w:pStyle w:val="naiskr"/>
              <w:spacing w:before="0" w:beforeAutospacing="0" w:after="0" w:afterAutospacing="0"/>
              <w:jc w:val="both"/>
            </w:pPr>
            <w:r w:rsidRPr="00FE6221">
              <w:t>Pašreiz nekustamā īpašuma reģistrācijas procesā iesaistītajām personām ir nepieciešams fiziski nogādāt zemesgrāmatu nodaļā maksājuma uzdevumus ar bankas zīmogu.</w:t>
            </w:r>
            <w:r w:rsidR="005A4060" w:rsidRPr="00FE6221">
              <w:t xml:space="preserve"> </w:t>
            </w:r>
            <w:r w:rsidRPr="00FE6221">
              <w:t xml:space="preserve">Pamatojoties uz minēto, </w:t>
            </w:r>
            <w:r w:rsidRPr="00FE6221">
              <w:lastRenderedPageBreak/>
              <w:t xml:space="preserve">Ministru kabineta noteikumu projekts paredz </w:t>
            </w:r>
            <w:r w:rsidR="00F14683" w:rsidRPr="00FE6221">
              <w:t>papildus regulējumu par kārtību, kādā zemesgrāmatas nodaļa elektroniski var pārliecināties par maksājumu veikšanu, proti, Ministru kabineta noteikumu projekts paredz maksājuma uzdevumā obligāti ietveramo informāciju, pēc kuras zemesgrāmatu nodaļas darbinieks var pārliecināties par maksājuma veikšanu</w:t>
            </w:r>
            <w:r w:rsidR="0024207D" w:rsidRPr="00FE6221">
              <w:t>.</w:t>
            </w:r>
          </w:p>
        </w:tc>
      </w:tr>
      <w:tr w:rsidR="00AF27DD"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vAlign w:val="center"/>
          </w:tcPr>
          <w:p w:rsidR="00B2625F" w:rsidRPr="00270B69" w:rsidRDefault="00AF27DD" w:rsidP="007520B0">
            <w:pPr>
              <w:pStyle w:val="naisnod"/>
              <w:spacing w:before="0" w:beforeAutospacing="0" w:after="0" w:afterAutospacing="0"/>
              <w:jc w:val="center"/>
              <w:rPr>
                <w:b/>
                <w:bCs/>
              </w:rPr>
            </w:pPr>
            <w:r w:rsidRPr="00270B69">
              <w:rPr>
                <w:b/>
                <w:bCs/>
              </w:rPr>
              <w:lastRenderedPageBreak/>
              <w:t>III. Kāda var būt normatīvā akta ietekme uz</w:t>
            </w:r>
            <w:r w:rsidR="00AD3E18" w:rsidRPr="00270B69">
              <w:rPr>
                <w:b/>
                <w:bCs/>
              </w:rPr>
              <w:t xml:space="preserve"> </w:t>
            </w:r>
            <w:r w:rsidRPr="00270B69">
              <w:rPr>
                <w:b/>
                <w:bCs/>
              </w:rPr>
              <w:t>valsts budžetu un pašvaldību budžetiem</w:t>
            </w:r>
          </w:p>
        </w:tc>
      </w:tr>
      <w:tr w:rsidR="00AF27DD" w:rsidRPr="00FE6221" w:rsidTr="00DB2397">
        <w:trPr>
          <w:tblCellSpacing w:w="0" w:type="dxa"/>
        </w:trPr>
        <w:tc>
          <w:tcPr>
            <w:tcW w:w="3701" w:type="dxa"/>
            <w:gridSpan w:val="3"/>
            <w:tcBorders>
              <w:top w:val="outset" w:sz="6" w:space="0" w:color="auto"/>
              <w:left w:val="outset" w:sz="6" w:space="0" w:color="auto"/>
              <w:bottom w:val="outset" w:sz="6" w:space="0" w:color="auto"/>
              <w:right w:val="outset" w:sz="6" w:space="0" w:color="auto"/>
            </w:tcBorders>
          </w:tcPr>
          <w:p w:rsidR="00AF27DD" w:rsidRPr="00270B69" w:rsidRDefault="00AF27DD" w:rsidP="00084695">
            <w:pPr>
              <w:pStyle w:val="naiskr"/>
              <w:spacing w:before="0" w:beforeAutospacing="0" w:after="0" w:afterAutospacing="0"/>
            </w:pPr>
            <w:r w:rsidRPr="00270B69">
              <w:t>  </w:t>
            </w:r>
          </w:p>
        </w:tc>
        <w:tc>
          <w:tcPr>
            <w:tcW w:w="5528" w:type="dxa"/>
            <w:gridSpan w:val="8"/>
            <w:tcBorders>
              <w:top w:val="outset" w:sz="6" w:space="0" w:color="auto"/>
              <w:left w:val="outset" w:sz="6" w:space="0" w:color="auto"/>
              <w:bottom w:val="outset" w:sz="6" w:space="0" w:color="auto"/>
              <w:right w:val="outset" w:sz="6" w:space="0" w:color="auto"/>
            </w:tcBorders>
          </w:tcPr>
          <w:p w:rsidR="00AF27DD" w:rsidRPr="00270B69" w:rsidRDefault="00AF27DD" w:rsidP="00084695">
            <w:pPr>
              <w:pStyle w:val="naislab"/>
              <w:spacing w:before="0" w:beforeAutospacing="0" w:after="0" w:afterAutospacing="0"/>
            </w:pPr>
            <w:r w:rsidRPr="00270B69">
              <w:t> (tūkst. latu)</w:t>
            </w:r>
          </w:p>
        </w:tc>
      </w:tr>
      <w:tr w:rsidR="00AF27DD" w:rsidRPr="00FE6221" w:rsidTr="00DB2397">
        <w:trPr>
          <w:trHeight w:val="450"/>
          <w:tblCellSpacing w:w="0" w:type="dxa"/>
        </w:trPr>
        <w:tc>
          <w:tcPr>
            <w:tcW w:w="3701" w:type="dxa"/>
            <w:gridSpan w:val="3"/>
            <w:vMerge w:val="restart"/>
            <w:tcBorders>
              <w:top w:val="outset" w:sz="6" w:space="0" w:color="auto"/>
              <w:left w:val="outset" w:sz="6" w:space="0" w:color="auto"/>
              <w:bottom w:val="outset" w:sz="6" w:space="0" w:color="auto"/>
              <w:right w:val="outset" w:sz="6" w:space="0" w:color="auto"/>
            </w:tcBorders>
            <w:vAlign w:val="center"/>
          </w:tcPr>
          <w:p w:rsidR="00AF27DD" w:rsidRPr="00270B69" w:rsidRDefault="00AF27DD" w:rsidP="00084695">
            <w:pPr>
              <w:pStyle w:val="naisc"/>
              <w:spacing w:before="0" w:beforeAutospacing="0" w:after="0" w:afterAutospacing="0"/>
            </w:pPr>
            <w:r w:rsidRPr="00270B69">
              <w:t> Rādītāji</w:t>
            </w:r>
          </w:p>
        </w:tc>
        <w:tc>
          <w:tcPr>
            <w:tcW w:w="1400" w:type="dxa"/>
            <w:gridSpan w:val="4"/>
            <w:vMerge w:val="restart"/>
            <w:tcBorders>
              <w:top w:val="outset" w:sz="6" w:space="0" w:color="auto"/>
              <w:left w:val="outset" w:sz="6" w:space="0" w:color="auto"/>
              <w:bottom w:val="outset" w:sz="6" w:space="0" w:color="auto"/>
              <w:right w:val="outset" w:sz="6" w:space="0" w:color="auto"/>
            </w:tcBorders>
            <w:vAlign w:val="center"/>
          </w:tcPr>
          <w:p w:rsidR="00AF27DD" w:rsidRPr="00270B69" w:rsidRDefault="00AF27DD" w:rsidP="00084695">
            <w:pPr>
              <w:pStyle w:val="naisc"/>
              <w:spacing w:before="0" w:beforeAutospacing="0" w:after="0" w:afterAutospacing="0"/>
            </w:pPr>
            <w:r w:rsidRPr="00270B69">
              <w:t> n-tais gads</w:t>
            </w:r>
          </w:p>
        </w:tc>
        <w:tc>
          <w:tcPr>
            <w:tcW w:w="4128" w:type="dxa"/>
            <w:gridSpan w:val="4"/>
            <w:tcBorders>
              <w:top w:val="outset" w:sz="6" w:space="0" w:color="auto"/>
              <w:left w:val="outset" w:sz="6" w:space="0" w:color="auto"/>
              <w:bottom w:val="outset" w:sz="6" w:space="0" w:color="auto"/>
              <w:right w:val="outset" w:sz="6" w:space="0" w:color="auto"/>
            </w:tcBorders>
            <w:vAlign w:val="center"/>
          </w:tcPr>
          <w:p w:rsidR="00AF27DD" w:rsidRPr="00270B69" w:rsidRDefault="00AF27DD" w:rsidP="00A415E1">
            <w:pPr>
              <w:pStyle w:val="naisc"/>
            </w:pPr>
            <w:r w:rsidRPr="00270B69">
              <w:t> Turpmākie trīs gadi</w:t>
            </w:r>
          </w:p>
        </w:tc>
      </w:tr>
      <w:tr w:rsidR="00AF27DD" w:rsidRPr="00FE6221" w:rsidTr="00DB2397">
        <w:trPr>
          <w:trHeight w:val="450"/>
          <w:tblCellSpacing w:w="0" w:type="dxa"/>
        </w:trPr>
        <w:tc>
          <w:tcPr>
            <w:tcW w:w="3701" w:type="dxa"/>
            <w:gridSpan w:val="3"/>
            <w:vMerge/>
            <w:tcBorders>
              <w:top w:val="outset" w:sz="6" w:space="0" w:color="auto"/>
              <w:left w:val="outset" w:sz="6" w:space="0" w:color="auto"/>
              <w:bottom w:val="outset" w:sz="6" w:space="0" w:color="auto"/>
              <w:right w:val="outset" w:sz="6" w:space="0" w:color="auto"/>
            </w:tcBorders>
            <w:vAlign w:val="center"/>
          </w:tcPr>
          <w:p w:rsidR="00AF27DD" w:rsidRPr="00270B69" w:rsidRDefault="00AF27DD" w:rsidP="00A415E1"/>
        </w:tc>
        <w:tc>
          <w:tcPr>
            <w:tcW w:w="1400" w:type="dxa"/>
            <w:gridSpan w:val="4"/>
            <w:vMerge/>
            <w:tcBorders>
              <w:top w:val="outset" w:sz="6" w:space="0" w:color="auto"/>
              <w:left w:val="outset" w:sz="6" w:space="0" w:color="auto"/>
              <w:bottom w:val="outset" w:sz="6" w:space="0" w:color="auto"/>
              <w:right w:val="outset" w:sz="6" w:space="0" w:color="auto"/>
            </w:tcBorders>
            <w:vAlign w:val="center"/>
          </w:tcPr>
          <w:p w:rsidR="00AF27DD" w:rsidRPr="00270B69" w:rsidRDefault="00AF27DD" w:rsidP="00A415E1"/>
        </w:tc>
        <w:tc>
          <w:tcPr>
            <w:tcW w:w="1376" w:type="dxa"/>
            <w:gridSpan w:val="2"/>
            <w:tcBorders>
              <w:top w:val="outset" w:sz="6" w:space="0" w:color="auto"/>
              <w:left w:val="outset" w:sz="6" w:space="0" w:color="auto"/>
              <w:bottom w:val="outset" w:sz="6" w:space="0" w:color="auto"/>
              <w:right w:val="outset" w:sz="6" w:space="0" w:color="auto"/>
            </w:tcBorders>
            <w:vAlign w:val="center"/>
          </w:tcPr>
          <w:p w:rsidR="00AF27DD" w:rsidRPr="00270B69" w:rsidRDefault="00AF27DD" w:rsidP="00A415E1">
            <w:pPr>
              <w:pStyle w:val="naisc"/>
            </w:pPr>
            <w:r w:rsidRPr="00270B69">
              <w:t> n+1</w:t>
            </w:r>
          </w:p>
        </w:tc>
        <w:tc>
          <w:tcPr>
            <w:tcW w:w="1376" w:type="dxa"/>
            <w:tcBorders>
              <w:top w:val="outset" w:sz="6" w:space="0" w:color="auto"/>
              <w:left w:val="outset" w:sz="6" w:space="0" w:color="auto"/>
              <w:bottom w:val="outset" w:sz="6" w:space="0" w:color="auto"/>
              <w:right w:val="outset" w:sz="6" w:space="0" w:color="auto"/>
            </w:tcBorders>
            <w:vAlign w:val="center"/>
          </w:tcPr>
          <w:p w:rsidR="00AF27DD" w:rsidRPr="00270B69" w:rsidRDefault="00AF27DD" w:rsidP="00AF27DD">
            <w:pPr>
              <w:pStyle w:val="naisc"/>
              <w:ind w:left="-555"/>
            </w:pPr>
            <w:r w:rsidRPr="00270B69">
              <w:t> n+2  n+2</w:t>
            </w:r>
          </w:p>
        </w:tc>
        <w:tc>
          <w:tcPr>
            <w:tcW w:w="1376" w:type="dxa"/>
            <w:tcBorders>
              <w:top w:val="outset" w:sz="6" w:space="0" w:color="auto"/>
              <w:left w:val="outset" w:sz="6" w:space="0" w:color="auto"/>
              <w:bottom w:val="outset" w:sz="6" w:space="0" w:color="auto"/>
              <w:right w:val="outset" w:sz="6" w:space="0" w:color="auto"/>
            </w:tcBorders>
            <w:vAlign w:val="center"/>
          </w:tcPr>
          <w:p w:rsidR="00AF27DD" w:rsidRPr="00270B69" w:rsidRDefault="00AF27DD" w:rsidP="00A415E1">
            <w:pPr>
              <w:pStyle w:val="naisc"/>
            </w:pPr>
            <w:r w:rsidRPr="00270B69">
              <w:t> n+3</w:t>
            </w:r>
          </w:p>
        </w:tc>
      </w:tr>
      <w:tr w:rsidR="00AF27DD" w:rsidRPr="00FE6221" w:rsidTr="00DB2397">
        <w:trPr>
          <w:tblCellSpacing w:w="0" w:type="dxa"/>
        </w:trPr>
        <w:tc>
          <w:tcPr>
            <w:tcW w:w="3701" w:type="dxa"/>
            <w:gridSpan w:val="3"/>
            <w:tcBorders>
              <w:top w:val="outset" w:sz="6" w:space="0" w:color="auto"/>
              <w:left w:val="outset" w:sz="6" w:space="0" w:color="auto"/>
              <w:bottom w:val="outset" w:sz="6" w:space="0" w:color="auto"/>
              <w:right w:val="outset" w:sz="6" w:space="0" w:color="auto"/>
            </w:tcBorders>
            <w:vAlign w:val="center"/>
          </w:tcPr>
          <w:p w:rsidR="00AF27DD" w:rsidRPr="00270B69" w:rsidRDefault="00AF27DD" w:rsidP="00A415E1">
            <w:pPr>
              <w:pStyle w:val="naisc"/>
            </w:pPr>
            <w:r w:rsidRPr="00270B69">
              <w:t> 1</w:t>
            </w:r>
          </w:p>
        </w:tc>
        <w:tc>
          <w:tcPr>
            <w:tcW w:w="1400" w:type="dxa"/>
            <w:gridSpan w:val="4"/>
            <w:tcBorders>
              <w:top w:val="outset" w:sz="6" w:space="0" w:color="auto"/>
              <w:left w:val="outset" w:sz="6" w:space="0" w:color="auto"/>
              <w:bottom w:val="outset" w:sz="6" w:space="0" w:color="auto"/>
              <w:right w:val="outset" w:sz="6" w:space="0" w:color="auto"/>
            </w:tcBorders>
            <w:vAlign w:val="center"/>
          </w:tcPr>
          <w:p w:rsidR="00AF27DD" w:rsidRPr="00270B69" w:rsidRDefault="00AF27DD" w:rsidP="007520B0">
            <w:pPr>
              <w:pStyle w:val="naisc"/>
            </w:pPr>
            <w:r w:rsidRPr="00270B69">
              <w:t> 2</w:t>
            </w:r>
            <w:r w:rsidR="0072490C" w:rsidRPr="00270B69">
              <w:t>00</w:t>
            </w:r>
            <w:r w:rsidR="007520B0" w:rsidRPr="00270B69">
              <w:t>9</w:t>
            </w:r>
          </w:p>
        </w:tc>
        <w:tc>
          <w:tcPr>
            <w:tcW w:w="1376" w:type="dxa"/>
            <w:gridSpan w:val="2"/>
            <w:tcBorders>
              <w:top w:val="outset" w:sz="6" w:space="0" w:color="auto"/>
              <w:left w:val="outset" w:sz="6" w:space="0" w:color="auto"/>
              <w:bottom w:val="outset" w:sz="6" w:space="0" w:color="auto"/>
              <w:right w:val="outset" w:sz="6" w:space="0" w:color="auto"/>
            </w:tcBorders>
            <w:vAlign w:val="center"/>
          </w:tcPr>
          <w:p w:rsidR="00AF27DD" w:rsidRPr="00270B69" w:rsidRDefault="00AF27DD" w:rsidP="007520B0">
            <w:pPr>
              <w:pStyle w:val="naisc"/>
            </w:pPr>
            <w:r w:rsidRPr="00270B69">
              <w:t> </w:t>
            </w:r>
            <w:r w:rsidR="0072490C" w:rsidRPr="00270B69">
              <w:t>20</w:t>
            </w:r>
            <w:r w:rsidR="007520B0" w:rsidRPr="00270B69">
              <w:t>10</w:t>
            </w:r>
          </w:p>
        </w:tc>
        <w:tc>
          <w:tcPr>
            <w:tcW w:w="1376" w:type="dxa"/>
            <w:tcBorders>
              <w:top w:val="outset" w:sz="6" w:space="0" w:color="auto"/>
              <w:left w:val="outset" w:sz="6" w:space="0" w:color="auto"/>
              <w:bottom w:val="outset" w:sz="6" w:space="0" w:color="auto"/>
              <w:right w:val="outset" w:sz="6" w:space="0" w:color="auto"/>
            </w:tcBorders>
            <w:vAlign w:val="center"/>
          </w:tcPr>
          <w:p w:rsidR="00AF27DD" w:rsidRPr="00270B69" w:rsidRDefault="00AF27DD" w:rsidP="007520B0">
            <w:pPr>
              <w:pStyle w:val="naisc"/>
            </w:pPr>
            <w:r w:rsidRPr="00270B69">
              <w:t> </w:t>
            </w:r>
            <w:r w:rsidR="0072490C" w:rsidRPr="00270B69">
              <w:t>201</w:t>
            </w:r>
            <w:r w:rsidR="007520B0" w:rsidRPr="00270B69">
              <w:t>1</w:t>
            </w:r>
          </w:p>
        </w:tc>
        <w:tc>
          <w:tcPr>
            <w:tcW w:w="1376" w:type="dxa"/>
            <w:tcBorders>
              <w:top w:val="outset" w:sz="6" w:space="0" w:color="auto"/>
              <w:left w:val="outset" w:sz="6" w:space="0" w:color="auto"/>
              <w:bottom w:val="outset" w:sz="6" w:space="0" w:color="auto"/>
              <w:right w:val="outset" w:sz="6" w:space="0" w:color="auto"/>
            </w:tcBorders>
            <w:vAlign w:val="center"/>
          </w:tcPr>
          <w:p w:rsidR="00AF27DD" w:rsidRPr="00270B69" w:rsidRDefault="00AF27DD" w:rsidP="007520B0">
            <w:pPr>
              <w:pStyle w:val="naisc"/>
            </w:pPr>
            <w:r w:rsidRPr="00270B69">
              <w:t> </w:t>
            </w:r>
            <w:r w:rsidR="0072490C" w:rsidRPr="00270B69">
              <w:t>201</w:t>
            </w:r>
            <w:r w:rsidR="007520B0" w:rsidRPr="00270B69">
              <w:t>2</w:t>
            </w:r>
          </w:p>
        </w:tc>
      </w:tr>
      <w:tr w:rsidR="0072490C" w:rsidRPr="00FE6221" w:rsidTr="00DB2397">
        <w:trPr>
          <w:tblCellSpacing w:w="0" w:type="dxa"/>
        </w:trPr>
        <w:tc>
          <w:tcPr>
            <w:tcW w:w="3701" w:type="dxa"/>
            <w:gridSpan w:val="3"/>
            <w:tcBorders>
              <w:top w:val="outset" w:sz="6" w:space="0" w:color="auto"/>
              <w:left w:val="outset" w:sz="6" w:space="0" w:color="auto"/>
              <w:bottom w:val="outset" w:sz="6" w:space="0" w:color="auto"/>
              <w:right w:val="outset" w:sz="6" w:space="0" w:color="auto"/>
            </w:tcBorders>
          </w:tcPr>
          <w:p w:rsidR="0072490C" w:rsidRPr="00270B69" w:rsidRDefault="0072490C" w:rsidP="00A415E1">
            <w:pPr>
              <w:pStyle w:val="naiskr"/>
            </w:pPr>
            <w:r w:rsidRPr="00270B69">
              <w:t> 1. Izmaiņas budžeta ieņēmumos:</w:t>
            </w:r>
          </w:p>
          <w:p w:rsidR="0072490C" w:rsidRPr="00270B69" w:rsidRDefault="0072490C" w:rsidP="00A415E1">
            <w:pPr>
              <w:pStyle w:val="naiskr"/>
            </w:pPr>
            <w:r w:rsidRPr="00270B69">
              <w:t>1.1. valsts pamatbudžets, tajā skaitā iestāžu ieņēmumi no maksas pakalpojumiem un citi pašu ieņēmumi;</w:t>
            </w:r>
          </w:p>
          <w:p w:rsidR="0072490C" w:rsidRPr="00270B69" w:rsidRDefault="0072490C" w:rsidP="00A415E1">
            <w:pPr>
              <w:pStyle w:val="naiskr"/>
            </w:pPr>
            <w:r w:rsidRPr="00270B69">
              <w:t>1.2. speciālais budžets;</w:t>
            </w:r>
          </w:p>
          <w:p w:rsidR="0072490C" w:rsidRPr="00270B69" w:rsidRDefault="0072490C" w:rsidP="00A415E1">
            <w:pPr>
              <w:pStyle w:val="naiskr"/>
            </w:pPr>
            <w:r w:rsidRPr="00270B69">
              <w:t>1.3. pašvaldību budžets</w:t>
            </w:r>
          </w:p>
          <w:p w:rsidR="009E3404" w:rsidRPr="00270B69" w:rsidRDefault="009E3404" w:rsidP="00A415E1">
            <w:pPr>
              <w:pStyle w:val="naiskr"/>
            </w:pPr>
          </w:p>
        </w:tc>
        <w:tc>
          <w:tcPr>
            <w:tcW w:w="1400" w:type="dxa"/>
            <w:gridSpan w:val="4"/>
            <w:tcBorders>
              <w:top w:val="outset" w:sz="6" w:space="0" w:color="auto"/>
              <w:left w:val="outset" w:sz="6" w:space="0" w:color="auto"/>
              <w:bottom w:val="outset" w:sz="6" w:space="0" w:color="auto"/>
              <w:right w:val="outset" w:sz="6" w:space="0" w:color="auto"/>
            </w:tcBorders>
          </w:tcPr>
          <w:p w:rsidR="00DA3A39" w:rsidRPr="00270B69" w:rsidRDefault="001D48B6" w:rsidP="00DB2397">
            <w:pPr>
              <w:pStyle w:val="naiskr"/>
              <w:jc w:val="center"/>
            </w:pPr>
            <w:r>
              <w:t>18123,6</w:t>
            </w:r>
          </w:p>
          <w:p w:rsidR="0060094C" w:rsidRPr="00270B69" w:rsidRDefault="0060094C" w:rsidP="00DB2397">
            <w:pPr>
              <w:pStyle w:val="naiskr"/>
              <w:jc w:val="center"/>
            </w:pPr>
          </w:p>
          <w:p w:rsidR="001D48B6" w:rsidRPr="00270B69" w:rsidRDefault="001D48B6" w:rsidP="001D48B6">
            <w:pPr>
              <w:pStyle w:val="naiskr"/>
              <w:jc w:val="center"/>
            </w:pPr>
            <w:r>
              <w:t>18123,6</w:t>
            </w:r>
          </w:p>
          <w:p w:rsidR="0060094C" w:rsidRPr="00270B69" w:rsidRDefault="0060094C" w:rsidP="00DB2397">
            <w:pPr>
              <w:pStyle w:val="naiskr"/>
              <w:jc w:val="center"/>
            </w:pPr>
          </w:p>
        </w:tc>
        <w:tc>
          <w:tcPr>
            <w:tcW w:w="1376" w:type="dxa"/>
            <w:gridSpan w:val="2"/>
            <w:tcBorders>
              <w:top w:val="outset" w:sz="6" w:space="0" w:color="auto"/>
              <w:left w:val="outset" w:sz="6" w:space="0" w:color="auto"/>
              <w:bottom w:val="outset" w:sz="6" w:space="0" w:color="auto"/>
              <w:right w:val="outset" w:sz="6" w:space="0" w:color="auto"/>
            </w:tcBorders>
          </w:tcPr>
          <w:p w:rsidR="00DA3A39" w:rsidRPr="00270B69" w:rsidRDefault="001D18A2" w:rsidP="00DB2397">
            <w:pPr>
              <w:jc w:val="center"/>
            </w:pPr>
            <w:r>
              <w:t>85,2</w:t>
            </w:r>
          </w:p>
          <w:p w:rsidR="0060094C" w:rsidRPr="00270B69" w:rsidRDefault="0060094C" w:rsidP="00DB2397">
            <w:pPr>
              <w:jc w:val="center"/>
            </w:pPr>
          </w:p>
          <w:p w:rsidR="0060094C" w:rsidRPr="00270B69" w:rsidRDefault="0060094C" w:rsidP="00DB2397">
            <w:pPr>
              <w:jc w:val="center"/>
            </w:pPr>
          </w:p>
          <w:p w:rsidR="0060094C" w:rsidRPr="00270B69" w:rsidRDefault="0060094C" w:rsidP="00DB2397">
            <w:pPr>
              <w:jc w:val="center"/>
            </w:pPr>
          </w:p>
          <w:p w:rsidR="0060094C" w:rsidRPr="00270B69" w:rsidRDefault="001D18A2" w:rsidP="00DB2397">
            <w:pPr>
              <w:jc w:val="center"/>
            </w:pPr>
            <w:r>
              <w:t>85,2</w:t>
            </w:r>
          </w:p>
        </w:tc>
        <w:tc>
          <w:tcPr>
            <w:tcW w:w="1376" w:type="dxa"/>
            <w:tcBorders>
              <w:top w:val="outset" w:sz="6" w:space="0" w:color="auto"/>
              <w:left w:val="outset" w:sz="6" w:space="0" w:color="auto"/>
              <w:bottom w:val="outset" w:sz="6" w:space="0" w:color="auto"/>
              <w:right w:val="outset" w:sz="6" w:space="0" w:color="auto"/>
            </w:tcBorders>
          </w:tcPr>
          <w:p w:rsidR="00DA3A39" w:rsidRPr="00270B69" w:rsidRDefault="001D18A2" w:rsidP="00DB2397">
            <w:pPr>
              <w:jc w:val="center"/>
            </w:pPr>
            <w:r>
              <w:t>85,2</w:t>
            </w:r>
          </w:p>
          <w:p w:rsidR="0060094C" w:rsidRPr="00270B69" w:rsidRDefault="0060094C" w:rsidP="00DB2397">
            <w:pPr>
              <w:jc w:val="center"/>
            </w:pPr>
          </w:p>
          <w:p w:rsidR="0060094C" w:rsidRPr="00270B69" w:rsidRDefault="0060094C" w:rsidP="00DB2397">
            <w:pPr>
              <w:jc w:val="center"/>
            </w:pPr>
          </w:p>
          <w:p w:rsidR="0060094C" w:rsidRPr="00270B69" w:rsidRDefault="0060094C" w:rsidP="00DB2397">
            <w:pPr>
              <w:jc w:val="center"/>
            </w:pPr>
          </w:p>
          <w:p w:rsidR="0060094C" w:rsidRPr="00270B69" w:rsidRDefault="001D18A2" w:rsidP="00DB2397">
            <w:pPr>
              <w:jc w:val="center"/>
            </w:pPr>
            <w:r>
              <w:t>85,2</w:t>
            </w:r>
          </w:p>
        </w:tc>
        <w:tc>
          <w:tcPr>
            <w:tcW w:w="1376" w:type="dxa"/>
            <w:tcBorders>
              <w:top w:val="outset" w:sz="6" w:space="0" w:color="auto"/>
              <w:left w:val="outset" w:sz="6" w:space="0" w:color="auto"/>
              <w:bottom w:val="outset" w:sz="6" w:space="0" w:color="auto"/>
              <w:right w:val="outset" w:sz="6" w:space="0" w:color="auto"/>
            </w:tcBorders>
          </w:tcPr>
          <w:p w:rsidR="00DA3A39" w:rsidRPr="00270B69" w:rsidRDefault="001D18A2" w:rsidP="00DB2397">
            <w:pPr>
              <w:jc w:val="center"/>
            </w:pPr>
            <w:r>
              <w:t>85,2</w:t>
            </w:r>
          </w:p>
          <w:p w:rsidR="0060094C" w:rsidRPr="00270B69" w:rsidRDefault="0060094C" w:rsidP="00DB2397">
            <w:pPr>
              <w:jc w:val="center"/>
            </w:pPr>
          </w:p>
          <w:p w:rsidR="0060094C" w:rsidRPr="00270B69" w:rsidRDefault="0060094C" w:rsidP="00DB2397">
            <w:pPr>
              <w:jc w:val="center"/>
            </w:pPr>
          </w:p>
          <w:p w:rsidR="0060094C" w:rsidRPr="00270B69" w:rsidRDefault="0060094C" w:rsidP="00DB2397">
            <w:pPr>
              <w:jc w:val="center"/>
            </w:pPr>
          </w:p>
          <w:p w:rsidR="0060094C" w:rsidRPr="00270B69" w:rsidRDefault="001D18A2" w:rsidP="00DB2397">
            <w:pPr>
              <w:jc w:val="center"/>
            </w:pPr>
            <w:r>
              <w:t>85,2</w:t>
            </w:r>
          </w:p>
        </w:tc>
      </w:tr>
      <w:tr w:rsidR="00DB2397" w:rsidRPr="00FE6221" w:rsidTr="00DB2397">
        <w:trPr>
          <w:tblCellSpacing w:w="0" w:type="dxa"/>
        </w:trPr>
        <w:tc>
          <w:tcPr>
            <w:tcW w:w="3701" w:type="dxa"/>
            <w:gridSpan w:val="3"/>
            <w:tcBorders>
              <w:top w:val="outset" w:sz="6" w:space="0" w:color="auto"/>
              <w:left w:val="outset" w:sz="6" w:space="0" w:color="auto"/>
              <w:bottom w:val="outset" w:sz="6" w:space="0" w:color="auto"/>
              <w:right w:val="outset" w:sz="6" w:space="0" w:color="auto"/>
            </w:tcBorders>
          </w:tcPr>
          <w:p w:rsidR="00DB2397" w:rsidRPr="00270B69" w:rsidRDefault="00DB2397" w:rsidP="00A415E1">
            <w:pPr>
              <w:pStyle w:val="naiskr"/>
            </w:pPr>
            <w:r w:rsidRPr="00270B69">
              <w:t> 2. Izmaiņas budžeta izdevumos:</w:t>
            </w:r>
          </w:p>
          <w:p w:rsidR="00DB2397" w:rsidRPr="00270B69" w:rsidRDefault="00DB2397" w:rsidP="00A415E1">
            <w:pPr>
              <w:pStyle w:val="naiskr"/>
            </w:pPr>
            <w:r w:rsidRPr="00270B69">
              <w:t>2.1. valsts pamatbudžets,</w:t>
            </w:r>
          </w:p>
          <w:p w:rsidR="00DB2397" w:rsidRPr="00270B69" w:rsidRDefault="00DB2397" w:rsidP="00A415E1">
            <w:pPr>
              <w:pStyle w:val="naiskr"/>
            </w:pPr>
            <w:r w:rsidRPr="00270B69">
              <w:t>tajā skaitā iestāžu ieņēmumi no maksas pakalpojumiem un citi pašu ieņēmumi;</w:t>
            </w:r>
          </w:p>
          <w:p w:rsidR="00DB2397" w:rsidRPr="00270B69" w:rsidRDefault="00DB2397" w:rsidP="00A415E1">
            <w:pPr>
              <w:pStyle w:val="naiskr"/>
            </w:pPr>
            <w:r w:rsidRPr="00270B69">
              <w:t>2.2. speciālais budžets;</w:t>
            </w:r>
          </w:p>
          <w:p w:rsidR="00DB2397" w:rsidRPr="00270B69" w:rsidRDefault="00DB2397" w:rsidP="00A415E1">
            <w:pPr>
              <w:pStyle w:val="naiskr"/>
            </w:pPr>
            <w:r w:rsidRPr="00270B69">
              <w:t>2.3. pašvaldību budžets </w:t>
            </w:r>
          </w:p>
          <w:p w:rsidR="00DB2397" w:rsidRPr="00270B69" w:rsidRDefault="00DB2397" w:rsidP="00A415E1">
            <w:pPr>
              <w:pStyle w:val="naiskr"/>
            </w:pPr>
          </w:p>
        </w:tc>
        <w:tc>
          <w:tcPr>
            <w:tcW w:w="1400" w:type="dxa"/>
            <w:gridSpan w:val="4"/>
            <w:tcBorders>
              <w:top w:val="outset" w:sz="6" w:space="0" w:color="auto"/>
              <w:left w:val="outset" w:sz="6" w:space="0" w:color="auto"/>
              <w:bottom w:val="outset" w:sz="6" w:space="0" w:color="auto"/>
              <w:right w:val="outset" w:sz="6" w:space="0" w:color="auto"/>
            </w:tcBorders>
          </w:tcPr>
          <w:p w:rsidR="00DB2397" w:rsidRPr="00270B69" w:rsidRDefault="0060094C" w:rsidP="0060094C">
            <w:pPr>
              <w:pStyle w:val="naiskr"/>
              <w:jc w:val="center"/>
            </w:pPr>
            <w:r w:rsidRPr="00270B69">
              <w:t>0</w:t>
            </w:r>
          </w:p>
        </w:tc>
        <w:tc>
          <w:tcPr>
            <w:tcW w:w="1376" w:type="dxa"/>
            <w:gridSpan w:val="2"/>
            <w:tcBorders>
              <w:top w:val="outset" w:sz="6" w:space="0" w:color="auto"/>
              <w:left w:val="outset" w:sz="6" w:space="0" w:color="auto"/>
              <w:bottom w:val="outset" w:sz="6" w:space="0" w:color="auto"/>
              <w:right w:val="outset" w:sz="6" w:space="0" w:color="auto"/>
            </w:tcBorders>
          </w:tcPr>
          <w:p w:rsidR="00DB2397" w:rsidRPr="00270B69" w:rsidRDefault="0060094C" w:rsidP="0060094C">
            <w:pPr>
              <w:jc w:val="center"/>
            </w:pPr>
            <w:r w:rsidRPr="00270B69">
              <w:t>0</w:t>
            </w:r>
          </w:p>
        </w:tc>
        <w:tc>
          <w:tcPr>
            <w:tcW w:w="1376" w:type="dxa"/>
            <w:tcBorders>
              <w:top w:val="outset" w:sz="6" w:space="0" w:color="auto"/>
              <w:left w:val="outset" w:sz="6" w:space="0" w:color="auto"/>
              <w:bottom w:val="outset" w:sz="6" w:space="0" w:color="auto"/>
              <w:right w:val="outset" w:sz="6" w:space="0" w:color="auto"/>
            </w:tcBorders>
          </w:tcPr>
          <w:p w:rsidR="00DB2397" w:rsidRPr="00270B69" w:rsidRDefault="0060094C" w:rsidP="0060094C">
            <w:pPr>
              <w:jc w:val="center"/>
            </w:pPr>
            <w:r w:rsidRPr="00270B69">
              <w:t>0</w:t>
            </w:r>
          </w:p>
        </w:tc>
        <w:tc>
          <w:tcPr>
            <w:tcW w:w="1376" w:type="dxa"/>
            <w:tcBorders>
              <w:top w:val="outset" w:sz="6" w:space="0" w:color="auto"/>
              <w:left w:val="outset" w:sz="6" w:space="0" w:color="auto"/>
              <w:bottom w:val="outset" w:sz="6" w:space="0" w:color="auto"/>
              <w:right w:val="outset" w:sz="6" w:space="0" w:color="auto"/>
            </w:tcBorders>
          </w:tcPr>
          <w:p w:rsidR="00DB2397" w:rsidRPr="00270B69" w:rsidRDefault="0060094C" w:rsidP="0060094C">
            <w:pPr>
              <w:jc w:val="center"/>
            </w:pPr>
            <w:r w:rsidRPr="00270B69">
              <w:t>0</w:t>
            </w:r>
          </w:p>
        </w:tc>
      </w:tr>
      <w:tr w:rsidR="00A61617" w:rsidRPr="00FE6221" w:rsidTr="00DB2397">
        <w:trPr>
          <w:tblCellSpacing w:w="0" w:type="dxa"/>
        </w:trPr>
        <w:tc>
          <w:tcPr>
            <w:tcW w:w="3701" w:type="dxa"/>
            <w:gridSpan w:val="3"/>
            <w:tcBorders>
              <w:top w:val="outset" w:sz="6" w:space="0" w:color="auto"/>
              <w:left w:val="outset" w:sz="6" w:space="0" w:color="auto"/>
              <w:bottom w:val="outset" w:sz="6" w:space="0" w:color="auto"/>
              <w:right w:val="outset" w:sz="6" w:space="0" w:color="auto"/>
            </w:tcBorders>
          </w:tcPr>
          <w:p w:rsidR="00A61617" w:rsidRPr="00270B69" w:rsidRDefault="00A61617" w:rsidP="00A415E1">
            <w:pPr>
              <w:pStyle w:val="naiskr"/>
            </w:pPr>
            <w:r w:rsidRPr="00270B69">
              <w:t> 3. Finansiālā ietekme:</w:t>
            </w:r>
          </w:p>
          <w:p w:rsidR="00A61617" w:rsidRPr="00270B69" w:rsidRDefault="00A61617" w:rsidP="00A415E1">
            <w:pPr>
              <w:pStyle w:val="naiskr"/>
            </w:pPr>
            <w:r w:rsidRPr="00270B69">
              <w:t>3.1. valsts pamatbudžets,</w:t>
            </w:r>
          </w:p>
          <w:p w:rsidR="00A61617" w:rsidRPr="00270B69" w:rsidRDefault="00A61617" w:rsidP="00A415E1">
            <w:pPr>
              <w:pStyle w:val="naiskr"/>
            </w:pPr>
            <w:r w:rsidRPr="00270B69">
              <w:t>tajā skaitā iestāžu ieņēmumi no maksas pakalpojumiem un citi pašu ieņēmumi;</w:t>
            </w:r>
          </w:p>
          <w:p w:rsidR="00A61617" w:rsidRPr="00270B69" w:rsidRDefault="00A61617" w:rsidP="00A415E1">
            <w:pPr>
              <w:pStyle w:val="naiskr"/>
            </w:pPr>
            <w:r w:rsidRPr="00270B69">
              <w:t>3.2. speciālais budžets;</w:t>
            </w:r>
          </w:p>
          <w:p w:rsidR="00A61617" w:rsidRPr="00270B69" w:rsidRDefault="00A61617" w:rsidP="00A415E1">
            <w:pPr>
              <w:pStyle w:val="naiskr"/>
            </w:pPr>
            <w:r w:rsidRPr="00270B69">
              <w:t>3.3. pašvaldību budžets </w:t>
            </w:r>
          </w:p>
          <w:p w:rsidR="00A61617" w:rsidRPr="00270B69" w:rsidRDefault="00A61617" w:rsidP="00A415E1">
            <w:pPr>
              <w:pStyle w:val="naiskr"/>
            </w:pPr>
          </w:p>
        </w:tc>
        <w:tc>
          <w:tcPr>
            <w:tcW w:w="1400" w:type="dxa"/>
            <w:gridSpan w:val="4"/>
            <w:tcBorders>
              <w:top w:val="outset" w:sz="6" w:space="0" w:color="auto"/>
              <w:left w:val="outset" w:sz="6" w:space="0" w:color="auto"/>
              <w:bottom w:val="outset" w:sz="6" w:space="0" w:color="auto"/>
              <w:right w:val="outset" w:sz="6" w:space="0" w:color="auto"/>
            </w:tcBorders>
          </w:tcPr>
          <w:p w:rsidR="001D48B6" w:rsidRPr="00270B69" w:rsidRDefault="001D48B6" w:rsidP="001D48B6">
            <w:pPr>
              <w:pStyle w:val="naiskr"/>
              <w:jc w:val="center"/>
            </w:pPr>
            <w:r>
              <w:t>18123,6</w:t>
            </w:r>
          </w:p>
          <w:p w:rsidR="001D48B6" w:rsidRPr="00270B69" w:rsidRDefault="001D48B6" w:rsidP="001D48B6">
            <w:pPr>
              <w:pStyle w:val="naiskr"/>
              <w:jc w:val="center"/>
            </w:pPr>
            <w:r>
              <w:t>18123,6</w:t>
            </w:r>
          </w:p>
          <w:p w:rsidR="0060094C" w:rsidRPr="00270B69" w:rsidRDefault="0060094C" w:rsidP="0060094C">
            <w:pPr>
              <w:pStyle w:val="naiskr"/>
              <w:jc w:val="center"/>
            </w:pPr>
          </w:p>
        </w:tc>
        <w:tc>
          <w:tcPr>
            <w:tcW w:w="1376" w:type="dxa"/>
            <w:gridSpan w:val="2"/>
            <w:tcBorders>
              <w:top w:val="outset" w:sz="6" w:space="0" w:color="auto"/>
              <w:left w:val="outset" w:sz="6" w:space="0" w:color="auto"/>
              <w:bottom w:val="outset" w:sz="6" w:space="0" w:color="auto"/>
              <w:right w:val="outset" w:sz="6" w:space="0" w:color="auto"/>
            </w:tcBorders>
          </w:tcPr>
          <w:p w:rsidR="00A61617" w:rsidRPr="00270B69" w:rsidRDefault="001D18A2" w:rsidP="00A61617">
            <w:pPr>
              <w:jc w:val="center"/>
            </w:pPr>
            <w:r>
              <w:t>85,2</w:t>
            </w:r>
          </w:p>
          <w:p w:rsidR="0060094C" w:rsidRPr="00270B69" w:rsidRDefault="0060094C" w:rsidP="00A61617">
            <w:pPr>
              <w:jc w:val="center"/>
            </w:pPr>
          </w:p>
          <w:p w:rsidR="0060094C" w:rsidRPr="00270B69" w:rsidRDefault="001D18A2" w:rsidP="00A61617">
            <w:pPr>
              <w:jc w:val="center"/>
            </w:pPr>
            <w:r>
              <w:t>85,2</w:t>
            </w:r>
          </w:p>
        </w:tc>
        <w:tc>
          <w:tcPr>
            <w:tcW w:w="1376" w:type="dxa"/>
            <w:tcBorders>
              <w:top w:val="outset" w:sz="6" w:space="0" w:color="auto"/>
              <w:left w:val="outset" w:sz="6" w:space="0" w:color="auto"/>
              <w:bottom w:val="outset" w:sz="6" w:space="0" w:color="auto"/>
              <w:right w:val="outset" w:sz="6" w:space="0" w:color="auto"/>
            </w:tcBorders>
          </w:tcPr>
          <w:p w:rsidR="00A61617" w:rsidRPr="00270B69" w:rsidRDefault="001D18A2" w:rsidP="00A61617">
            <w:pPr>
              <w:jc w:val="center"/>
            </w:pPr>
            <w:r>
              <w:t>85,2</w:t>
            </w:r>
          </w:p>
          <w:p w:rsidR="0060094C" w:rsidRPr="00270B69" w:rsidRDefault="0060094C" w:rsidP="00A61617">
            <w:pPr>
              <w:jc w:val="center"/>
            </w:pPr>
          </w:p>
          <w:p w:rsidR="0060094C" w:rsidRPr="00270B69" w:rsidRDefault="001D18A2" w:rsidP="00A61617">
            <w:pPr>
              <w:jc w:val="center"/>
            </w:pPr>
            <w:r>
              <w:t>85,2</w:t>
            </w:r>
          </w:p>
        </w:tc>
        <w:tc>
          <w:tcPr>
            <w:tcW w:w="1376" w:type="dxa"/>
            <w:tcBorders>
              <w:top w:val="outset" w:sz="6" w:space="0" w:color="auto"/>
              <w:left w:val="outset" w:sz="6" w:space="0" w:color="auto"/>
              <w:bottom w:val="outset" w:sz="6" w:space="0" w:color="auto"/>
              <w:right w:val="outset" w:sz="6" w:space="0" w:color="auto"/>
            </w:tcBorders>
          </w:tcPr>
          <w:p w:rsidR="00A61617" w:rsidRPr="00270B69" w:rsidRDefault="001D18A2" w:rsidP="00A61617">
            <w:pPr>
              <w:jc w:val="center"/>
            </w:pPr>
            <w:r>
              <w:t>85,2</w:t>
            </w:r>
          </w:p>
          <w:p w:rsidR="0060094C" w:rsidRPr="00270B69" w:rsidRDefault="0060094C" w:rsidP="00A61617">
            <w:pPr>
              <w:jc w:val="center"/>
            </w:pPr>
          </w:p>
          <w:p w:rsidR="0060094C" w:rsidRPr="00270B69" w:rsidRDefault="001D18A2" w:rsidP="00A61617">
            <w:pPr>
              <w:jc w:val="center"/>
            </w:pPr>
            <w:r>
              <w:t>85,2</w:t>
            </w:r>
          </w:p>
        </w:tc>
      </w:tr>
      <w:tr w:rsidR="00A61617" w:rsidRPr="00FE6221" w:rsidTr="00DB2397">
        <w:trPr>
          <w:tblCellSpacing w:w="0" w:type="dxa"/>
        </w:trPr>
        <w:tc>
          <w:tcPr>
            <w:tcW w:w="3701" w:type="dxa"/>
            <w:gridSpan w:val="3"/>
            <w:tcBorders>
              <w:top w:val="outset" w:sz="6" w:space="0" w:color="auto"/>
              <w:left w:val="outset" w:sz="6" w:space="0" w:color="auto"/>
              <w:bottom w:val="outset" w:sz="6" w:space="0" w:color="auto"/>
              <w:right w:val="outset" w:sz="6" w:space="0" w:color="auto"/>
            </w:tcBorders>
          </w:tcPr>
          <w:p w:rsidR="00A61617" w:rsidRPr="00270B69" w:rsidRDefault="00A61617" w:rsidP="00A415E1">
            <w:pPr>
              <w:pStyle w:val="naiskr"/>
            </w:pPr>
            <w:r w:rsidRPr="00270B69">
              <w:t xml:space="preserve"> 4. Prognozējamie kompensējošie </w:t>
            </w:r>
            <w:r w:rsidRPr="00270B69">
              <w:lastRenderedPageBreak/>
              <w:t>pasākumi papildu izdevumu finansēšanai </w:t>
            </w:r>
          </w:p>
          <w:p w:rsidR="00A61617" w:rsidRPr="00270B69" w:rsidRDefault="00A61617" w:rsidP="00A415E1">
            <w:pPr>
              <w:pStyle w:val="naiskr"/>
            </w:pPr>
          </w:p>
        </w:tc>
        <w:tc>
          <w:tcPr>
            <w:tcW w:w="1400" w:type="dxa"/>
            <w:gridSpan w:val="4"/>
            <w:tcBorders>
              <w:top w:val="outset" w:sz="6" w:space="0" w:color="auto"/>
              <w:left w:val="outset" w:sz="6" w:space="0" w:color="auto"/>
              <w:bottom w:val="outset" w:sz="6" w:space="0" w:color="auto"/>
              <w:right w:val="outset" w:sz="6" w:space="0" w:color="auto"/>
            </w:tcBorders>
          </w:tcPr>
          <w:p w:rsidR="00A61617" w:rsidRPr="00270B69" w:rsidRDefault="00A61617">
            <w:r w:rsidRPr="00270B69">
              <w:lastRenderedPageBreak/>
              <w:t xml:space="preserve">Nav </w:t>
            </w:r>
            <w:r w:rsidRPr="00270B69">
              <w:lastRenderedPageBreak/>
              <w:t>attiecināms.</w:t>
            </w:r>
          </w:p>
        </w:tc>
        <w:tc>
          <w:tcPr>
            <w:tcW w:w="1376" w:type="dxa"/>
            <w:gridSpan w:val="2"/>
            <w:tcBorders>
              <w:top w:val="outset" w:sz="6" w:space="0" w:color="auto"/>
              <w:left w:val="outset" w:sz="6" w:space="0" w:color="auto"/>
              <w:bottom w:val="outset" w:sz="6" w:space="0" w:color="auto"/>
              <w:right w:val="outset" w:sz="6" w:space="0" w:color="auto"/>
            </w:tcBorders>
          </w:tcPr>
          <w:p w:rsidR="00A61617" w:rsidRPr="00270B69" w:rsidRDefault="00A61617">
            <w:r w:rsidRPr="00270B69">
              <w:lastRenderedPageBreak/>
              <w:t xml:space="preserve">Nav </w:t>
            </w:r>
            <w:r w:rsidRPr="00270B69">
              <w:lastRenderedPageBreak/>
              <w:t>attiecināms.</w:t>
            </w:r>
          </w:p>
        </w:tc>
        <w:tc>
          <w:tcPr>
            <w:tcW w:w="1376" w:type="dxa"/>
            <w:tcBorders>
              <w:top w:val="outset" w:sz="6" w:space="0" w:color="auto"/>
              <w:left w:val="outset" w:sz="6" w:space="0" w:color="auto"/>
              <w:bottom w:val="outset" w:sz="6" w:space="0" w:color="auto"/>
              <w:right w:val="outset" w:sz="6" w:space="0" w:color="auto"/>
            </w:tcBorders>
          </w:tcPr>
          <w:p w:rsidR="00A61617" w:rsidRPr="00270B69" w:rsidRDefault="00A61617">
            <w:r w:rsidRPr="00270B69">
              <w:lastRenderedPageBreak/>
              <w:t xml:space="preserve">Nav </w:t>
            </w:r>
            <w:r w:rsidRPr="00270B69">
              <w:lastRenderedPageBreak/>
              <w:t>attiecināms.</w:t>
            </w:r>
          </w:p>
        </w:tc>
        <w:tc>
          <w:tcPr>
            <w:tcW w:w="1376" w:type="dxa"/>
            <w:tcBorders>
              <w:top w:val="outset" w:sz="6" w:space="0" w:color="auto"/>
              <w:left w:val="outset" w:sz="6" w:space="0" w:color="auto"/>
              <w:bottom w:val="outset" w:sz="6" w:space="0" w:color="auto"/>
              <w:right w:val="outset" w:sz="6" w:space="0" w:color="auto"/>
            </w:tcBorders>
          </w:tcPr>
          <w:p w:rsidR="00A61617" w:rsidRPr="00270B69" w:rsidRDefault="00A61617">
            <w:r w:rsidRPr="00270B69">
              <w:lastRenderedPageBreak/>
              <w:t xml:space="preserve">Nav </w:t>
            </w:r>
            <w:r w:rsidRPr="00270B69">
              <w:lastRenderedPageBreak/>
              <w:t>attiecināms.</w:t>
            </w:r>
          </w:p>
        </w:tc>
      </w:tr>
      <w:tr w:rsidR="0060094C" w:rsidRPr="00FE6221" w:rsidTr="00DB2397">
        <w:trPr>
          <w:tblCellSpacing w:w="0" w:type="dxa"/>
        </w:trPr>
        <w:tc>
          <w:tcPr>
            <w:tcW w:w="3701" w:type="dxa"/>
            <w:gridSpan w:val="3"/>
            <w:tcBorders>
              <w:top w:val="outset" w:sz="6" w:space="0" w:color="auto"/>
              <w:left w:val="outset" w:sz="6" w:space="0" w:color="auto"/>
              <w:bottom w:val="outset" w:sz="6" w:space="0" w:color="auto"/>
              <w:right w:val="outset" w:sz="6" w:space="0" w:color="auto"/>
            </w:tcBorders>
          </w:tcPr>
          <w:p w:rsidR="0060094C" w:rsidRPr="00270B69" w:rsidRDefault="0060094C" w:rsidP="00A415E1">
            <w:pPr>
              <w:pStyle w:val="naiskr"/>
            </w:pPr>
            <w:r w:rsidRPr="00270B69">
              <w:lastRenderedPageBreak/>
              <w:t> 5. Detalizēts ieņēmumu un izdevumu aprēķins (ja nepieciešams, detalizētu ieņēmumu un izdevumu aprēķinu var pievienot anotācijas pielikumā)</w:t>
            </w:r>
          </w:p>
          <w:p w:rsidR="0060094C" w:rsidRPr="00270B69" w:rsidRDefault="0060094C" w:rsidP="00A415E1">
            <w:pPr>
              <w:pStyle w:val="naiskr"/>
            </w:pPr>
          </w:p>
        </w:tc>
        <w:tc>
          <w:tcPr>
            <w:tcW w:w="5528" w:type="dxa"/>
            <w:gridSpan w:val="8"/>
            <w:tcBorders>
              <w:top w:val="outset" w:sz="6" w:space="0" w:color="auto"/>
              <w:left w:val="outset" w:sz="6" w:space="0" w:color="auto"/>
              <w:bottom w:val="outset" w:sz="6" w:space="0" w:color="auto"/>
              <w:right w:val="outset" w:sz="6" w:space="0" w:color="auto"/>
            </w:tcBorders>
          </w:tcPr>
          <w:p w:rsidR="0060094C" w:rsidRPr="00270B69" w:rsidRDefault="0060094C" w:rsidP="0060094C">
            <w:pPr>
              <w:pStyle w:val="NoSpacing"/>
              <w:jc w:val="both"/>
            </w:pPr>
            <w:r w:rsidRPr="00270B69">
              <w:t xml:space="preserve">2009. gada </w:t>
            </w:r>
            <w:r w:rsidR="0081530D">
              <w:t>9</w:t>
            </w:r>
            <w:r w:rsidR="0081530D" w:rsidRPr="00270B69">
              <w:t xml:space="preserve"> </w:t>
            </w:r>
            <w:r w:rsidRPr="00270B69">
              <w:t xml:space="preserve">mēnešos ieņēmumi no valsts nodevām par īpašuma tiesību un ķīlas tiesību nostiprināšanu zemesgrāmatā ir bijuši Ls </w:t>
            </w:r>
            <w:r w:rsidR="0081530D" w:rsidRPr="0081530D">
              <w:t>13</w:t>
            </w:r>
            <w:r w:rsidR="0081530D">
              <w:t> </w:t>
            </w:r>
            <w:r w:rsidR="0081530D" w:rsidRPr="0081530D">
              <w:t>594</w:t>
            </w:r>
            <w:r w:rsidR="0081530D">
              <w:t xml:space="preserve"> </w:t>
            </w:r>
            <w:r w:rsidR="0081530D" w:rsidRPr="0081530D">
              <w:t>318</w:t>
            </w:r>
            <w:r w:rsidRPr="00270B69">
              <w:t xml:space="preserve">. </w:t>
            </w:r>
          </w:p>
          <w:p w:rsidR="0060094C" w:rsidRPr="00270B69" w:rsidRDefault="0060094C" w:rsidP="0060094C">
            <w:pPr>
              <w:pStyle w:val="NoSpacing"/>
              <w:jc w:val="both"/>
            </w:pPr>
            <w:r w:rsidRPr="00270B69">
              <w:t>2009.gada 12 mēnešos plānotā valsts nodeva ir Ls 18 123 608</w:t>
            </w:r>
          </w:p>
          <w:p w:rsidR="0060094C" w:rsidRPr="00270B69" w:rsidRDefault="0060094C" w:rsidP="0060094C">
            <w:pPr>
              <w:pStyle w:val="naiskr"/>
              <w:jc w:val="both"/>
            </w:pPr>
            <w:r w:rsidRPr="00270B69">
              <w:t xml:space="preserve">Fiskālā izpratnē negatīva ietekme nav paredzama. Ieviešot valsts nodevu </w:t>
            </w:r>
            <w:r w:rsidR="0081530D" w:rsidRPr="0081530D">
              <w:t>1% apmērā no kapitālsabiedrības pamatkapitālā ieguldāmās nekustamā īpašuma ieguldījuma summas (latos</w:t>
            </w:r>
            <w:r w:rsidR="003035EE">
              <w:t>)</w:t>
            </w:r>
            <w:r w:rsidR="0081530D" w:rsidRPr="0081530D">
              <w:t>, bet ne vairāk kā Ls 1000</w:t>
            </w:r>
            <w:r w:rsidRPr="00270B69">
              <w:t xml:space="preserve">, paredzamās izmaiņas budžeta ienākumos gada periodā ir vērtējamas Ls </w:t>
            </w:r>
            <w:r w:rsidR="00B55A17">
              <w:t>85 187</w:t>
            </w:r>
            <w:r w:rsidR="00B55A17" w:rsidRPr="00270B69">
              <w:t xml:space="preserve"> </w:t>
            </w:r>
            <w:r w:rsidRPr="00270B69">
              <w:t xml:space="preserve">apmērā. 2009. gada </w:t>
            </w:r>
            <w:r w:rsidR="005B62C4">
              <w:t>9</w:t>
            </w:r>
            <w:r w:rsidR="005B62C4" w:rsidRPr="00270B69">
              <w:t xml:space="preserve"> </w:t>
            </w:r>
            <w:r w:rsidRPr="00270B69">
              <w:t xml:space="preserve">mēnešos šādu nostiprinājuma lūgumu skaits ir bijis </w:t>
            </w:r>
            <w:r w:rsidR="001A661D">
              <w:t>188</w:t>
            </w:r>
            <w:r w:rsidRPr="00270B69">
              <w:t xml:space="preserve">, no kuriem būtu iekasējama valsts nodeva Ls </w:t>
            </w:r>
            <w:r w:rsidR="001A661D">
              <w:t>63 890</w:t>
            </w:r>
            <w:r w:rsidR="001A661D" w:rsidRPr="00270B69">
              <w:t xml:space="preserve"> </w:t>
            </w:r>
            <w:r w:rsidRPr="00270B69">
              <w:t>apmērā.</w:t>
            </w:r>
          </w:p>
          <w:p w:rsidR="0060094C" w:rsidRPr="00270B69" w:rsidRDefault="0060094C" w:rsidP="0060094C">
            <w:pPr>
              <w:pStyle w:val="naiskr"/>
              <w:jc w:val="both"/>
            </w:pPr>
            <w:r w:rsidRPr="00270B69">
              <w:t xml:space="preserve">Valsts nodevu apmēru izmaiņas Ministru kabineta </w:t>
            </w:r>
            <w:r w:rsidR="003911BC" w:rsidRPr="00270B69">
              <w:t>noteikum</w:t>
            </w:r>
            <w:r w:rsidR="003911BC">
              <w:t>u projektā</w:t>
            </w:r>
            <w:r w:rsidR="003911BC" w:rsidRPr="00270B69">
              <w:t xml:space="preserve"> </w:t>
            </w:r>
            <w:r w:rsidRPr="00270B69">
              <w:t>„Noteikumi par valsts nodevu par īpašuma tiesību un ķīlas tiesību nostiprināšanu zemesgrāmatā” neparedz ieņēmumu palielināšanos, tiek prognozēts ieņēmumu līmenis, kurš nepārsniedz 2008. gada līmeni</w:t>
            </w:r>
            <w:r w:rsidR="004B3EAF">
              <w:t>. P</w:t>
            </w:r>
            <w:r w:rsidRPr="00270B69">
              <w:t>apildus ieņēmum</w:t>
            </w:r>
            <w:r w:rsidR="003035EE">
              <w:t>i</w:t>
            </w:r>
            <w:r w:rsidRPr="00270B69">
              <w:t xml:space="preserve"> no valsts nodevas par nekustamā īpašuma ieguldīšana kapitālsabiedrības pamatkapitālā – </w:t>
            </w:r>
            <w:r w:rsidR="003035EE">
              <w:t xml:space="preserve">1 % apmērā </w:t>
            </w:r>
            <w:r w:rsidRPr="00270B69">
              <w:t xml:space="preserve">no kapitālsabiedrības pamatkapitālā ieguldāmās nekustamā īpašuma ieguldījuma summas, </w:t>
            </w:r>
            <w:r w:rsidR="004B3EAF">
              <w:t>sastāda</w:t>
            </w:r>
            <w:r w:rsidRPr="00270B69">
              <w:t xml:space="preserve"> 0,</w:t>
            </w:r>
            <w:r w:rsidR="002B1524">
              <w:t>47</w:t>
            </w:r>
            <w:r w:rsidRPr="00270B69">
              <w:t>% no kopā ieņemtā valsts nodevu apjoma.</w:t>
            </w:r>
          </w:p>
          <w:p w:rsidR="0060094C" w:rsidRPr="00270B69" w:rsidRDefault="0060094C" w:rsidP="0060094C">
            <w:pPr>
              <w:pStyle w:val="naiskr"/>
              <w:jc w:val="both"/>
            </w:pPr>
            <w:r w:rsidRPr="00270B69">
              <w:t>Prognozējamais ieņēmumu apmērs par iekasēto valsts nodevu par nekustamā īpašuma ieguldīšanu kapitālsabiedrības pamatkapitālā 2009. gadā ir šāds:</w:t>
            </w:r>
          </w:p>
          <w:p w:rsidR="0060094C" w:rsidRPr="00270B69" w:rsidRDefault="0060094C" w:rsidP="0060094C">
            <w:pPr>
              <w:pStyle w:val="naiskr"/>
              <w:jc w:val="both"/>
              <w:rPr>
                <w:b/>
              </w:rPr>
            </w:pPr>
            <w:r w:rsidRPr="00270B69">
              <w:rPr>
                <w:b/>
              </w:rPr>
              <w:t>2009.gadā</w:t>
            </w:r>
          </w:p>
          <w:p w:rsidR="0060094C" w:rsidRPr="00270B69" w:rsidRDefault="00A507E0" w:rsidP="0060094C">
            <w:pPr>
              <w:pStyle w:val="naiskr"/>
              <w:jc w:val="both"/>
            </w:pPr>
            <w:r>
              <w:t>1) </w:t>
            </w:r>
            <w:r w:rsidR="0060094C" w:rsidRPr="00270B69">
              <w:t>Ls</w:t>
            </w:r>
            <w:r>
              <w:t xml:space="preserve"> </w:t>
            </w:r>
            <w:r w:rsidR="00B55A17">
              <w:t>7 100</w:t>
            </w:r>
            <w:r w:rsidR="00B55A17" w:rsidRPr="00270B69">
              <w:t xml:space="preserve"> </w:t>
            </w:r>
            <w:r w:rsidR="0060094C" w:rsidRPr="00270B69">
              <w:t xml:space="preserve">mēnesī x </w:t>
            </w:r>
            <w:r w:rsidR="00F07297">
              <w:t>3</w:t>
            </w:r>
            <w:r w:rsidR="0060094C" w:rsidRPr="00270B69">
              <w:t xml:space="preserve"> mēneši = Ls</w:t>
            </w:r>
            <w:r>
              <w:t xml:space="preserve"> </w:t>
            </w:r>
            <w:r w:rsidR="00B55A17">
              <w:t xml:space="preserve">21 300 </w:t>
            </w:r>
            <w:r w:rsidR="00F07297">
              <w:t>(2009. </w:t>
            </w:r>
            <w:r w:rsidR="0060094C" w:rsidRPr="00270B69">
              <w:t xml:space="preserve">gada </w:t>
            </w:r>
            <w:r w:rsidR="00214363">
              <w:t>oktobris</w:t>
            </w:r>
            <w:r w:rsidR="0060094C" w:rsidRPr="00270B69">
              <w:t xml:space="preserve"> – decembris)</w:t>
            </w:r>
          </w:p>
          <w:p w:rsidR="0060094C" w:rsidRPr="00270B69" w:rsidRDefault="0060094C" w:rsidP="0060094C">
            <w:pPr>
              <w:pStyle w:val="naiskr"/>
              <w:jc w:val="both"/>
              <w:rPr>
                <w:b/>
              </w:rPr>
            </w:pPr>
            <w:r w:rsidRPr="00270B69">
              <w:rPr>
                <w:b/>
              </w:rPr>
              <w:t xml:space="preserve">2010. gadā un turpmāk </w:t>
            </w:r>
          </w:p>
          <w:p w:rsidR="0060094C" w:rsidRPr="00270B69" w:rsidRDefault="0060094C" w:rsidP="0060094C">
            <w:pPr>
              <w:pStyle w:val="naiskr"/>
              <w:jc w:val="both"/>
            </w:pPr>
            <w:r w:rsidRPr="00270B69">
              <w:t xml:space="preserve">Prognozējamais ieņēmumu apmērs par iekasēto valsts nodevu par notariālo darbību izpildi ir </w:t>
            </w:r>
          </w:p>
          <w:p w:rsidR="0060094C" w:rsidRPr="00270B69" w:rsidRDefault="0060094C" w:rsidP="00B55A17">
            <w:pPr>
              <w:pStyle w:val="naiskr"/>
              <w:jc w:val="both"/>
            </w:pPr>
            <w:r w:rsidRPr="00270B69">
              <w:t>Ls</w:t>
            </w:r>
            <w:r w:rsidR="00A507E0">
              <w:t xml:space="preserve"> </w:t>
            </w:r>
            <w:r w:rsidR="00B55A17">
              <w:t xml:space="preserve">7 100 </w:t>
            </w:r>
            <w:r w:rsidR="00F07297">
              <w:t>mēnesī</w:t>
            </w:r>
            <w:r w:rsidRPr="00270B69">
              <w:t xml:space="preserve"> x </w:t>
            </w:r>
            <w:r w:rsidR="00F07297">
              <w:t>1</w:t>
            </w:r>
            <w:r w:rsidRPr="00270B69">
              <w:t xml:space="preserve">2 </w:t>
            </w:r>
            <w:r w:rsidR="00F07297">
              <w:t>mēneši</w:t>
            </w:r>
            <w:r w:rsidRPr="00270B69">
              <w:t xml:space="preserve"> = Ls</w:t>
            </w:r>
            <w:r w:rsidR="00A507E0">
              <w:t xml:space="preserve"> </w:t>
            </w:r>
            <w:r w:rsidR="00B55A17">
              <w:t xml:space="preserve">85 200 </w:t>
            </w:r>
            <w:r w:rsidR="00F07297">
              <w:t>(2010. gads)</w:t>
            </w:r>
          </w:p>
        </w:tc>
      </w:tr>
      <w:tr w:rsidR="0060094C" w:rsidRPr="00FE6221" w:rsidTr="00DB2397">
        <w:trPr>
          <w:tblCellSpacing w:w="0" w:type="dxa"/>
        </w:trPr>
        <w:tc>
          <w:tcPr>
            <w:tcW w:w="3701" w:type="dxa"/>
            <w:gridSpan w:val="3"/>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6. Cita informācija </w:t>
            </w:r>
          </w:p>
        </w:tc>
        <w:tc>
          <w:tcPr>
            <w:tcW w:w="5528" w:type="dxa"/>
            <w:gridSpan w:val="8"/>
            <w:tcBorders>
              <w:top w:val="outset" w:sz="6" w:space="0" w:color="auto"/>
              <w:left w:val="outset" w:sz="6" w:space="0" w:color="auto"/>
              <w:bottom w:val="outset" w:sz="6" w:space="0" w:color="auto"/>
              <w:right w:val="outset" w:sz="6" w:space="0" w:color="auto"/>
            </w:tcBorders>
          </w:tcPr>
          <w:p w:rsidR="0060094C" w:rsidRPr="00FE6221" w:rsidRDefault="0060094C" w:rsidP="00B56F20">
            <w:pPr>
              <w:jc w:val="both"/>
            </w:pPr>
            <w:r w:rsidRPr="00FE6221">
              <w:t>Nav iespējams novērtēt prognozējamo ieņēmumu apjoma izmaiņas personām, kuras ir atbrīvotas no valsts nodevas par nekustamā īpašuma ieguldīšanu kapitālsabiedrības pamatkapitālā samaksas.</w:t>
            </w:r>
          </w:p>
        </w:tc>
      </w:tr>
      <w:tr w:rsidR="0060094C"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vAlign w:val="center"/>
          </w:tcPr>
          <w:p w:rsidR="0060094C" w:rsidRPr="00FE6221" w:rsidRDefault="0060094C" w:rsidP="00B22BE4">
            <w:pPr>
              <w:pStyle w:val="naisnod"/>
              <w:spacing w:before="0" w:beforeAutospacing="0" w:after="0" w:afterAutospacing="0"/>
              <w:jc w:val="center"/>
              <w:rPr>
                <w:b/>
                <w:bCs/>
              </w:rPr>
            </w:pPr>
            <w:r w:rsidRPr="00FE6221">
              <w:rPr>
                <w:b/>
                <w:bCs/>
              </w:rPr>
              <w:lastRenderedPageBreak/>
              <w:t>IV. Kāda var būt normatīvā akta ietekme uz spēkā esošo tiesību normu sistēmu</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1. 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p w:rsidR="0060094C" w:rsidRPr="00FE6221" w:rsidRDefault="0060094C" w:rsidP="00A415E1">
            <w:pPr>
              <w:pStyle w:val="naiskr"/>
            </w:pPr>
          </w:p>
        </w:tc>
        <w:tc>
          <w:tcPr>
            <w:tcW w:w="4951"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Nav attiecināms.</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 2. Cita informācija</w:t>
            </w:r>
          </w:p>
        </w:tc>
        <w:tc>
          <w:tcPr>
            <w:tcW w:w="4951"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Nav.</w:t>
            </w:r>
          </w:p>
        </w:tc>
      </w:tr>
      <w:tr w:rsidR="0060094C"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vAlign w:val="center"/>
          </w:tcPr>
          <w:p w:rsidR="0060094C" w:rsidRPr="00FE6221" w:rsidRDefault="0060094C" w:rsidP="00B22BE4">
            <w:pPr>
              <w:pStyle w:val="naisnod"/>
              <w:spacing w:before="0" w:beforeAutospacing="0" w:after="0" w:afterAutospacing="0"/>
              <w:jc w:val="center"/>
              <w:rPr>
                <w:b/>
                <w:bCs/>
              </w:rPr>
            </w:pPr>
            <w:r w:rsidRPr="00FE6221">
              <w:rPr>
                <w:b/>
                <w:bCs/>
              </w:rPr>
              <w:t>V. Kādām Latvijas starptautiskajām saistībām atbilst normatīvais akts</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 1. Saistības pret Eiropas Savienību</w:t>
            </w:r>
          </w:p>
        </w:tc>
        <w:tc>
          <w:tcPr>
            <w:tcW w:w="4951"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Nav attiecināms.</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2. Saistības pret citām valstīm un starptautiskajām institūcijām un organizācijām</w:t>
            </w:r>
          </w:p>
        </w:tc>
        <w:tc>
          <w:tcPr>
            <w:tcW w:w="4951"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jc w:val="both"/>
            </w:pPr>
            <w:r w:rsidRPr="00FE6221">
              <w:t xml:space="preserve">Izstrādājot Ministru kabineta noteikumu projektu, ir ņemta vērā 2009. gada </w:t>
            </w:r>
            <w:r w:rsidRPr="00FE6221">
              <w:rPr>
                <w:bCs/>
                <w:color w:val="1D1C1C"/>
              </w:rPr>
              <w:t>1. janvāra Eiropas Savienības direktīva 2008/7/EK par netiešajiem nodokļiem.</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3. Saistības, kas izriet no Latvijai saistošajiem divpusējiem un daudzpusējiem starptautiskajiem līgumiem </w:t>
            </w:r>
          </w:p>
        </w:tc>
        <w:tc>
          <w:tcPr>
            <w:tcW w:w="4951"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Nav attiecināms.</w:t>
            </w:r>
          </w:p>
        </w:tc>
      </w:tr>
      <w:tr w:rsidR="0060094C"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 4. Atbilstības izvērtējums</w:t>
            </w:r>
          </w:p>
          <w:p w:rsidR="0060094C" w:rsidRPr="00FE6221" w:rsidRDefault="0060094C" w:rsidP="00AD3E18">
            <w:pPr>
              <w:pStyle w:val="naislab"/>
              <w:spacing w:before="0" w:beforeAutospacing="0" w:after="0" w:afterAutospacing="0"/>
            </w:pPr>
            <w:r w:rsidRPr="00FE6221">
              <w:t>1.tabula</w:t>
            </w:r>
          </w:p>
        </w:tc>
      </w:tr>
      <w:tr w:rsidR="0060094C" w:rsidRPr="00FE6221" w:rsidTr="00DB2397">
        <w:trPr>
          <w:tblCellSpacing w:w="0" w:type="dxa"/>
        </w:trPr>
        <w:tc>
          <w:tcPr>
            <w:tcW w:w="3711" w:type="dxa"/>
            <w:gridSpan w:val="4"/>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Attiecīgo Eiropas Savienības tiesību aktu veids (piemēram, Eiropas Kopienas dibināšanas līgums, direktīva, regula, lēmums, vadlīnijas, rekomendācijas), nosaukums, datums un numurs, kuru prasības tiek pārņemtas vai ieviestas ar normatīvo aktu</w:t>
            </w:r>
          </w:p>
        </w:tc>
        <w:tc>
          <w:tcPr>
            <w:tcW w:w="5518" w:type="dxa"/>
            <w:gridSpan w:val="7"/>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Nav attiecināms.</w:t>
            </w:r>
          </w:p>
        </w:tc>
      </w:tr>
      <w:tr w:rsidR="0060094C"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lab"/>
            </w:pPr>
            <w:r w:rsidRPr="00FE6221">
              <w:t>2.tabula</w:t>
            </w:r>
          </w:p>
        </w:tc>
      </w:tr>
      <w:tr w:rsidR="0060094C" w:rsidRPr="00FE6221" w:rsidTr="00DB2397">
        <w:trPr>
          <w:tblCellSpacing w:w="0" w:type="dxa"/>
        </w:trPr>
        <w:tc>
          <w:tcPr>
            <w:tcW w:w="2868" w:type="dxa"/>
            <w:gridSpan w:val="2"/>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c"/>
            </w:pPr>
            <w:r w:rsidRPr="00FE6221">
              <w:t> Eiropas Savienības tiesību akts un attiecīgā panta Nr. (uzskaitot katru direktīvas vienību – pantu, daļu, punktu, apakšpunktu)</w:t>
            </w:r>
          </w:p>
        </w:tc>
        <w:tc>
          <w:tcPr>
            <w:tcW w:w="2817"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c"/>
            </w:pPr>
            <w:r w:rsidRPr="00FE6221">
              <w:t> Latvijas normatīvā akta projekta norma, kas pārņem katru šīs tabulas 1.ailē norādīto direktīvas vienību (uzskaitot visu normatīvā akta projekta vienību Nr.)</w:t>
            </w:r>
          </w:p>
        </w:tc>
        <w:tc>
          <w:tcPr>
            <w:tcW w:w="3544" w:type="dxa"/>
            <w:gridSpan w:val="3"/>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c"/>
            </w:pPr>
            <w:r w:rsidRPr="00FE6221">
              <w:t> Komentāri</w:t>
            </w:r>
          </w:p>
        </w:tc>
      </w:tr>
      <w:tr w:rsidR="0060094C" w:rsidRPr="00FE6221" w:rsidTr="00DB2397">
        <w:trPr>
          <w:tblCellSpacing w:w="0" w:type="dxa"/>
        </w:trPr>
        <w:tc>
          <w:tcPr>
            <w:tcW w:w="2868" w:type="dxa"/>
            <w:gridSpan w:val="2"/>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f"/>
            </w:pPr>
            <w:r w:rsidRPr="00FE6221">
              <w:t>Nav attiecināms.</w:t>
            </w:r>
          </w:p>
        </w:tc>
        <w:tc>
          <w:tcPr>
            <w:tcW w:w="2817"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Nav attiecināms.</w:t>
            </w:r>
          </w:p>
        </w:tc>
        <w:tc>
          <w:tcPr>
            <w:tcW w:w="3544" w:type="dxa"/>
            <w:gridSpan w:val="3"/>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Nav attiecināms.</w:t>
            </w:r>
          </w:p>
        </w:tc>
      </w:tr>
      <w:tr w:rsidR="0060094C" w:rsidRPr="00FE6221" w:rsidTr="00DB2397">
        <w:trPr>
          <w:tblCellSpacing w:w="0" w:type="dxa"/>
        </w:trPr>
        <w:tc>
          <w:tcPr>
            <w:tcW w:w="5685" w:type="dxa"/>
            <w:gridSpan w:val="8"/>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5. Saistības sniegt paziņojumu Eiropas Savienības institūcijām atbilstoši normatīvajiem aktiem, kas regulē informācijas sniegšanu par tehnisko noteikumu, valsts atbalsta sniegšanas un finanšu noteikumu projektiem</w:t>
            </w:r>
          </w:p>
        </w:tc>
        <w:tc>
          <w:tcPr>
            <w:tcW w:w="3544" w:type="dxa"/>
            <w:gridSpan w:val="3"/>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Nav attiecināms.</w:t>
            </w:r>
          </w:p>
        </w:tc>
      </w:tr>
      <w:tr w:rsidR="0060094C" w:rsidRPr="00FE6221" w:rsidTr="00DB2397">
        <w:trPr>
          <w:tblCellSpacing w:w="0" w:type="dxa"/>
        </w:trPr>
        <w:tc>
          <w:tcPr>
            <w:tcW w:w="5685" w:type="dxa"/>
            <w:gridSpan w:val="8"/>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 6. Cita informācija</w:t>
            </w:r>
          </w:p>
        </w:tc>
        <w:tc>
          <w:tcPr>
            <w:tcW w:w="3544" w:type="dxa"/>
            <w:gridSpan w:val="3"/>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Nav.</w:t>
            </w:r>
          </w:p>
        </w:tc>
      </w:tr>
      <w:tr w:rsidR="0060094C"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tcPr>
          <w:p w:rsidR="0060094C" w:rsidRPr="00FE6221" w:rsidRDefault="0060094C" w:rsidP="00B22BE4">
            <w:pPr>
              <w:pStyle w:val="naisnod"/>
              <w:spacing w:before="0" w:beforeAutospacing="0" w:after="0" w:afterAutospacing="0"/>
              <w:jc w:val="center"/>
              <w:rPr>
                <w:b/>
                <w:bCs/>
              </w:rPr>
            </w:pPr>
            <w:r w:rsidRPr="00FE6221">
              <w:rPr>
                <w:b/>
                <w:bCs/>
              </w:rPr>
              <w:t>VI. Kādas konsultācijas notikušas, sagatavojot normatīvā akta projektu</w:t>
            </w:r>
          </w:p>
        </w:tc>
      </w:tr>
      <w:tr w:rsidR="0060094C" w:rsidRPr="00FE6221" w:rsidTr="00DB2397">
        <w:trPr>
          <w:tblCellSpacing w:w="0" w:type="dxa"/>
        </w:trPr>
        <w:tc>
          <w:tcPr>
            <w:tcW w:w="3852"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aiskr"/>
              <w:spacing w:before="0" w:beforeAutospacing="0" w:after="0" w:afterAutospacing="0"/>
            </w:pPr>
            <w:r w:rsidRPr="00FE6221">
              <w:t xml:space="preserve"> 1. Ar kurām pilsoniskās sabiedrības un sociālo partneru organizācijām un citām iesaistītajām institūcijām </w:t>
            </w:r>
            <w:r w:rsidRPr="00FE6221">
              <w:lastRenderedPageBreak/>
              <w:t>konsultācijas ir notikušas</w:t>
            </w:r>
          </w:p>
        </w:tc>
        <w:tc>
          <w:tcPr>
            <w:tcW w:w="5377"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D3E18">
            <w:pPr>
              <w:pStyle w:val="NormalWeb"/>
              <w:spacing w:before="0" w:beforeAutospacing="0" w:after="0" w:afterAutospacing="0"/>
              <w:jc w:val="both"/>
            </w:pPr>
            <w:r w:rsidRPr="00FE6221">
              <w:lastRenderedPageBreak/>
              <w:t>Nav attiecināms.</w:t>
            </w:r>
          </w:p>
        </w:tc>
      </w:tr>
      <w:tr w:rsidR="0060094C" w:rsidRPr="00FE6221" w:rsidTr="00DB2397">
        <w:trPr>
          <w:tblCellSpacing w:w="0" w:type="dxa"/>
        </w:trPr>
        <w:tc>
          <w:tcPr>
            <w:tcW w:w="3852"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lastRenderedPageBreak/>
              <w:t> 2. Kāda ir šo pilsoniskās sabiedrības un sociālo partneru organizāciju un citu iesaistīto institūciju pozīcija (atbalsta, iestrādāti to iesniegtie priekšlikumi, mainīts formulējums to interesēs, neatbalsta)</w:t>
            </w:r>
          </w:p>
        </w:tc>
        <w:tc>
          <w:tcPr>
            <w:tcW w:w="5377"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c"/>
              <w:jc w:val="both"/>
            </w:pPr>
            <w:r w:rsidRPr="00FE6221">
              <w:t>Nav attiecināms.</w:t>
            </w:r>
          </w:p>
        </w:tc>
      </w:tr>
      <w:tr w:rsidR="0060094C" w:rsidRPr="00FE6221" w:rsidTr="00DB2397">
        <w:trPr>
          <w:tblCellSpacing w:w="0" w:type="dxa"/>
        </w:trPr>
        <w:tc>
          <w:tcPr>
            <w:tcW w:w="3852"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3. Kāds konsultāciju veids un sabiedrības informēšanas pasākumi ir izmantoti</w:t>
            </w:r>
          </w:p>
        </w:tc>
        <w:tc>
          <w:tcPr>
            <w:tcW w:w="5377"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ormalligums"/>
              <w:spacing w:before="0" w:beforeAutospacing="0" w:after="0" w:afterAutospacing="0"/>
              <w:jc w:val="both"/>
            </w:pPr>
            <w:r w:rsidRPr="00FE6221">
              <w:t>Sabiedrības informēšanas pasākumi nav veikti.</w:t>
            </w:r>
          </w:p>
        </w:tc>
      </w:tr>
      <w:tr w:rsidR="0060094C" w:rsidRPr="00FE6221" w:rsidTr="00DB2397">
        <w:trPr>
          <w:tblCellSpacing w:w="0" w:type="dxa"/>
        </w:trPr>
        <w:tc>
          <w:tcPr>
            <w:tcW w:w="3852"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4. Konsultācijas ar ekspertiem</w:t>
            </w:r>
          </w:p>
        </w:tc>
        <w:tc>
          <w:tcPr>
            <w:tcW w:w="5377"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CB5762">
            <w:pPr>
              <w:jc w:val="both"/>
            </w:pPr>
            <w:r w:rsidRPr="00FE6221">
              <w:t>Nav attiecināms.</w:t>
            </w:r>
          </w:p>
        </w:tc>
      </w:tr>
      <w:tr w:rsidR="0060094C" w:rsidRPr="00FE6221" w:rsidTr="00DB2397">
        <w:trPr>
          <w:tblCellSpacing w:w="0" w:type="dxa"/>
        </w:trPr>
        <w:tc>
          <w:tcPr>
            <w:tcW w:w="3852"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5. Cita informācija</w:t>
            </w:r>
          </w:p>
        </w:tc>
        <w:tc>
          <w:tcPr>
            <w:tcW w:w="5377"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C11563">
            <w:pPr>
              <w:pStyle w:val="naiskr"/>
              <w:jc w:val="both"/>
            </w:pPr>
            <w:r w:rsidRPr="00FE6221">
              <w:t>Izstrādājot Ministru kabineta noteikumu projektu tika izvērtēti un ņemti vērā zemesgrāmatu nodaļu tiesnešu iesniegtie priekšlikumi.</w:t>
            </w:r>
          </w:p>
        </w:tc>
      </w:tr>
      <w:tr w:rsidR="0060094C" w:rsidRPr="00FE6221" w:rsidTr="00084695">
        <w:trPr>
          <w:tblCellSpacing w:w="0" w:type="dxa"/>
        </w:trPr>
        <w:tc>
          <w:tcPr>
            <w:tcW w:w="9229" w:type="dxa"/>
            <w:gridSpan w:val="11"/>
            <w:tcBorders>
              <w:top w:val="outset" w:sz="6" w:space="0" w:color="auto"/>
              <w:left w:val="outset" w:sz="6" w:space="0" w:color="auto"/>
              <w:bottom w:val="outset" w:sz="6" w:space="0" w:color="auto"/>
              <w:right w:val="outset" w:sz="6" w:space="0" w:color="auto"/>
            </w:tcBorders>
          </w:tcPr>
          <w:p w:rsidR="0060094C" w:rsidRPr="00FE6221" w:rsidRDefault="0060094C" w:rsidP="00B22BE4">
            <w:pPr>
              <w:pStyle w:val="naisnod"/>
              <w:spacing w:before="0" w:beforeAutospacing="0" w:after="0" w:afterAutospacing="0"/>
              <w:jc w:val="center"/>
              <w:rPr>
                <w:b/>
                <w:bCs/>
              </w:rPr>
            </w:pPr>
            <w:r w:rsidRPr="00FE6221">
              <w:rPr>
                <w:b/>
                <w:bCs/>
              </w:rPr>
              <w:t>VII. Kā tiks nodrošināta normatīvā akta izpilde</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1. Kā tiks nodrošināta normatīvā akta izpilde no valsts un pašvaldību puses – vai tiek radītas jaunas valsts institūcijas vai paplašinātas esošo institūciju funkcijas</w:t>
            </w:r>
          </w:p>
        </w:tc>
        <w:tc>
          <w:tcPr>
            <w:tcW w:w="4951"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CB5762">
            <w:pPr>
              <w:pStyle w:val="naisf"/>
              <w:spacing w:before="0" w:beforeAutospacing="0" w:after="0" w:afterAutospacing="0"/>
              <w:jc w:val="both"/>
            </w:pPr>
            <w:r w:rsidRPr="00FE6221">
              <w:t xml:space="preserve">Jaunas valsts institūcijas netiek radītas. Tiesību akta izpilde notiks esošo valsts institūciju ietvaros. </w:t>
            </w:r>
            <w:r w:rsidR="00FC7789" w:rsidRPr="00FE6221">
              <w:t>Ar nekustamiem īpašumiem saistīto tiesību nostiprināšanu veic zemesgrāmatu nodaļas.  Zemesgrāmatu nodaļas zemesgrāmatā ieraksta visus nekustamos īpašumus un  nostiprina ar tiem saistītās tiesības. Zemesgrāmatas ir visiem pieejamas un to ierakstiem ir publiska ticamība.</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2. Kā sabiedrība tiks informēta par normatīvā akta ieviešanu</w:t>
            </w:r>
          </w:p>
        </w:tc>
        <w:tc>
          <w:tcPr>
            <w:tcW w:w="4951" w:type="dxa"/>
            <w:gridSpan w:val="5"/>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f"/>
              <w:spacing w:before="0" w:beforeAutospacing="0" w:after="0" w:afterAutospacing="0"/>
              <w:jc w:val="both"/>
            </w:pPr>
            <w:r w:rsidRPr="00FE6221">
              <w:t>Ministru kabineta noteikumu projekts pēc pieņemšanas tiks publicēts laikrakstā „Latvijas Vēstnesis” un periodiskajā izdevumā „Latvijas Republikas Saeimas un Ministru kabineta Ziņotājs”. Normatīvais akts tiks iekļauts Normatīvo aktu informācijas sistēmā (NAIS).</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3. Kā indivīds var aizstāvēt savas tiesības, ja normatīvais akts viņu ierobežo</w:t>
            </w:r>
          </w:p>
        </w:tc>
        <w:tc>
          <w:tcPr>
            <w:tcW w:w="4951" w:type="dxa"/>
            <w:gridSpan w:val="5"/>
            <w:tcBorders>
              <w:top w:val="outset" w:sz="6" w:space="0" w:color="auto"/>
              <w:left w:val="outset" w:sz="6" w:space="0" w:color="auto"/>
              <w:bottom w:val="outset" w:sz="6" w:space="0" w:color="auto"/>
              <w:right w:val="outset" w:sz="6" w:space="0" w:color="auto"/>
            </w:tcBorders>
          </w:tcPr>
          <w:p w:rsidR="0060094C" w:rsidRPr="00FE6221" w:rsidRDefault="00FC7789" w:rsidP="00CB5762">
            <w:pPr>
              <w:pStyle w:val="naisf"/>
              <w:spacing w:before="0" w:beforeAutospacing="0" w:after="0" w:afterAutospacing="0"/>
              <w:jc w:val="both"/>
            </w:pPr>
            <w:r w:rsidRPr="00FE6221">
              <w:t>Par katru nostiprinājuma lūgumu zemesgrāmatu nodaļas tiesnesis pieņem lēmumu, ar kuru nostiprinājuma līgumu apmierina vai atstāj to bez ievērības, vai apmierina daļēji. Saskaņā ar Zemesgrāmatu likuma 98. pantu, pārsūdzēt zemesgrāmatu nodaļas tiesneša lēmumu var Augstākās tiesas Civillietu tiesu palātai, ievērojot Civilprocesa likumā noteikto kārtību blakus sūdzību iesniegšanai.</w:t>
            </w:r>
          </w:p>
        </w:tc>
      </w:tr>
      <w:tr w:rsidR="0060094C" w:rsidRPr="00FE6221" w:rsidTr="00DB2397">
        <w:trPr>
          <w:tblCellSpacing w:w="0" w:type="dxa"/>
        </w:trPr>
        <w:tc>
          <w:tcPr>
            <w:tcW w:w="4278" w:type="dxa"/>
            <w:gridSpan w:val="6"/>
            <w:tcBorders>
              <w:top w:val="outset" w:sz="6" w:space="0" w:color="auto"/>
              <w:left w:val="outset" w:sz="6" w:space="0" w:color="auto"/>
              <w:bottom w:val="outset" w:sz="6" w:space="0" w:color="auto"/>
              <w:right w:val="outset" w:sz="6" w:space="0" w:color="auto"/>
            </w:tcBorders>
          </w:tcPr>
          <w:p w:rsidR="0060094C" w:rsidRPr="00FE6221" w:rsidRDefault="0060094C" w:rsidP="00A415E1">
            <w:pPr>
              <w:pStyle w:val="naiskr"/>
            </w:pPr>
            <w:r w:rsidRPr="00FE6221">
              <w:t> 4. Cita informācija</w:t>
            </w:r>
          </w:p>
        </w:tc>
        <w:tc>
          <w:tcPr>
            <w:tcW w:w="4951" w:type="dxa"/>
            <w:gridSpan w:val="5"/>
            <w:tcBorders>
              <w:top w:val="outset" w:sz="6" w:space="0" w:color="auto"/>
              <w:left w:val="outset" w:sz="6" w:space="0" w:color="auto"/>
              <w:bottom w:val="outset" w:sz="6" w:space="0" w:color="auto"/>
              <w:right w:val="outset" w:sz="6" w:space="0" w:color="auto"/>
            </w:tcBorders>
            <w:vAlign w:val="center"/>
          </w:tcPr>
          <w:p w:rsidR="0060094C" w:rsidRPr="00FE6221" w:rsidRDefault="0060094C" w:rsidP="00A415E1">
            <w:r w:rsidRPr="00FE6221">
              <w:t>Nav</w:t>
            </w:r>
          </w:p>
        </w:tc>
      </w:tr>
    </w:tbl>
    <w:p w:rsidR="003B3230" w:rsidRPr="00FE6221" w:rsidRDefault="003B3230" w:rsidP="00AD3E18"/>
    <w:p w:rsidR="00AD3E18" w:rsidRPr="00FE6221" w:rsidRDefault="00AD3E18" w:rsidP="00AD3E18">
      <w:r w:rsidRPr="00FE6221">
        <w:t>Tieslietu ministrs</w:t>
      </w:r>
      <w:r w:rsidRPr="00FE6221">
        <w:tab/>
      </w:r>
      <w:r w:rsidRPr="00FE6221">
        <w:tab/>
      </w:r>
      <w:r w:rsidRPr="00FE6221">
        <w:tab/>
      </w:r>
      <w:r w:rsidRPr="00FE6221">
        <w:tab/>
      </w:r>
      <w:r w:rsidRPr="00FE6221">
        <w:tab/>
      </w:r>
      <w:r w:rsidRPr="00FE6221">
        <w:tab/>
      </w:r>
      <w:r w:rsidRPr="00FE6221">
        <w:tab/>
      </w:r>
      <w:r w:rsidRPr="00FE6221">
        <w:tab/>
      </w:r>
      <w:r w:rsidRPr="00FE6221">
        <w:tab/>
      </w:r>
      <w:r w:rsidR="00E3300E" w:rsidRPr="00FE6221">
        <w:t>M. </w:t>
      </w:r>
      <w:r w:rsidR="00CB5762" w:rsidRPr="00FE6221">
        <w:t>Segliņš</w:t>
      </w:r>
    </w:p>
    <w:p w:rsidR="003B3230" w:rsidRPr="00FE6221" w:rsidRDefault="003B3230" w:rsidP="00AD3E18"/>
    <w:p w:rsidR="00CC0DC6" w:rsidRPr="00FE6221" w:rsidRDefault="00E3300E" w:rsidP="00CC0DC6">
      <w:pPr>
        <w:pStyle w:val="BodyTextIndent"/>
        <w:ind w:left="0"/>
      </w:pPr>
      <w:r w:rsidRPr="00FE6221">
        <w:t>Vīza: Valsts sekretārs</w:t>
      </w:r>
      <w:r w:rsidRPr="00FE6221">
        <w:tab/>
      </w:r>
      <w:r w:rsidRPr="00FE6221">
        <w:tab/>
      </w:r>
      <w:r w:rsidRPr="00FE6221">
        <w:tab/>
      </w:r>
      <w:r w:rsidR="00CC0DC6" w:rsidRPr="00FE6221">
        <w:tab/>
      </w:r>
      <w:r w:rsidR="00CC0DC6" w:rsidRPr="00FE6221">
        <w:tab/>
      </w:r>
      <w:r w:rsidR="00CC0DC6" w:rsidRPr="00FE6221">
        <w:tab/>
      </w:r>
      <w:r w:rsidR="00CC0DC6" w:rsidRPr="00FE6221">
        <w:tab/>
      </w:r>
      <w:r w:rsidR="008F26BD">
        <w:tab/>
      </w:r>
      <w:r w:rsidR="008F26BD">
        <w:tab/>
      </w:r>
      <w:r w:rsidR="00CC0DC6" w:rsidRPr="00FE6221">
        <w:t>M. </w:t>
      </w:r>
      <w:proofErr w:type="spellStart"/>
      <w:r w:rsidR="00CC0DC6" w:rsidRPr="00FE6221">
        <w:t>Lazdovskis</w:t>
      </w:r>
      <w:proofErr w:type="spellEnd"/>
    </w:p>
    <w:p w:rsidR="00CB5762" w:rsidRPr="00FE6221" w:rsidRDefault="00CB5762" w:rsidP="00AD3E18"/>
    <w:p w:rsidR="00E3300E" w:rsidRDefault="00E3300E" w:rsidP="00AD3E18"/>
    <w:p w:rsidR="0029426A" w:rsidRDefault="0029426A" w:rsidP="00AD3E18"/>
    <w:p w:rsidR="0029426A" w:rsidRDefault="0029426A" w:rsidP="00AD3E18"/>
    <w:p w:rsidR="001D6622" w:rsidRPr="00CA03AF" w:rsidRDefault="003911BC" w:rsidP="00823592">
      <w:pPr>
        <w:tabs>
          <w:tab w:val="left" w:pos="2011"/>
        </w:tabs>
        <w:rPr>
          <w:sz w:val="20"/>
          <w:szCs w:val="20"/>
        </w:rPr>
      </w:pPr>
      <w:r w:rsidRPr="00CA03AF">
        <w:rPr>
          <w:sz w:val="20"/>
          <w:szCs w:val="20"/>
        </w:rPr>
        <w:t>1</w:t>
      </w:r>
      <w:r w:rsidR="00470E51">
        <w:rPr>
          <w:sz w:val="20"/>
          <w:szCs w:val="20"/>
        </w:rPr>
        <w:t xml:space="preserve">9.10.2009. </w:t>
      </w:r>
      <w:r w:rsidR="00730C25">
        <w:rPr>
          <w:sz w:val="20"/>
          <w:szCs w:val="20"/>
        </w:rPr>
        <w:t>17:</w:t>
      </w:r>
      <w:r w:rsidR="003A4F9E">
        <w:rPr>
          <w:sz w:val="20"/>
          <w:szCs w:val="20"/>
        </w:rPr>
        <w:t>21</w:t>
      </w:r>
      <w:r w:rsidR="00823592">
        <w:rPr>
          <w:sz w:val="20"/>
          <w:szCs w:val="20"/>
        </w:rPr>
        <w:tab/>
      </w:r>
    </w:p>
    <w:p w:rsidR="001734E9" w:rsidRPr="00CA03AF" w:rsidRDefault="0079133B" w:rsidP="00C11563">
      <w:pPr>
        <w:rPr>
          <w:sz w:val="20"/>
          <w:szCs w:val="20"/>
        </w:rPr>
      </w:pPr>
      <w:fldSimple w:instr=" NUMWORDS   \* MERGEFORMAT ">
        <w:r w:rsidR="003A4F9E" w:rsidRPr="003A4F9E">
          <w:rPr>
            <w:noProof/>
            <w:sz w:val="20"/>
            <w:szCs w:val="20"/>
          </w:rPr>
          <w:t>2945</w:t>
        </w:r>
      </w:fldSimple>
    </w:p>
    <w:p w:rsidR="00AD3E18" w:rsidRPr="00CA03AF" w:rsidRDefault="00CA03AF" w:rsidP="00AD3E18">
      <w:pPr>
        <w:rPr>
          <w:sz w:val="20"/>
          <w:szCs w:val="20"/>
        </w:rPr>
      </w:pPr>
      <w:r w:rsidRPr="00CA03AF">
        <w:rPr>
          <w:sz w:val="20"/>
          <w:szCs w:val="20"/>
        </w:rPr>
        <w:t>Miļevska</w:t>
      </w:r>
    </w:p>
    <w:p w:rsidR="00AC1384" w:rsidRPr="00CA03AF" w:rsidRDefault="00CA03AF" w:rsidP="00E77F6B">
      <w:pPr>
        <w:rPr>
          <w:sz w:val="20"/>
          <w:szCs w:val="20"/>
        </w:rPr>
      </w:pPr>
      <w:r w:rsidRPr="00CA03AF">
        <w:rPr>
          <w:sz w:val="20"/>
          <w:szCs w:val="20"/>
        </w:rPr>
        <w:t>67036813</w:t>
      </w:r>
      <w:r w:rsidR="00AD3E18" w:rsidRPr="00CA03AF">
        <w:rPr>
          <w:sz w:val="20"/>
          <w:szCs w:val="20"/>
        </w:rPr>
        <w:t xml:space="preserve">, </w:t>
      </w:r>
      <w:r w:rsidRPr="00CA03AF">
        <w:rPr>
          <w:sz w:val="20"/>
          <w:szCs w:val="20"/>
        </w:rPr>
        <w:t>Kristine</w:t>
      </w:r>
      <w:r w:rsidR="00AD3E18" w:rsidRPr="00CA03AF">
        <w:rPr>
          <w:sz w:val="20"/>
          <w:szCs w:val="20"/>
        </w:rPr>
        <w:t>.</w:t>
      </w:r>
      <w:r w:rsidRPr="00CA03AF">
        <w:rPr>
          <w:sz w:val="20"/>
          <w:szCs w:val="20"/>
        </w:rPr>
        <w:t>Milevska</w:t>
      </w:r>
      <w:r w:rsidR="00AD3E18" w:rsidRPr="00CA03AF">
        <w:rPr>
          <w:sz w:val="20"/>
          <w:szCs w:val="20"/>
        </w:rPr>
        <w:t>@tm.gov.lv</w:t>
      </w:r>
    </w:p>
    <w:sectPr w:rsidR="00AC1384" w:rsidRPr="00CA03AF" w:rsidSect="00084695">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EE" w:rsidRDefault="003035EE" w:rsidP="00AD3E18">
      <w:r>
        <w:separator/>
      </w:r>
    </w:p>
  </w:endnote>
  <w:endnote w:type="continuationSeparator" w:id="0">
    <w:p w:rsidR="003035EE" w:rsidRDefault="003035EE" w:rsidP="00AD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EE" w:rsidRPr="009004CC" w:rsidRDefault="00470E51" w:rsidP="000F6245">
    <w:pPr>
      <w:pStyle w:val="Footer"/>
      <w:jc w:val="both"/>
      <w:rPr>
        <w:sz w:val="20"/>
        <w:szCs w:val="20"/>
      </w:rPr>
    </w:pPr>
    <w:r>
      <w:rPr>
        <w:sz w:val="20"/>
        <w:szCs w:val="20"/>
      </w:rPr>
      <w:t>TMAnot_19</w:t>
    </w:r>
    <w:r w:rsidR="003035EE">
      <w:rPr>
        <w:sz w:val="20"/>
        <w:szCs w:val="20"/>
      </w:rPr>
      <w:t>1009</w:t>
    </w:r>
    <w:r w:rsidR="003035EE" w:rsidRPr="00AD3E18">
      <w:rPr>
        <w:sz w:val="20"/>
        <w:szCs w:val="20"/>
      </w:rPr>
      <w:t>_</w:t>
    </w:r>
    <w:r w:rsidR="003035EE">
      <w:rPr>
        <w:sz w:val="20"/>
        <w:szCs w:val="20"/>
      </w:rPr>
      <w:t>valsts_nodeva</w:t>
    </w:r>
    <w:r w:rsidR="003035EE" w:rsidRPr="00AD3E18">
      <w:rPr>
        <w:sz w:val="20"/>
        <w:szCs w:val="20"/>
      </w:rPr>
      <w:t xml:space="preserve">; </w:t>
    </w:r>
    <w:r w:rsidR="003035EE">
      <w:rPr>
        <w:sz w:val="20"/>
        <w:szCs w:val="20"/>
      </w:rPr>
      <w:t>Ministru kabineta noteikumu projekta „Noteikumi par valsts nodevu par īpašuma tiesību un ķīlas tiesību nostiprināšanu zemesgrāmatā”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EE" w:rsidRPr="00AD3E18" w:rsidRDefault="00CA3983" w:rsidP="000F6245">
    <w:pPr>
      <w:pStyle w:val="Footer"/>
      <w:jc w:val="both"/>
      <w:rPr>
        <w:sz w:val="20"/>
        <w:szCs w:val="20"/>
      </w:rPr>
    </w:pPr>
    <w:r>
      <w:rPr>
        <w:sz w:val="20"/>
        <w:szCs w:val="20"/>
      </w:rPr>
      <w:t>TMAnot_1</w:t>
    </w:r>
    <w:r w:rsidR="00470E51">
      <w:rPr>
        <w:sz w:val="20"/>
        <w:szCs w:val="20"/>
      </w:rPr>
      <w:t>9</w:t>
    </w:r>
    <w:r w:rsidR="003035EE">
      <w:rPr>
        <w:sz w:val="20"/>
        <w:szCs w:val="20"/>
      </w:rPr>
      <w:t>1009</w:t>
    </w:r>
    <w:r w:rsidR="003035EE" w:rsidRPr="00AD3E18">
      <w:rPr>
        <w:sz w:val="20"/>
        <w:szCs w:val="20"/>
      </w:rPr>
      <w:t>_</w:t>
    </w:r>
    <w:r w:rsidR="003035EE">
      <w:rPr>
        <w:sz w:val="20"/>
        <w:szCs w:val="20"/>
      </w:rPr>
      <w:t>valsts_nodeva</w:t>
    </w:r>
    <w:r w:rsidR="003035EE" w:rsidRPr="00AD3E18">
      <w:rPr>
        <w:sz w:val="20"/>
        <w:szCs w:val="20"/>
      </w:rPr>
      <w:t xml:space="preserve">; </w:t>
    </w:r>
    <w:r w:rsidR="003035EE">
      <w:rPr>
        <w:sz w:val="20"/>
        <w:szCs w:val="20"/>
      </w:rPr>
      <w:t>Ministru kabineta noteikumu projekta „Noteikumi par valsts nodevu par īpašuma tiesību un ķīlas tiesību nostiprināšanu zemesgrāmatā”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EE" w:rsidRDefault="003035EE" w:rsidP="00AD3E18">
      <w:r>
        <w:separator/>
      </w:r>
    </w:p>
  </w:footnote>
  <w:footnote w:type="continuationSeparator" w:id="0">
    <w:p w:rsidR="003035EE" w:rsidRDefault="003035EE" w:rsidP="00AD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EE" w:rsidRDefault="0079133B" w:rsidP="00947716">
    <w:pPr>
      <w:pStyle w:val="Header"/>
      <w:jc w:val="center"/>
    </w:pPr>
    <w:fldSimple w:instr=" PAGE   \* MERGEFORMAT ">
      <w:r w:rsidR="003A4F9E">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5BD"/>
    <w:multiLevelType w:val="hybridMultilevel"/>
    <w:tmpl w:val="077A3C76"/>
    <w:lvl w:ilvl="0" w:tplc="1CF2D34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45952385"/>
    <w:multiLevelType w:val="hybridMultilevel"/>
    <w:tmpl w:val="6F4E5F66"/>
    <w:lvl w:ilvl="0" w:tplc="DDA474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6C763C10"/>
    <w:multiLevelType w:val="hybridMultilevel"/>
    <w:tmpl w:val="02281774"/>
    <w:lvl w:ilvl="0" w:tplc="C522278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
    <w:nsid w:val="75AB753D"/>
    <w:multiLevelType w:val="hybridMultilevel"/>
    <w:tmpl w:val="57ACB360"/>
    <w:lvl w:ilvl="0" w:tplc="72DE2E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AF27DD"/>
    <w:rsid w:val="00003747"/>
    <w:rsid w:val="000052F2"/>
    <w:rsid w:val="00027103"/>
    <w:rsid w:val="000503EB"/>
    <w:rsid w:val="00067940"/>
    <w:rsid w:val="0007139E"/>
    <w:rsid w:val="000741CF"/>
    <w:rsid w:val="00083EEE"/>
    <w:rsid w:val="00084695"/>
    <w:rsid w:val="000A036A"/>
    <w:rsid w:val="000A56EC"/>
    <w:rsid w:val="000C02D4"/>
    <w:rsid w:val="000C586D"/>
    <w:rsid w:val="000D6F89"/>
    <w:rsid w:val="000F6245"/>
    <w:rsid w:val="000F7E1C"/>
    <w:rsid w:val="0010657C"/>
    <w:rsid w:val="001110E1"/>
    <w:rsid w:val="00124468"/>
    <w:rsid w:val="00126F1E"/>
    <w:rsid w:val="00127956"/>
    <w:rsid w:val="001368D4"/>
    <w:rsid w:val="00144A24"/>
    <w:rsid w:val="00145348"/>
    <w:rsid w:val="001508C7"/>
    <w:rsid w:val="00155E12"/>
    <w:rsid w:val="00162150"/>
    <w:rsid w:val="001734E9"/>
    <w:rsid w:val="00190892"/>
    <w:rsid w:val="00193CC4"/>
    <w:rsid w:val="001A661D"/>
    <w:rsid w:val="001B3102"/>
    <w:rsid w:val="001D18A2"/>
    <w:rsid w:val="001D48B6"/>
    <w:rsid w:val="001D6622"/>
    <w:rsid w:val="001E2DF3"/>
    <w:rsid w:val="001F07A1"/>
    <w:rsid w:val="001F0A07"/>
    <w:rsid w:val="001F75BB"/>
    <w:rsid w:val="00203212"/>
    <w:rsid w:val="00214363"/>
    <w:rsid w:val="00214DFC"/>
    <w:rsid w:val="00217658"/>
    <w:rsid w:val="0024207D"/>
    <w:rsid w:val="00242557"/>
    <w:rsid w:val="00242D57"/>
    <w:rsid w:val="00252FB9"/>
    <w:rsid w:val="00263C2A"/>
    <w:rsid w:val="00270B69"/>
    <w:rsid w:val="00277F7A"/>
    <w:rsid w:val="00282DB7"/>
    <w:rsid w:val="00293ED0"/>
    <w:rsid w:val="0029426A"/>
    <w:rsid w:val="002A6CFE"/>
    <w:rsid w:val="002B1524"/>
    <w:rsid w:val="002B22A5"/>
    <w:rsid w:val="002B2A76"/>
    <w:rsid w:val="002B47B9"/>
    <w:rsid w:val="002B4EED"/>
    <w:rsid w:val="002B79CD"/>
    <w:rsid w:val="002C6627"/>
    <w:rsid w:val="002E2E7A"/>
    <w:rsid w:val="003035EE"/>
    <w:rsid w:val="00317D82"/>
    <w:rsid w:val="00335CD9"/>
    <w:rsid w:val="00340223"/>
    <w:rsid w:val="00350731"/>
    <w:rsid w:val="00371B3C"/>
    <w:rsid w:val="00384D3D"/>
    <w:rsid w:val="00387E98"/>
    <w:rsid w:val="003911BC"/>
    <w:rsid w:val="003A442B"/>
    <w:rsid w:val="003A4F9E"/>
    <w:rsid w:val="003B3230"/>
    <w:rsid w:val="003C090F"/>
    <w:rsid w:val="003C34C0"/>
    <w:rsid w:val="003C7AE6"/>
    <w:rsid w:val="003D063C"/>
    <w:rsid w:val="003E1B40"/>
    <w:rsid w:val="003F0153"/>
    <w:rsid w:val="00400E85"/>
    <w:rsid w:val="004150AA"/>
    <w:rsid w:val="004300B1"/>
    <w:rsid w:val="00470E51"/>
    <w:rsid w:val="00473EA2"/>
    <w:rsid w:val="00474247"/>
    <w:rsid w:val="00480E30"/>
    <w:rsid w:val="00481186"/>
    <w:rsid w:val="00484286"/>
    <w:rsid w:val="004A4F10"/>
    <w:rsid w:val="004B2322"/>
    <w:rsid w:val="004B3EAF"/>
    <w:rsid w:val="004B5F9C"/>
    <w:rsid w:val="004C2049"/>
    <w:rsid w:val="004E23AE"/>
    <w:rsid w:val="004E2D67"/>
    <w:rsid w:val="004F2A37"/>
    <w:rsid w:val="004F50DE"/>
    <w:rsid w:val="00503FEB"/>
    <w:rsid w:val="0051146F"/>
    <w:rsid w:val="00515850"/>
    <w:rsid w:val="005316D2"/>
    <w:rsid w:val="00547443"/>
    <w:rsid w:val="00550E5A"/>
    <w:rsid w:val="005A4060"/>
    <w:rsid w:val="005B62C4"/>
    <w:rsid w:val="005B638F"/>
    <w:rsid w:val="005C181C"/>
    <w:rsid w:val="005E234E"/>
    <w:rsid w:val="005E6EF1"/>
    <w:rsid w:val="005E7591"/>
    <w:rsid w:val="005F2404"/>
    <w:rsid w:val="005F4631"/>
    <w:rsid w:val="0060094C"/>
    <w:rsid w:val="00613019"/>
    <w:rsid w:val="006174EF"/>
    <w:rsid w:val="006208A9"/>
    <w:rsid w:val="006244AC"/>
    <w:rsid w:val="00656E35"/>
    <w:rsid w:val="00662426"/>
    <w:rsid w:val="0067591B"/>
    <w:rsid w:val="00693DF7"/>
    <w:rsid w:val="006B2E50"/>
    <w:rsid w:val="006F0B32"/>
    <w:rsid w:val="006F3AC1"/>
    <w:rsid w:val="007017B4"/>
    <w:rsid w:val="007030B4"/>
    <w:rsid w:val="007100A0"/>
    <w:rsid w:val="0072490C"/>
    <w:rsid w:val="00727A61"/>
    <w:rsid w:val="00730C25"/>
    <w:rsid w:val="00731D3E"/>
    <w:rsid w:val="00740052"/>
    <w:rsid w:val="007520B0"/>
    <w:rsid w:val="0075233D"/>
    <w:rsid w:val="00752A39"/>
    <w:rsid w:val="00762BFF"/>
    <w:rsid w:val="00763C4B"/>
    <w:rsid w:val="0079133B"/>
    <w:rsid w:val="007926CF"/>
    <w:rsid w:val="007A5150"/>
    <w:rsid w:val="007A5971"/>
    <w:rsid w:val="007B1364"/>
    <w:rsid w:val="007B45B0"/>
    <w:rsid w:val="007B5172"/>
    <w:rsid w:val="007C0E46"/>
    <w:rsid w:val="007D112C"/>
    <w:rsid w:val="00812A80"/>
    <w:rsid w:val="0081530D"/>
    <w:rsid w:val="00823592"/>
    <w:rsid w:val="00824535"/>
    <w:rsid w:val="008362CE"/>
    <w:rsid w:val="00844CB4"/>
    <w:rsid w:val="00860724"/>
    <w:rsid w:val="00862F87"/>
    <w:rsid w:val="008657C6"/>
    <w:rsid w:val="008A01F5"/>
    <w:rsid w:val="008A1D24"/>
    <w:rsid w:val="008A33D8"/>
    <w:rsid w:val="008A6643"/>
    <w:rsid w:val="008A6756"/>
    <w:rsid w:val="008B0401"/>
    <w:rsid w:val="008B1E85"/>
    <w:rsid w:val="008D0956"/>
    <w:rsid w:val="008D367B"/>
    <w:rsid w:val="008E0166"/>
    <w:rsid w:val="008F26BD"/>
    <w:rsid w:val="008F6988"/>
    <w:rsid w:val="008F6F86"/>
    <w:rsid w:val="008F70A1"/>
    <w:rsid w:val="009004CC"/>
    <w:rsid w:val="0090234E"/>
    <w:rsid w:val="00903B44"/>
    <w:rsid w:val="009122E4"/>
    <w:rsid w:val="00925A2C"/>
    <w:rsid w:val="009261F6"/>
    <w:rsid w:val="00947716"/>
    <w:rsid w:val="00952C1D"/>
    <w:rsid w:val="00957552"/>
    <w:rsid w:val="00966F0D"/>
    <w:rsid w:val="00976F93"/>
    <w:rsid w:val="00984981"/>
    <w:rsid w:val="009A5BDB"/>
    <w:rsid w:val="009A6AD5"/>
    <w:rsid w:val="009B7BFE"/>
    <w:rsid w:val="009C0ADC"/>
    <w:rsid w:val="009C7856"/>
    <w:rsid w:val="009E0391"/>
    <w:rsid w:val="009E3404"/>
    <w:rsid w:val="009F003B"/>
    <w:rsid w:val="009F04FC"/>
    <w:rsid w:val="00A11427"/>
    <w:rsid w:val="00A20E4B"/>
    <w:rsid w:val="00A35EEF"/>
    <w:rsid w:val="00A415E1"/>
    <w:rsid w:val="00A450E4"/>
    <w:rsid w:val="00A507E0"/>
    <w:rsid w:val="00A5098A"/>
    <w:rsid w:val="00A5276F"/>
    <w:rsid w:val="00A53217"/>
    <w:rsid w:val="00A61617"/>
    <w:rsid w:val="00A92AA6"/>
    <w:rsid w:val="00A94AD4"/>
    <w:rsid w:val="00AB1A6A"/>
    <w:rsid w:val="00AB1B86"/>
    <w:rsid w:val="00AB693E"/>
    <w:rsid w:val="00AB6E48"/>
    <w:rsid w:val="00AB7B66"/>
    <w:rsid w:val="00AC1384"/>
    <w:rsid w:val="00AC3396"/>
    <w:rsid w:val="00AD3E18"/>
    <w:rsid w:val="00AD5767"/>
    <w:rsid w:val="00AF27DD"/>
    <w:rsid w:val="00AF2AA6"/>
    <w:rsid w:val="00AF6582"/>
    <w:rsid w:val="00B11A0A"/>
    <w:rsid w:val="00B22BE4"/>
    <w:rsid w:val="00B2625F"/>
    <w:rsid w:val="00B27799"/>
    <w:rsid w:val="00B313AE"/>
    <w:rsid w:val="00B35A7C"/>
    <w:rsid w:val="00B3689C"/>
    <w:rsid w:val="00B36BBE"/>
    <w:rsid w:val="00B4100C"/>
    <w:rsid w:val="00B5020F"/>
    <w:rsid w:val="00B55A17"/>
    <w:rsid w:val="00B56F20"/>
    <w:rsid w:val="00B6292F"/>
    <w:rsid w:val="00B63CF8"/>
    <w:rsid w:val="00B77342"/>
    <w:rsid w:val="00B77FCC"/>
    <w:rsid w:val="00BA3567"/>
    <w:rsid w:val="00BA4878"/>
    <w:rsid w:val="00BA6DD8"/>
    <w:rsid w:val="00BB2DD8"/>
    <w:rsid w:val="00BB39CB"/>
    <w:rsid w:val="00BB3CE8"/>
    <w:rsid w:val="00BB568C"/>
    <w:rsid w:val="00BB696C"/>
    <w:rsid w:val="00BC10FB"/>
    <w:rsid w:val="00BC460B"/>
    <w:rsid w:val="00BD193B"/>
    <w:rsid w:val="00C00092"/>
    <w:rsid w:val="00C0287A"/>
    <w:rsid w:val="00C11563"/>
    <w:rsid w:val="00C12C70"/>
    <w:rsid w:val="00C13CB0"/>
    <w:rsid w:val="00C17963"/>
    <w:rsid w:val="00C3149B"/>
    <w:rsid w:val="00C4017D"/>
    <w:rsid w:val="00C560DA"/>
    <w:rsid w:val="00C62248"/>
    <w:rsid w:val="00C64505"/>
    <w:rsid w:val="00C74E7C"/>
    <w:rsid w:val="00C75646"/>
    <w:rsid w:val="00C75E26"/>
    <w:rsid w:val="00C94A44"/>
    <w:rsid w:val="00CA03AF"/>
    <w:rsid w:val="00CA3983"/>
    <w:rsid w:val="00CB5762"/>
    <w:rsid w:val="00CB7E37"/>
    <w:rsid w:val="00CC0DC6"/>
    <w:rsid w:val="00CE07DF"/>
    <w:rsid w:val="00CE37A1"/>
    <w:rsid w:val="00D20F90"/>
    <w:rsid w:val="00D502BC"/>
    <w:rsid w:val="00D51C32"/>
    <w:rsid w:val="00D621B5"/>
    <w:rsid w:val="00D666AD"/>
    <w:rsid w:val="00D94ECA"/>
    <w:rsid w:val="00D94FDA"/>
    <w:rsid w:val="00D95196"/>
    <w:rsid w:val="00DA26A0"/>
    <w:rsid w:val="00DA3A39"/>
    <w:rsid w:val="00DA60BC"/>
    <w:rsid w:val="00DA6190"/>
    <w:rsid w:val="00DB2397"/>
    <w:rsid w:val="00DB5E9D"/>
    <w:rsid w:val="00DB6C1A"/>
    <w:rsid w:val="00DD151E"/>
    <w:rsid w:val="00E2017D"/>
    <w:rsid w:val="00E20A31"/>
    <w:rsid w:val="00E24F0D"/>
    <w:rsid w:val="00E3300E"/>
    <w:rsid w:val="00E51827"/>
    <w:rsid w:val="00E51AFF"/>
    <w:rsid w:val="00E77F6B"/>
    <w:rsid w:val="00E805E2"/>
    <w:rsid w:val="00EA47E8"/>
    <w:rsid w:val="00ED4910"/>
    <w:rsid w:val="00ED4B6F"/>
    <w:rsid w:val="00F04D11"/>
    <w:rsid w:val="00F07297"/>
    <w:rsid w:val="00F11CCE"/>
    <w:rsid w:val="00F14683"/>
    <w:rsid w:val="00F14E2E"/>
    <w:rsid w:val="00F375F8"/>
    <w:rsid w:val="00F42B76"/>
    <w:rsid w:val="00F6149C"/>
    <w:rsid w:val="00F91A32"/>
    <w:rsid w:val="00FC7789"/>
    <w:rsid w:val="00FD2D1D"/>
    <w:rsid w:val="00FD5942"/>
    <w:rsid w:val="00FD6036"/>
    <w:rsid w:val="00FE61B7"/>
    <w:rsid w:val="00FE6221"/>
    <w:rsid w:val="00FF0D96"/>
    <w:rsid w:val="00FF2C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2">
    <w:name w:val="heading 2"/>
    <w:basedOn w:val="Normal"/>
    <w:link w:val="Heading2Char"/>
    <w:qFormat/>
    <w:rsid w:val="00AD3E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NormalWeb">
    <w:name w:val="Normal (Web)"/>
    <w:basedOn w:val="Normal"/>
    <w:rsid w:val="0072490C"/>
    <w:pPr>
      <w:spacing w:before="100" w:beforeAutospacing="1" w:after="100" w:afterAutospacing="1"/>
    </w:pPr>
  </w:style>
  <w:style w:type="paragraph" w:customStyle="1" w:styleId="normalligums">
    <w:name w:val="normalligums"/>
    <w:basedOn w:val="Normal"/>
    <w:rsid w:val="00AD3E18"/>
    <w:pPr>
      <w:spacing w:before="100" w:beforeAutospacing="1" w:after="100" w:afterAutospacing="1"/>
    </w:pPr>
  </w:style>
  <w:style w:type="character" w:styleId="Hyperlink">
    <w:name w:val="Hyperlink"/>
    <w:basedOn w:val="DefaultParagraphFont"/>
    <w:rsid w:val="00AD3E18"/>
    <w:rPr>
      <w:color w:val="0000FF"/>
      <w:u w:val="single"/>
    </w:rPr>
  </w:style>
  <w:style w:type="character" w:customStyle="1" w:styleId="Heading2Char">
    <w:name w:val="Heading 2 Char"/>
    <w:basedOn w:val="DefaultParagraphFont"/>
    <w:link w:val="Heading2"/>
    <w:rsid w:val="00AD3E18"/>
    <w:rPr>
      <w:rFonts w:ascii="Times New Roman" w:eastAsia="Times New Roman" w:hAnsi="Times New Roman" w:cs="Times New Roman"/>
      <w:b/>
      <w:bCs/>
      <w:sz w:val="36"/>
      <w:szCs w:val="36"/>
      <w:lang w:eastAsia="lv-LV"/>
    </w:rPr>
  </w:style>
  <w:style w:type="paragraph" w:customStyle="1" w:styleId="parastaisweb">
    <w:name w:val="parastaisweb"/>
    <w:basedOn w:val="Normal"/>
    <w:rsid w:val="00AD3E18"/>
    <w:pPr>
      <w:spacing w:before="100" w:beforeAutospacing="1" w:after="100" w:afterAutospacing="1"/>
    </w:pPr>
  </w:style>
  <w:style w:type="paragraph" w:styleId="Header">
    <w:name w:val="header"/>
    <w:basedOn w:val="Normal"/>
    <w:link w:val="HeaderChar"/>
    <w:uiPriority w:val="99"/>
    <w:unhideWhenUsed/>
    <w:rsid w:val="00AD3E18"/>
    <w:pPr>
      <w:tabs>
        <w:tab w:val="center" w:pos="4153"/>
        <w:tab w:val="right" w:pos="8306"/>
      </w:tabs>
    </w:pPr>
  </w:style>
  <w:style w:type="character" w:customStyle="1" w:styleId="HeaderChar">
    <w:name w:val="Header Char"/>
    <w:basedOn w:val="DefaultParagraphFont"/>
    <w:link w:val="Header"/>
    <w:uiPriority w:val="99"/>
    <w:rsid w:val="00AD3E1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D3E18"/>
    <w:pPr>
      <w:tabs>
        <w:tab w:val="center" w:pos="4153"/>
        <w:tab w:val="right" w:pos="8306"/>
      </w:tabs>
    </w:pPr>
  </w:style>
  <w:style w:type="character" w:customStyle="1" w:styleId="FooterChar">
    <w:name w:val="Footer Char"/>
    <w:basedOn w:val="DefaultParagraphFont"/>
    <w:link w:val="Footer"/>
    <w:uiPriority w:val="99"/>
    <w:rsid w:val="00AD3E18"/>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F14E2E"/>
    <w:pPr>
      <w:spacing w:after="120"/>
      <w:ind w:left="283"/>
    </w:pPr>
    <w:rPr>
      <w:lang w:eastAsia="en-US"/>
    </w:rPr>
  </w:style>
  <w:style w:type="character" w:customStyle="1" w:styleId="BodyTextIndentChar">
    <w:name w:val="Body Text Indent Char"/>
    <w:basedOn w:val="DefaultParagraphFont"/>
    <w:link w:val="BodyTextIndent"/>
    <w:rsid w:val="00F14E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0FB"/>
    <w:rPr>
      <w:rFonts w:ascii="Tahoma" w:hAnsi="Tahoma" w:cs="Tahoma"/>
      <w:sz w:val="16"/>
      <w:szCs w:val="16"/>
    </w:rPr>
  </w:style>
  <w:style w:type="character" w:customStyle="1" w:styleId="BalloonTextChar">
    <w:name w:val="Balloon Text Char"/>
    <w:basedOn w:val="DefaultParagraphFont"/>
    <w:link w:val="BalloonText"/>
    <w:uiPriority w:val="99"/>
    <w:semiHidden/>
    <w:rsid w:val="00BC10FB"/>
    <w:rPr>
      <w:rFonts w:ascii="Tahoma" w:eastAsia="Times New Roman" w:hAnsi="Tahoma" w:cs="Tahoma"/>
      <w:sz w:val="16"/>
      <w:szCs w:val="16"/>
      <w:lang w:eastAsia="lv-LV"/>
    </w:rPr>
  </w:style>
  <w:style w:type="character" w:styleId="CommentReference">
    <w:name w:val="annotation reference"/>
    <w:basedOn w:val="DefaultParagraphFont"/>
    <w:semiHidden/>
    <w:unhideWhenUsed/>
    <w:rsid w:val="00AB6E48"/>
    <w:rPr>
      <w:sz w:val="16"/>
      <w:szCs w:val="16"/>
    </w:rPr>
  </w:style>
  <w:style w:type="paragraph" w:styleId="CommentText">
    <w:name w:val="annotation text"/>
    <w:basedOn w:val="Normal"/>
    <w:link w:val="CommentTextChar"/>
    <w:semiHidden/>
    <w:unhideWhenUsed/>
    <w:rsid w:val="00AB6E48"/>
    <w:rPr>
      <w:sz w:val="20"/>
      <w:szCs w:val="20"/>
    </w:rPr>
  </w:style>
  <w:style w:type="character" w:customStyle="1" w:styleId="CommentTextChar">
    <w:name w:val="Comment Text Char"/>
    <w:basedOn w:val="DefaultParagraphFont"/>
    <w:link w:val="CommentText"/>
    <w:semiHidden/>
    <w:rsid w:val="00AB6E4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6E48"/>
    <w:rPr>
      <w:b/>
      <w:bCs/>
    </w:rPr>
  </w:style>
  <w:style w:type="character" w:customStyle="1" w:styleId="CommentSubjectChar">
    <w:name w:val="Comment Subject Char"/>
    <w:basedOn w:val="CommentTextChar"/>
    <w:link w:val="CommentSubject"/>
    <w:uiPriority w:val="99"/>
    <w:semiHidden/>
    <w:rsid w:val="00AB6E48"/>
    <w:rPr>
      <w:b/>
      <w:bCs/>
    </w:rPr>
  </w:style>
  <w:style w:type="paragraph" w:styleId="BodyText">
    <w:name w:val="Body Text"/>
    <w:basedOn w:val="Normal"/>
    <w:link w:val="BodyTextChar"/>
    <w:uiPriority w:val="99"/>
    <w:unhideWhenUsed/>
    <w:rsid w:val="00155E12"/>
    <w:pPr>
      <w:spacing w:after="120"/>
    </w:pPr>
  </w:style>
  <w:style w:type="character" w:customStyle="1" w:styleId="BodyTextChar">
    <w:name w:val="Body Text Char"/>
    <w:basedOn w:val="DefaultParagraphFont"/>
    <w:link w:val="BodyText"/>
    <w:uiPriority w:val="99"/>
    <w:rsid w:val="00155E12"/>
    <w:rPr>
      <w:rFonts w:ascii="Times New Roman" w:eastAsia="Times New Roman" w:hAnsi="Times New Roman" w:cs="Times New Roman"/>
      <w:sz w:val="24"/>
      <w:szCs w:val="24"/>
    </w:rPr>
  </w:style>
  <w:style w:type="paragraph" w:styleId="Revision">
    <w:name w:val="Revision"/>
    <w:hidden/>
    <w:uiPriority w:val="99"/>
    <w:semiHidden/>
    <w:rsid w:val="005F4631"/>
    <w:rPr>
      <w:rFonts w:ascii="Times New Roman" w:eastAsia="Times New Roman" w:hAnsi="Times New Roman" w:cs="Times New Roman"/>
      <w:sz w:val="24"/>
      <w:szCs w:val="24"/>
    </w:rPr>
  </w:style>
  <w:style w:type="paragraph" w:styleId="NoSpacing">
    <w:name w:val="No Spacing"/>
    <w:uiPriority w:val="1"/>
    <w:qFormat/>
    <w:rsid w:val="006009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7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3011995020232770&amp;Req=0103011995020232770&amp;Key=0101031995041800103&amp;Ha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3AF5-564C-4F57-A134-3CA9F381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3039</Words>
  <Characters>20818</Characters>
  <Application>Microsoft Office Word</Application>
  <DocSecurity>0</DocSecurity>
  <Lines>612</Lines>
  <Paragraphs>207</Paragraphs>
  <ScaleCrop>false</ScaleCrop>
  <HeadingPairs>
    <vt:vector size="2" baseType="variant">
      <vt:variant>
        <vt:lpstr>Title</vt:lpstr>
      </vt:variant>
      <vt:variant>
        <vt:i4>1</vt:i4>
      </vt:variant>
    </vt:vector>
  </HeadingPairs>
  <TitlesOfParts>
    <vt:vector size="1" baseType="lpstr">
      <vt:lpstr>Noteikumi par valsts nodevu par īpašuma tiesību un ķīlas tiesību nostiprināšanu zemesgrāmatā</vt:lpstr>
    </vt:vector>
  </TitlesOfParts>
  <Company>Tieslietu Ministrija</Company>
  <LinksUpToDate>false</LinksUpToDate>
  <CharactersWithSpaces>23650</CharactersWithSpaces>
  <SharedDoc>false</SharedDoc>
  <HLinks>
    <vt:vector size="12" baseType="variant">
      <vt:variant>
        <vt:i4>1114203</vt:i4>
      </vt:variant>
      <vt:variant>
        <vt:i4>3</vt:i4>
      </vt:variant>
      <vt:variant>
        <vt:i4>0</vt:i4>
      </vt:variant>
      <vt:variant>
        <vt:i4>5</vt:i4>
      </vt:variant>
      <vt:variant>
        <vt:lpwstr>http://pro.nais.lv/naiser/text.cfm?Ref=0103011995020232770&amp;Req=0103011995020232770&amp;Key=0101031995041800103&amp;Hash=</vt:lpwstr>
      </vt:variant>
      <vt:variant>
        <vt:lpwstr/>
      </vt:variant>
      <vt:variant>
        <vt:i4>1966163</vt:i4>
      </vt:variant>
      <vt:variant>
        <vt:i4>0</vt:i4>
      </vt:variant>
      <vt:variant>
        <vt:i4>0</vt:i4>
      </vt:variant>
      <vt:variant>
        <vt:i4>5</vt:i4>
      </vt:variant>
      <vt:variant>
        <vt:lpwstr>http://pro.nais.lv/naiser/text.cfm?Ref=0103011995020232770&amp;Req=0103011995020232770&amp;Key=0101032002090300402&amp;Hash=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nodevu par īpašuma tiesību un ķīlas tiesību nostiprināšanu zemesgrāmatā</dc:title>
  <dc:subject>Anotācija</dc:subject>
  <dc:creator>Kristīne Miļevska</dc:creator>
  <cp:keywords/>
  <dc:description>Kristine.Milevska@tm.gov.lv_x000d_
Tālr.67036813</dc:description>
  <cp:lastModifiedBy>km1801</cp:lastModifiedBy>
  <cp:revision>10</cp:revision>
  <cp:lastPrinted>2009-10-15T11:14:00Z</cp:lastPrinted>
  <dcterms:created xsi:type="dcterms:W3CDTF">2009-10-16T11:29:00Z</dcterms:created>
  <dcterms:modified xsi:type="dcterms:W3CDTF">2009-10-19T14:21:00Z</dcterms:modified>
  <cp:contentStatus/>
</cp:coreProperties>
</file>