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84" w:rsidRPr="00A461B9" w:rsidRDefault="00703D84" w:rsidP="00703D84">
      <w:pPr>
        <w:pStyle w:val="naislab"/>
        <w:spacing w:before="0" w:after="0"/>
        <w:rPr>
          <w:sz w:val="28"/>
          <w:szCs w:val="28"/>
        </w:rPr>
      </w:pPr>
    </w:p>
    <w:p w:rsidR="00703D84" w:rsidRPr="00A461B9" w:rsidRDefault="00703D84" w:rsidP="00703D84">
      <w:pPr>
        <w:pStyle w:val="naislab"/>
        <w:spacing w:before="0" w:after="0"/>
        <w:jc w:val="center"/>
        <w:outlineLvl w:val="0"/>
        <w:rPr>
          <w:b/>
          <w:sz w:val="28"/>
          <w:szCs w:val="28"/>
        </w:rPr>
      </w:pPr>
      <w:r w:rsidRPr="00A461B9">
        <w:rPr>
          <w:b/>
          <w:sz w:val="28"/>
          <w:szCs w:val="28"/>
        </w:rPr>
        <w:t xml:space="preserve">Ministru kabineta noteikumu projekta „Grozījums Ministra kabineta 2010. gada 25. maija noteikumos Nr. 473 „Kārtība, kādā tiek noteikti valsts nozīmes pasākumi Aglonas svētvietā, kā arī nodrošināta to norise un finansēšana”” sākotnējās ietekmes novērtējuma </w:t>
      </w:r>
      <w:smartTag w:uri="schemas-tilde-lv/tildestengine" w:element="veidnes">
        <w:smartTagPr>
          <w:attr w:name="text" w:val="ziņojums"/>
          <w:attr w:name="baseform" w:val="ziņojums"/>
          <w:attr w:name="id" w:val="-1"/>
        </w:smartTagPr>
        <w:r w:rsidRPr="00A461B9">
          <w:rPr>
            <w:b/>
            <w:sz w:val="28"/>
            <w:szCs w:val="28"/>
          </w:rPr>
          <w:t>ziņojums</w:t>
        </w:r>
      </w:smartTag>
      <w:r w:rsidRPr="00A461B9">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66"/>
        <w:gridCol w:w="5609"/>
      </w:tblGrid>
      <w:tr w:rsidR="00703D84" w:rsidRPr="00A461B9" w:rsidTr="00A26D3E">
        <w:tc>
          <w:tcPr>
            <w:tcW w:w="9725" w:type="dxa"/>
            <w:gridSpan w:val="3"/>
            <w:vAlign w:val="center"/>
          </w:tcPr>
          <w:p w:rsidR="00703D84" w:rsidRPr="00A461B9" w:rsidRDefault="00703D84" w:rsidP="00A26D3E">
            <w:pPr>
              <w:pStyle w:val="naisnod"/>
              <w:spacing w:before="0" w:after="0"/>
              <w:rPr>
                <w:sz w:val="28"/>
                <w:szCs w:val="28"/>
              </w:rPr>
            </w:pPr>
            <w:r w:rsidRPr="00A461B9">
              <w:rPr>
                <w:sz w:val="28"/>
                <w:szCs w:val="28"/>
              </w:rPr>
              <w:t>I. Tiesību akta projekta izstrādes nepieciešamība</w:t>
            </w:r>
          </w:p>
        </w:tc>
      </w:tr>
      <w:tr w:rsidR="00703D84" w:rsidRPr="00A461B9" w:rsidTr="00A26D3E">
        <w:trPr>
          <w:trHeight w:val="630"/>
        </w:trPr>
        <w:tc>
          <w:tcPr>
            <w:tcW w:w="550" w:type="dxa"/>
          </w:tcPr>
          <w:p w:rsidR="00703D84" w:rsidRPr="00A461B9" w:rsidRDefault="00703D84" w:rsidP="00A26D3E">
            <w:pPr>
              <w:pStyle w:val="naiskr"/>
              <w:spacing w:before="0" w:after="0"/>
              <w:rPr>
                <w:sz w:val="28"/>
                <w:szCs w:val="28"/>
              </w:rPr>
            </w:pPr>
            <w:r w:rsidRPr="00A461B9">
              <w:rPr>
                <w:sz w:val="28"/>
                <w:szCs w:val="28"/>
              </w:rPr>
              <w:t>1.</w:t>
            </w:r>
          </w:p>
        </w:tc>
        <w:tc>
          <w:tcPr>
            <w:tcW w:w="3566" w:type="dxa"/>
          </w:tcPr>
          <w:p w:rsidR="00703D84" w:rsidRPr="00A461B9" w:rsidRDefault="00703D84" w:rsidP="00A26D3E">
            <w:pPr>
              <w:pStyle w:val="naiskr"/>
              <w:spacing w:before="0" w:after="0"/>
              <w:ind w:hanging="10"/>
              <w:rPr>
                <w:sz w:val="28"/>
                <w:szCs w:val="28"/>
              </w:rPr>
            </w:pPr>
            <w:r w:rsidRPr="00A461B9">
              <w:rPr>
                <w:sz w:val="28"/>
                <w:szCs w:val="28"/>
              </w:rPr>
              <w:t>Pamatojums</w:t>
            </w:r>
          </w:p>
        </w:tc>
        <w:tc>
          <w:tcPr>
            <w:tcW w:w="5609" w:type="dxa"/>
          </w:tcPr>
          <w:p w:rsidR="00703D84" w:rsidRPr="00A461B9" w:rsidRDefault="00703D84" w:rsidP="00A26D3E">
            <w:pPr>
              <w:pStyle w:val="naiskr"/>
              <w:spacing w:before="0" w:after="0"/>
              <w:ind w:hanging="5"/>
              <w:rPr>
                <w:sz w:val="28"/>
                <w:szCs w:val="28"/>
              </w:rPr>
            </w:pPr>
            <w:r w:rsidRPr="00A461B9">
              <w:rPr>
                <w:sz w:val="28"/>
                <w:szCs w:val="28"/>
              </w:rPr>
              <w:t>Ministru kabineta 2011. gada 11. janvāra sēdes 27§ (prot. Nr. 3 27§).</w:t>
            </w:r>
          </w:p>
        </w:tc>
      </w:tr>
      <w:tr w:rsidR="00703D84" w:rsidRPr="00A461B9" w:rsidTr="00A26D3E">
        <w:trPr>
          <w:trHeight w:val="472"/>
        </w:trPr>
        <w:tc>
          <w:tcPr>
            <w:tcW w:w="550" w:type="dxa"/>
          </w:tcPr>
          <w:p w:rsidR="00703D84" w:rsidRPr="00A461B9" w:rsidRDefault="00703D84" w:rsidP="00A26D3E">
            <w:pPr>
              <w:pStyle w:val="naiskr"/>
              <w:spacing w:before="0" w:after="0"/>
              <w:rPr>
                <w:sz w:val="28"/>
                <w:szCs w:val="28"/>
              </w:rPr>
            </w:pPr>
            <w:r w:rsidRPr="00A461B9">
              <w:rPr>
                <w:sz w:val="28"/>
                <w:szCs w:val="28"/>
              </w:rPr>
              <w:t>2.</w:t>
            </w:r>
          </w:p>
        </w:tc>
        <w:tc>
          <w:tcPr>
            <w:tcW w:w="3566" w:type="dxa"/>
          </w:tcPr>
          <w:p w:rsidR="00703D84" w:rsidRPr="00A461B9" w:rsidRDefault="00703D84" w:rsidP="00A26D3E">
            <w:pPr>
              <w:pStyle w:val="naiskr"/>
              <w:tabs>
                <w:tab w:val="left" w:pos="170"/>
              </w:tabs>
              <w:spacing w:before="0" w:after="0"/>
              <w:rPr>
                <w:sz w:val="28"/>
                <w:szCs w:val="28"/>
              </w:rPr>
            </w:pPr>
            <w:r w:rsidRPr="00A461B9">
              <w:rPr>
                <w:sz w:val="28"/>
                <w:szCs w:val="28"/>
              </w:rPr>
              <w:t>Pašreizējā situācija un problēmas</w:t>
            </w:r>
          </w:p>
        </w:tc>
        <w:tc>
          <w:tcPr>
            <w:tcW w:w="5609" w:type="dxa"/>
          </w:tcPr>
          <w:p w:rsidR="00703D84" w:rsidRPr="00A461B9" w:rsidRDefault="00703D84" w:rsidP="00EC6B0F">
            <w:pPr>
              <w:pStyle w:val="naiskr"/>
              <w:spacing w:before="0" w:after="0"/>
              <w:jc w:val="both"/>
              <w:rPr>
                <w:iCs/>
                <w:sz w:val="28"/>
                <w:szCs w:val="28"/>
              </w:rPr>
            </w:pPr>
            <w:r w:rsidRPr="00A461B9">
              <w:rPr>
                <w:iCs/>
                <w:sz w:val="28"/>
                <w:szCs w:val="28"/>
              </w:rPr>
              <w:t>Ministru kabineta 2010. gada 25. maija noteikumu Nr. 473 „Kārtība, kādā tiek noteikti valsts nozīmes pasākumi Aglonas svētvietā, kā arī nodrošināta to norise un finansēšana” (turpmāk – noteikumi Nr. 473) 10. punkts paredz, ka Iekšlietu ministrijai, Satiksme ministrijai, Tieslietu ministrijai, Veselības ministrijai un Zemkopības ministrijai valsts pamatbudžeta bāzes ietvaros tiek piešķirti finanšu līdzekļi, lai valsts nozīmes pasākumu starptautiskas svētvietā Aglonā laikā nodrošinātu šādu pasākumu īstenošanu:</w:t>
            </w:r>
          </w:p>
          <w:p w:rsidR="00703D84" w:rsidRPr="00A461B9" w:rsidRDefault="00703D84" w:rsidP="00EC6B0F">
            <w:pPr>
              <w:ind w:firstLine="720"/>
              <w:jc w:val="both"/>
              <w:rPr>
                <w:sz w:val="28"/>
                <w:szCs w:val="28"/>
              </w:rPr>
            </w:pPr>
            <w:r w:rsidRPr="00A461B9">
              <w:rPr>
                <w:sz w:val="28"/>
                <w:szCs w:val="28"/>
              </w:rPr>
              <w:t xml:space="preserve">1. Iekšlietu ministrija – sabiedriskās kārtības, ceļu satiksmes drošības, ceļu satiksmes organizēšanas, ugunsdrošības un glābšanas pasākumi; </w:t>
            </w:r>
          </w:p>
          <w:p w:rsidR="00703D84" w:rsidRPr="00A461B9" w:rsidRDefault="00703D84" w:rsidP="00EC6B0F">
            <w:pPr>
              <w:ind w:firstLine="720"/>
              <w:jc w:val="both"/>
              <w:rPr>
                <w:sz w:val="28"/>
                <w:szCs w:val="28"/>
              </w:rPr>
            </w:pPr>
            <w:r w:rsidRPr="00A461B9">
              <w:rPr>
                <w:sz w:val="28"/>
                <w:szCs w:val="28"/>
              </w:rPr>
              <w:t>2. Satiksmes ministrija – ceļu satiksmes organizēšana;</w:t>
            </w:r>
          </w:p>
          <w:p w:rsidR="00703D84" w:rsidRPr="00A461B9" w:rsidRDefault="00703D84" w:rsidP="00EC6B0F">
            <w:pPr>
              <w:ind w:firstLine="720"/>
              <w:jc w:val="both"/>
              <w:rPr>
                <w:sz w:val="28"/>
                <w:szCs w:val="28"/>
              </w:rPr>
            </w:pPr>
            <w:r w:rsidRPr="00A461B9">
              <w:rPr>
                <w:sz w:val="28"/>
                <w:szCs w:val="28"/>
              </w:rPr>
              <w:t>3. Tieslietu ministrija – šo noteikumu 8.punktā minētie citi svētku norises nodrošināšanai nepieciešamie pasākumi;</w:t>
            </w:r>
          </w:p>
          <w:p w:rsidR="00703D84" w:rsidRPr="00A461B9" w:rsidRDefault="00703D84" w:rsidP="00EC6B0F">
            <w:pPr>
              <w:ind w:firstLine="720"/>
              <w:jc w:val="both"/>
              <w:rPr>
                <w:sz w:val="28"/>
                <w:szCs w:val="28"/>
              </w:rPr>
            </w:pPr>
            <w:r w:rsidRPr="00A461B9">
              <w:rPr>
                <w:sz w:val="28"/>
                <w:szCs w:val="28"/>
              </w:rPr>
              <w:t>4. Veselības ministrija – neatliekamās medicīniskās palīdzības nodrošināšana un dzeramā ūdens mikrobioloģiskā un ķīmiskā izmeklēšana;</w:t>
            </w:r>
          </w:p>
          <w:p w:rsidR="00703D84" w:rsidRPr="00A461B9" w:rsidRDefault="00703D84" w:rsidP="00EC6B0F">
            <w:pPr>
              <w:ind w:firstLine="720"/>
              <w:jc w:val="both"/>
              <w:rPr>
                <w:sz w:val="28"/>
                <w:szCs w:val="28"/>
              </w:rPr>
            </w:pPr>
            <w:r w:rsidRPr="00A461B9">
              <w:rPr>
                <w:sz w:val="28"/>
                <w:szCs w:val="28"/>
              </w:rPr>
              <w:t>5. Zemkopības ministrija – dzeramā ūdens izmeklēšana kārtējā monitoringa ietvaros.</w:t>
            </w:r>
          </w:p>
          <w:p w:rsidR="00703D84" w:rsidRPr="00A461B9" w:rsidRDefault="00703D84" w:rsidP="00EC6B0F">
            <w:pPr>
              <w:ind w:firstLine="720"/>
              <w:jc w:val="both"/>
              <w:rPr>
                <w:sz w:val="28"/>
                <w:szCs w:val="28"/>
              </w:rPr>
            </w:pPr>
            <w:r w:rsidRPr="00A461B9">
              <w:rPr>
                <w:sz w:val="28"/>
                <w:szCs w:val="28"/>
              </w:rPr>
              <w:t xml:space="preserve">Aizsardzības ministrija piedalās Vissvētākās Jaunavas Marijas Debesīs uzņemšanas svētku (turpmāk – svētki) norises nodrošināšanā, bet noteikumi neparedz finanšu līdzekļu piešķiršanu. </w:t>
            </w:r>
          </w:p>
          <w:p w:rsidR="00703D84" w:rsidRPr="00A461B9" w:rsidRDefault="00703D84" w:rsidP="00EC6B0F">
            <w:pPr>
              <w:ind w:firstLine="720"/>
              <w:jc w:val="both"/>
              <w:rPr>
                <w:sz w:val="28"/>
                <w:szCs w:val="28"/>
              </w:rPr>
            </w:pPr>
            <w:r w:rsidRPr="00A461B9">
              <w:rPr>
                <w:sz w:val="28"/>
                <w:szCs w:val="28"/>
              </w:rPr>
              <w:t xml:space="preserve">Ministru kabineta 2011.gada 11.janvāra sēdē (prot. Nr.3 27§) nolemts, ka 2012. gadā un turpmākajos gados nepieciešamo finansējumu </w:t>
            </w:r>
            <w:r w:rsidRPr="00A461B9">
              <w:rPr>
                <w:sz w:val="28"/>
                <w:szCs w:val="28"/>
              </w:rPr>
              <w:lastRenderedPageBreak/>
              <w:t xml:space="preserve">Vissvētākās Jaunavas Marijas Debesīs uzņemšanas svētku pasākumu (Zemessardzei sabiedriskās kārtības un drošības nodrošināšanai) nodrošināšanai iekļaut Aizsardzības ministrijas budžeta bāzes izdevumos. </w:t>
            </w:r>
          </w:p>
        </w:tc>
      </w:tr>
      <w:tr w:rsidR="00703D84" w:rsidRPr="00A461B9" w:rsidTr="00A26D3E">
        <w:trPr>
          <w:trHeight w:val="500"/>
        </w:trPr>
        <w:tc>
          <w:tcPr>
            <w:tcW w:w="550" w:type="dxa"/>
          </w:tcPr>
          <w:p w:rsidR="00703D84" w:rsidRPr="00A461B9" w:rsidRDefault="00703D84" w:rsidP="00A26D3E">
            <w:pPr>
              <w:pStyle w:val="naiskr"/>
              <w:spacing w:before="0" w:after="0"/>
              <w:rPr>
                <w:sz w:val="28"/>
                <w:szCs w:val="28"/>
              </w:rPr>
            </w:pPr>
            <w:r w:rsidRPr="00A461B9">
              <w:rPr>
                <w:sz w:val="28"/>
                <w:szCs w:val="28"/>
              </w:rPr>
              <w:lastRenderedPageBreak/>
              <w:t>3.</w:t>
            </w:r>
          </w:p>
        </w:tc>
        <w:tc>
          <w:tcPr>
            <w:tcW w:w="3566" w:type="dxa"/>
          </w:tcPr>
          <w:p w:rsidR="00703D84" w:rsidRPr="00A461B9" w:rsidRDefault="00703D84" w:rsidP="00A26D3E">
            <w:pPr>
              <w:pStyle w:val="naiskr"/>
              <w:spacing w:before="0" w:after="0"/>
              <w:rPr>
                <w:sz w:val="28"/>
                <w:szCs w:val="28"/>
              </w:rPr>
            </w:pPr>
            <w:r w:rsidRPr="00A461B9">
              <w:rPr>
                <w:sz w:val="28"/>
                <w:szCs w:val="28"/>
              </w:rPr>
              <w:t>Saistītie politikas ietekmes novērtējumi un pētījumi</w:t>
            </w:r>
          </w:p>
        </w:tc>
        <w:tc>
          <w:tcPr>
            <w:tcW w:w="5609" w:type="dxa"/>
          </w:tcPr>
          <w:p w:rsidR="00703D84" w:rsidRPr="00A461B9" w:rsidRDefault="00703D84" w:rsidP="00A26D3E">
            <w:pPr>
              <w:pStyle w:val="FootnoteText"/>
              <w:rPr>
                <w:sz w:val="28"/>
                <w:szCs w:val="28"/>
              </w:rPr>
            </w:pPr>
            <w:r w:rsidRPr="00A461B9">
              <w:rPr>
                <w:sz w:val="28"/>
                <w:szCs w:val="28"/>
              </w:rPr>
              <w:t>Nav attiecināms.</w:t>
            </w:r>
          </w:p>
          <w:p w:rsidR="00703D84" w:rsidRPr="00A461B9" w:rsidRDefault="00703D84" w:rsidP="00A26D3E">
            <w:pPr>
              <w:rPr>
                <w:sz w:val="28"/>
                <w:szCs w:val="28"/>
              </w:rPr>
            </w:pPr>
          </w:p>
        </w:tc>
      </w:tr>
      <w:tr w:rsidR="00703D84" w:rsidRPr="00A461B9" w:rsidTr="00A26D3E">
        <w:trPr>
          <w:trHeight w:val="384"/>
        </w:trPr>
        <w:tc>
          <w:tcPr>
            <w:tcW w:w="550" w:type="dxa"/>
          </w:tcPr>
          <w:p w:rsidR="00703D84" w:rsidRPr="00A461B9" w:rsidRDefault="00703D84" w:rsidP="00A26D3E">
            <w:pPr>
              <w:pStyle w:val="naiskr"/>
              <w:spacing w:before="0" w:after="0"/>
              <w:rPr>
                <w:sz w:val="28"/>
                <w:szCs w:val="28"/>
              </w:rPr>
            </w:pPr>
            <w:r w:rsidRPr="00A461B9">
              <w:rPr>
                <w:sz w:val="28"/>
                <w:szCs w:val="28"/>
              </w:rPr>
              <w:t>4.</w:t>
            </w:r>
          </w:p>
        </w:tc>
        <w:tc>
          <w:tcPr>
            <w:tcW w:w="3566" w:type="dxa"/>
          </w:tcPr>
          <w:p w:rsidR="00703D84" w:rsidRPr="00A461B9" w:rsidRDefault="00703D84" w:rsidP="00A26D3E">
            <w:pPr>
              <w:pStyle w:val="naiskr"/>
              <w:spacing w:before="0" w:after="0"/>
              <w:rPr>
                <w:sz w:val="28"/>
                <w:szCs w:val="28"/>
              </w:rPr>
            </w:pPr>
            <w:r w:rsidRPr="00A461B9">
              <w:rPr>
                <w:sz w:val="28"/>
                <w:szCs w:val="28"/>
              </w:rPr>
              <w:t>Tiesiskā regulējuma mērķis un būtība</w:t>
            </w:r>
          </w:p>
        </w:tc>
        <w:tc>
          <w:tcPr>
            <w:tcW w:w="5609" w:type="dxa"/>
          </w:tcPr>
          <w:p w:rsidR="00703D84" w:rsidRPr="00A461B9" w:rsidRDefault="00703D84" w:rsidP="00EC6B0F">
            <w:pPr>
              <w:pStyle w:val="naiskr"/>
              <w:spacing w:before="0" w:after="0"/>
              <w:jc w:val="both"/>
              <w:rPr>
                <w:sz w:val="28"/>
                <w:szCs w:val="28"/>
              </w:rPr>
            </w:pPr>
            <w:r w:rsidRPr="00A461B9">
              <w:rPr>
                <w:iCs/>
                <w:sz w:val="28"/>
                <w:szCs w:val="28"/>
              </w:rPr>
              <w:t xml:space="preserve">Ministru kabineta noteikumu projekts „Grozījums Ministru kabineta 2010. gada 25. maija noteikumos Nr. 473 „Kārtība, kādā tiek noteikti valsts nozīmes pasākumi Aglonas svētvietā, kā arī nodrošināta to norise un finansēšana”” (turpmāk – projekts) paredz Aizsardzības ministrijai piešķirt finansējumu Aizsardzības ministrijas pamatbudžeta bāzē svētku norises nodrošināšanai atbalsta </w:t>
            </w:r>
            <w:r w:rsidRPr="00A461B9">
              <w:rPr>
                <w:sz w:val="28"/>
                <w:szCs w:val="28"/>
              </w:rPr>
              <w:t>sniegšanai drošības un sabiedriskās kārtības nodrošināšanā.</w:t>
            </w:r>
          </w:p>
        </w:tc>
      </w:tr>
      <w:tr w:rsidR="00703D84" w:rsidRPr="00A461B9" w:rsidTr="00A26D3E">
        <w:trPr>
          <w:trHeight w:val="476"/>
        </w:trPr>
        <w:tc>
          <w:tcPr>
            <w:tcW w:w="550" w:type="dxa"/>
          </w:tcPr>
          <w:p w:rsidR="00703D84" w:rsidRPr="00A461B9" w:rsidRDefault="00703D84" w:rsidP="00A26D3E">
            <w:pPr>
              <w:pStyle w:val="naiskr"/>
              <w:spacing w:before="0" w:after="0"/>
              <w:rPr>
                <w:sz w:val="28"/>
                <w:szCs w:val="28"/>
              </w:rPr>
            </w:pPr>
            <w:r w:rsidRPr="00A461B9">
              <w:rPr>
                <w:sz w:val="28"/>
                <w:szCs w:val="28"/>
              </w:rPr>
              <w:t>5.</w:t>
            </w:r>
          </w:p>
        </w:tc>
        <w:tc>
          <w:tcPr>
            <w:tcW w:w="3566" w:type="dxa"/>
          </w:tcPr>
          <w:p w:rsidR="00703D84" w:rsidRPr="00A461B9" w:rsidRDefault="00703D84" w:rsidP="00A26D3E">
            <w:pPr>
              <w:pStyle w:val="naiskr"/>
              <w:spacing w:before="0" w:after="0"/>
              <w:rPr>
                <w:sz w:val="28"/>
                <w:szCs w:val="28"/>
              </w:rPr>
            </w:pPr>
            <w:r w:rsidRPr="00A461B9">
              <w:rPr>
                <w:sz w:val="28"/>
                <w:szCs w:val="28"/>
              </w:rPr>
              <w:t>Projekta izstrādē iesaistītās institūcijas</w:t>
            </w:r>
          </w:p>
        </w:tc>
        <w:tc>
          <w:tcPr>
            <w:tcW w:w="5609" w:type="dxa"/>
          </w:tcPr>
          <w:p w:rsidR="00703D84" w:rsidRPr="00A461B9" w:rsidRDefault="00703D84" w:rsidP="00A26D3E">
            <w:pPr>
              <w:pStyle w:val="naiskr"/>
              <w:spacing w:before="0" w:after="0"/>
              <w:rPr>
                <w:sz w:val="28"/>
                <w:szCs w:val="28"/>
              </w:rPr>
            </w:pPr>
            <w:r w:rsidRPr="00A461B9">
              <w:rPr>
                <w:iCs/>
                <w:sz w:val="28"/>
                <w:szCs w:val="28"/>
              </w:rPr>
              <w:t>Aizsardzības ministrija.</w:t>
            </w:r>
          </w:p>
        </w:tc>
      </w:tr>
      <w:tr w:rsidR="00703D84" w:rsidRPr="00A461B9" w:rsidTr="00A26D3E">
        <w:trPr>
          <w:trHeight w:val="673"/>
        </w:trPr>
        <w:tc>
          <w:tcPr>
            <w:tcW w:w="550" w:type="dxa"/>
          </w:tcPr>
          <w:p w:rsidR="00703D84" w:rsidRPr="00A461B9" w:rsidRDefault="00703D84" w:rsidP="00A26D3E">
            <w:pPr>
              <w:pStyle w:val="naiskr"/>
              <w:spacing w:before="0" w:after="0"/>
              <w:rPr>
                <w:sz w:val="28"/>
                <w:szCs w:val="28"/>
              </w:rPr>
            </w:pPr>
            <w:r w:rsidRPr="00A461B9">
              <w:rPr>
                <w:sz w:val="28"/>
                <w:szCs w:val="28"/>
              </w:rPr>
              <w:t>6.</w:t>
            </w:r>
          </w:p>
        </w:tc>
        <w:tc>
          <w:tcPr>
            <w:tcW w:w="3566" w:type="dxa"/>
          </w:tcPr>
          <w:p w:rsidR="00703D84" w:rsidRPr="00A461B9" w:rsidRDefault="00703D84" w:rsidP="00A26D3E">
            <w:pPr>
              <w:pStyle w:val="naiskr"/>
              <w:spacing w:before="0" w:after="0"/>
              <w:rPr>
                <w:i/>
                <w:sz w:val="28"/>
                <w:szCs w:val="28"/>
                <w:highlight w:val="yellow"/>
              </w:rPr>
            </w:pPr>
            <w:r w:rsidRPr="00A461B9">
              <w:rPr>
                <w:sz w:val="28"/>
                <w:szCs w:val="28"/>
              </w:rPr>
              <w:t>Iemesli, kādēļ netika nodrošināta sabiedrības līdzdalība</w:t>
            </w:r>
          </w:p>
        </w:tc>
        <w:tc>
          <w:tcPr>
            <w:tcW w:w="5609" w:type="dxa"/>
          </w:tcPr>
          <w:p w:rsidR="00703D84" w:rsidRPr="0001777E" w:rsidRDefault="00703D84" w:rsidP="00A26D3E">
            <w:pPr>
              <w:pStyle w:val="FootnoteText"/>
              <w:rPr>
                <w:sz w:val="28"/>
                <w:szCs w:val="28"/>
              </w:rPr>
            </w:pPr>
            <w:r w:rsidRPr="0001777E">
              <w:rPr>
                <w:iCs/>
                <w:sz w:val="28"/>
                <w:szCs w:val="28"/>
              </w:rPr>
              <w:t>Projekts šo jomu neskar.</w:t>
            </w:r>
          </w:p>
        </w:tc>
      </w:tr>
      <w:tr w:rsidR="00703D84" w:rsidRPr="00A461B9" w:rsidTr="00A26D3E">
        <w:tc>
          <w:tcPr>
            <w:tcW w:w="550" w:type="dxa"/>
          </w:tcPr>
          <w:p w:rsidR="00703D84" w:rsidRPr="00A461B9" w:rsidRDefault="00703D84" w:rsidP="00A26D3E">
            <w:pPr>
              <w:pStyle w:val="naiskr"/>
              <w:spacing w:before="0" w:after="0"/>
              <w:rPr>
                <w:sz w:val="28"/>
                <w:szCs w:val="28"/>
              </w:rPr>
            </w:pPr>
            <w:r w:rsidRPr="00A461B9">
              <w:rPr>
                <w:sz w:val="28"/>
                <w:szCs w:val="28"/>
              </w:rPr>
              <w:t>7.</w:t>
            </w:r>
          </w:p>
        </w:tc>
        <w:tc>
          <w:tcPr>
            <w:tcW w:w="3566" w:type="dxa"/>
          </w:tcPr>
          <w:p w:rsidR="00703D84" w:rsidRPr="00A461B9" w:rsidRDefault="00703D84" w:rsidP="00A26D3E">
            <w:pPr>
              <w:pStyle w:val="naiskr"/>
              <w:spacing w:before="0" w:after="0"/>
              <w:rPr>
                <w:sz w:val="28"/>
                <w:szCs w:val="28"/>
              </w:rPr>
            </w:pPr>
            <w:r w:rsidRPr="00A461B9">
              <w:rPr>
                <w:sz w:val="28"/>
                <w:szCs w:val="28"/>
              </w:rPr>
              <w:t>Cita informācija</w:t>
            </w:r>
          </w:p>
        </w:tc>
        <w:tc>
          <w:tcPr>
            <w:tcW w:w="5609" w:type="dxa"/>
          </w:tcPr>
          <w:p w:rsidR="00703D84" w:rsidRPr="00A461B9" w:rsidRDefault="00703D84" w:rsidP="00A26D3E">
            <w:pPr>
              <w:pStyle w:val="naiskr"/>
              <w:spacing w:before="0" w:after="0"/>
              <w:rPr>
                <w:sz w:val="28"/>
                <w:szCs w:val="28"/>
              </w:rPr>
            </w:pPr>
            <w:r w:rsidRPr="00A461B9">
              <w:rPr>
                <w:sz w:val="28"/>
                <w:szCs w:val="28"/>
              </w:rPr>
              <w:t>Nav.</w:t>
            </w:r>
          </w:p>
        </w:tc>
      </w:tr>
    </w:tbl>
    <w:p w:rsidR="00703D84" w:rsidRPr="00A461B9" w:rsidRDefault="00703D84" w:rsidP="00703D84">
      <w:pPr>
        <w:pStyle w:val="naisf"/>
        <w:spacing w:before="0" w:after="0"/>
        <w:rPr>
          <w:sz w:val="28"/>
          <w:szCs w:val="28"/>
        </w:rPr>
      </w:pPr>
    </w:p>
    <w:p w:rsidR="00703D84" w:rsidRPr="00A461B9" w:rsidRDefault="00703D84" w:rsidP="00703D84">
      <w:pPr>
        <w:pStyle w:val="naisf"/>
        <w:spacing w:before="0" w:after="0"/>
        <w:rPr>
          <w:sz w:val="28"/>
          <w:szCs w:val="28"/>
        </w:rPr>
      </w:pPr>
    </w:p>
    <w:p w:rsidR="00703D84" w:rsidRPr="00A461B9" w:rsidRDefault="00703D84" w:rsidP="00703D84">
      <w:pPr>
        <w:pStyle w:val="naisf"/>
        <w:spacing w:before="0" w:after="0"/>
        <w:rPr>
          <w:sz w:val="28"/>
          <w:szCs w:val="28"/>
        </w:rPr>
      </w:pPr>
    </w:p>
    <w:tbl>
      <w:tblPr>
        <w:tblW w:w="988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1331"/>
        <w:gridCol w:w="1354"/>
        <w:gridCol w:w="1354"/>
        <w:gridCol w:w="1355"/>
        <w:gridCol w:w="1406"/>
      </w:tblGrid>
      <w:tr w:rsidR="00703D84" w:rsidRPr="00A461B9" w:rsidTr="00A26D3E">
        <w:trPr>
          <w:trHeight w:val="652"/>
          <w:jc w:val="center"/>
        </w:trPr>
        <w:tc>
          <w:tcPr>
            <w:tcW w:w="9881" w:type="dxa"/>
            <w:gridSpan w:val="6"/>
          </w:tcPr>
          <w:p w:rsidR="00703D84" w:rsidRPr="00A461B9" w:rsidRDefault="00703D84" w:rsidP="00A26D3E">
            <w:pPr>
              <w:pStyle w:val="naisnod"/>
              <w:spacing w:before="0" w:after="0"/>
              <w:rPr>
                <w:i/>
                <w:sz w:val="28"/>
                <w:szCs w:val="28"/>
              </w:rPr>
            </w:pPr>
            <w:r w:rsidRPr="00A461B9">
              <w:rPr>
                <w:sz w:val="28"/>
                <w:szCs w:val="28"/>
              </w:rPr>
              <w:br w:type="page"/>
              <w:t>III. Tiesību akta projekta ietekme uz valsts budžetu un pašvaldību budžetiem</w:t>
            </w:r>
          </w:p>
        </w:tc>
      </w:tr>
      <w:tr w:rsidR="00703D84" w:rsidRPr="00A461B9" w:rsidTr="00A26D3E">
        <w:trPr>
          <w:jc w:val="center"/>
        </w:trPr>
        <w:tc>
          <w:tcPr>
            <w:tcW w:w="3081" w:type="dxa"/>
            <w:vMerge w:val="restart"/>
            <w:vAlign w:val="center"/>
          </w:tcPr>
          <w:p w:rsidR="00703D84" w:rsidRPr="00A461B9" w:rsidRDefault="00703D84" w:rsidP="00A26D3E">
            <w:pPr>
              <w:pStyle w:val="naisf"/>
              <w:spacing w:before="0" w:after="0"/>
              <w:ind w:firstLine="0"/>
              <w:jc w:val="center"/>
              <w:rPr>
                <w:b/>
                <w:sz w:val="28"/>
                <w:szCs w:val="28"/>
              </w:rPr>
            </w:pPr>
            <w:r w:rsidRPr="00A461B9">
              <w:rPr>
                <w:b/>
                <w:sz w:val="28"/>
                <w:szCs w:val="28"/>
              </w:rPr>
              <w:t>Rādītāji</w:t>
            </w:r>
          </w:p>
        </w:tc>
        <w:tc>
          <w:tcPr>
            <w:tcW w:w="2685" w:type="dxa"/>
            <w:gridSpan w:val="2"/>
            <w:vMerge w:val="restart"/>
            <w:vAlign w:val="center"/>
          </w:tcPr>
          <w:p w:rsidR="00703D84" w:rsidRPr="00A461B9" w:rsidRDefault="00703D84" w:rsidP="00A26D3E">
            <w:pPr>
              <w:pStyle w:val="naisf"/>
              <w:spacing w:before="0" w:after="0"/>
              <w:ind w:firstLine="0"/>
              <w:jc w:val="center"/>
              <w:rPr>
                <w:b/>
                <w:sz w:val="28"/>
                <w:szCs w:val="28"/>
              </w:rPr>
            </w:pPr>
            <w:r>
              <w:rPr>
                <w:b/>
                <w:sz w:val="28"/>
                <w:szCs w:val="28"/>
              </w:rPr>
              <w:t>2011.gads</w:t>
            </w:r>
          </w:p>
        </w:tc>
        <w:tc>
          <w:tcPr>
            <w:tcW w:w="4115" w:type="dxa"/>
            <w:gridSpan w:val="3"/>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A461B9">
                <w:rPr>
                  <w:sz w:val="28"/>
                  <w:szCs w:val="28"/>
                </w:rPr>
                <w:t>. latu</w:t>
              </w:r>
            </w:smartTag>
            <w:r w:rsidRPr="00A461B9">
              <w:rPr>
                <w:sz w:val="28"/>
                <w:szCs w:val="28"/>
              </w:rPr>
              <w:t>)</w:t>
            </w:r>
          </w:p>
        </w:tc>
      </w:tr>
      <w:tr w:rsidR="00703D84" w:rsidRPr="00A461B9" w:rsidTr="00A26D3E">
        <w:trPr>
          <w:jc w:val="center"/>
        </w:trPr>
        <w:tc>
          <w:tcPr>
            <w:tcW w:w="3081" w:type="dxa"/>
            <w:vMerge/>
            <w:vAlign w:val="center"/>
          </w:tcPr>
          <w:p w:rsidR="00703D84" w:rsidRPr="00A461B9" w:rsidRDefault="00703D84" w:rsidP="00A26D3E">
            <w:pPr>
              <w:pStyle w:val="naisf"/>
              <w:spacing w:before="0" w:after="0"/>
              <w:ind w:firstLine="0"/>
              <w:jc w:val="center"/>
              <w:rPr>
                <w:b/>
                <w:i/>
                <w:sz w:val="28"/>
                <w:szCs w:val="28"/>
              </w:rPr>
            </w:pPr>
          </w:p>
        </w:tc>
        <w:tc>
          <w:tcPr>
            <w:tcW w:w="2685" w:type="dxa"/>
            <w:gridSpan w:val="2"/>
            <w:vMerge/>
            <w:vAlign w:val="center"/>
          </w:tcPr>
          <w:p w:rsidR="00703D84" w:rsidRPr="00A461B9" w:rsidRDefault="00703D84" w:rsidP="00A26D3E">
            <w:pPr>
              <w:pStyle w:val="naisf"/>
              <w:spacing w:before="0" w:after="0"/>
              <w:ind w:firstLine="0"/>
              <w:jc w:val="center"/>
              <w:rPr>
                <w:b/>
                <w:i/>
                <w:sz w:val="28"/>
                <w:szCs w:val="28"/>
              </w:rPr>
            </w:pPr>
          </w:p>
        </w:tc>
        <w:tc>
          <w:tcPr>
            <w:tcW w:w="1354" w:type="dxa"/>
            <w:vAlign w:val="center"/>
          </w:tcPr>
          <w:p w:rsidR="00703D84" w:rsidRPr="00D05267" w:rsidRDefault="00703D84" w:rsidP="00A26D3E">
            <w:pPr>
              <w:pStyle w:val="naisf"/>
              <w:spacing w:before="0" w:after="0"/>
              <w:ind w:firstLine="0"/>
              <w:jc w:val="center"/>
              <w:rPr>
                <w:b/>
                <w:sz w:val="28"/>
                <w:szCs w:val="28"/>
              </w:rPr>
            </w:pPr>
            <w:r w:rsidRPr="00D05267">
              <w:rPr>
                <w:b/>
                <w:sz w:val="28"/>
                <w:szCs w:val="28"/>
              </w:rPr>
              <w:t>2012.</w:t>
            </w:r>
          </w:p>
        </w:tc>
        <w:tc>
          <w:tcPr>
            <w:tcW w:w="1355" w:type="dxa"/>
            <w:vAlign w:val="center"/>
          </w:tcPr>
          <w:p w:rsidR="00703D84" w:rsidRPr="00D05267" w:rsidRDefault="00703D84" w:rsidP="00A26D3E">
            <w:pPr>
              <w:pStyle w:val="naisf"/>
              <w:spacing w:before="0" w:after="0"/>
              <w:ind w:firstLine="0"/>
              <w:jc w:val="center"/>
              <w:rPr>
                <w:b/>
                <w:sz w:val="28"/>
                <w:szCs w:val="28"/>
              </w:rPr>
            </w:pPr>
            <w:r w:rsidRPr="00D05267">
              <w:rPr>
                <w:b/>
                <w:sz w:val="28"/>
                <w:szCs w:val="28"/>
              </w:rPr>
              <w:t>2013.</w:t>
            </w:r>
          </w:p>
        </w:tc>
        <w:tc>
          <w:tcPr>
            <w:tcW w:w="1406" w:type="dxa"/>
            <w:vAlign w:val="center"/>
          </w:tcPr>
          <w:p w:rsidR="00703D84" w:rsidRPr="00D05267" w:rsidRDefault="00703D84" w:rsidP="00A26D3E">
            <w:pPr>
              <w:pStyle w:val="naisf"/>
              <w:spacing w:before="0" w:after="0"/>
              <w:ind w:firstLine="0"/>
              <w:jc w:val="center"/>
              <w:rPr>
                <w:b/>
                <w:sz w:val="28"/>
                <w:szCs w:val="28"/>
              </w:rPr>
            </w:pPr>
            <w:r w:rsidRPr="00D05267">
              <w:rPr>
                <w:b/>
                <w:bCs/>
                <w:sz w:val="28"/>
                <w:szCs w:val="28"/>
              </w:rPr>
              <w:t>2014.</w:t>
            </w:r>
          </w:p>
        </w:tc>
      </w:tr>
      <w:tr w:rsidR="00703D84" w:rsidRPr="00A461B9" w:rsidTr="00A26D3E">
        <w:trPr>
          <w:jc w:val="center"/>
        </w:trPr>
        <w:tc>
          <w:tcPr>
            <w:tcW w:w="3081" w:type="dxa"/>
            <w:vMerge/>
            <w:vAlign w:val="center"/>
          </w:tcPr>
          <w:p w:rsidR="00703D84" w:rsidRPr="00A461B9" w:rsidRDefault="00703D84" w:rsidP="00A26D3E">
            <w:pPr>
              <w:pStyle w:val="naisf"/>
              <w:spacing w:before="0" w:after="0"/>
              <w:ind w:firstLine="0"/>
              <w:jc w:val="center"/>
              <w:rPr>
                <w:b/>
                <w:i/>
                <w:sz w:val="28"/>
                <w:szCs w:val="28"/>
              </w:rPr>
            </w:pPr>
          </w:p>
        </w:tc>
        <w:tc>
          <w:tcPr>
            <w:tcW w:w="1331" w:type="dxa"/>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Saskaņā ar valsts budžetu kārtējam gadam</w:t>
            </w:r>
          </w:p>
        </w:tc>
        <w:tc>
          <w:tcPr>
            <w:tcW w:w="1354" w:type="dxa"/>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Izmaiņas kārtējā gadā, salīdzinot ar budžetu kārtējam gadam</w:t>
            </w:r>
          </w:p>
        </w:tc>
        <w:tc>
          <w:tcPr>
            <w:tcW w:w="1354" w:type="dxa"/>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Izmaiņas, salīdzinot ar kārtējo (n) gadu</w:t>
            </w:r>
          </w:p>
        </w:tc>
        <w:tc>
          <w:tcPr>
            <w:tcW w:w="1355" w:type="dxa"/>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Izmaiņas, salīdzinot ar kārtējo (n) gadu</w:t>
            </w:r>
          </w:p>
        </w:tc>
        <w:tc>
          <w:tcPr>
            <w:tcW w:w="1406" w:type="dxa"/>
            <w:vAlign w:val="center"/>
          </w:tcPr>
          <w:p w:rsidR="00703D84" w:rsidRPr="00A461B9" w:rsidRDefault="00703D84" w:rsidP="00A26D3E">
            <w:pPr>
              <w:pStyle w:val="naisf"/>
              <w:spacing w:before="0" w:after="0"/>
              <w:ind w:firstLine="0"/>
              <w:jc w:val="center"/>
              <w:rPr>
                <w:b/>
                <w:i/>
                <w:sz w:val="28"/>
                <w:szCs w:val="28"/>
              </w:rPr>
            </w:pPr>
            <w:r w:rsidRPr="00A461B9">
              <w:rPr>
                <w:sz w:val="28"/>
                <w:szCs w:val="28"/>
              </w:rPr>
              <w:t>Izmaiņas, salīdzinot ar kārtējo (n) gadu</w:t>
            </w:r>
          </w:p>
        </w:tc>
      </w:tr>
      <w:tr w:rsidR="00703D84" w:rsidRPr="00A461B9" w:rsidTr="00A26D3E">
        <w:trPr>
          <w:jc w:val="center"/>
        </w:trPr>
        <w:tc>
          <w:tcPr>
            <w:tcW w:w="3081"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1</w:t>
            </w:r>
          </w:p>
        </w:tc>
        <w:tc>
          <w:tcPr>
            <w:tcW w:w="1331"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2</w:t>
            </w:r>
          </w:p>
        </w:tc>
        <w:tc>
          <w:tcPr>
            <w:tcW w:w="1354"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3</w:t>
            </w:r>
          </w:p>
        </w:tc>
        <w:tc>
          <w:tcPr>
            <w:tcW w:w="1354"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4</w:t>
            </w:r>
          </w:p>
        </w:tc>
        <w:tc>
          <w:tcPr>
            <w:tcW w:w="1355"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5</w:t>
            </w:r>
          </w:p>
        </w:tc>
        <w:tc>
          <w:tcPr>
            <w:tcW w:w="1406" w:type="dxa"/>
            <w:vAlign w:val="center"/>
          </w:tcPr>
          <w:p w:rsidR="00703D84" w:rsidRPr="00A461B9" w:rsidRDefault="00703D84" w:rsidP="00A26D3E">
            <w:pPr>
              <w:pStyle w:val="naisf"/>
              <w:spacing w:before="0" w:after="0"/>
              <w:ind w:firstLine="0"/>
              <w:jc w:val="center"/>
              <w:rPr>
                <w:bCs/>
                <w:sz w:val="28"/>
                <w:szCs w:val="28"/>
              </w:rPr>
            </w:pPr>
            <w:r w:rsidRPr="00A461B9">
              <w:rPr>
                <w:bCs/>
                <w:sz w:val="28"/>
                <w:szCs w:val="28"/>
              </w:rPr>
              <w:t>6</w:t>
            </w:r>
          </w:p>
        </w:tc>
      </w:tr>
      <w:tr w:rsidR="00703D84" w:rsidRPr="00A461B9" w:rsidTr="00A26D3E">
        <w:trPr>
          <w:jc w:val="center"/>
        </w:trPr>
        <w:tc>
          <w:tcPr>
            <w:tcW w:w="3081" w:type="dxa"/>
          </w:tcPr>
          <w:p w:rsidR="00703D84" w:rsidRPr="00D05267" w:rsidRDefault="00703D84" w:rsidP="00A26D3E">
            <w:pPr>
              <w:pStyle w:val="naisf"/>
              <w:spacing w:before="0" w:after="0"/>
              <w:ind w:firstLine="0"/>
              <w:rPr>
                <w:b/>
                <w:i/>
                <w:sz w:val="28"/>
                <w:szCs w:val="28"/>
              </w:rPr>
            </w:pPr>
            <w:r w:rsidRPr="00D05267">
              <w:rPr>
                <w:b/>
                <w:sz w:val="28"/>
                <w:szCs w:val="28"/>
              </w:rPr>
              <w:t>1. Budžeta ieņēmumi:</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r>
      <w:tr w:rsidR="00703D84" w:rsidRPr="00A461B9" w:rsidTr="00A26D3E">
        <w:trPr>
          <w:jc w:val="center"/>
        </w:trPr>
        <w:tc>
          <w:tcPr>
            <w:tcW w:w="3081" w:type="dxa"/>
          </w:tcPr>
          <w:p w:rsidR="00703D84" w:rsidRPr="00A461B9" w:rsidRDefault="00703D84" w:rsidP="00A26D3E">
            <w:pPr>
              <w:pStyle w:val="naisf"/>
              <w:spacing w:before="0" w:after="0"/>
              <w:ind w:firstLine="0"/>
              <w:rPr>
                <w:i/>
                <w:sz w:val="28"/>
                <w:szCs w:val="28"/>
              </w:rPr>
            </w:pPr>
            <w:r w:rsidRPr="00A461B9">
              <w:rPr>
                <w:sz w:val="28"/>
                <w:szCs w:val="28"/>
              </w:rPr>
              <w:t xml:space="preserve">1.1. valsts pamatbudžets, tai skaitā ieņēmumi no maksas pakalpojumiem </w:t>
            </w:r>
            <w:r w:rsidRPr="00A461B9">
              <w:rPr>
                <w:sz w:val="28"/>
                <w:szCs w:val="28"/>
              </w:rPr>
              <w:lastRenderedPageBreak/>
              <w:t>un citi pašu ieņēmumi</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lastRenderedPageBreak/>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r>
      <w:tr w:rsidR="00703D84" w:rsidRPr="00A461B9" w:rsidTr="00A26D3E">
        <w:trPr>
          <w:jc w:val="center"/>
        </w:trPr>
        <w:tc>
          <w:tcPr>
            <w:tcW w:w="3081" w:type="dxa"/>
          </w:tcPr>
          <w:p w:rsidR="00703D84" w:rsidRPr="00A461B9" w:rsidRDefault="00703D84" w:rsidP="00A26D3E">
            <w:pPr>
              <w:pStyle w:val="naisf"/>
              <w:spacing w:before="0" w:after="0"/>
              <w:ind w:firstLine="0"/>
              <w:rPr>
                <w:i/>
                <w:sz w:val="28"/>
                <w:szCs w:val="28"/>
              </w:rPr>
            </w:pPr>
            <w:r w:rsidRPr="00A461B9">
              <w:rPr>
                <w:sz w:val="28"/>
                <w:szCs w:val="28"/>
              </w:rPr>
              <w:lastRenderedPageBreak/>
              <w:t>1.2. valsts speciālais budžets</w:t>
            </w:r>
          </w:p>
        </w:tc>
        <w:tc>
          <w:tcPr>
            <w:tcW w:w="1331"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5" w:type="dxa"/>
          </w:tcPr>
          <w:p w:rsidR="00703D84" w:rsidRPr="00A461B9" w:rsidRDefault="00703D84" w:rsidP="00A26D3E">
            <w:pPr>
              <w:pStyle w:val="naisf"/>
              <w:spacing w:before="0" w:after="0"/>
              <w:ind w:firstLine="0"/>
              <w:rPr>
                <w:b/>
                <w:i/>
                <w:sz w:val="28"/>
                <w:szCs w:val="28"/>
              </w:rPr>
            </w:pPr>
          </w:p>
        </w:tc>
        <w:tc>
          <w:tcPr>
            <w:tcW w:w="1406" w:type="dxa"/>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A461B9" w:rsidRDefault="00703D84" w:rsidP="00A26D3E">
            <w:pPr>
              <w:pStyle w:val="naisf"/>
              <w:spacing w:before="0" w:after="0"/>
              <w:ind w:firstLine="0"/>
              <w:rPr>
                <w:i/>
                <w:sz w:val="28"/>
                <w:szCs w:val="28"/>
              </w:rPr>
            </w:pPr>
            <w:r w:rsidRPr="00A461B9">
              <w:rPr>
                <w:sz w:val="28"/>
                <w:szCs w:val="28"/>
              </w:rPr>
              <w:t>1.3. pašvaldību budžets</w:t>
            </w:r>
          </w:p>
        </w:tc>
        <w:tc>
          <w:tcPr>
            <w:tcW w:w="1331"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5" w:type="dxa"/>
          </w:tcPr>
          <w:p w:rsidR="00703D84" w:rsidRPr="00A461B9" w:rsidRDefault="00703D84" w:rsidP="00A26D3E">
            <w:pPr>
              <w:pStyle w:val="naisf"/>
              <w:spacing w:before="0" w:after="0"/>
              <w:ind w:firstLine="0"/>
              <w:rPr>
                <w:b/>
                <w:i/>
                <w:sz w:val="28"/>
                <w:szCs w:val="28"/>
              </w:rPr>
            </w:pPr>
          </w:p>
        </w:tc>
        <w:tc>
          <w:tcPr>
            <w:tcW w:w="1406" w:type="dxa"/>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D05267" w:rsidRDefault="00703D84" w:rsidP="00A26D3E">
            <w:pPr>
              <w:rPr>
                <w:b/>
                <w:sz w:val="28"/>
                <w:szCs w:val="28"/>
              </w:rPr>
            </w:pPr>
            <w:r w:rsidRPr="00D05267">
              <w:rPr>
                <w:b/>
                <w:sz w:val="28"/>
                <w:szCs w:val="28"/>
              </w:rPr>
              <w:t>2. Budžeta izdevumi:</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2.1. valsts pamatbudžets</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2.2. valsts speciālais budžets</w:t>
            </w:r>
          </w:p>
        </w:tc>
        <w:tc>
          <w:tcPr>
            <w:tcW w:w="1331" w:type="dxa"/>
          </w:tcPr>
          <w:p w:rsidR="00703D84" w:rsidRPr="00322910" w:rsidRDefault="00703D84" w:rsidP="00A26D3E">
            <w:pPr>
              <w:pStyle w:val="naisf"/>
              <w:spacing w:before="0" w:after="0"/>
              <w:ind w:firstLine="0"/>
              <w:jc w:val="center"/>
              <w:rPr>
                <w:i/>
                <w:sz w:val="28"/>
                <w:szCs w:val="28"/>
              </w:rPr>
            </w:pPr>
          </w:p>
        </w:tc>
        <w:tc>
          <w:tcPr>
            <w:tcW w:w="1354" w:type="dxa"/>
          </w:tcPr>
          <w:p w:rsidR="00703D84" w:rsidRPr="00322910" w:rsidRDefault="00703D84" w:rsidP="00A26D3E">
            <w:pPr>
              <w:pStyle w:val="naisf"/>
              <w:spacing w:before="0" w:after="0"/>
              <w:ind w:firstLine="0"/>
              <w:jc w:val="center"/>
              <w:rPr>
                <w:i/>
                <w:sz w:val="28"/>
                <w:szCs w:val="28"/>
              </w:rPr>
            </w:pPr>
          </w:p>
        </w:tc>
        <w:tc>
          <w:tcPr>
            <w:tcW w:w="1354" w:type="dxa"/>
          </w:tcPr>
          <w:p w:rsidR="00703D84" w:rsidRPr="00322910" w:rsidRDefault="00703D84" w:rsidP="00A26D3E">
            <w:pPr>
              <w:pStyle w:val="naisf"/>
              <w:spacing w:before="0" w:after="0"/>
              <w:ind w:firstLine="0"/>
              <w:jc w:val="center"/>
              <w:rPr>
                <w:i/>
                <w:sz w:val="28"/>
                <w:szCs w:val="28"/>
              </w:rPr>
            </w:pPr>
          </w:p>
        </w:tc>
        <w:tc>
          <w:tcPr>
            <w:tcW w:w="1355" w:type="dxa"/>
          </w:tcPr>
          <w:p w:rsidR="00703D84" w:rsidRPr="00322910" w:rsidRDefault="00703D84" w:rsidP="00A26D3E">
            <w:pPr>
              <w:pStyle w:val="naisf"/>
              <w:spacing w:before="0" w:after="0"/>
              <w:ind w:firstLine="0"/>
              <w:jc w:val="center"/>
              <w:rPr>
                <w:i/>
                <w:sz w:val="28"/>
                <w:szCs w:val="28"/>
              </w:rPr>
            </w:pPr>
          </w:p>
        </w:tc>
        <w:tc>
          <w:tcPr>
            <w:tcW w:w="1406" w:type="dxa"/>
          </w:tcPr>
          <w:p w:rsidR="00703D84" w:rsidRPr="00322910" w:rsidRDefault="00703D84" w:rsidP="00A26D3E">
            <w:pPr>
              <w:pStyle w:val="naisf"/>
              <w:spacing w:before="0" w:after="0"/>
              <w:ind w:firstLine="0"/>
              <w:jc w:val="center"/>
              <w:rPr>
                <w:i/>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 xml:space="preserve">2.3. pašvaldību budžets </w:t>
            </w:r>
          </w:p>
        </w:tc>
        <w:tc>
          <w:tcPr>
            <w:tcW w:w="1331" w:type="dxa"/>
          </w:tcPr>
          <w:p w:rsidR="00703D84" w:rsidRPr="00322910" w:rsidRDefault="00703D84" w:rsidP="00A26D3E">
            <w:pPr>
              <w:pStyle w:val="naisf"/>
              <w:spacing w:before="0" w:after="0"/>
              <w:ind w:firstLine="0"/>
              <w:jc w:val="center"/>
              <w:rPr>
                <w:i/>
                <w:sz w:val="28"/>
                <w:szCs w:val="28"/>
              </w:rPr>
            </w:pPr>
          </w:p>
        </w:tc>
        <w:tc>
          <w:tcPr>
            <w:tcW w:w="1354" w:type="dxa"/>
          </w:tcPr>
          <w:p w:rsidR="00703D84" w:rsidRPr="00322910" w:rsidRDefault="00703D84" w:rsidP="00A26D3E">
            <w:pPr>
              <w:pStyle w:val="naisf"/>
              <w:spacing w:before="0" w:after="0"/>
              <w:ind w:firstLine="0"/>
              <w:jc w:val="center"/>
              <w:rPr>
                <w:i/>
                <w:sz w:val="28"/>
                <w:szCs w:val="28"/>
              </w:rPr>
            </w:pPr>
          </w:p>
        </w:tc>
        <w:tc>
          <w:tcPr>
            <w:tcW w:w="1354" w:type="dxa"/>
          </w:tcPr>
          <w:p w:rsidR="00703D84" w:rsidRPr="00322910" w:rsidRDefault="00703D84" w:rsidP="00A26D3E">
            <w:pPr>
              <w:pStyle w:val="naisf"/>
              <w:spacing w:before="0" w:after="0"/>
              <w:ind w:firstLine="0"/>
              <w:jc w:val="center"/>
              <w:rPr>
                <w:i/>
                <w:sz w:val="28"/>
                <w:szCs w:val="28"/>
              </w:rPr>
            </w:pPr>
          </w:p>
        </w:tc>
        <w:tc>
          <w:tcPr>
            <w:tcW w:w="1355" w:type="dxa"/>
          </w:tcPr>
          <w:p w:rsidR="00703D84" w:rsidRPr="00322910" w:rsidRDefault="00703D84" w:rsidP="00A26D3E">
            <w:pPr>
              <w:pStyle w:val="naisf"/>
              <w:spacing w:before="0" w:after="0"/>
              <w:ind w:firstLine="0"/>
              <w:jc w:val="center"/>
              <w:rPr>
                <w:i/>
                <w:sz w:val="28"/>
                <w:szCs w:val="28"/>
              </w:rPr>
            </w:pPr>
          </w:p>
        </w:tc>
        <w:tc>
          <w:tcPr>
            <w:tcW w:w="1406" w:type="dxa"/>
          </w:tcPr>
          <w:p w:rsidR="00703D84" w:rsidRPr="00322910" w:rsidRDefault="00703D84" w:rsidP="00A26D3E">
            <w:pPr>
              <w:pStyle w:val="naisf"/>
              <w:spacing w:before="0" w:after="0"/>
              <w:ind w:firstLine="0"/>
              <w:jc w:val="center"/>
              <w:rPr>
                <w:i/>
                <w:sz w:val="28"/>
                <w:szCs w:val="28"/>
              </w:rPr>
            </w:pPr>
          </w:p>
        </w:tc>
      </w:tr>
      <w:tr w:rsidR="00703D84" w:rsidRPr="00A461B9" w:rsidTr="00A26D3E">
        <w:trPr>
          <w:jc w:val="center"/>
        </w:trPr>
        <w:tc>
          <w:tcPr>
            <w:tcW w:w="3081" w:type="dxa"/>
          </w:tcPr>
          <w:p w:rsidR="00703D84" w:rsidRPr="000F0DAB" w:rsidRDefault="00703D84" w:rsidP="00A26D3E">
            <w:pPr>
              <w:rPr>
                <w:b/>
                <w:sz w:val="28"/>
                <w:szCs w:val="28"/>
              </w:rPr>
            </w:pPr>
            <w:r w:rsidRPr="000F0DAB">
              <w:rPr>
                <w:b/>
                <w:sz w:val="28"/>
                <w:szCs w:val="28"/>
              </w:rPr>
              <w:t>3. Finansiālā ietekme:</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3.1. valsts pamatbudžets</w:t>
            </w:r>
          </w:p>
        </w:tc>
        <w:tc>
          <w:tcPr>
            <w:tcW w:w="1331"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3.2. speciālais budžets</w:t>
            </w:r>
          </w:p>
        </w:tc>
        <w:tc>
          <w:tcPr>
            <w:tcW w:w="1331" w:type="dxa"/>
          </w:tcPr>
          <w:p w:rsidR="00703D84" w:rsidRPr="000F0DAB" w:rsidRDefault="00703D84" w:rsidP="00A26D3E">
            <w:pPr>
              <w:pStyle w:val="naisf"/>
              <w:spacing w:before="0" w:after="0"/>
              <w:ind w:firstLine="0"/>
              <w:jc w:val="center"/>
              <w:rPr>
                <w:i/>
                <w:sz w:val="28"/>
                <w:szCs w:val="28"/>
              </w:rPr>
            </w:pPr>
          </w:p>
        </w:tc>
        <w:tc>
          <w:tcPr>
            <w:tcW w:w="1354" w:type="dxa"/>
          </w:tcPr>
          <w:p w:rsidR="00703D84" w:rsidRPr="000F0DAB" w:rsidRDefault="00703D84" w:rsidP="00A26D3E">
            <w:pPr>
              <w:pStyle w:val="naisf"/>
              <w:spacing w:before="0" w:after="0"/>
              <w:ind w:firstLine="0"/>
              <w:jc w:val="center"/>
              <w:rPr>
                <w:i/>
                <w:sz w:val="28"/>
                <w:szCs w:val="28"/>
              </w:rPr>
            </w:pPr>
          </w:p>
        </w:tc>
        <w:tc>
          <w:tcPr>
            <w:tcW w:w="1354" w:type="dxa"/>
          </w:tcPr>
          <w:p w:rsidR="00703D84" w:rsidRPr="00322910" w:rsidRDefault="00703D84" w:rsidP="00A26D3E">
            <w:pPr>
              <w:pStyle w:val="naisf"/>
              <w:spacing w:before="0" w:after="0"/>
              <w:ind w:firstLine="0"/>
              <w:jc w:val="center"/>
              <w:rPr>
                <w:sz w:val="28"/>
                <w:szCs w:val="28"/>
              </w:rPr>
            </w:pPr>
          </w:p>
        </w:tc>
        <w:tc>
          <w:tcPr>
            <w:tcW w:w="1355" w:type="dxa"/>
          </w:tcPr>
          <w:p w:rsidR="00703D84" w:rsidRPr="00322910" w:rsidRDefault="00703D84" w:rsidP="00A26D3E">
            <w:pPr>
              <w:pStyle w:val="naisf"/>
              <w:spacing w:before="0" w:after="0"/>
              <w:ind w:firstLine="0"/>
              <w:jc w:val="center"/>
              <w:rPr>
                <w:sz w:val="28"/>
                <w:szCs w:val="28"/>
              </w:rPr>
            </w:pPr>
          </w:p>
        </w:tc>
        <w:tc>
          <w:tcPr>
            <w:tcW w:w="1406" w:type="dxa"/>
          </w:tcPr>
          <w:p w:rsidR="00703D84" w:rsidRPr="00322910" w:rsidRDefault="00703D84" w:rsidP="00A26D3E">
            <w:pPr>
              <w:pStyle w:val="naisf"/>
              <w:spacing w:before="0" w:after="0"/>
              <w:ind w:firstLine="0"/>
              <w:jc w:val="center"/>
              <w:rPr>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 xml:space="preserve">3.3. pašvaldību budžets </w:t>
            </w:r>
          </w:p>
        </w:tc>
        <w:tc>
          <w:tcPr>
            <w:tcW w:w="1331" w:type="dxa"/>
          </w:tcPr>
          <w:p w:rsidR="00703D84" w:rsidRPr="000F0DAB" w:rsidRDefault="00703D84" w:rsidP="00A26D3E">
            <w:pPr>
              <w:pStyle w:val="naisf"/>
              <w:spacing w:before="0" w:after="0"/>
              <w:ind w:firstLine="0"/>
              <w:rPr>
                <w:i/>
                <w:sz w:val="28"/>
                <w:szCs w:val="28"/>
              </w:rPr>
            </w:pPr>
          </w:p>
        </w:tc>
        <w:tc>
          <w:tcPr>
            <w:tcW w:w="1354" w:type="dxa"/>
          </w:tcPr>
          <w:p w:rsidR="00703D84" w:rsidRPr="000F0DAB" w:rsidRDefault="00703D84" w:rsidP="00A26D3E">
            <w:pPr>
              <w:pStyle w:val="naisf"/>
              <w:spacing w:before="0" w:after="0"/>
              <w:ind w:firstLine="0"/>
              <w:rPr>
                <w:i/>
                <w:sz w:val="28"/>
                <w:szCs w:val="28"/>
              </w:rPr>
            </w:pPr>
          </w:p>
        </w:tc>
        <w:tc>
          <w:tcPr>
            <w:tcW w:w="1354" w:type="dxa"/>
          </w:tcPr>
          <w:p w:rsidR="00703D84" w:rsidRPr="00322910" w:rsidRDefault="00703D84" w:rsidP="00A26D3E">
            <w:pPr>
              <w:pStyle w:val="naisf"/>
              <w:spacing w:before="0" w:after="0"/>
              <w:ind w:firstLine="0"/>
              <w:rPr>
                <w:sz w:val="28"/>
                <w:szCs w:val="28"/>
              </w:rPr>
            </w:pPr>
          </w:p>
        </w:tc>
        <w:tc>
          <w:tcPr>
            <w:tcW w:w="1355" w:type="dxa"/>
          </w:tcPr>
          <w:p w:rsidR="00703D84" w:rsidRPr="00322910" w:rsidRDefault="00703D84" w:rsidP="00A26D3E">
            <w:pPr>
              <w:pStyle w:val="naisf"/>
              <w:spacing w:before="0" w:after="0"/>
              <w:ind w:firstLine="0"/>
              <w:rPr>
                <w:sz w:val="28"/>
                <w:szCs w:val="28"/>
              </w:rPr>
            </w:pPr>
          </w:p>
        </w:tc>
        <w:tc>
          <w:tcPr>
            <w:tcW w:w="1406" w:type="dxa"/>
          </w:tcPr>
          <w:p w:rsidR="00703D84" w:rsidRPr="00322910" w:rsidRDefault="00703D84" w:rsidP="00A26D3E">
            <w:pPr>
              <w:pStyle w:val="naisf"/>
              <w:spacing w:before="0" w:after="0"/>
              <w:ind w:firstLine="0"/>
              <w:rPr>
                <w:sz w:val="28"/>
                <w:szCs w:val="28"/>
              </w:rPr>
            </w:pPr>
          </w:p>
        </w:tc>
      </w:tr>
      <w:tr w:rsidR="00703D84" w:rsidRPr="00A461B9" w:rsidTr="00A26D3E">
        <w:trPr>
          <w:jc w:val="center"/>
        </w:trPr>
        <w:tc>
          <w:tcPr>
            <w:tcW w:w="3081" w:type="dxa"/>
            <w:vMerge w:val="restart"/>
          </w:tcPr>
          <w:p w:rsidR="00703D84" w:rsidRPr="00A461B9" w:rsidRDefault="00703D84" w:rsidP="00A26D3E">
            <w:pPr>
              <w:rPr>
                <w:sz w:val="28"/>
                <w:szCs w:val="28"/>
              </w:rPr>
            </w:pPr>
            <w:r w:rsidRPr="000F0DAB">
              <w:rPr>
                <w:b/>
                <w:sz w:val="28"/>
                <w:szCs w:val="28"/>
              </w:rPr>
              <w:t>4. Finanšu līdzekļi papildu izde</w:t>
            </w:r>
            <w:r w:rsidRPr="000F0DAB">
              <w:rPr>
                <w:b/>
                <w:sz w:val="28"/>
                <w:szCs w:val="28"/>
              </w:rPr>
              <w:softHyphen/>
              <w:t>vumu finansēšanai</w:t>
            </w:r>
            <w:r w:rsidRPr="00A461B9">
              <w:rPr>
                <w:sz w:val="28"/>
                <w:szCs w:val="28"/>
              </w:rPr>
              <w:t xml:space="preserve"> (kompensējošu izdevumu samazinājumu norāda ar "+" zīmi)</w:t>
            </w:r>
          </w:p>
        </w:tc>
        <w:tc>
          <w:tcPr>
            <w:tcW w:w="1331" w:type="dxa"/>
            <w:vMerge w:val="restart"/>
          </w:tcPr>
          <w:p w:rsidR="00703D84" w:rsidRPr="00A461B9" w:rsidRDefault="00703D84" w:rsidP="00A26D3E">
            <w:pPr>
              <w:pStyle w:val="naisf"/>
              <w:spacing w:before="0" w:after="0"/>
              <w:ind w:firstLine="0"/>
              <w:jc w:val="center"/>
              <w:rPr>
                <w:i/>
                <w:sz w:val="28"/>
                <w:szCs w:val="28"/>
              </w:rPr>
            </w:pPr>
            <w:r w:rsidRPr="00A461B9">
              <w:rPr>
                <w:sz w:val="28"/>
                <w:szCs w:val="28"/>
              </w:rPr>
              <w:t>X</w:t>
            </w:r>
          </w:p>
        </w:tc>
        <w:tc>
          <w:tcPr>
            <w:tcW w:w="1354" w:type="dxa"/>
          </w:tcPr>
          <w:p w:rsidR="00703D84" w:rsidRPr="00322910" w:rsidRDefault="00703D84" w:rsidP="00A26D3E">
            <w:pPr>
              <w:pStyle w:val="naisf"/>
              <w:spacing w:before="0" w:after="0"/>
              <w:ind w:firstLine="0"/>
              <w:jc w:val="center"/>
              <w:rPr>
                <w:i/>
                <w:sz w:val="28"/>
                <w:szCs w:val="28"/>
              </w:rPr>
            </w:pPr>
            <w:r w:rsidRPr="00322910">
              <w:rPr>
                <w:sz w:val="28"/>
                <w:szCs w:val="28"/>
              </w:rPr>
              <w:t>+3,4</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0</w:t>
            </w:r>
          </w:p>
        </w:tc>
      </w:tr>
      <w:tr w:rsidR="00703D84" w:rsidRPr="00A461B9" w:rsidTr="00A26D3E">
        <w:trPr>
          <w:jc w:val="center"/>
        </w:trPr>
        <w:tc>
          <w:tcPr>
            <w:tcW w:w="3081" w:type="dxa"/>
            <w:vMerge/>
          </w:tcPr>
          <w:p w:rsidR="00703D84" w:rsidRPr="00A461B9" w:rsidRDefault="00703D84" w:rsidP="00A26D3E">
            <w:pPr>
              <w:rPr>
                <w:sz w:val="28"/>
                <w:szCs w:val="28"/>
              </w:rPr>
            </w:pPr>
          </w:p>
        </w:tc>
        <w:tc>
          <w:tcPr>
            <w:tcW w:w="1331" w:type="dxa"/>
            <w:vMerge/>
          </w:tcPr>
          <w:p w:rsidR="00703D84" w:rsidRPr="00A461B9" w:rsidRDefault="00703D84" w:rsidP="00A26D3E">
            <w:pPr>
              <w:pStyle w:val="naisf"/>
              <w:spacing w:before="0" w:after="0"/>
              <w:ind w:firstLine="0"/>
              <w:jc w:val="center"/>
              <w:rPr>
                <w:i/>
                <w:sz w:val="28"/>
                <w:szCs w:val="28"/>
              </w:rPr>
            </w:pPr>
          </w:p>
        </w:tc>
        <w:tc>
          <w:tcPr>
            <w:tcW w:w="1354" w:type="dxa"/>
          </w:tcPr>
          <w:p w:rsidR="00703D84" w:rsidRPr="00A461B9" w:rsidRDefault="00703D84" w:rsidP="00A26D3E">
            <w:pPr>
              <w:pStyle w:val="naisf"/>
              <w:spacing w:before="0" w:after="0"/>
              <w:ind w:firstLine="0"/>
              <w:jc w:val="center"/>
              <w:rPr>
                <w:b/>
                <w:i/>
                <w:sz w:val="28"/>
                <w:szCs w:val="28"/>
              </w:rPr>
            </w:pPr>
          </w:p>
        </w:tc>
        <w:tc>
          <w:tcPr>
            <w:tcW w:w="1354" w:type="dxa"/>
          </w:tcPr>
          <w:p w:rsidR="00703D84" w:rsidRPr="00A461B9" w:rsidRDefault="00703D84" w:rsidP="00A26D3E">
            <w:pPr>
              <w:pStyle w:val="naisf"/>
              <w:spacing w:before="0" w:after="0"/>
              <w:ind w:firstLine="0"/>
              <w:jc w:val="center"/>
              <w:rPr>
                <w:b/>
                <w:i/>
                <w:sz w:val="28"/>
                <w:szCs w:val="28"/>
              </w:rPr>
            </w:pPr>
          </w:p>
        </w:tc>
        <w:tc>
          <w:tcPr>
            <w:tcW w:w="1355" w:type="dxa"/>
          </w:tcPr>
          <w:p w:rsidR="00703D84" w:rsidRPr="00A461B9" w:rsidRDefault="00703D84" w:rsidP="00A26D3E">
            <w:pPr>
              <w:pStyle w:val="naisf"/>
              <w:spacing w:before="0" w:after="0"/>
              <w:ind w:firstLine="0"/>
              <w:jc w:val="center"/>
              <w:rPr>
                <w:b/>
                <w:i/>
                <w:sz w:val="28"/>
                <w:szCs w:val="28"/>
              </w:rPr>
            </w:pPr>
          </w:p>
        </w:tc>
        <w:tc>
          <w:tcPr>
            <w:tcW w:w="1406" w:type="dxa"/>
          </w:tcPr>
          <w:p w:rsidR="00703D84" w:rsidRPr="00A461B9" w:rsidRDefault="00703D84" w:rsidP="00A26D3E">
            <w:pPr>
              <w:pStyle w:val="naisf"/>
              <w:spacing w:before="0" w:after="0"/>
              <w:ind w:firstLine="0"/>
              <w:jc w:val="center"/>
              <w:rPr>
                <w:b/>
                <w:i/>
                <w:sz w:val="28"/>
                <w:szCs w:val="28"/>
              </w:rPr>
            </w:pPr>
          </w:p>
        </w:tc>
      </w:tr>
      <w:tr w:rsidR="00703D84" w:rsidRPr="00A461B9" w:rsidTr="00A26D3E">
        <w:trPr>
          <w:jc w:val="center"/>
        </w:trPr>
        <w:tc>
          <w:tcPr>
            <w:tcW w:w="3081" w:type="dxa"/>
            <w:vMerge/>
          </w:tcPr>
          <w:p w:rsidR="00703D84" w:rsidRPr="00A461B9" w:rsidRDefault="00703D84" w:rsidP="00A26D3E">
            <w:pPr>
              <w:rPr>
                <w:sz w:val="28"/>
                <w:szCs w:val="28"/>
              </w:rPr>
            </w:pPr>
          </w:p>
        </w:tc>
        <w:tc>
          <w:tcPr>
            <w:tcW w:w="1331" w:type="dxa"/>
            <w:vMerge/>
          </w:tcPr>
          <w:p w:rsidR="00703D84" w:rsidRPr="00A461B9" w:rsidRDefault="00703D84" w:rsidP="00A26D3E">
            <w:pPr>
              <w:pStyle w:val="naisf"/>
              <w:spacing w:before="0" w:after="0"/>
              <w:ind w:firstLine="0"/>
              <w:jc w:val="center"/>
              <w:rPr>
                <w:i/>
                <w:sz w:val="28"/>
                <w:szCs w:val="28"/>
              </w:rPr>
            </w:pPr>
          </w:p>
        </w:tc>
        <w:tc>
          <w:tcPr>
            <w:tcW w:w="1354" w:type="dxa"/>
          </w:tcPr>
          <w:p w:rsidR="00703D84" w:rsidRPr="00A461B9" w:rsidRDefault="00703D84" w:rsidP="00A26D3E">
            <w:pPr>
              <w:pStyle w:val="naisf"/>
              <w:spacing w:before="0" w:after="0"/>
              <w:ind w:firstLine="0"/>
              <w:jc w:val="center"/>
              <w:rPr>
                <w:b/>
                <w:i/>
                <w:sz w:val="28"/>
                <w:szCs w:val="28"/>
              </w:rPr>
            </w:pPr>
          </w:p>
        </w:tc>
        <w:tc>
          <w:tcPr>
            <w:tcW w:w="1354" w:type="dxa"/>
          </w:tcPr>
          <w:p w:rsidR="00703D84" w:rsidRPr="00A461B9" w:rsidRDefault="00703D84" w:rsidP="00A26D3E">
            <w:pPr>
              <w:pStyle w:val="naisf"/>
              <w:spacing w:before="0" w:after="0"/>
              <w:ind w:firstLine="0"/>
              <w:jc w:val="center"/>
              <w:rPr>
                <w:b/>
                <w:i/>
                <w:sz w:val="28"/>
                <w:szCs w:val="28"/>
              </w:rPr>
            </w:pPr>
          </w:p>
        </w:tc>
        <w:tc>
          <w:tcPr>
            <w:tcW w:w="1355" w:type="dxa"/>
          </w:tcPr>
          <w:p w:rsidR="00703D84" w:rsidRPr="00A461B9" w:rsidRDefault="00703D84" w:rsidP="00A26D3E">
            <w:pPr>
              <w:pStyle w:val="naisf"/>
              <w:spacing w:before="0" w:after="0"/>
              <w:ind w:firstLine="0"/>
              <w:jc w:val="center"/>
              <w:rPr>
                <w:b/>
                <w:i/>
                <w:sz w:val="28"/>
                <w:szCs w:val="28"/>
              </w:rPr>
            </w:pPr>
          </w:p>
        </w:tc>
        <w:tc>
          <w:tcPr>
            <w:tcW w:w="1406" w:type="dxa"/>
          </w:tcPr>
          <w:p w:rsidR="00703D84" w:rsidRPr="00A461B9" w:rsidRDefault="00703D84" w:rsidP="00A26D3E">
            <w:pPr>
              <w:pStyle w:val="naisf"/>
              <w:spacing w:before="0" w:after="0"/>
              <w:ind w:firstLine="0"/>
              <w:jc w:val="center"/>
              <w:rPr>
                <w:b/>
                <w:i/>
                <w:sz w:val="28"/>
                <w:szCs w:val="28"/>
              </w:rPr>
            </w:pPr>
          </w:p>
        </w:tc>
      </w:tr>
      <w:tr w:rsidR="00703D84" w:rsidRPr="00A461B9" w:rsidTr="00A26D3E">
        <w:trPr>
          <w:jc w:val="center"/>
        </w:trPr>
        <w:tc>
          <w:tcPr>
            <w:tcW w:w="3081" w:type="dxa"/>
          </w:tcPr>
          <w:p w:rsidR="00703D84" w:rsidRPr="000F0DAB" w:rsidRDefault="00703D84" w:rsidP="00A26D3E">
            <w:pPr>
              <w:rPr>
                <w:b/>
                <w:sz w:val="28"/>
                <w:szCs w:val="28"/>
              </w:rPr>
            </w:pPr>
            <w:r w:rsidRPr="000F0DAB">
              <w:rPr>
                <w:b/>
                <w:sz w:val="28"/>
                <w:szCs w:val="28"/>
              </w:rPr>
              <w:t>5. Precizēta finansiālā ietekme:</w:t>
            </w:r>
          </w:p>
        </w:tc>
        <w:tc>
          <w:tcPr>
            <w:tcW w:w="1331" w:type="dxa"/>
            <w:vMerge w:val="restart"/>
          </w:tcPr>
          <w:p w:rsidR="00703D84" w:rsidRPr="00A461B9" w:rsidRDefault="00703D84" w:rsidP="00A26D3E">
            <w:pPr>
              <w:pStyle w:val="naisf"/>
              <w:spacing w:before="0" w:after="0"/>
              <w:ind w:firstLine="0"/>
              <w:jc w:val="center"/>
              <w:rPr>
                <w:i/>
                <w:sz w:val="28"/>
                <w:szCs w:val="28"/>
              </w:rPr>
            </w:pPr>
            <w:r w:rsidRPr="00A461B9">
              <w:rPr>
                <w:sz w:val="28"/>
                <w:szCs w:val="28"/>
              </w:rPr>
              <w:t>X</w:t>
            </w:r>
          </w:p>
        </w:tc>
        <w:tc>
          <w:tcPr>
            <w:tcW w:w="1354" w:type="dxa"/>
          </w:tcPr>
          <w:p w:rsidR="00703D84" w:rsidRPr="00A461B9" w:rsidRDefault="00703D84" w:rsidP="00A26D3E">
            <w:pPr>
              <w:pStyle w:val="naisf"/>
              <w:spacing w:before="0" w:after="0"/>
              <w:ind w:firstLine="0"/>
              <w:jc w:val="center"/>
              <w:rPr>
                <w:b/>
                <w:i/>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5.1. valsts pamatbudžets</w:t>
            </w:r>
          </w:p>
        </w:tc>
        <w:tc>
          <w:tcPr>
            <w:tcW w:w="1331" w:type="dxa"/>
            <w:vMerge/>
            <w:vAlign w:val="center"/>
          </w:tcPr>
          <w:p w:rsidR="00703D84" w:rsidRPr="00A461B9" w:rsidRDefault="00703D84" w:rsidP="00A26D3E">
            <w:pPr>
              <w:pStyle w:val="naisf"/>
              <w:spacing w:before="0" w:after="0"/>
              <w:ind w:firstLine="0"/>
              <w:jc w:val="center"/>
              <w:rPr>
                <w:i/>
                <w:sz w:val="28"/>
                <w:szCs w:val="28"/>
              </w:rPr>
            </w:pPr>
          </w:p>
        </w:tc>
        <w:tc>
          <w:tcPr>
            <w:tcW w:w="1354" w:type="dxa"/>
          </w:tcPr>
          <w:p w:rsidR="00703D84" w:rsidRPr="00A461B9" w:rsidRDefault="00703D84" w:rsidP="00A26D3E">
            <w:pPr>
              <w:pStyle w:val="naisf"/>
              <w:spacing w:before="0" w:after="0"/>
              <w:ind w:firstLine="0"/>
              <w:jc w:val="center"/>
              <w:rPr>
                <w:b/>
                <w:i/>
                <w:sz w:val="28"/>
                <w:szCs w:val="28"/>
              </w:rPr>
            </w:pPr>
            <w:r w:rsidRPr="00322910">
              <w:rPr>
                <w:sz w:val="28"/>
                <w:szCs w:val="28"/>
              </w:rPr>
              <w:t>0</w:t>
            </w:r>
          </w:p>
        </w:tc>
        <w:tc>
          <w:tcPr>
            <w:tcW w:w="1354"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355"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c>
          <w:tcPr>
            <w:tcW w:w="1406" w:type="dxa"/>
          </w:tcPr>
          <w:p w:rsidR="00703D84" w:rsidRPr="00322910" w:rsidRDefault="00703D84" w:rsidP="00A26D3E">
            <w:pPr>
              <w:pStyle w:val="naisf"/>
              <w:spacing w:before="0" w:after="0"/>
              <w:ind w:firstLine="0"/>
              <w:jc w:val="center"/>
              <w:rPr>
                <w:sz w:val="28"/>
                <w:szCs w:val="28"/>
              </w:rPr>
            </w:pPr>
            <w:r w:rsidRPr="00322910">
              <w:rPr>
                <w:sz w:val="28"/>
                <w:szCs w:val="28"/>
              </w:rPr>
              <w:t>-3,4</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5.2. speciālais budžets</w:t>
            </w:r>
          </w:p>
        </w:tc>
        <w:tc>
          <w:tcPr>
            <w:tcW w:w="1331" w:type="dxa"/>
            <w:vMerge/>
            <w:vAlign w:val="center"/>
          </w:tcPr>
          <w:p w:rsidR="00703D84" w:rsidRPr="00A461B9" w:rsidRDefault="00703D84" w:rsidP="00A26D3E">
            <w:pPr>
              <w:pStyle w:val="naisf"/>
              <w:spacing w:before="0" w:after="0"/>
              <w:ind w:firstLine="0"/>
              <w:jc w:val="center"/>
              <w:rPr>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5" w:type="dxa"/>
          </w:tcPr>
          <w:p w:rsidR="00703D84" w:rsidRPr="00A461B9" w:rsidRDefault="00703D84" w:rsidP="00A26D3E">
            <w:pPr>
              <w:pStyle w:val="naisf"/>
              <w:spacing w:before="0" w:after="0"/>
              <w:ind w:firstLine="0"/>
              <w:rPr>
                <w:b/>
                <w:i/>
                <w:sz w:val="28"/>
                <w:szCs w:val="28"/>
              </w:rPr>
            </w:pPr>
          </w:p>
        </w:tc>
        <w:tc>
          <w:tcPr>
            <w:tcW w:w="1406" w:type="dxa"/>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 xml:space="preserve">5.3. pašvaldību budžets </w:t>
            </w:r>
          </w:p>
        </w:tc>
        <w:tc>
          <w:tcPr>
            <w:tcW w:w="1331" w:type="dxa"/>
            <w:vMerge/>
            <w:vAlign w:val="center"/>
          </w:tcPr>
          <w:p w:rsidR="00703D84" w:rsidRPr="00A461B9" w:rsidRDefault="00703D84" w:rsidP="00A26D3E">
            <w:pPr>
              <w:pStyle w:val="naisf"/>
              <w:spacing w:before="0" w:after="0"/>
              <w:ind w:firstLine="0"/>
              <w:jc w:val="center"/>
              <w:rPr>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4" w:type="dxa"/>
          </w:tcPr>
          <w:p w:rsidR="00703D84" w:rsidRPr="00A461B9" w:rsidRDefault="00703D84" w:rsidP="00A26D3E">
            <w:pPr>
              <w:pStyle w:val="naisf"/>
              <w:spacing w:before="0" w:after="0"/>
              <w:ind w:firstLine="0"/>
              <w:rPr>
                <w:b/>
                <w:i/>
                <w:sz w:val="28"/>
                <w:szCs w:val="28"/>
              </w:rPr>
            </w:pPr>
          </w:p>
        </w:tc>
        <w:tc>
          <w:tcPr>
            <w:tcW w:w="1355" w:type="dxa"/>
          </w:tcPr>
          <w:p w:rsidR="00703D84" w:rsidRPr="00A461B9" w:rsidRDefault="00703D84" w:rsidP="00A26D3E">
            <w:pPr>
              <w:pStyle w:val="naisf"/>
              <w:spacing w:before="0" w:after="0"/>
              <w:ind w:firstLine="0"/>
              <w:rPr>
                <w:b/>
                <w:i/>
                <w:sz w:val="28"/>
                <w:szCs w:val="28"/>
              </w:rPr>
            </w:pPr>
          </w:p>
        </w:tc>
        <w:tc>
          <w:tcPr>
            <w:tcW w:w="1406" w:type="dxa"/>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6. Detalizēts ieņēmumu un izdevu</w:t>
            </w:r>
            <w:r w:rsidRPr="00A461B9">
              <w:rPr>
                <w:sz w:val="28"/>
                <w:szCs w:val="28"/>
              </w:rPr>
              <w:softHyphen/>
              <w:t>mu aprēķins (ja nepieciešams, detalizētu ieņēmumu un izdevumu aprēķinu var pievienot anotācijas pielikumā):</w:t>
            </w:r>
          </w:p>
        </w:tc>
        <w:tc>
          <w:tcPr>
            <w:tcW w:w="6800" w:type="dxa"/>
            <w:gridSpan w:val="5"/>
            <w:vMerge w:val="restart"/>
            <w:vAlign w:val="center"/>
          </w:tcPr>
          <w:p w:rsidR="00703D84" w:rsidRDefault="00703D84" w:rsidP="00A26D3E">
            <w:pPr>
              <w:pStyle w:val="naiskr"/>
              <w:spacing w:before="0" w:after="0"/>
              <w:rPr>
                <w:sz w:val="28"/>
                <w:szCs w:val="28"/>
              </w:rPr>
            </w:pPr>
            <w:r w:rsidRPr="00E056D9">
              <w:rPr>
                <w:sz w:val="28"/>
                <w:szCs w:val="28"/>
              </w:rPr>
              <w:t>Lai sniegtu atbalstu drošības un sabiedriskās kārtības nodrošināšanā, 201</w:t>
            </w:r>
            <w:r>
              <w:rPr>
                <w:sz w:val="28"/>
                <w:szCs w:val="28"/>
              </w:rPr>
              <w:t>1</w:t>
            </w:r>
            <w:r w:rsidRPr="00E056D9">
              <w:rPr>
                <w:sz w:val="28"/>
                <w:szCs w:val="28"/>
              </w:rPr>
              <w:t xml:space="preserve">.gadā nepieciešams finansējums </w:t>
            </w:r>
            <w:smartTag w:uri="schemas-tilde-lv/tildestengine" w:element="currency2">
              <w:smartTagPr>
                <w:attr w:name="currency_text" w:val="Ls"/>
                <w:attr w:name="currency_value" w:val="3"/>
                <w:attr w:name="currency_key" w:val="LVL"/>
                <w:attr w:name="currency_id" w:val="48"/>
              </w:smartTagPr>
              <w:r w:rsidRPr="00E056D9">
                <w:rPr>
                  <w:sz w:val="28"/>
                  <w:szCs w:val="28"/>
                </w:rPr>
                <w:t>Ls</w:t>
              </w:r>
              <w:r>
                <w:rPr>
                  <w:sz w:val="28"/>
                  <w:szCs w:val="28"/>
                </w:rPr>
                <w:t> </w:t>
              </w:r>
              <w:r w:rsidRPr="00E056D9">
                <w:rPr>
                  <w:sz w:val="28"/>
                  <w:szCs w:val="28"/>
                </w:rPr>
                <w:t>3</w:t>
              </w:r>
            </w:smartTag>
            <w:r>
              <w:rPr>
                <w:sz w:val="28"/>
                <w:szCs w:val="28"/>
              </w:rPr>
              <w:t> </w:t>
            </w:r>
            <w:r w:rsidRPr="00E056D9">
              <w:rPr>
                <w:sz w:val="28"/>
                <w:szCs w:val="28"/>
              </w:rPr>
              <w:t>4</w:t>
            </w:r>
            <w:r>
              <w:rPr>
                <w:sz w:val="28"/>
                <w:szCs w:val="28"/>
              </w:rPr>
              <w:t>18, no tiem:</w:t>
            </w:r>
          </w:p>
          <w:p w:rsidR="00703D84" w:rsidRPr="003751D9" w:rsidRDefault="00703D84" w:rsidP="00A26D3E">
            <w:pPr>
              <w:pStyle w:val="naiskr"/>
              <w:spacing w:before="0" w:after="0"/>
              <w:rPr>
                <w:sz w:val="28"/>
                <w:szCs w:val="28"/>
              </w:rPr>
            </w:pPr>
            <w:r>
              <w:rPr>
                <w:b/>
                <w:sz w:val="28"/>
                <w:szCs w:val="28"/>
              </w:rPr>
              <w:t xml:space="preserve">1. Atlīdzība – </w:t>
            </w:r>
            <w:smartTag w:uri="schemas-tilde-lv/tildestengine" w:element="currency2">
              <w:smartTagPr>
                <w:attr w:name="currency_text" w:val="Ls"/>
                <w:attr w:name="currency_value" w:val="2"/>
                <w:attr w:name="currency_key" w:val="LVL"/>
                <w:attr w:name="currency_id" w:val="48"/>
              </w:smartTagPr>
              <w:r>
                <w:rPr>
                  <w:b/>
                  <w:sz w:val="28"/>
                  <w:szCs w:val="28"/>
                </w:rPr>
                <w:t>Ls 2</w:t>
              </w:r>
            </w:smartTag>
            <w:r>
              <w:rPr>
                <w:b/>
                <w:sz w:val="28"/>
                <w:szCs w:val="28"/>
              </w:rPr>
              <w:t xml:space="preserve"> 250, </w:t>
            </w:r>
            <w:r>
              <w:rPr>
                <w:sz w:val="28"/>
                <w:szCs w:val="28"/>
              </w:rPr>
              <w:t>darba devēja sociāla rakstura pabalsti un kompensācijas - dienesta uzdevumu izpildes kompensācijas zemessargiem (</w:t>
            </w:r>
            <w:smartTag w:uri="schemas-tilde-lv/tildestengine" w:element="currency2">
              <w:smartTagPr>
                <w:attr w:name="currency_text" w:val="Ls"/>
                <w:attr w:name="currency_value" w:val="15"/>
                <w:attr w:name="currency_key" w:val="LVL"/>
                <w:attr w:name="currency_id" w:val="48"/>
              </w:smartTagPr>
              <w:r w:rsidRPr="003751D9">
                <w:rPr>
                  <w:sz w:val="28"/>
                  <w:szCs w:val="28"/>
                </w:rPr>
                <w:t>Ls 15</w:t>
              </w:r>
            </w:smartTag>
            <w:r w:rsidRPr="003751D9">
              <w:rPr>
                <w:sz w:val="28"/>
                <w:szCs w:val="28"/>
              </w:rPr>
              <w:t xml:space="preserve"> (</w:t>
            </w:r>
            <w:proofErr w:type="spellStart"/>
            <w:r w:rsidRPr="003751D9">
              <w:rPr>
                <w:sz w:val="28"/>
                <w:szCs w:val="28"/>
              </w:rPr>
              <w:t>vid.zs</w:t>
            </w:r>
            <w:proofErr w:type="spellEnd"/>
            <w:r w:rsidRPr="003751D9">
              <w:rPr>
                <w:sz w:val="28"/>
                <w:szCs w:val="28"/>
              </w:rPr>
              <w:t>/d) x 150 cilvēkdienas).</w:t>
            </w:r>
          </w:p>
          <w:p w:rsidR="00703D84" w:rsidRPr="007102F5" w:rsidRDefault="00703D84" w:rsidP="00A26D3E">
            <w:pPr>
              <w:pStyle w:val="naiskr"/>
              <w:spacing w:before="0" w:after="0"/>
              <w:rPr>
                <w:sz w:val="28"/>
                <w:szCs w:val="28"/>
              </w:rPr>
            </w:pPr>
            <w:r>
              <w:rPr>
                <w:b/>
                <w:sz w:val="28"/>
                <w:szCs w:val="28"/>
              </w:rPr>
              <w:t>2. Kārtējie izdevumi (preces un pakalpojumi) – </w:t>
            </w:r>
            <w:smartTag w:uri="schemas-tilde-lv/tildestengine" w:element="currency2">
              <w:smartTagPr>
                <w:attr w:name="currency_text" w:val="Ls"/>
                <w:attr w:name="currency_value" w:val="3"/>
                <w:attr w:name="currency_key" w:val="LVL"/>
                <w:attr w:name="currency_id" w:val="48"/>
              </w:smartTagPr>
              <w:r>
                <w:rPr>
                  <w:b/>
                  <w:sz w:val="28"/>
                  <w:szCs w:val="28"/>
                </w:rPr>
                <w:t>Ls 1</w:t>
              </w:r>
            </w:smartTag>
            <w:r>
              <w:rPr>
                <w:b/>
                <w:sz w:val="28"/>
                <w:szCs w:val="28"/>
              </w:rPr>
              <w:t xml:space="preserve"> 168, </w:t>
            </w:r>
            <w:r>
              <w:rPr>
                <w:sz w:val="28"/>
                <w:szCs w:val="28"/>
              </w:rPr>
              <w:t>tajā skaitā:</w:t>
            </w:r>
          </w:p>
          <w:p w:rsidR="00703D84" w:rsidRPr="00E056D9" w:rsidRDefault="00703D84" w:rsidP="00A26D3E">
            <w:pPr>
              <w:pStyle w:val="naiskr"/>
              <w:spacing w:before="0" w:after="0"/>
              <w:rPr>
                <w:sz w:val="28"/>
                <w:szCs w:val="28"/>
              </w:rPr>
            </w:pPr>
            <w:r w:rsidRPr="00E056D9">
              <w:rPr>
                <w:sz w:val="28"/>
                <w:szCs w:val="28"/>
              </w:rPr>
              <w:t xml:space="preserve"> - uzturdevas kompensācij</w:t>
            </w:r>
            <w:r>
              <w:rPr>
                <w:sz w:val="28"/>
                <w:szCs w:val="28"/>
              </w:rPr>
              <w:t>as zemessargiem</w:t>
            </w:r>
            <w:r w:rsidRPr="00E056D9">
              <w:rPr>
                <w:sz w:val="28"/>
                <w:szCs w:val="28"/>
              </w:rPr>
              <w:t xml:space="preserve"> </w:t>
            </w:r>
            <w:smartTag w:uri="schemas-tilde-lv/tildestengine" w:element="currency2">
              <w:smartTagPr>
                <w:attr w:name="currency_text" w:val="Ls"/>
                <w:attr w:name="currency_value" w:val="3"/>
                <w:attr w:name="currency_key" w:val="LVL"/>
                <w:attr w:name="currency_id" w:val="48"/>
              </w:smartTagPr>
              <w:r w:rsidRPr="00E056D9">
                <w:rPr>
                  <w:sz w:val="28"/>
                  <w:szCs w:val="28"/>
                </w:rPr>
                <w:t>Ls 600</w:t>
              </w:r>
            </w:smartTag>
            <w:r>
              <w:rPr>
                <w:sz w:val="28"/>
                <w:szCs w:val="28"/>
              </w:rPr>
              <w:t xml:space="preserve"> (</w:t>
            </w:r>
            <w:smartTag w:uri="schemas-tilde-lv/tildestengine" w:element="currency2">
              <w:smartTagPr>
                <w:attr w:name="currency_text" w:val="Ls"/>
                <w:attr w:name="currency_value" w:val="3"/>
                <w:attr w:name="currency_key" w:val="LVL"/>
                <w:attr w:name="currency_id" w:val="48"/>
              </w:smartTagPr>
              <w:r>
                <w:rPr>
                  <w:sz w:val="28"/>
                  <w:szCs w:val="28"/>
                </w:rPr>
                <w:t>Ls 4</w:t>
              </w:r>
            </w:smartTag>
            <w:r>
              <w:rPr>
                <w:sz w:val="28"/>
                <w:szCs w:val="28"/>
              </w:rPr>
              <w:t xml:space="preserve"> x 150 cilvēkdienas)</w:t>
            </w:r>
            <w:r w:rsidRPr="00E056D9">
              <w:rPr>
                <w:sz w:val="28"/>
                <w:szCs w:val="28"/>
              </w:rPr>
              <w:t>;</w:t>
            </w:r>
          </w:p>
          <w:p w:rsidR="00703D84" w:rsidRPr="00E056D9" w:rsidRDefault="00703D84" w:rsidP="00A26D3E">
            <w:pPr>
              <w:pStyle w:val="naiskr"/>
              <w:spacing w:before="0" w:after="0"/>
              <w:rPr>
                <w:sz w:val="28"/>
                <w:szCs w:val="28"/>
              </w:rPr>
            </w:pPr>
            <w:r w:rsidRPr="00E056D9">
              <w:rPr>
                <w:sz w:val="28"/>
                <w:szCs w:val="28"/>
              </w:rPr>
              <w:t xml:space="preserve"> - </w:t>
            </w:r>
            <w:r>
              <w:rPr>
                <w:sz w:val="28"/>
                <w:szCs w:val="28"/>
              </w:rPr>
              <w:t>transporta izdevumi (</w:t>
            </w:r>
            <w:r w:rsidRPr="00E056D9">
              <w:rPr>
                <w:sz w:val="28"/>
                <w:szCs w:val="28"/>
              </w:rPr>
              <w:t>degviela</w:t>
            </w:r>
            <w:r>
              <w:rPr>
                <w:sz w:val="28"/>
                <w:szCs w:val="28"/>
              </w:rPr>
              <w:t>) -</w:t>
            </w:r>
            <w:r w:rsidRPr="00E056D9">
              <w:rPr>
                <w:sz w:val="28"/>
                <w:szCs w:val="28"/>
              </w:rPr>
              <w:t xml:space="preserve"> Ls </w:t>
            </w:r>
            <w:r w:rsidRPr="003751D9">
              <w:rPr>
                <w:sz w:val="28"/>
                <w:szCs w:val="28"/>
              </w:rPr>
              <w:t>502</w:t>
            </w:r>
            <w:r w:rsidRPr="00E056D9">
              <w:rPr>
                <w:sz w:val="28"/>
                <w:szCs w:val="28"/>
              </w:rPr>
              <w:t>;</w:t>
            </w:r>
          </w:p>
          <w:p w:rsidR="00703D84" w:rsidRPr="00E941EF" w:rsidRDefault="00703D84" w:rsidP="00A26D3E">
            <w:pPr>
              <w:pStyle w:val="naiskr"/>
              <w:spacing w:before="0" w:after="0"/>
              <w:rPr>
                <w:sz w:val="28"/>
                <w:szCs w:val="28"/>
              </w:rPr>
            </w:pPr>
            <w:r w:rsidRPr="00C64AE9">
              <w:rPr>
                <w:color w:val="FF0000"/>
                <w:sz w:val="28"/>
                <w:szCs w:val="28"/>
              </w:rPr>
              <w:t xml:space="preserve"> </w:t>
            </w:r>
            <w:r w:rsidRPr="00E941EF">
              <w:rPr>
                <w:sz w:val="28"/>
                <w:szCs w:val="28"/>
              </w:rPr>
              <w:t xml:space="preserve">- materiāli (marķēšanas lentas utt.) </w:t>
            </w:r>
            <w:smartTag w:uri="schemas-tilde-lv/tildestengine" w:element="currency2">
              <w:smartTagPr>
                <w:attr w:name="currency_text" w:val="Ls"/>
                <w:attr w:name="currency_value" w:val="3"/>
                <w:attr w:name="currency_key" w:val="LVL"/>
                <w:attr w:name="currency_id" w:val="48"/>
              </w:smartTagPr>
              <w:r w:rsidRPr="00E941EF">
                <w:rPr>
                  <w:sz w:val="28"/>
                  <w:szCs w:val="28"/>
                </w:rPr>
                <w:t>Ls 66.</w:t>
              </w:r>
            </w:smartTag>
          </w:p>
          <w:p w:rsidR="00703D84" w:rsidRDefault="00703D84" w:rsidP="00A26D3E">
            <w:pPr>
              <w:pStyle w:val="naiskr"/>
              <w:spacing w:before="0" w:after="0"/>
              <w:rPr>
                <w:sz w:val="28"/>
                <w:szCs w:val="28"/>
              </w:rPr>
            </w:pPr>
          </w:p>
          <w:p w:rsidR="00703D84" w:rsidRPr="000F0DAB" w:rsidRDefault="00703D84" w:rsidP="00A26D3E">
            <w:pPr>
              <w:pStyle w:val="naiskr"/>
              <w:spacing w:before="0" w:after="0"/>
              <w:rPr>
                <w:sz w:val="28"/>
                <w:szCs w:val="28"/>
              </w:rPr>
            </w:pPr>
            <w:r w:rsidRPr="00E056D9">
              <w:rPr>
                <w:sz w:val="28"/>
                <w:szCs w:val="28"/>
              </w:rPr>
              <w:t>Lai turpmākajos gados nodrošinātu</w:t>
            </w:r>
            <w:r>
              <w:rPr>
                <w:sz w:val="28"/>
                <w:szCs w:val="28"/>
              </w:rPr>
              <w:t xml:space="preserve"> valsts nozīmes pasākuma norisi Aglonas svētvietā 2011.gada līmenī, nepieciešamais finansējums turpmākajiem gadiem ir </w:t>
            </w:r>
            <w:smartTag w:uri="schemas-tilde-lv/tildestengine" w:element="currency2">
              <w:smartTagPr>
                <w:attr w:name="currency_text" w:val="Ls"/>
                <w:attr w:name="currency_value" w:val="3"/>
                <w:attr w:name="currency_key" w:val="LVL"/>
                <w:attr w:name="currency_id" w:val="48"/>
              </w:smartTagPr>
              <w:r>
                <w:rPr>
                  <w:sz w:val="28"/>
                  <w:szCs w:val="28"/>
                </w:rPr>
                <w:t>Ls 3</w:t>
              </w:r>
            </w:smartTag>
            <w:r>
              <w:rPr>
                <w:sz w:val="28"/>
                <w:szCs w:val="28"/>
              </w:rPr>
              <w:t> 418.</w:t>
            </w: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6.1. detalizēts ieņēmumu aprēķins</w:t>
            </w:r>
          </w:p>
        </w:tc>
        <w:tc>
          <w:tcPr>
            <w:tcW w:w="6800" w:type="dxa"/>
            <w:gridSpan w:val="5"/>
            <w:vMerge/>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6.2. detalizēts izdevumu aprēķins</w:t>
            </w:r>
          </w:p>
        </w:tc>
        <w:tc>
          <w:tcPr>
            <w:tcW w:w="6800" w:type="dxa"/>
            <w:gridSpan w:val="5"/>
            <w:vMerge/>
          </w:tcPr>
          <w:p w:rsidR="00703D84" w:rsidRPr="00A461B9" w:rsidRDefault="00703D84" w:rsidP="00A26D3E">
            <w:pPr>
              <w:pStyle w:val="naisf"/>
              <w:spacing w:before="0" w:after="0"/>
              <w:ind w:firstLine="0"/>
              <w:rPr>
                <w:b/>
                <w:i/>
                <w:sz w:val="28"/>
                <w:szCs w:val="28"/>
              </w:rPr>
            </w:pPr>
          </w:p>
        </w:tc>
      </w:tr>
      <w:tr w:rsidR="00703D84" w:rsidRPr="00A461B9" w:rsidTr="00A26D3E">
        <w:trPr>
          <w:jc w:val="center"/>
        </w:trPr>
        <w:tc>
          <w:tcPr>
            <w:tcW w:w="3081" w:type="dxa"/>
          </w:tcPr>
          <w:p w:rsidR="00703D84" w:rsidRPr="00A461B9" w:rsidRDefault="00703D84" w:rsidP="00A26D3E">
            <w:pPr>
              <w:rPr>
                <w:sz w:val="28"/>
                <w:szCs w:val="28"/>
              </w:rPr>
            </w:pPr>
            <w:r w:rsidRPr="00A461B9">
              <w:rPr>
                <w:sz w:val="28"/>
                <w:szCs w:val="28"/>
              </w:rPr>
              <w:t>7. Cita informācija</w:t>
            </w:r>
          </w:p>
        </w:tc>
        <w:tc>
          <w:tcPr>
            <w:tcW w:w="6800" w:type="dxa"/>
            <w:gridSpan w:val="5"/>
          </w:tcPr>
          <w:p w:rsidR="00703D84" w:rsidRPr="0001777E" w:rsidRDefault="00703D84" w:rsidP="00EC6B0F">
            <w:pPr>
              <w:jc w:val="both"/>
              <w:rPr>
                <w:sz w:val="28"/>
                <w:szCs w:val="28"/>
              </w:rPr>
            </w:pPr>
            <w:r w:rsidRPr="00B92693">
              <w:rPr>
                <w:sz w:val="28"/>
                <w:szCs w:val="28"/>
              </w:rPr>
              <w:t xml:space="preserve">Ministru kabineta </w:t>
            </w:r>
            <w:r>
              <w:rPr>
                <w:sz w:val="28"/>
                <w:szCs w:val="28"/>
              </w:rPr>
              <w:t>2011.gada 28</w:t>
            </w:r>
            <w:r w:rsidRPr="00B92693">
              <w:rPr>
                <w:sz w:val="28"/>
                <w:szCs w:val="28"/>
              </w:rPr>
              <w:t>.</w:t>
            </w:r>
            <w:r>
              <w:rPr>
                <w:sz w:val="28"/>
                <w:szCs w:val="28"/>
              </w:rPr>
              <w:t xml:space="preserve">marta sēdē (prot. Nr.19 </w:t>
            </w:r>
            <w:r>
              <w:rPr>
                <w:sz w:val="28"/>
                <w:szCs w:val="28"/>
              </w:rPr>
              <w:lastRenderedPageBreak/>
              <w:t>2</w:t>
            </w:r>
            <w:r w:rsidRPr="00B92693">
              <w:rPr>
                <w:sz w:val="28"/>
                <w:szCs w:val="28"/>
              </w:rPr>
              <w:t>.§</w:t>
            </w:r>
            <w:r>
              <w:rPr>
                <w:sz w:val="28"/>
                <w:szCs w:val="28"/>
              </w:rPr>
              <w:t xml:space="preserve"> </w:t>
            </w:r>
            <w:r w:rsidRPr="00B92693">
              <w:rPr>
                <w:sz w:val="28"/>
                <w:szCs w:val="28"/>
              </w:rPr>
              <w:t>„</w:t>
            </w:r>
            <w:r w:rsidRPr="00EF331C">
              <w:rPr>
                <w:sz w:val="28"/>
                <w:szCs w:val="28"/>
              </w:rPr>
              <w:t>Par valsts budžeta bāzes izdevumiem 2012. – 2014.gadam</w:t>
            </w:r>
            <w:r>
              <w:rPr>
                <w:sz w:val="28"/>
                <w:szCs w:val="28"/>
              </w:rPr>
              <w:t>”) apstiprinātie</w:t>
            </w:r>
            <w:r w:rsidRPr="00EF331C">
              <w:rPr>
                <w:sz w:val="28"/>
                <w:szCs w:val="28"/>
              </w:rPr>
              <w:t xml:space="preserve"> ministriju un citu centrālo valsts iestāžu</w:t>
            </w:r>
            <w:r>
              <w:rPr>
                <w:sz w:val="28"/>
                <w:szCs w:val="28"/>
              </w:rPr>
              <w:t xml:space="preserve"> valsts budžeta bāzes izdevumi</w:t>
            </w:r>
            <w:r w:rsidRPr="00EF331C">
              <w:rPr>
                <w:sz w:val="28"/>
                <w:szCs w:val="28"/>
              </w:rPr>
              <w:t xml:space="preserve"> 2012.</w:t>
            </w:r>
            <w:r>
              <w:rPr>
                <w:sz w:val="28"/>
                <w:szCs w:val="28"/>
              </w:rPr>
              <w:t xml:space="preserve"> </w:t>
            </w:r>
            <w:r w:rsidRPr="00EF331C">
              <w:rPr>
                <w:sz w:val="28"/>
                <w:szCs w:val="28"/>
              </w:rPr>
              <w:t>- 2014.gadam</w:t>
            </w:r>
            <w:r>
              <w:rPr>
                <w:sz w:val="28"/>
                <w:szCs w:val="28"/>
              </w:rPr>
              <w:t xml:space="preserve"> Aizsardzības ministrijai paredz papildus izdevumus </w:t>
            </w:r>
            <w:r w:rsidRPr="00B92693">
              <w:rPr>
                <w:sz w:val="28"/>
                <w:szCs w:val="28"/>
              </w:rPr>
              <w:t xml:space="preserve">2012.gadā un turpmākajos gados </w:t>
            </w:r>
            <w:r>
              <w:rPr>
                <w:sz w:val="28"/>
                <w:szCs w:val="28"/>
              </w:rPr>
              <w:t>3 418 latu apmērā</w:t>
            </w:r>
            <w:r w:rsidRPr="00B92693">
              <w:rPr>
                <w:sz w:val="28"/>
                <w:szCs w:val="28"/>
              </w:rPr>
              <w:t xml:space="preserve"> Zemessardzei sabiedriskās kārtības un drošības nodrošināšanai Aglonas svētku laikā</w:t>
            </w:r>
            <w:r>
              <w:rPr>
                <w:sz w:val="28"/>
                <w:szCs w:val="28"/>
              </w:rPr>
              <w:t>.</w:t>
            </w:r>
          </w:p>
        </w:tc>
      </w:tr>
    </w:tbl>
    <w:p w:rsidR="00703D84" w:rsidRPr="00A461B9" w:rsidRDefault="00703D84" w:rsidP="00703D84">
      <w:pPr>
        <w:pStyle w:val="naiskr"/>
        <w:tabs>
          <w:tab w:val="left" w:pos="2628"/>
        </w:tabs>
        <w:spacing w:before="0" w:after="0"/>
        <w:rPr>
          <w:i/>
          <w:sz w:val="28"/>
          <w:szCs w:val="28"/>
        </w:rPr>
      </w:pP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318"/>
        <w:gridCol w:w="5179"/>
      </w:tblGrid>
      <w:tr w:rsidR="00703D84" w:rsidRPr="00A461B9" w:rsidTr="00A26D3E">
        <w:tc>
          <w:tcPr>
            <w:tcW w:w="10065" w:type="dxa"/>
            <w:gridSpan w:val="3"/>
            <w:tcMar>
              <w:top w:w="57" w:type="dxa"/>
              <w:left w:w="57" w:type="dxa"/>
              <w:bottom w:w="57" w:type="dxa"/>
              <w:right w:w="57" w:type="dxa"/>
            </w:tcMar>
          </w:tcPr>
          <w:p w:rsidR="00703D84" w:rsidRPr="00A461B9" w:rsidRDefault="00703D84" w:rsidP="00A26D3E">
            <w:pPr>
              <w:pStyle w:val="naisnod"/>
              <w:spacing w:before="0" w:after="0"/>
              <w:ind w:left="57" w:right="57"/>
              <w:rPr>
                <w:sz w:val="28"/>
                <w:szCs w:val="28"/>
              </w:rPr>
            </w:pPr>
            <w:r w:rsidRPr="00A461B9">
              <w:rPr>
                <w:sz w:val="28"/>
                <w:szCs w:val="28"/>
              </w:rPr>
              <w:t>VII. Tiesību akta projekta izpildes nodrošināšana un tās ietekme uz institūcijām</w:t>
            </w:r>
          </w:p>
        </w:tc>
      </w:tr>
      <w:tr w:rsidR="00703D84" w:rsidRPr="00A461B9" w:rsidTr="00A26D3E">
        <w:trPr>
          <w:trHeight w:val="427"/>
        </w:trPr>
        <w:tc>
          <w:tcPr>
            <w:tcW w:w="568" w:type="dxa"/>
            <w:tcMar>
              <w:top w:w="57" w:type="dxa"/>
              <w:left w:w="57" w:type="dxa"/>
              <w:bottom w:w="57" w:type="dxa"/>
              <w:right w:w="57" w:type="dxa"/>
            </w:tcMar>
          </w:tcPr>
          <w:p w:rsidR="00703D84" w:rsidRPr="00A461B9" w:rsidRDefault="00703D84" w:rsidP="00A26D3E">
            <w:pPr>
              <w:pStyle w:val="naisnod"/>
              <w:spacing w:before="0" w:after="0"/>
              <w:ind w:left="57" w:right="57"/>
              <w:jc w:val="left"/>
              <w:rPr>
                <w:b w:val="0"/>
                <w:sz w:val="28"/>
                <w:szCs w:val="28"/>
              </w:rPr>
            </w:pPr>
            <w:r w:rsidRPr="00A461B9">
              <w:rPr>
                <w:b w:val="0"/>
                <w:sz w:val="28"/>
                <w:szCs w:val="28"/>
              </w:rPr>
              <w:t>1.</w:t>
            </w:r>
          </w:p>
        </w:tc>
        <w:tc>
          <w:tcPr>
            <w:tcW w:w="4318" w:type="dxa"/>
            <w:tcMar>
              <w:top w:w="57" w:type="dxa"/>
              <w:left w:w="57" w:type="dxa"/>
              <w:bottom w:w="57" w:type="dxa"/>
              <w:right w:w="57" w:type="dxa"/>
            </w:tcMar>
          </w:tcPr>
          <w:p w:rsidR="00703D84" w:rsidRPr="00A461B9" w:rsidRDefault="00703D84" w:rsidP="00A26D3E">
            <w:pPr>
              <w:pStyle w:val="naisf"/>
              <w:spacing w:before="0" w:after="0"/>
              <w:ind w:left="57" w:right="57" w:firstLine="0"/>
              <w:jc w:val="left"/>
              <w:rPr>
                <w:sz w:val="28"/>
                <w:szCs w:val="28"/>
              </w:rPr>
            </w:pPr>
            <w:r w:rsidRPr="00A461B9">
              <w:rPr>
                <w:sz w:val="28"/>
                <w:szCs w:val="28"/>
              </w:rPr>
              <w:t xml:space="preserve">Projekta izpildē iesaistītās institūcijas </w:t>
            </w:r>
          </w:p>
        </w:tc>
        <w:tc>
          <w:tcPr>
            <w:tcW w:w="5179" w:type="dxa"/>
            <w:tcMar>
              <w:top w:w="57" w:type="dxa"/>
              <w:left w:w="57" w:type="dxa"/>
              <w:bottom w:w="57" w:type="dxa"/>
              <w:right w:w="57" w:type="dxa"/>
            </w:tcMar>
          </w:tcPr>
          <w:p w:rsidR="00703D84" w:rsidRPr="00A461B9" w:rsidRDefault="00703D84" w:rsidP="00A26D3E">
            <w:pPr>
              <w:pStyle w:val="naisnod"/>
              <w:spacing w:before="0" w:after="0"/>
              <w:ind w:left="36" w:right="57"/>
              <w:jc w:val="both"/>
              <w:rPr>
                <w:b w:val="0"/>
                <w:sz w:val="28"/>
                <w:szCs w:val="28"/>
              </w:rPr>
            </w:pPr>
            <w:r w:rsidRPr="00A461B9">
              <w:rPr>
                <w:b w:val="0"/>
                <w:iCs/>
                <w:sz w:val="28"/>
                <w:szCs w:val="28"/>
              </w:rPr>
              <w:t>Aizsardzības ministrija.</w:t>
            </w:r>
          </w:p>
        </w:tc>
      </w:tr>
      <w:tr w:rsidR="00703D84" w:rsidRPr="00A461B9" w:rsidTr="00A26D3E">
        <w:trPr>
          <w:trHeight w:val="463"/>
        </w:trPr>
        <w:tc>
          <w:tcPr>
            <w:tcW w:w="568" w:type="dxa"/>
            <w:tcMar>
              <w:top w:w="57" w:type="dxa"/>
              <w:left w:w="57" w:type="dxa"/>
              <w:bottom w:w="57" w:type="dxa"/>
              <w:right w:w="57" w:type="dxa"/>
            </w:tcMar>
          </w:tcPr>
          <w:p w:rsidR="00703D84" w:rsidRPr="00A461B9" w:rsidRDefault="00703D84" w:rsidP="00A26D3E">
            <w:pPr>
              <w:pStyle w:val="naisnod"/>
              <w:spacing w:before="0" w:after="0"/>
              <w:ind w:left="57" w:right="57"/>
              <w:jc w:val="left"/>
              <w:rPr>
                <w:b w:val="0"/>
                <w:sz w:val="28"/>
                <w:szCs w:val="28"/>
              </w:rPr>
            </w:pPr>
            <w:r w:rsidRPr="00A461B9">
              <w:rPr>
                <w:b w:val="0"/>
                <w:sz w:val="28"/>
                <w:szCs w:val="28"/>
              </w:rPr>
              <w:t>2.</w:t>
            </w:r>
          </w:p>
        </w:tc>
        <w:tc>
          <w:tcPr>
            <w:tcW w:w="4318" w:type="dxa"/>
            <w:tcMar>
              <w:top w:w="57" w:type="dxa"/>
              <w:left w:w="57" w:type="dxa"/>
              <w:bottom w:w="57" w:type="dxa"/>
              <w:right w:w="57" w:type="dxa"/>
            </w:tcMar>
          </w:tcPr>
          <w:p w:rsidR="00703D84" w:rsidRPr="00A461B9" w:rsidRDefault="00703D84" w:rsidP="00A26D3E">
            <w:pPr>
              <w:pStyle w:val="naisf"/>
              <w:spacing w:before="0" w:after="0"/>
              <w:ind w:left="57" w:right="57" w:firstLine="0"/>
              <w:jc w:val="left"/>
              <w:rPr>
                <w:sz w:val="28"/>
                <w:szCs w:val="28"/>
              </w:rPr>
            </w:pPr>
            <w:r w:rsidRPr="00A461B9">
              <w:rPr>
                <w:sz w:val="28"/>
                <w:szCs w:val="28"/>
              </w:rPr>
              <w:t xml:space="preserve">Projekta izpildes ietekme uz pārvaldes funkcijām </w:t>
            </w:r>
          </w:p>
        </w:tc>
        <w:tc>
          <w:tcPr>
            <w:tcW w:w="5179" w:type="dxa"/>
            <w:tcMar>
              <w:top w:w="57" w:type="dxa"/>
              <w:left w:w="57" w:type="dxa"/>
              <w:bottom w:w="57" w:type="dxa"/>
              <w:right w:w="57" w:type="dxa"/>
            </w:tcMar>
          </w:tcPr>
          <w:p w:rsidR="00703D84" w:rsidRPr="00A461B9" w:rsidRDefault="00703D84" w:rsidP="00A26D3E">
            <w:pPr>
              <w:pStyle w:val="naisnod"/>
              <w:spacing w:before="0" w:after="0"/>
              <w:ind w:left="36" w:right="57"/>
              <w:jc w:val="both"/>
              <w:rPr>
                <w:b w:val="0"/>
                <w:sz w:val="28"/>
                <w:szCs w:val="28"/>
              </w:rPr>
            </w:pPr>
            <w:r>
              <w:rPr>
                <w:b w:val="0"/>
                <w:iCs/>
                <w:sz w:val="28"/>
                <w:szCs w:val="28"/>
              </w:rPr>
              <w:t>Projekts šo jomu neskar.</w:t>
            </w:r>
          </w:p>
        </w:tc>
      </w:tr>
      <w:tr w:rsidR="00703D84" w:rsidRPr="00A461B9" w:rsidTr="00A26D3E">
        <w:trPr>
          <w:trHeight w:val="725"/>
        </w:trPr>
        <w:tc>
          <w:tcPr>
            <w:tcW w:w="568" w:type="dxa"/>
            <w:tcMar>
              <w:top w:w="57" w:type="dxa"/>
              <w:left w:w="57" w:type="dxa"/>
              <w:bottom w:w="57" w:type="dxa"/>
              <w:right w:w="57" w:type="dxa"/>
            </w:tcMar>
          </w:tcPr>
          <w:p w:rsidR="00703D84" w:rsidRPr="00A461B9" w:rsidRDefault="00703D84" w:rsidP="00A26D3E">
            <w:pPr>
              <w:pStyle w:val="naisnod"/>
              <w:spacing w:before="0" w:after="0"/>
              <w:ind w:left="57" w:right="57"/>
              <w:jc w:val="left"/>
              <w:rPr>
                <w:b w:val="0"/>
                <w:sz w:val="28"/>
                <w:szCs w:val="28"/>
              </w:rPr>
            </w:pPr>
            <w:r w:rsidRPr="00A461B9">
              <w:rPr>
                <w:b w:val="0"/>
                <w:sz w:val="28"/>
                <w:szCs w:val="28"/>
              </w:rPr>
              <w:t>3.</w:t>
            </w:r>
          </w:p>
        </w:tc>
        <w:tc>
          <w:tcPr>
            <w:tcW w:w="4318" w:type="dxa"/>
            <w:tcMar>
              <w:top w:w="57" w:type="dxa"/>
              <w:left w:w="57" w:type="dxa"/>
              <w:bottom w:w="57" w:type="dxa"/>
              <w:right w:w="57" w:type="dxa"/>
            </w:tcMar>
          </w:tcPr>
          <w:p w:rsidR="00703D84" w:rsidRPr="00A461B9" w:rsidRDefault="00703D84" w:rsidP="00A26D3E">
            <w:pPr>
              <w:pStyle w:val="naisf"/>
              <w:spacing w:before="0" w:after="0"/>
              <w:ind w:left="57" w:right="57" w:firstLine="0"/>
              <w:jc w:val="left"/>
              <w:rPr>
                <w:sz w:val="28"/>
                <w:szCs w:val="28"/>
              </w:rPr>
            </w:pPr>
            <w:r w:rsidRPr="00A461B9">
              <w:rPr>
                <w:sz w:val="28"/>
                <w:szCs w:val="28"/>
              </w:rPr>
              <w:t>Projekta izpildes ietekme uz pārvaldes institucionālo struktūru.</w:t>
            </w:r>
          </w:p>
          <w:p w:rsidR="00703D84" w:rsidRPr="00A461B9" w:rsidRDefault="00703D84" w:rsidP="00A26D3E">
            <w:pPr>
              <w:pStyle w:val="naisf"/>
              <w:spacing w:before="0" w:after="0"/>
              <w:ind w:left="57" w:right="57" w:firstLine="0"/>
              <w:jc w:val="left"/>
              <w:rPr>
                <w:sz w:val="28"/>
                <w:szCs w:val="28"/>
              </w:rPr>
            </w:pPr>
            <w:r w:rsidRPr="00A461B9">
              <w:rPr>
                <w:sz w:val="28"/>
                <w:szCs w:val="28"/>
              </w:rPr>
              <w:t>Jaunu institūciju izveide</w:t>
            </w:r>
          </w:p>
        </w:tc>
        <w:tc>
          <w:tcPr>
            <w:tcW w:w="5179" w:type="dxa"/>
            <w:tcMar>
              <w:top w:w="57" w:type="dxa"/>
              <w:left w:w="57" w:type="dxa"/>
              <w:bottom w:w="57" w:type="dxa"/>
              <w:right w:w="57" w:type="dxa"/>
            </w:tcMar>
          </w:tcPr>
          <w:p w:rsidR="00703D84" w:rsidRPr="00A461B9" w:rsidRDefault="00703D84" w:rsidP="00A26D3E">
            <w:pPr>
              <w:pStyle w:val="naisnod"/>
              <w:spacing w:before="0" w:after="0"/>
              <w:ind w:left="36" w:right="57"/>
              <w:jc w:val="both"/>
              <w:rPr>
                <w:b w:val="0"/>
                <w:sz w:val="28"/>
                <w:szCs w:val="28"/>
              </w:rPr>
            </w:pPr>
            <w:r>
              <w:rPr>
                <w:b w:val="0"/>
                <w:iCs/>
                <w:sz w:val="28"/>
                <w:szCs w:val="28"/>
              </w:rPr>
              <w:t>Projekts šo jomu neskar.</w:t>
            </w:r>
          </w:p>
        </w:tc>
      </w:tr>
      <w:tr w:rsidR="00703D84" w:rsidRPr="00A461B9" w:rsidTr="00A26D3E">
        <w:trPr>
          <w:trHeight w:val="780"/>
        </w:trPr>
        <w:tc>
          <w:tcPr>
            <w:tcW w:w="568" w:type="dxa"/>
            <w:tcMar>
              <w:top w:w="57" w:type="dxa"/>
              <w:left w:w="57" w:type="dxa"/>
              <w:bottom w:w="57" w:type="dxa"/>
              <w:right w:w="57" w:type="dxa"/>
            </w:tcMar>
          </w:tcPr>
          <w:p w:rsidR="00703D84" w:rsidRPr="00A461B9" w:rsidRDefault="00703D84" w:rsidP="00A26D3E">
            <w:pPr>
              <w:pStyle w:val="naisnod"/>
              <w:spacing w:before="0" w:after="0"/>
              <w:ind w:left="57" w:right="57"/>
              <w:jc w:val="left"/>
              <w:rPr>
                <w:b w:val="0"/>
                <w:sz w:val="28"/>
                <w:szCs w:val="28"/>
              </w:rPr>
            </w:pPr>
            <w:r w:rsidRPr="00A461B9">
              <w:rPr>
                <w:b w:val="0"/>
                <w:sz w:val="28"/>
                <w:szCs w:val="28"/>
              </w:rPr>
              <w:t>4.</w:t>
            </w:r>
          </w:p>
        </w:tc>
        <w:tc>
          <w:tcPr>
            <w:tcW w:w="4318" w:type="dxa"/>
            <w:tcMar>
              <w:top w:w="57" w:type="dxa"/>
              <w:left w:w="57" w:type="dxa"/>
              <w:bottom w:w="57" w:type="dxa"/>
              <w:right w:w="57" w:type="dxa"/>
            </w:tcMar>
          </w:tcPr>
          <w:p w:rsidR="00703D84" w:rsidRPr="00A461B9" w:rsidRDefault="00703D84" w:rsidP="00A26D3E">
            <w:pPr>
              <w:pStyle w:val="naisf"/>
              <w:spacing w:before="0" w:after="0"/>
              <w:ind w:left="57" w:right="57" w:firstLine="0"/>
              <w:jc w:val="left"/>
              <w:rPr>
                <w:sz w:val="28"/>
                <w:szCs w:val="28"/>
              </w:rPr>
            </w:pPr>
            <w:r w:rsidRPr="00A461B9">
              <w:rPr>
                <w:sz w:val="28"/>
                <w:szCs w:val="28"/>
              </w:rPr>
              <w:t>Projekta izpildes ietekme uz pārvaldes institucionālo struktūru.</w:t>
            </w:r>
          </w:p>
          <w:p w:rsidR="00703D84" w:rsidRPr="00A461B9" w:rsidRDefault="00703D84" w:rsidP="00A26D3E">
            <w:pPr>
              <w:pStyle w:val="naisf"/>
              <w:spacing w:before="0" w:after="0"/>
              <w:ind w:left="57" w:right="57" w:firstLine="0"/>
              <w:jc w:val="left"/>
              <w:rPr>
                <w:sz w:val="28"/>
                <w:szCs w:val="28"/>
              </w:rPr>
            </w:pPr>
            <w:r w:rsidRPr="00A461B9">
              <w:rPr>
                <w:sz w:val="28"/>
                <w:szCs w:val="28"/>
              </w:rPr>
              <w:t>Esošu institūciju likvidācija</w:t>
            </w:r>
          </w:p>
        </w:tc>
        <w:tc>
          <w:tcPr>
            <w:tcW w:w="5179" w:type="dxa"/>
            <w:tcMar>
              <w:top w:w="57" w:type="dxa"/>
              <w:left w:w="57" w:type="dxa"/>
              <w:bottom w:w="57" w:type="dxa"/>
              <w:right w:w="57" w:type="dxa"/>
            </w:tcMar>
          </w:tcPr>
          <w:p w:rsidR="00703D84" w:rsidRPr="00A461B9" w:rsidRDefault="00703D84" w:rsidP="00A26D3E">
            <w:pPr>
              <w:pStyle w:val="naisnod"/>
              <w:spacing w:before="0" w:after="0"/>
              <w:ind w:left="36" w:right="57"/>
              <w:jc w:val="both"/>
              <w:rPr>
                <w:b w:val="0"/>
                <w:sz w:val="28"/>
                <w:szCs w:val="28"/>
              </w:rPr>
            </w:pPr>
            <w:r>
              <w:rPr>
                <w:b w:val="0"/>
                <w:iCs/>
                <w:sz w:val="28"/>
                <w:szCs w:val="28"/>
              </w:rPr>
              <w:t>Projekts šo jomu neskar.</w:t>
            </w:r>
          </w:p>
        </w:tc>
      </w:tr>
      <w:tr w:rsidR="00703D84" w:rsidRPr="00A461B9" w:rsidTr="00A26D3E">
        <w:trPr>
          <w:trHeight w:val="703"/>
        </w:trPr>
        <w:tc>
          <w:tcPr>
            <w:tcW w:w="568" w:type="dxa"/>
            <w:tcMar>
              <w:top w:w="57" w:type="dxa"/>
              <w:left w:w="57" w:type="dxa"/>
              <w:bottom w:w="57" w:type="dxa"/>
              <w:right w:w="57" w:type="dxa"/>
            </w:tcMar>
          </w:tcPr>
          <w:p w:rsidR="00703D84" w:rsidRPr="00A461B9" w:rsidRDefault="00703D84" w:rsidP="00A26D3E">
            <w:pPr>
              <w:pStyle w:val="naisnod"/>
              <w:spacing w:before="0" w:after="0"/>
              <w:ind w:left="57" w:right="57"/>
              <w:jc w:val="left"/>
              <w:rPr>
                <w:b w:val="0"/>
                <w:sz w:val="28"/>
                <w:szCs w:val="28"/>
              </w:rPr>
            </w:pPr>
            <w:r w:rsidRPr="00A461B9">
              <w:rPr>
                <w:b w:val="0"/>
                <w:sz w:val="28"/>
                <w:szCs w:val="28"/>
              </w:rPr>
              <w:t>5.</w:t>
            </w:r>
          </w:p>
        </w:tc>
        <w:tc>
          <w:tcPr>
            <w:tcW w:w="4318" w:type="dxa"/>
            <w:tcMar>
              <w:top w:w="57" w:type="dxa"/>
              <w:left w:w="57" w:type="dxa"/>
              <w:bottom w:w="57" w:type="dxa"/>
              <w:right w:w="57" w:type="dxa"/>
            </w:tcMar>
          </w:tcPr>
          <w:p w:rsidR="00703D84" w:rsidRPr="00A461B9" w:rsidRDefault="00703D84" w:rsidP="00A26D3E">
            <w:pPr>
              <w:pStyle w:val="naisf"/>
              <w:spacing w:before="0" w:after="0"/>
              <w:ind w:left="57" w:right="57" w:firstLine="0"/>
              <w:jc w:val="left"/>
              <w:rPr>
                <w:sz w:val="28"/>
                <w:szCs w:val="28"/>
              </w:rPr>
            </w:pPr>
            <w:r w:rsidRPr="00A461B9">
              <w:rPr>
                <w:sz w:val="28"/>
                <w:szCs w:val="28"/>
              </w:rPr>
              <w:t>Projekta izpildes ietekme uz pārvaldes institucionālo struktūru.</w:t>
            </w:r>
          </w:p>
          <w:p w:rsidR="00703D84" w:rsidRPr="00A461B9" w:rsidRDefault="00703D84" w:rsidP="00A26D3E">
            <w:pPr>
              <w:pStyle w:val="naisf"/>
              <w:spacing w:before="0" w:after="0"/>
              <w:ind w:left="57" w:right="57" w:firstLine="0"/>
              <w:jc w:val="left"/>
              <w:rPr>
                <w:sz w:val="28"/>
                <w:szCs w:val="28"/>
              </w:rPr>
            </w:pPr>
            <w:r w:rsidRPr="00A461B9">
              <w:rPr>
                <w:sz w:val="28"/>
                <w:szCs w:val="28"/>
              </w:rPr>
              <w:t>Esošu institūciju reorganizācija</w:t>
            </w:r>
          </w:p>
        </w:tc>
        <w:tc>
          <w:tcPr>
            <w:tcW w:w="5179" w:type="dxa"/>
            <w:tcMar>
              <w:top w:w="57" w:type="dxa"/>
              <w:left w:w="57" w:type="dxa"/>
              <w:bottom w:w="57" w:type="dxa"/>
              <w:right w:w="57" w:type="dxa"/>
            </w:tcMar>
          </w:tcPr>
          <w:p w:rsidR="00703D84" w:rsidRPr="00A461B9" w:rsidRDefault="00703D84" w:rsidP="00A26D3E">
            <w:pPr>
              <w:pStyle w:val="naisnod"/>
              <w:spacing w:before="0" w:after="0"/>
              <w:ind w:left="36" w:right="57"/>
              <w:jc w:val="both"/>
              <w:rPr>
                <w:b w:val="0"/>
                <w:sz w:val="28"/>
                <w:szCs w:val="28"/>
              </w:rPr>
            </w:pPr>
            <w:r>
              <w:rPr>
                <w:b w:val="0"/>
                <w:iCs/>
                <w:sz w:val="28"/>
                <w:szCs w:val="28"/>
              </w:rPr>
              <w:t>Projekts šo jomu neskar.</w:t>
            </w:r>
          </w:p>
        </w:tc>
      </w:tr>
      <w:tr w:rsidR="00703D84" w:rsidRPr="00A461B9" w:rsidTr="00A26D3E">
        <w:trPr>
          <w:trHeight w:val="260"/>
        </w:trPr>
        <w:tc>
          <w:tcPr>
            <w:tcW w:w="568" w:type="dxa"/>
            <w:tcMar>
              <w:top w:w="57" w:type="dxa"/>
              <w:left w:w="57" w:type="dxa"/>
              <w:bottom w:w="57" w:type="dxa"/>
              <w:right w:w="57" w:type="dxa"/>
            </w:tcMar>
          </w:tcPr>
          <w:p w:rsidR="00703D84" w:rsidRPr="00A461B9" w:rsidRDefault="00703D84" w:rsidP="00A26D3E">
            <w:pPr>
              <w:pStyle w:val="naiskr"/>
              <w:spacing w:before="0" w:after="0"/>
              <w:ind w:left="57" w:right="57"/>
              <w:rPr>
                <w:sz w:val="28"/>
                <w:szCs w:val="28"/>
              </w:rPr>
            </w:pPr>
            <w:r w:rsidRPr="00A461B9">
              <w:rPr>
                <w:sz w:val="28"/>
                <w:szCs w:val="28"/>
              </w:rPr>
              <w:t>6.</w:t>
            </w:r>
          </w:p>
        </w:tc>
        <w:tc>
          <w:tcPr>
            <w:tcW w:w="4318" w:type="dxa"/>
            <w:tcMar>
              <w:top w:w="57" w:type="dxa"/>
              <w:left w:w="57" w:type="dxa"/>
              <w:bottom w:w="57" w:type="dxa"/>
              <w:right w:w="57" w:type="dxa"/>
            </w:tcMar>
          </w:tcPr>
          <w:p w:rsidR="00703D84" w:rsidRPr="00A461B9" w:rsidRDefault="00703D84" w:rsidP="00A26D3E">
            <w:pPr>
              <w:pStyle w:val="naiskr"/>
              <w:spacing w:before="0" w:after="0"/>
              <w:ind w:left="57" w:right="57"/>
              <w:rPr>
                <w:sz w:val="28"/>
                <w:szCs w:val="28"/>
              </w:rPr>
            </w:pPr>
            <w:r w:rsidRPr="00A461B9">
              <w:rPr>
                <w:sz w:val="28"/>
                <w:szCs w:val="28"/>
              </w:rPr>
              <w:t>Cita informācija</w:t>
            </w:r>
          </w:p>
        </w:tc>
        <w:tc>
          <w:tcPr>
            <w:tcW w:w="5179" w:type="dxa"/>
            <w:tcMar>
              <w:top w:w="57" w:type="dxa"/>
              <w:left w:w="57" w:type="dxa"/>
              <w:bottom w:w="57" w:type="dxa"/>
              <w:right w:w="57" w:type="dxa"/>
            </w:tcMar>
          </w:tcPr>
          <w:p w:rsidR="00703D84" w:rsidRPr="00A461B9" w:rsidRDefault="00703D84" w:rsidP="00A26D3E">
            <w:pPr>
              <w:pStyle w:val="naiskr"/>
              <w:spacing w:before="0" w:after="0"/>
              <w:ind w:left="36" w:right="57"/>
              <w:rPr>
                <w:sz w:val="28"/>
                <w:szCs w:val="28"/>
              </w:rPr>
            </w:pPr>
            <w:r w:rsidRPr="00A461B9">
              <w:rPr>
                <w:sz w:val="28"/>
                <w:szCs w:val="28"/>
              </w:rPr>
              <w:t>Nav</w:t>
            </w:r>
          </w:p>
        </w:tc>
      </w:tr>
    </w:tbl>
    <w:p w:rsidR="00703D84" w:rsidRPr="00A461B9" w:rsidRDefault="00703D84" w:rsidP="00703D84">
      <w:pPr>
        <w:pStyle w:val="naiskr"/>
        <w:tabs>
          <w:tab w:val="left" w:pos="2628"/>
        </w:tabs>
        <w:spacing w:before="0" w:after="0"/>
        <w:rPr>
          <w:sz w:val="28"/>
          <w:szCs w:val="28"/>
        </w:rPr>
      </w:pPr>
    </w:p>
    <w:p w:rsidR="00703D84" w:rsidRPr="00A461B9" w:rsidRDefault="00703D84" w:rsidP="00703D84">
      <w:pPr>
        <w:pStyle w:val="naiskr"/>
        <w:tabs>
          <w:tab w:val="left" w:pos="2628"/>
        </w:tabs>
        <w:spacing w:before="0" w:after="0"/>
        <w:rPr>
          <w:i/>
          <w:sz w:val="28"/>
          <w:szCs w:val="28"/>
        </w:rPr>
      </w:pPr>
      <w:r w:rsidRPr="00A461B9">
        <w:rPr>
          <w:i/>
          <w:sz w:val="28"/>
          <w:szCs w:val="28"/>
        </w:rPr>
        <w:t xml:space="preserve">Anotācija II, IV, V un V. sadaļa </w:t>
      </w:r>
      <w:r>
        <w:rPr>
          <w:i/>
          <w:sz w:val="28"/>
          <w:szCs w:val="28"/>
        </w:rPr>
        <w:t>–</w:t>
      </w:r>
      <w:r w:rsidRPr="00A461B9">
        <w:rPr>
          <w:i/>
          <w:sz w:val="28"/>
          <w:szCs w:val="28"/>
        </w:rPr>
        <w:t xml:space="preserve"> </w:t>
      </w:r>
      <w:r>
        <w:rPr>
          <w:i/>
          <w:sz w:val="28"/>
          <w:szCs w:val="28"/>
        </w:rPr>
        <w:t>Projekts šīs jomas neskar</w:t>
      </w:r>
      <w:r w:rsidRPr="00A461B9">
        <w:rPr>
          <w:i/>
          <w:sz w:val="28"/>
          <w:szCs w:val="28"/>
        </w:rPr>
        <w:t>.</w:t>
      </w:r>
    </w:p>
    <w:p w:rsidR="00703D84" w:rsidRPr="00A461B9" w:rsidRDefault="00703D84" w:rsidP="00703D84">
      <w:pPr>
        <w:rPr>
          <w:sz w:val="28"/>
          <w:szCs w:val="28"/>
        </w:rPr>
      </w:pPr>
    </w:p>
    <w:p w:rsidR="00703D84" w:rsidRDefault="00703D84" w:rsidP="00703D84">
      <w:pPr>
        <w:rPr>
          <w:bCs/>
          <w:sz w:val="28"/>
          <w:szCs w:val="28"/>
        </w:rPr>
      </w:pPr>
    </w:p>
    <w:p w:rsidR="00703D84" w:rsidRPr="00A461B9" w:rsidRDefault="00703D84" w:rsidP="00703D84">
      <w:pPr>
        <w:rPr>
          <w:bCs/>
          <w:sz w:val="28"/>
          <w:szCs w:val="28"/>
        </w:rPr>
      </w:pPr>
    </w:p>
    <w:p w:rsidR="00703D84" w:rsidRPr="00A461B9" w:rsidRDefault="00703D84" w:rsidP="00703D84">
      <w:pPr>
        <w:rPr>
          <w:sz w:val="28"/>
          <w:szCs w:val="28"/>
        </w:rPr>
      </w:pPr>
      <w:r>
        <w:rPr>
          <w:bCs/>
          <w:sz w:val="28"/>
          <w:szCs w:val="28"/>
        </w:rPr>
        <w:t>Tieslietu ministrs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sidRPr="00A461B9">
        <w:rPr>
          <w:bCs/>
          <w:sz w:val="28"/>
          <w:szCs w:val="28"/>
        </w:rPr>
        <w:t>A.</w:t>
      </w:r>
      <w:r w:rsidRPr="00A461B9">
        <w:rPr>
          <w:sz w:val="28"/>
          <w:szCs w:val="28"/>
        </w:rPr>
        <w:t>Štokenbergs</w:t>
      </w:r>
      <w:proofErr w:type="spellEnd"/>
    </w:p>
    <w:p w:rsidR="00703D84" w:rsidRPr="00A461B9" w:rsidRDefault="00703D84" w:rsidP="00703D84">
      <w:pPr>
        <w:rPr>
          <w:sz w:val="28"/>
          <w:szCs w:val="28"/>
        </w:rPr>
      </w:pPr>
    </w:p>
    <w:p w:rsidR="00703D84" w:rsidRPr="00A461B9" w:rsidRDefault="00703D84" w:rsidP="00703D84">
      <w:pPr>
        <w:rPr>
          <w:sz w:val="28"/>
          <w:szCs w:val="28"/>
        </w:rPr>
      </w:pPr>
    </w:p>
    <w:p w:rsidR="00703D84" w:rsidRDefault="00703D84" w:rsidP="00703D84">
      <w:pPr>
        <w:rPr>
          <w:sz w:val="28"/>
          <w:szCs w:val="28"/>
        </w:rPr>
      </w:pPr>
    </w:p>
    <w:p w:rsidR="00703D84" w:rsidRDefault="00703D84" w:rsidP="00703D84">
      <w:pPr>
        <w:rPr>
          <w:sz w:val="28"/>
          <w:szCs w:val="28"/>
        </w:rPr>
      </w:pPr>
    </w:p>
    <w:p w:rsidR="00703D84" w:rsidRDefault="00703D84" w:rsidP="00703D84">
      <w:pPr>
        <w:rPr>
          <w:sz w:val="28"/>
          <w:szCs w:val="28"/>
        </w:rPr>
      </w:pPr>
    </w:p>
    <w:p w:rsidR="00703D84" w:rsidRPr="00A461B9" w:rsidRDefault="00703D84" w:rsidP="00703D84">
      <w:pPr>
        <w:rPr>
          <w:sz w:val="28"/>
          <w:szCs w:val="28"/>
        </w:rPr>
      </w:pPr>
    </w:p>
    <w:p w:rsidR="00703D84" w:rsidRPr="00A461B9" w:rsidRDefault="00703D84" w:rsidP="00703D84">
      <w:pPr>
        <w:rPr>
          <w:szCs w:val="28"/>
        </w:rPr>
      </w:pPr>
    </w:p>
    <w:p w:rsidR="00703D84" w:rsidRPr="00EC6B0F" w:rsidRDefault="00703D84" w:rsidP="00703D84">
      <w:pPr>
        <w:pStyle w:val="Header"/>
        <w:jc w:val="both"/>
        <w:rPr>
          <w:sz w:val="20"/>
          <w:szCs w:val="20"/>
        </w:rPr>
      </w:pPr>
      <w:r w:rsidRPr="00EC6B0F">
        <w:rPr>
          <w:sz w:val="20"/>
          <w:szCs w:val="20"/>
        </w:rPr>
        <w:t>20.04.2011. 10:20</w:t>
      </w:r>
    </w:p>
    <w:p w:rsidR="00703D84" w:rsidRPr="00EC6B0F" w:rsidRDefault="00703D84" w:rsidP="00703D84">
      <w:pPr>
        <w:pStyle w:val="CommentText"/>
        <w:rPr>
          <w:lang w:val="lv-LV"/>
        </w:rPr>
      </w:pPr>
      <w:r w:rsidRPr="00EC6B0F">
        <w:rPr>
          <w:lang w:val="lv-LV"/>
        </w:rPr>
        <w:t>775</w:t>
      </w:r>
    </w:p>
    <w:p w:rsidR="00703D84" w:rsidRPr="00EC6B0F" w:rsidRDefault="00703D84" w:rsidP="00703D84">
      <w:pPr>
        <w:pStyle w:val="Header"/>
        <w:jc w:val="both"/>
        <w:rPr>
          <w:sz w:val="20"/>
          <w:szCs w:val="20"/>
          <w:lang w:val="de-DE"/>
        </w:rPr>
      </w:pPr>
      <w:proofErr w:type="spellStart"/>
      <w:r w:rsidRPr="00EC6B0F">
        <w:rPr>
          <w:sz w:val="20"/>
          <w:szCs w:val="20"/>
          <w:lang w:val="de-DE"/>
        </w:rPr>
        <w:t>Dana.Voitiņa</w:t>
      </w:r>
      <w:proofErr w:type="spellEnd"/>
      <w:r w:rsidRPr="00EC6B0F">
        <w:rPr>
          <w:sz w:val="20"/>
          <w:szCs w:val="20"/>
          <w:lang w:val="de-DE"/>
        </w:rPr>
        <w:t>, 67046135</w:t>
      </w:r>
    </w:p>
    <w:p w:rsidR="00703D84" w:rsidRPr="00EC6B0F" w:rsidRDefault="00703D84" w:rsidP="00703D84">
      <w:pPr>
        <w:pStyle w:val="CommentText"/>
        <w:rPr>
          <w:lang w:val="lv-LV"/>
        </w:rPr>
      </w:pPr>
      <w:r w:rsidRPr="00EC6B0F">
        <w:t>Dana.Voitina@tm.gov.lv</w:t>
      </w:r>
    </w:p>
    <w:p w:rsidR="00703D84" w:rsidRDefault="00703D84" w:rsidP="00703D84"/>
    <w:p w:rsidR="001A5A29" w:rsidRDefault="001A5A29"/>
    <w:sectPr w:rsidR="001A5A29" w:rsidSect="00EC6B0F">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D84" w:rsidRDefault="00703D84" w:rsidP="00703D84">
      <w:r>
        <w:separator/>
      </w:r>
    </w:p>
  </w:endnote>
  <w:endnote w:type="continuationSeparator" w:id="0">
    <w:p w:rsidR="00703D84" w:rsidRDefault="00703D84" w:rsidP="0070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9B" w:rsidRPr="000666D9" w:rsidRDefault="00703D84" w:rsidP="00293E9B">
    <w:pPr>
      <w:pStyle w:val="Footer"/>
      <w:jc w:val="both"/>
      <w:rPr>
        <w:sz w:val="20"/>
        <w:szCs w:val="20"/>
      </w:rPr>
    </w:pPr>
    <w:r>
      <w:rPr>
        <w:sz w:val="20"/>
        <w:szCs w:val="20"/>
      </w:rPr>
      <w:t>TMAnot_2004</w:t>
    </w:r>
    <w:r w:rsidRPr="000666D9">
      <w:rPr>
        <w:sz w:val="20"/>
        <w:szCs w:val="20"/>
      </w:rPr>
      <w:t>11</w:t>
    </w:r>
    <w:r>
      <w:rPr>
        <w:sz w:val="20"/>
        <w:szCs w:val="20"/>
      </w:rPr>
      <w:t>_Agl</w:t>
    </w:r>
    <w:r w:rsidRPr="000666D9">
      <w:rPr>
        <w:sz w:val="20"/>
        <w:szCs w:val="20"/>
      </w:rPr>
      <w:t xml:space="preserve">; Ministru kabineta noteikumu projekta „Grozījums Ministra kabineta 2010. gada 25. maija noteikumos Nr. 473 „Kārtība, kādā tiek noteikti valsts nozīmes pasākumi Aglonas svētvietā, kā arī nodrošināta to norise un finansēšana”” sākotnējās ietekmes novērtējuma </w:t>
    </w:r>
    <w:smartTag w:uri="schemas-tilde-lv/tildestengine" w:element="veidnes">
      <w:smartTagPr>
        <w:attr w:name="text" w:val="ziņojums"/>
        <w:attr w:name="baseform" w:val="ziņojums"/>
        <w:attr w:name="id" w:val="-1"/>
      </w:smartTagPr>
      <w:r w:rsidRPr="000666D9">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9B" w:rsidRPr="000666D9" w:rsidRDefault="00703D84" w:rsidP="00293E9B">
    <w:pPr>
      <w:pStyle w:val="Footer"/>
      <w:jc w:val="both"/>
      <w:rPr>
        <w:sz w:val="20"/>
        <w:szCs w:val="20"/>
      </w:rPr>
    </w:pPr>
    <w:r>
      <w:rPr>
        <w:sz w:val="20"/>
        <w:szCs w:val="20"/>
      </w:rPr>
      <w:t>TMAnot_2004</w:t>
    </w:r>
    <w:r w:rsidRPr="000666D9">
      <w:rPr>
        <w:sz w:val="20"/>
        <w:szCs w:val="20"/>
      </w:rPr>
      <w:t>11</w:t>
    </w:r>
    <w:r>
      <w:rPr>
        <w:sz w:val="20"/>
        <w:szCs w:val="20"/>
      </w:rPr>
      <w:t>_Agl</w:t>
    </w:r>
    <w:r w:rsidRPr="000666D9">
      <w:rPr>
        <w:sz w:val="20"/>
        <w:szCs w:val="20"/>
      </w:rPr>
      <w:t xml:space="preserve">; Ministru kabineta noteikumu projekta „Grozījums Ministra kabineta 2010. gada 25. maija noteikumos Nr. 473 „Kārtība, kādā tiek noteikti valsts nozīmes pasākumi Aglonas svētvietā, kā arī nodrošināta to norise un finansēšana”” sākotnējās ietekmes novērtējuma </w:t>
    </w:r>
    <w:smartTag w:uri="schemas-tilde-lv/tildestengine" w:element="veidnes">
      <w:smartTagPr>
        <w:attr w:name="text" w:val="ziņojums"/>
        <w:attr w:name="baseform" w:val="ziņojums"/>
        <w:attr w:name="id" w:val="-1"/>
      </w:smartTagPr>
      <w:r w:rsidRPr="000666D9">
        <w:rPr>
          <w:sz w:val="20"/>
          <w:szCs w:val="20"/>
        </w:rPr>
        <w:t>ziņojums</w:t>
      </w:r>
    </w:smartTag>
    <w:r w:rsidRPr="000666D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D84" w:rsidRDefault="00703D84" w:rsidP="00703D84">
      <w:r>
        <w:separator/>
      </w:r>
    </w:p>
  </w:footnote>
  <w:footnote w:type="continuationSeparator" w:id="0">
    <w:p w:rsidR="00703D84" w:rsidRDefault="00703D84" w:rsidP="0070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9B" w:rsidRDefault="00FA6F2F" w:rsidP="00293E9B">
    <w:pPr>
      <w:pStyle w:val="Header"/>
      <w:framePr w:wrap="around" w:vAnchor="text" w:hAnchor="margin" w:xAlign="center" w:y="1"/>
      <w:rPr>
        <w:rStyle w:val="PageNumber"/>
      </w:rPr>
    </w:pPr>
    <w:r>
      <w:rPr>
        <w:rStyle w:val="PageNumber"/>
      </w:rPr>
      <w:fldChar w:fldCharType="begin"/>
    </w:r>
    <w:r w:rsidR="00703D84">
      <w:rPr>
        <w:rStyle w:val="PageNumber"/>
      </w:rPr>
      <w:instrText xml:space="preserve">PAGE  </w:instrText>
    </w:r>
    <w:r>
      <w:rPr>
        <w:rStyle w:val="PageNumber"/>
      </w:rPr>
      <w:fldChar w:fldCharType="end"/>
    </w:r>
  </w:p>
  <w:p w:rsidR="00293E9B" w:rsidRDefault="00EC6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9B" w:rsidRDefault="00FA6F2F" w:rsidP="00293E9B">
    <w:pPr>
      <w:pStyle w:val="Header"/>
      <w:framePr w:wrap="around" w:vAnchor="text" w:hAnchor="margin" w:xAlign="center" w:y="1"/>
      <w:rPr>
        <w:rStyle w:val="PageNumber"/>
      </w:rPr>
    </w:pPr>
    <w:r>
      <w:rPr>
        <w:rStyle w:val="PageNumber"/>
      </w:rPr>
      <w:fldChar w:fldCharType="begin"/>
    </w:r>
    <w:r w:rsidR="00703D84">
      <w:rPr>
        <w:rStyle w:val="PageNumber"/>
      </w:rPr>
      <w:instrText xml:space="preserve">PAGE  </w:instrText>
    </w:r>
    <w:r>
      <w:rPr>
        <w:rStyle w:val="PageNumber"/>
      </w:rPr>
      <w:fldChar w:fldCharType="separate"/>
    </w:r>
    <w:r w:rsidR="00EC6B0F">
      <w:rPr>
        <w:rStyle w:val="PageNumber"/>
        <w:noProof/>
      </w:rPr>
      <w:t>4</w:t>
    </w:r>
    <w:r>
      <w:rPr>
        <w:rStyle w:val="PageNumber"/>
      </w:rPr>
      <w:fldChar w:fldCharType="end"/>
    </w:r>
  </w:p>
  <w:p w:rsidR="00293E9B" w:rsidRDefault="00EC6B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3D84"/>
    <w:rsid w:val="00015151"/>
    <w:rsid w:val="000322F3"/>
    <w:rsid w:val="00054C71"/>
    <w:rsid w:val="00064613"/>
    <w:rsid w:val="00082C8E"/>
    <w:rsid w:val="00090D5B"/>
    <w:rsid w:val="000F2372"/>
    <w:rsid w:val="000F7C1E"/>
    <w:rsid w:val="00100FA3"/>
    <w:rsid w:val="001244A3"/>
    <w:rsid w:val="00135A07"/>
    <w:rsid w:val="001725E0"/>
    <w:rsid w:val="00186C99"/>
    <w:rsid w:val="001A5A29"/>
    <w:rsid w:val="00250A78"/>
    <w:rsid w:val="002F0B89"/>
    <w:rsid w:val="003044CC"/>
    <w:rsid w:val="00313250"/>
    <w:rsid w:val="003C0207"/>
    <w:rsid w:val="003D2E15"/>
    <w:rsid w:val="004536D3"/>
    <w:rsid w:val="00482BE2"/>
    <w:rsid w:val="004B79BD"/>
    <w:rsid w:val="004B7D4C"/>
    <w:rsid w:val="004C332C"/>
    <w:rsid w:val="004D1035"/>
    <w:rsid w:val="00517038"/>
    <w:rsid w:val="005A55CA"/>
    <w:rsid w:val="005F789B"/>
    <w:rsid w:val="00633015"/>
    <w:rsid w:val="00677FF6"/>
    <w:rsid w:val="006C3BF3"/>
    <w:rsid w:val="006C420D"/>
    <w:rsid w:val="00703D84"/>
    <w:rsid w:val="00744A36"/>
    <w:rsid w:val="0078541A"/>
    <w:rsid w:val="00847F91"/>
    <w:rsid w:val="008868CE"/>
    <w:rsid w:val="0089043D"/>
    <w:rsid w:val="008C58AC"/>
    <w:rsid w:val="009510F8"/>
    <w:rsid w:val="00980C0F"/>
    <w:rsid w:val="00982BB2"/>
    <w:rsid w:val="00984064"/>
    <w:rsid w:val="009B590E"/>
    <w:rsid w:val="009D1FEA"/>
    <w:rsid w:val="009D7653"/>
    <w:rsid w:val="00A22B72"/>
    <w:rsid w:val="00A24C8B"/>
    <w:rsid w:val="00A4159F"/>
    <w:rsid w:val="00A41C90"/>
    <w:rsid w:val="00A47B4A"/>
    <w:rsid w:val="00A61043"/>
    <w:rsid w:val="00AA312F"/>
    <w:rsid w:val="00AC64A6"/>
    <w:rsid w:val="00C245ED"/>
    <w:rsid w:val="00C71585"/>
    <w:rsid w:val="00CB68CC"/>
    <w:rsid w:val="00CC7C18"/>
    <w:rsid w:val="00D06FE6"/>
    <w:rsid w:val="00D42031"/>
    <w:rsid w:val="00D52502"/>
    <w:rsid w:val="00D95098"/>
    <w:rsid w:val="00DB7230"/>
    <w:rsid w:val="00DC4C40"/>
    <w:rsid w:val="00E01E9B"/>
    <w:rsid w:val="00E05933"/>
    <w:rsid w:val="00E60BE3"/>
    <w:rsid w:val="00E95F73"/>
    <w:rsid w:val="00EC6B0F"/>
    <w:rsid w:val="00F21EB3"/>
    <w:rsid w:val="00F246D0"/>
    <w:rsid w:val="00F3340A"/>
    <w:rsid w:val="00F4343B"/>
    <w:rsid w:val="00F67E3D"/>
    <w:rsid w:val="00FA6F2F"/>
    <w:rsid w:val="00FB50A0"/>
    <w:rsid w:val="00FD67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84"/>
    <w:pPr>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D84"/>
    <w:pPr>
      <w:tabs>
        <w:tab w:val="center" w:pos="4153"/>
        <w:tab w:val="right" w:pos="8306"/>
      </w:tabs>
    </w:pPr>
  </w:style>
  <w:style w:type="character" w:customStyle="1" w:styleId="HeaderChar">
    <w:name w:val="Header Char"/>
    <w:basedOn w:val="DefaultParagraphFont"/>
    <w:link w:val="Header"/>
    <w:uiPriority w:val="99"/>
    <w:rsid w:val="00703D84"/>
    <w:rPr>
      <w:rFonts w:eastAsia="Times New Roman" w:cs="Times New Roman"/>
      <w:szCs w:val="24"/>
      <w:lang w:eastAsia="lv-LV"/>
    </w:rPr>
  </w:style>
  <w:style w:type="character" w:styleId="PageNumber">
    <w:name w:val="page number"/>
    <w:basedOn w:val="DefaultParagraphFont"/>
    <w:uiPriority w:val="99"/>
    <w:rsid w:val="00703D84"/>
    <w:rPr>
      <w:rFonts w:cs="Times New Roman"/>
    </w:rPr>
  </w:style>
  <w:style w:type="paragraph" w:customStyle="1" w:styleId="naisf">
    <w:name w:val="naisf"/>
    <w:basedOn w:val="Normal"/>
    <w:uiPriority w:val="99"/>
    <w:rsid w:val="00703D84"/>
    <w:pPr>
      <w:spacing w:before="75" w:after="75"/>
      <w:ind w:firstLine="375"/>
      <w:jc w:val="both"/>
    </w:pPr>
  </w:style>
  <w:style w:type="paragraph" w:customStyle="1" w:styleId="naisnod">
    <w:name w:val="naisnod"/>
    <w:basedOn w:val="Normal"/>
    <w:uiPriority w:val="99"/>
    <w:rsid w:val="00703D84"/>
    <w:pPr>
      <w:spacing w:before="150" w:after="150"/>
      <w:jc w:val="center"/>
    </w:pPr>
    <w:rPr>
      <w:b/>
      <w:bCs/>
    </w:rPr>
  </w:style>
  <w:style w:type="paragraph" w:customStyle="1" w:styleId="naislab">
    <w:name w:val="naislab"/>
    <w:basedOn w:val="Normal"/>
    <w:uiPriority w:val="99"/>
    <w:rsid w:val="00703D84"/>
    <w:pPr>
      <w:spacing w:before="75" w:after="75"/>
      <w:jc w:val="right"/>
    </w:pPr>
  </w:style>
  <w:style w:type="paragraph" w:customStyle="1" w:styleId="naiskr">
    <w:name w:val="naiskr"/>
    <w:basedOn w:val="Normal"/>
    <w:uiPriority w:val="99"/>
    <w:rsid w:val="00703D84"/>
    <w:pPr>
      <w:spacing w:before="75" w:after="75"/>
    </w:pPr>
  </w:style>
  <w:style w:type="paragraph" w:styleId="FootnoteText">
    <w:name w:val="footnote text"/>
    <w:basedOn w:val="Normal"/>
    <w:link w:val="FootnoteTextChar"/>
    <w:uiPriority w:val="99"/>
    <w:semiHidden/>
    <w:rsid w:val="00703D84"/>
    <w:rPr>
      <w:sz w:val="20"/>
      <w:szCs w:val="20"/>
    </w:rPr>
  </w:style>
  <w:style w:type="character" w:customStyle="1" w:styleId="FootnoteTextChar">
    <w:name w:val="Footnote Text Char"/>
    <w:basedOn w:val="DefaultParagraphFont"/>
    <w:link w:val="FootnoteText"/>
    <w:uiPriority w:val="99"/>
    <w:semiHidden/>
    <w:rsid w:val="00703D84"/>
    <w:rPr>
      <w:rFonts w:eastAsia="Times New Roman" w:cs="Times New Roman"/>
      <w:sz w:val="20"/>
      <w:szCs w:val="20"/>
      <w:lang w:eastAsia="lv-LV"/>
    </w:rPr>
  </w:style>
  <w:style w:type="paragraph" w:styleId="Footer">
    <w:name w:val="footer"/>
    <w:basedOn w:val="Normal"/>
    <w:link w:val="FooterChar"/>
    <w:uiPriority w:val="99"/>
    <w:rsid w:val="00703D84"/>
    <w:pPr>
      <w:tabs>
        <w:tab w:val="center" w:pos="4153"/>
        <w:tab w:val="right" w:pos="8306"/>
      </w:tabs>
    </w:pPr>
  </w:style>
  <w:style w:type="character" w:customStyle="1" w:styleId="FooterChar">
    <w:name w:val="Footer Char"/>
    <w:basedOn w:val="DefaultParagraphFont"/>
    <w:link w:val="Footer"/>
    <w:uiPriority w:val="99"/>
    <w:rsid w:val="00703D84"/>
    <w:rPr>
      <w:rFonts w:eastAsia="Times New Roman" w:cs="Times New Roman"/>
      <w:szCs w:val="24"/>
      <w:lang w:eastAsia="lv-LV"/>
    </w:rPr>
  </w:style>
  <w:style w:type="paragraph" w:styleId="CommentText">
    <w:name w:val="annotation text"/>
    <w:basedOn w:val="Normal"/>
    <w:link w:val="CommentTextChar"/>
    <w:uiPriority w:val="99"/>
    <w:semiHidden/>
    <w:rsid w:val="00703D84"/>
    <w:rPr>
      <w:sz w:val="20"/>
      <w:szCs w:val="20"/>
      <w:lang w:val="en-GB" w:eastAsia="en-US"/>
    </w:rPr>
  </w:style>
  <w:style w:type="character" w:customStyle="1" w:styleId="CommentTextChar">
    <w:name w:val="Comment Text Char"/>
    <w:basedOn w:val="DefaultParagraphFont"/>
    <w:link w:val="CommentText"/>
    <w:uiPriority w:val="99"/>
    <w:semiHidden/>
    <w:rsid w:val="00703D84"/>
    <w:rPr>
      <w:rFonts w:eastAsia="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3892</Words>
  <Characters>2219</Characters>
  <Application>Microsoft Office Word</Application>
  <DocSecurity>0</DocSecurity>
  <Lines>18</Lines>
  <Paragraphs>12</Paragraphs>
  <ScaleCrop>false</ScaleCrop>
  <Company>Tieslietu Ministrija</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25.maija noteikumos Nr.473 "Kārtība kādā tiek noteikti valsts nozīmes pasākumi Aglonas svētvietā, kā arī nodrošināta to norise un finansēšana"" sākotnējās ietekmes novērtējuma ziņojums (anotācija)</dc:title>
  <dc:subject>Sākotnējās ietekmes novērtējuma ziņojums (anotācija)</dc:subject>
  <dc:creator>Dana Voitiņa</dc:creator>
  <cp:keywords/>
  <dc:description>Dana.Voitina@tm.gov.lv;
67046135</dc:description>
  <cp:lastModifiedBy>dv1301</cp:lastModifiedBy>
  <cp:revision>2</cp:revision>
  <dcterms:created xsi:type="dcterms:W3CDTF">2011-04-19T07:22:00Z</dcterms:created>
  <dcterms:modified xsi:type="dcterms:W3CDTF">2011-04-19T07:37:00Z</dcterms:modified>
</cp:coreProperties>
</file>