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14" w:rsidRDefault="00033914" w:rsidP="007A0565">
      <w:pPr>
        <w:pStyle w:val="Heading2"/>
        <w:jc w:val="center"/>
        <w:rPr>
          <w:rFonts w:ascii="Times New Roman" w:hAnsi="Times New Roman"/>
          <w:sz w:val="28"/>
          <w:szCs w:val="28"/>
          <w:lang w:val="lv-LV"/>
        </w:rPr>
      </w:pPr>
      <w:r w:rsidRPr="00FC7B3D">
        <w:rPr>
          <w:rFonts w:ascii="Times New Roman" w:hAnsi="Times New Roman"/>
          <w:sz w:val="28"/>
          <w:szCs w:val="28"/>
          <w:lang w:val="lv-LV"/>
        </w:rPr>
        <w:t>Ministru kabineta noteikumu projekta „</w:t>
      </w:r>
      <w:r w:rsidR="007A0565">
        <w:rPr>
          <w:rFonts w:ascii="Times New Roman" w:hAnsi="Times New Roman"/>
          <w:sz w:val="28"/>
          <w:szCs w:val="28"/>
          <w:lang w:val="lv-LV"/>
        </w:rPr>
        <w:t>Grozījums Ministru kabineta 2004</w:t>
      </w:r>
      <w:r>
        <w:rPr>
          <w:rFonts w:ascii="Times New Roman" w:hAnsi="Times New Roman"/>
          <w:sz w:val="28"/>
          <w:szCs w:val="28"/>
          <w:lang w:val="lv-LV"/>
        </w:rPr>
        <w:t xml:space="preserve">. gada </w:t>
      </w:r>
      <w:r w:rsidR="007A0565">
        <w:rPr>
          <w:rFonts w:ascii="Times New Roman" w:hAnsi="Times New Roman"/>
          <w:sz w:val="28"/>
          <w:szCs w:val="28"/>
          <w:lang w:val="lv-LV"/>
        </w:rPr>
        <w:t>28</w:t>
      </w:r>
      <w:r>
        <w:rPr>
          <w:rFonts w:ascii="Times New Roman" w:hAnsi="Times New Roman"/>
          <w:sz w:val="28"/>
          <w:szCs w:val="28"/>
          <w:lang w:val="lv-LV"/>
        </w:rPr>
        <w:t>. </w:t>
      </w:r>
      <w:r w:rsidR="007A0565">
        <w:rPr>
          <w:rFonts w:ascii="Times New Roman" w:hAnsi="Times New Roman"/>
          <w:sz w:val="28"/>
          <w:szCs w:val="28"/>
          <w:lang w:val="lv-LV"/>
        </w:rPr>
        <w:t xml:space="preserve">decembra </w:t>
      </w:r>
      <w:r>
        <w:rPr>
          <w:rFonts w:ascii="Times New Roman" w:hAnsi="Times New Roman"/>
          <w:sz w:val="28"/>
          <w:szCs w:val="28"/>
          <w:lang w:val="lv-LV"/>
        </w:rPr>
        <w:t>noteikumos Nr. </w:t>
      </w:r>
      <w:r w:rsidR="007A0565">
        <w:rPr>
          <w:rFonts w:ascii="Times New Roman" w:hAnsi="Times New Roman"/>
          <w:sz w:val="28"/>
          <w:szCs w:val="28"/>
          <w:lang w:val="lv-LV"/>
        </w:rPr>
        <w:t>1075 </w:t>
      </w:r>
      <w:r>
        <w:rPr>
          <w:rFonts w:ascii="Times New Roman" w:hAnsi="Times New Roman"/>
          <w:sz w:val="28"/>
          <w:szCs w:val="28"/>
          <w:lang w:val="lv-LV"/>
        </w:rPr>
        <w:t xml:space="preserve">„Noteikumi par </w:t>
      </w:r>
      <w:r w:rsidR="007A0565">
        <w:rPr>
          <w:rFonts w:ascii="Times New Roman" w:hAnsi="Times New Roman"/>
          <w:sz w:val="28"/>
          <w:szCs w:val="28"/>
          <w:lang w:val="lv-LV"/>
        </w:rPr>
        <w:t>zvērinātu tiesu izpildītāju amata atlīdzības taksēm</w:t>
      </w:r>
      <w:r>
        <w:rPr>
          <w:rFonts w:ascii="Times New Roman" w:hAnsi="Times New Roman"/>
          <w:sz w:val="28"/>
          <w:szCs w:val="28"/>
          <w:lang w:val="lv-LV"/>
        </w:rPr>
        <w:t>”</w:t>
      </w:r>
      <w:r w:rsidRPr="00FC7B3D">
        <w:rPr>
          <w:rFonts w:ascii="Times New Roman" w:hAnsi="Times New Roman"/>
          <w:sz w:val="28"/>
          <w:szCs w:val="28"/>
          <w:lang w:val="lv-LV"/>
        </w:rPr>
        <w:t xml:space="preserve">” sākotnējās ietekmes novērtējuma </w:t>
      </w:r>
      <w:smartTag w:uri="schemas-tilde-lv/tildestengine" w:element="veidnes">
        <w:smartTagPr>
          <w:attr w:name="text" w:val="ziņojums"/>
          <w:attr w:name="id" w:val="-1"/>
          <w:attr w:name="baseform" w:val="ziņojum|s"/>
        </w:smartTagPr>
        <w:r w:rsidRPr="00FC7B3D">
          <w:rPr>
            <w:rFonts w:ascii="Times New Roman" w:hAnsi="Times New Roman"/>
            <w:sz w:val="28"/>
            <w:szCs w:val="28"/>
            <w:lang w:val="lv-LV"/>
          </w:rPr>
          <w:t>ziņojums</w:t>
        </w:r>
      </w:smartTag>
      <w:r w:rsidRPr="00FC7B3D">
        <w:rPr>
          <w:rFonts w:ascii="Times New Roman" w:hAnsi="Times New Roman"/>
          <w:sz w:val="28"/>
          <w:szCs w:val="28"/>
          <w:lang w:val="lv-LV"/>
        </w:rPr>
        <w:t xml:space="preserve"> (anotācija)</w:t>
      </w:r>
    </w:p>
    <w:p w:rsidR="007A0565" w:rsidRPr="007A0565" w:rsidRDefault="007A0565" w:rsidP="007A0565"/>
    <w:tbl>
      <w:tblPr>
        <w:tblStyle w:val="TableGrid"/>
        <w:tblW w:w="0" w:type="auto"/>
        <w:tblLook w:val="04A0"/>
      </w:tblPr>
      <w:tblGrid>
        <w:gridCol w:w="519"/>
        <w:gridCol w:w="7"/>
        <w:gridCol w:w="3526"/>
        <w:gridCol w:w="5235"/>
      </w:tblGrid>
      <w:tr w:rsidR="00033914" w:rsidRPr="00FC7B3D" w:rsidTr="00BC16CE">
        <w:tc>
          <w:tcPr>
            <w:tcW w:w="9287" w:type="dxa"/>
            <w:gridSpan w:val="4"/>
            <w:hideMark/>
          </w:tcPr>
          <w:p w:rsidR="00033914" w:rsidRPr="00FC7B3D" w:rsidRDefault="00033914" w:rsidP="00814B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b/>
                <w:bCs/>
                <w:sz w:val="28"/>
                <w:szCs w:val="28"/>
                <w:lang w:eastAsia="lv-LV"/>
              </w:rPr>
              <w:t>I. Tiesību akta projekta izstrādes nepieciešamība</w:t>
            </w:r>
          </w:p>
        </w:tc>
      </w:tr>
      <w:tr w:rsidR="00033914" w:rsidRPr="00FC7B3D" w:rsidTr="00BC16CE">
        <w:trPr>
          <w:trHeight w:val="630"/>
        </w:trPr>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3526"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Pamatojums</w:t>
            </w:r>
          </w:p>
        </w:tc>
        <w:tc>
          <w:tcPr>
            <w:tcW w:w="5235" w:type="dxa"/>
            <w:hideMark/>
          </w:tcPr>
          <w:p w:rsidR="00033914" w:rsidRPr="002268CC" w:rsidRDefault="00033914" w:rsidP="00814B74">
            <w:pPr>
              <w:pStyle w:val="naiskr"/>
              <w:spacing w:before="0" w:beforeAutospacing="0" w:after="0" w:afterAutospacing="0"/>
              <w:ind w:firstLine="505"/>
              <w:jc w:val="both"/>
              <w:rPr>
                <w:sz w:val="28"/>
                <w:szCs w:val="28"/>
              </w:rPr>
            </w:pPr>
            <w:r w:rsidRPr="002268CC">
              <w:rPr>
                <w:color w:val="000000"/>
                <w:sz w:val="28"/>
                <w:szCs w:val="28"/>
              </w:rPr>
              <w:t>S</w:t>
            </w:r>
            <w:r w:rsidRPr="002268CC">
              <w:rPr>
                <w:sz w:val="28"/>
                <w:szCs w:val="28"/>
              </w:rPr>
              <w:t>aeimā 2011.</w:t>
            </w:r>
            <w:r>
              <w:rPr>
                <w:sz w:val="28"/>
                <w:szCs w:val="28"/>
              </w:rPr>
              <w:t> </w:t>
            </w:r>
            <w:r w:rsidRPr="002268CC">
              <w:rPr>
                <w:sz w:val="28"/>
                <w:szCs w:val="28"/>
              </w:rPr>
              <w:t xml:space="preserve">gada </w:t>
            </w:r>
            <w:r>
              <w:rPr>
                <w:sz w:val="28"/>
                <w:szCs w:val="28"/>
              </w:rPr>
              <w:t>2</w:t>
            </w:r>
            <w:r w:rsidRPr="002268CC">
              <w:rPr>
                <w:sz w:val="28"/>
                <w:szCs w:val="28"/>
              </w:rPr>
              <w:t>4.</w:t>
            </w:r>
            <w:r>
              <w:rPr>
                <w:sz w:val="28"/>
                <w:szCs w:val="28"/>
              </w:rPr>
              <w:t> </w:t>
            </w:r>
            <w:r w:rsidRPr="002268CC">
              <w:rPr>
                <w:sz w:val="28"/>
                <w:szCs w:val="28"/>
              </w:rPr>
              <w:t xml:space="preserve">augustā </w:t>
            </w:r>
            <w:r>
              <w:rPr>
                <w:sz w:val="28"/>
                <w:szCs w:val="28"/>
              </w:rPr>
              <w:t xml:space="preserve">izsludināts likums </w:t>
            </w:r>
            <w:r w:rsidRPr="002268CC">
              <w:rPr>
                <w:sz w:val="28"/>
                <w:szCs w:val="28"/>
              </w:rPr>
              <w:t>„Grozījumi Civilprocesa likumā”</w:t>
            </w:r>
            <w:r w:rsidR="00F22704">
              <w:rPr>
                <w:sz w:val="28"/>
                <w:szCs w:val="28"/>
              </w:rPr>
              <w:t>, ar kuru cita starp tiek risināts</w:t>
            </w:r>
            <w:r w:rsidR="00F22704" w:rsidRPr="00F22704">
              <w:rPr>
                <w:sz w:val="28"/>
                <w:szCs w:val="28"/>
              </w:rPr>
              <w:t xml:space="preserve"> </w:t>
            </w:r>
            <w:r w:rsidR="00F22704" w:rsidRPr="00F22704">
              <w:rPr>
                <w:bCs/>
                <w:sz w:val="28"/>
                <w:szCs w:val="28"/>
              </w:rPr>
              <w:t>jautājumus</w:t>
            </w:r>
            <w:r w:rsidR="00F22704" w:rsidRPr="00F22704">
              <w:rPr>
                <w:sz w:val="28"/>
                <w:szCs w:val="28"/>
              </w:rPr>
              <w:t xml:space="preserve"> </w:t>
            </w:r>
            <w:r w:rsidR="00F22704">
              <w:rPr>
                <w:sz w:val="28"/>
                <w:szCs w:val="28"/>
              </w:rPr>
              <w:t>par nolēmumu</w:t>
            </w:r>
            <w:r w:rsidR="00F22704" w:rsidRPr="00F22704">
              <w:rPr>
                <w:sz w:val="28"/>
                <w:szCs w:val="28"/>
              </w:rPr>
              <w:t>, kas pieņemti lietās par bērna nogādāšanu atpakaļ uz valsti, kurā ir viņa dzīvesvieta</w:t>
            </w:r>
            <w:r w:rsidR="00F22704">
              <w:rPr>
                <w:sz w:val="28"/>
                <w:szCs w:val="28"/>
              </w:rPr>
              <w:t>,</w:t>
            </w:r>
            <w:r w:rsidR="00F22704" w:rsidRPr="00F22704">
              <w:rPr>
                <w:sz w:val="28"/>
                <w:szCs w:val="28"/>
              </w:rPr>
              <w:t xml:space="preserve"> </w:t>
            </w:r>
            <w:r w:rsidR="00F22704">
              <w:rPr>
                <w:bCs/>
                <w:sz w:val="28"/>
                <w:szCs w:val="28"/>
              </w:rPr>
              <w:t>piespiedu izpildi</w:t>
            </w:r>
            <w:r w:rsidR="00F22704" w:rsidRPr="00F22704">
              <w:rPr>
                <w:bCs/>
                <w:sz w:val="28"/>
                <w:szCs w:val="28"/>
              </w:rPr>
              <w:t>.</w:t>
            </w:r>
            <w:r w:rsidR="00F22704" w:rsidRPr="002268CC">
              <w:rPr>
                <w:sz w:val="28"/>
                <w:szCs w:val="28"/>
              </w:rPr>
              <w:t xml:space="preserve"> Likum</w:t>
            </w:r>
            <w:r w:rsidR="00F22704">
              <w:rPr>
                <w:sz w:val="28"/>
                <w:szCs w:val="28"/>
              </w:rPr>
              <w:t>a</w:t>
            </w:r>
            <w:r w:rsidR="00F22704" w:rsidRPr="002268CC">
              <w:rPr>
                <w:sz w:val="28"/>
                <w:szCs w:val="28"/>
              </w:rPr>
              <w:t xml:space="preserve"> spēkā stāšanās datums ir 2011.</w:t>
            </w:r>
            <w:r w:rsidR="00F22704">
              <w:rPr>
                <w:sz w:val="28"/>
                <w:szCs w:val="28"/>
              </w:rPr>
              <w:t> </w:t>
            </w:r>
            <w:r w:rsidR="00F22704" w:rsidRPr="002268CC">
              <w:rPr>
                <w:sz w:val="28"/>
                <w:szCs w:val="28"/>
              </w:rPr>
              <w:t>gada 1.</w:t>
            </w:r>
            <w:r w:rsidR="00F22704">
              <w:rPr>
                <w:sz w:val="28"/>
                <w:szCs w:val="28"/>
              </w:rPr>
              <w:t> o</w:t>
            </w:r>
            <w:r w:rsidR="00F22704" w:rsidRPr="002268CC">
              <w:rPr>
                <w:sz w:val="28"/>
                <w:szCs w:val="28"/>
              </w:rPr>
              <w:t>ktob</w:t>
            </w:r>
            <w:r w:rsidR="00F22704">
              <w:rPr>
                <w:sz w:val="28"/>
                <w:szCs w:val="28"/>
              </w:rPr>
              <w:t>ris.</w:t>
            </w:r>
          </w:p>
          <w:p w:rsidR="00033914" w:rsidRDefault="00033914" w:rsidP="00814B74">
            <w:pPr>
              <w:ind w:firstLine="459"/>
              <w:jc w:val="both"/>
              <w:rPr>
                <w:rFonts w:ascii="Times New Roman" w:hAnsi="Times New Roman" w:cs="Times New Roman"/>
                <w:sz w:val="28"/>
                <w:szCs w:val="28"/>
              </w:rPr>
            </w:pPr>
            <w:r>
              <w:rPr>
                <w:rFonts w:ascii="Times New Roman" w:hAnsi="Times New Roman" w:cs="Times New Roman"/>
                <w:sz w:val="28"/>
                <w:szCs w:val="28"/>
              </w:rPr>
              <w:t>Minētā l</w:t>
            </w:r>
            <w:r w:rsidRPr="002268CC">
              <w:rPr>
                <w:rFonts w:ascii="Times New Roman" w:hAnsi="Times New Roman" w:cs="Times New Roman"/>
                <w:sz w:val="28"/>
                <w:szCs w:val="28"/>
              </w:rPr>
              <w:t>ikum</w:t>
            </w:r>
            <w:r>
              <w:rPr>
                <w:rFonts w:ascii="Times New Roman" w:hAnsi="Times New Roman" w:cs="Times New Roman"/>
                <w:sz w:val="28"/>
                <w:szCs w:val="28"/>
              </w:rPr>
              <w:t>a</w:t>
            </w:r>
            <w:r w:rsidRPr="002268CC">
              <w:rPr>
                <w:rFonts w:ascii="Times New Roman" w:hAnsi="Times New Roman" w:cs="Times New Roman"/>
                <w:sz w:val="28"/>
                <w:szCs w:val="28"/>
              </w:rPr>
              <w:t xml:space="preserve"> mērķis ir uzlabot Hāgas 1980.gada 25.oktobra konvencijas par starptautiskās bērnu nolaupīšanas civiltiesiskajiem aspektiem un Padomes 2003.gada 27.novembra Regulas (EK) Nr.</w:t>
            </w:r>
            <w:r>
              <w:rPr>
                <w:rFonts w:ascii="Times New Roman" w:hAnsi="Times New Roman" w:cs="Times New Roman"/>
                <w:sz w:val="28"/>
                <w:szCs w:val="28"/>
              </w:rPr>
              <w:t> </w:t>
            </w:r>
            <w:r w:rsidRPr="002268CC">
              <w:rPr>
                <w:rFonts w:ascii="Times New Roman" w:hAnsi="Times New Roman" w:cs="Times New Roman"/>
                <w:sz w:val="28"/>
                <w:szCs w:val="28"/>
              </w:rPr>
              <w:t>2201/2003 par jurisdikciju un spriedumu atzīšanu un izpildi laulības lietās un lietās par vecāku atbildību un par regulas (EK) Nr.</w:t>
            </w:r>
            <w:r>
              <w:rPr>
                <w:rFonts w:ascii="Times New Roman" w:hAnsi="Times New Roman" w:cs="Times New Roman"/>
                <w:sz w:val="28"/>
                <w:szCs w:val="28"/>
              </w:rPr>
              <w:t> </w:t>
            </w:r>
            <w:r w:rsidRPr="002268CC">
              <w:rPr>
                <w:rFonts w:ascii="Times New Roman" w:hAnsi="Times New Roman" w:cs="Times New Roman"/>
                <w:sz w:val="28"/>
                <w:szCs w:val="28"/>
              </w:rPr>
              <w:t>1347/2000 atcelšanu piemērošanu Latvijā un ievērojami uzlabot tiesas nolēmumu par bērna atgriešanos valstī, kura ir viņa dzīvesvieta, labprātīgas un piespiedu izpildes mehānismu.</w:t>
            </w:r>
          </w:p>
          <w:p w:rsidR="00033914" w:rsidRPr="00F22704" w:rsidRDefault="00033914" w:rsidP="00F22704">
            <w:pPr>
              <w:ind w:firstLine="459"/>
              <w:jc w:val="both"/>
              <w:rPr>
                <w:rFonts w:ascii="Times New Roman" w:hAnsi="Times New Roman" w:cs="Times New Roman"/>
                <w:sz w:val="28"/>
                <w:szCs w:val="28"/>
              </w:rPr>
            </w:pPr>
          </w:p>
        </w:tc>
      </w:tr>
      <w:tr w:rsidR="00033914" w:rsidRPr="00FC7B3D" w:rsidTr="00BC16CE">
        <w:trPr>
          <w:trHeight w:val="472"/>
        </w:trPr>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3526"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Pašreizējā situācija un problēmas</w:t>
            </w:r>
          </w:p>
        </w:tc>
        <w:tc>
          <w:tcPr>
            <w:tcW w:w="5235" w:type="dxa"/>
            <w:hideMark/>
          </w:tcPr>
          <w:p w:rsidR="0010699A" w:rsidRPr="0010699A" w:rsidRDefault="0010699A" w:rsidP="0010699A">
            <w:pPr>
              <w:pStyle w:val="NormalWeb"/>
              <w:spacing w:before="0" w:beforeAutospacing="0" w:after="0" w:afterAutospacing="0"/>
              <w:ind w:firstLine="459"/>
              <w:jc w:val="both"/>
              <w:rPr>
                <w:sz w:val="28"/>
                <w:szCs w:val="28"/>
              </w:rPr>
            </w:pPr>
            <w:r>
              <w:rPr>
                <w:color w:val="000000"/>
                <w:sz w:val="28"/>
                <w:szCs w:val="28"/>
              </w:rPr>
              <w:t xml:space="preserve">Ar </w:t>
            </w:r>
            <w:r w:rsidRPr="002268CC">
              <w:rPr>
                <w:sz w:val="28"/>
                <w:szCs w:val="28"/>
              </w:rPr>
              <w:t>2011.</w:t>
            </w:r>
            <w:r>
              <w:rPr>
                <w:sz w:val="28"/>
                <w:szCs w:val="28"/>
              </w:rPr>
              <w:t> </w:t>
            </w:r>
            <w:r w:rsidRPr="002268CC">
              <w:rPr>
                <w:sz w:val="28"/>
                <w:szCs w:val="28"/>
              </w:rPr>
              <w:t xml:space="preserve">gada </w:t>
            </w:r>
            <w:r>
              <w:rPr>
                <w:sz w:val="28"/>
                <w:szCs w:val="28"/>
              </w:rPr>
              <w:t>2</w:t>
            </w:r>
            <w:r w:rsidRPr="002268CC">
              <w:rPr>
                <w:sz w:val="28"/>
                <w:szCs w:val="28"/>
              </w:rPr>
              <w:t>4.</w:t>
            </w:r>
            <w:r>
              <w:rPr>
                <w:sz w:val="28"/>
                <w:szCs w:val="28"/>
              </w:rPr>
              <w:t> augusta</w:t>
            </w:r>
            <w:r w:rsidRPr="002268CC">
              <w:rPr>
                <w:sz w:val="28"/>
                <w:szCs w:val="28"/>
              </w:rPr>
              <w:t xml:space="preserve"> </w:t>
            </w:r>
            <w:r>
              <w:rPr>
                <w:sz w:val="28"/>
                <w:szCs w:val="28"/>
              </w:rPr>
              <w:t xml:space="preserve">likumu </w:t>
            </w:r>
            <w:r w:rsidRPr="002268CC">
              <w:rPr>
                <w:sz w:val="28"/>
                <w:szCs w:val="28"/>
              </w:rPr>
              <w:t>„Grozījumi Civilprocesa likumā”</w:t>
            </w:r>
            <w:r>
              <w:rPr>
                <w:sz w:val="28"/>
                <w:szCs w:val="28"/>
              </w:rPr>
              <w:t xml:space="preserve"> Civilprocesa likuma 557. pants tiek papildināts ar jaunu piespiedu izpildes līdzekli – bērna nogādāšana atpakaļ uz valsti, kurā ir viņa dzīvesvieta.</w:t>
            </w:r>
            <w:r>
              <w:rPr>
                <w:color w:val="000000"/>
                <w:sz w:val="28"/>
                <w:szCs w:val="28"/>
              </w:rPr>
              <w:t xml:space="preserve"> </w:t>
            </w:r>
            <w:r>
              <w:rPr>
                <w:sz w:val="28"/>
                <w:szCs w:val="28"/>
              </w:rPr>
              <w:t>Vienlaikus Civilprocesa likums</w:t>
            </w:r>
            <w:r w:rsidRPr="00DD568D">
              <w:rPr>
                <w:sz w:val="28"/>
                <w:szCs w:val="28"/>
              </w:rPr>
              <w:t xml:space="preserve"> tiek papildināts ar </w:t>
            </w:r>
            <w:r>
              <w:rPr>
                <w:sz w:val="28"/>
                <w:szCs w:val="28"/>
              </w:rPr>
              <w:t xml:space="preserve">jaunu </w:t>
            </w:r>
            <w:r w:rsidRPr="00DD568D">
              <w:rPr>
                <w:bCs/>
                <w:sz w:val="28"/>
                <w:szCs w:val="28"/>
              </w:rPr>
              <w:t>74.</w:t>
            </w:r>
            <w:r w:rsidRPr="00DD568D">
              <w:rPr>
                <w:bCs/>
                <w:sz w:val="28"/>
                <w:szCs w:val="28"/>
                <w:vertAlign w:val="superscript"/>
              </w:rPr>
              <w:t>3</w:t>
            </w:r>
            <w:r w:rsidRPr="00DD568D">
              <w:rPr>
                <w:bCs/>
                <w:sz w:val="28"/>
                <w:szCs w:val="28"/>
              </w:rPr>
              <w:t> nodaļu</w:t>
            </w:r>
            <w:r w:rsidRPr="001C7714">
              <w:rPr>
                <w:bCs/>
                <w:sz w:val="28"/>
                <w:szCs w:val="28"/>
              </w:rPr>
              <w:t xml:space="preserve"> „</w:t>
            </w:r>
            <w:r w:rsidRPr="001C7714">
              <w:rPr>
                <w:sz w:val="28"/>
                <w:szCs w:val="28"/>
              </w:rPr>
              <w:t>Bērna nogādāšana atpakaļ uz valsti, kurā ir viņa dzī</w:t>
            </w:r>
            <w:r>
              <w:rPr>
                <w:sz w:val="28"/>
                <w:szCs w:val="28"/>
              </w:rPr>
              <w:t xml:space="preserve">vesvieta”, kura nosaka kārtību, </w:t>
            </w:r>
            <w:r w:rsidRPr="001C7714">
              <w:rPr>
                <w:sz w:val="28"/>
                <w:szCs w:val="28"/>
              </w:rPr>
              <w:t>kādā Latvijā īstenojama nolēmuma par bērna nogādāšanu atpakaļ uz valsti, kurā ir viņa dzīvesvieta, piespiedu izpilde</w:t>
            </w:r>
            <w:r>
              <w:rPr>
                <w:sz w:val="28"/>
                <w:szCs w:val="28"/>
              </w:rPr>
              <w:t>, tai skaitā zvērinātu tiesu izpildītāju veicamās darbības.</w:t>
            </w:r>
          </w:p>
          <w:p w:rsidR="005D10C6" w:rsidRPr="005D10C6" w:rsidRDefault="005D10C6" w:rsidP="005D10C6">
            <w:pPr>
              <w:pStyle w:val="NormalWeb"/>
              <w:spacing w:before="0" w:beforeAutospacing="0" w:after="0" w:afterAutospacing="0"/>
              <w:ind w:firstLine="459"/>
              <w:jc w:val="both"/>
              <w:rPr>
                <w:color w:val="000000"/>
                <w:sz w:val="28"/>
                <w:szCs w:val="28"/>
              </w:rPr>
            </w:pPr>
            <w:r>
              <w:rPr>
                <w:color w:val="000000"/>
                <w:sz w:val="28"/>
                <w:szCs w:val="28"/>
              </w:rPr>
              <w:lastRenderedPageBreak/>
              <w:t xml:space="preserve">Saskaņā ar Tiesu izpildītāju likuma 79. pantu par </w:t>
            </w:r>
            <w:r w:rsidRPr="005D10C6">
              <w:rPr>
                <w:color w:val="000000"/>
                <w:sz w:val="28"/>
                <w:szCs w:val="28"/>
              </w:rPr>
              <w:t xml:space="preserve">katru amata darbību, ko veic zvērināts tiesu izpildītājs, viņam ir tiesības neatkarīgi no valsts nodevas ņemt atlīdzību. </w:t>
            </w:r>
            <w:r>
              <w:rPr>
                <w:color w:val="000000"/>
                <w:sz w:val="28"/>
                <w:szCs w:val="28"/>
              </w:rPr>
              <w:t>Zvērinātu t</w:t>
            </w:r>
            <w:r w:rsidRPr="005D10C6">
              <w:rPr>
                <w:sz w:val="28"/>
                <w:szCs w:val="28"/>
              </w:rPr>
              <w:t>iesu izpildītāja amata atlīdzības takses ir noteiktas Ministru kabineta 2004.</w:t>
            </w:r>
            <w:r>
              <w:rPr>
                <w:sz w:val="28"/>
                <w:szCs w:val="28"/>
              </w:rPr>
              <w:t> </w:t>
            </w:r>
            <w:r w:rsidRPr="005D10C6">
              <w:rPr>
                <w:sz w:val="28"/>
                <w:szCs w:val="28"/>
              </w:rPr>
              <w:t>gada 28.</w:t>
            </w:r>
            <w:r>
              <w:rPr>
                <w:sz w:val="28"/>
                <w:szCs w:val="28"/>
              </w:rPr>
              <w:t> </w:t>
            </w:r>
            <w:r w:rsidRPr="005D10C6">
              <w:rPr>
                <w:sz w:val="28"/>
                <w:szCs w:val="28"/>
              </w:rPr>
              <w:t>decembra noteikumos Nr.</w:t>
            </w:r>
            <w:r>
              <w:rPr>
                <w:sz w:val="28"/>
                <w:szCs w:val="28"/>
              </w:rPr>
              <w:t> </w:t>
            </w:r>
            <w:r w:rsidRPr="005D10C6">
              <w:rPr>
                <w:sz w:val="28"/>
                <w:szCs w:val="28"/>
              </w:rPr>
              <w:t>1075 „Noteikumi par zvērinātu tiesu izpildītāju amata atlīdzības taksēm</w:t>
            </w:r>
            <w:r>
              <w:rPr>
                <w:sz w:val="28"/>
                <w:szCs w:val="28"/>
              </w:rPr>
              <w:t>”.</w:t>
            </w:r>
          </w:p>
          <w:p w:rsidR="007E06FC" w:rsidRPr="005D10C6" w:rsidRDefault="0010699A" w:rsidP="00587591">
            <w:pPr>
              <w:pStyle w:val="NormalWeb"/>
              <w:spacing w:before="0" w:beforeAutospacing="0" w:after="0" w:afterAutospacing="0"/>
              <w:ind w:firstLine="459"/>
              <w:jc w:val="both"/>
              <w:rPr>
                <w:color w:val="000000"/>
                <w:sz w:val="28"/>
                <w:szCs w:val="28"/>
              </w:rPr>
            </w:pPr>
            <w:r>
              <w:rPr>
                <w:sz w:val="28"/>
                <w:szCs w:val="28"/>
              </w:rPr>
              <w:t xml:space="preserve">Minētie </w:t>
            </w:r>
            <w:r w:rsidR="00587591">
              <w:rPr>
                <w:sz w:val="28"/>
                <w:szCs w:val="28"/>
              </w:rPr>
              <w:t>noteikumi</w:t>
            </w:r>
            <w:r w:rsidR="00587591" w:rsidRPr="005D10C6">
              <w:rPr>
                <w:sz w:val="28"/>
                <w:szCs w:val="28"/>
              </w:rPr>
              <w:t xml:space="preserve"> </w:t>
            </w:r>
            <w:r w:rsidR="00587591">
              <w:rPr>
                <w:sz w:val="28"/>
                <w:szCs w:val="28"/>
              </w:rPr>
              <w:t xml:space="preserve">to šā brīža redakcijā nenosaka, kādā apmērā zvērinātam tiesu izpildītājam maksājama amata atlīdzība par </w:t>
            </w:r>
            <w:r>
              <w:rPr>
                <w:sz w:val="28"/>
                <w:szCs w:val="28"/>
              </w:rPr>
              <w:t>Civilprocesa likuma</w:t>
            </w:r>
            <w:r w:rsidRPr="00DD568D">
              <w:rPr>
                <w:sz w:val="28"/>
                <w:szCs w:val="28"/>
              </w:rPr>
              <w:t xml:space="preserve"> </w:t>
            </w:r>
            <w:r w:rsidRPr="00DD568D">
              <w:rPr>
                <w:bCs/>
                <w:sz w:val="28"/>
                <w:szCs w:val="28"/>
              </w:rPr>
              <w:t>74.</w:t>
            </w:r>
            <w:r w:rsidRPr="00DD568D">
              <w:rPr>
                <w:bCs/>
                <w:sz w:val="28"/>
                <w:szCs w:val="28"/>
                <w:vertAlign w:val="superscript"/>
              </w:rPr>
              <w:t>3</w:t>
            </w:r>
            <w:r>
              <w:rPr>
                <w:bCs/>
                <w:sz w:val="28"/>
                <w:szCs w:val="28"/>
              </w:rPr>
              <w:t> nodaļā</w:t>
            </w:r>
            <w:r>
              <w:rPr>
                <w:sz w:val="28"/>
                <w:szCs w:val="28"/>
              </w:rPr>
              <w:t xml:space="preserve"> </w:t>
            </w:r>
            <w:r w:rsidRPr="001C7714">
              <w:rPr>
                <w:bCs/>
                <w:sz w:val="28"/>
                <w:szCs w:val="28"/>
              </w:rPr>
              <w:t>„</w:t>
            </w:r>
            <w:r w:rsidRPr="001C7714">
              <w:rPr>
                <w:sz w:val="28"/>
                <w:szCs w:val="28"/>
              </w:rPr>
              <w:t>Bērna nogādāšana atpakaļ uz valsti, kurā ir viņa dzī</w:t>
            </w:r>
            <w:r>
              <w:rPr>
                <w:sz w:val="28"/>
                <w:szCs w:val="28"/>
              </w:rPr>
              <w:t xml:space="preserve">vesvieta” </w:t>
            </w:r>
            <w:r w:rsidR="00587591">
              <w:rPr>
                <w:sz w:val="28"/>
                <w:szCs w:val="28"/>
              </w:rPr>
              <w:t>minēto amata darbību veikšanu.</w:t>
            </w:r>
            <w:r w:rsidR="00587591">
              <w:rPr>
                <w:color w:val="000000"/>
                <w:sz w:val="28"/>
                <w:szCs w:val="28"/>
              </w:rPr>
              <w:t xml:space="preserve"> </w:t>
            </w:r>
            <w:r w:rsidR="007E06FC" w:rsidRPr="005D10C6">
              <w:rPr>
                <w:bCs/>
                <w:sz w:val="28"/>
                <w:szCs w:val="28"/>
              </w:rPr>
              <w:t>Līdz ar to, Ministru kabineta 2004. gada 28. decembra noteikumos Nr. 1075 „Noteikumi par zvērinātu tiesu izpildītāju amata atlīdzības taksēm” veicami grozījumi, lai noteiktu zvērinātu tiesu izpildītāju amata atlīdzības apmēru par nolēmumu par bērna nogādāšanu atpakaļ uz valsti, kurā ir viņa dzīvesvieta, piespiedu izpildi.</w:t>
            </w:r>
          </w:p>
          <w:p w:rsidR="00033914" w:rsidRPr="00FC7B3D" w:rsidRDefault="00033914" w:rsidP="00587591">
            <w:pPr>
              <w:pStyle w:val="NormalWeb"/>
              <w:spacing w:before="0" w:beforeAutospacing="0" w:after="0" w:afterAutospacing="0"/>
              <w:jc w:val="both"/>
              <w:rPr>
                <w:sz w:val="28"/>
                <w:szCs w:val="28"/>
              </w:rPr>
            </w:pPr>
          </w:p>
        </w:tc>
      </w:tr>
      <w:tr w:rsidR="00033914" w:rsidRPr="00FC7B3D" w:rsidTr="00BC16CE">
        <w:trPr>
          <w:trHeight w:val="808"/>
        </w:trPr>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lastRenderedPageBreak/>
              <w:t> 3.</w:t>
            </w:r>
          </w:p>
        </w:tc>
        <w:tc>
          <w:tcPr>
            <w:tcW w:w="3526"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Saistītie politikas ietekmes novērtējumi un pētījumi</w:t>
            </w:r>
          </w:p>
        </w:tc>
        <w:tc>
          <w:tcPr>
            <w:tcW w:w="5235" w:type="dxa"/>
            <w:hideMark/>
          </w:tcPr>
          <w:p w:rsidR="00033914" w:rsidRPr="00FC7B3D" w:rsidRDefault="00587591" w:rsidP="00814B74">
            <w:pPr>
              <w:ind w:firstLine="45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r w:rsidR="00033914" w:rsidRPr="00FC7B3D" w:rsidTr="00BC16CE">
        <w:trPr>
          <w:trHeight w:val="384"/>
        </w:trPr>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3526"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Tiesiskā regulējuma mērķis un būtība</w:t>
            </w:r>
          </w:p>
        </w:tc>
        <w:tc>
          <w:tcPr>
            <w:tcW w:w="5235" w:type="dxa"/>
            <w:hideMark/>
          </w:tcPr>
          <w:p w:rsidR="00587591" w:rsidRPr="00DD568D" w:rsidRDefault="002C35CF" w:rsidP="00814B74">
            <w:pPr>
              <w:pStyle w:val="BodyText"/>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Noteikumu projekts nosaka, ka par amata darbību veikšanu, izpildot nolēmumu par bērna nogādāšanu atpakaļ uz valsti, kurā ir viņa dzīvesvieta, </w:t>
            </w:r>
            <w:r w:rsidR="00587591">
              <w:rPr>
                <w:rFonts w:ascii="Times New Roman" w:hAnsi="Times New Roman" w:cs="Times New Roman"/>
                <w:sz w:val="28"/>
                <w:szCs w:val="28"/>
              </w:rPr>
              <w:t>zvēri</w:t>
            </w:r>
            <w:r>
              <w:rPr>
                <w:rFonts w:ascii="Times New Roman" w:hAnsi="Times New Roman" w:cs="Times New Roman"/>
                <w:sz w:val="28"/>
                <w:szCs w:val="28"/>
              </w:rPr>
              <w:t xml:space="preserve">nātam tiesu izpildītājam maksājama amata </w:t>
            </w:r>
            <w:r w:rsidRPr="00DD568D">
              <w:rPr>
                <w:rFonts w:ascii="Times New Roman" w:hAnsi="Times New Roman" w:cs="Times New Roman"/>
                <w:sz w:val="28"/>
                <w:szCs w:val="28"/>
              </w:rPr>
              <w:t>atlīdzība</w:t>
            </w:r>
            <w:r w:rsidR="00587591" w:rsidRPr="00DD568D">
              <w:rPr>
                <w:rFonts w:ascii="Times New Roman" w:hAnsi="Times New Roman" w:cs="Times New Roman"/>
                <w:sz w:val="28"/>
                <w:szCs w:val="28"/>
              </w:rPr>
              <w:t xml:space="preserve"> </w:t>
            </w:r>
            <w:r w:rsidRPr="00DD568D">
              <w:rPr>
                <w:rFonts w:ascii="Times New Roman" w:hAnsi="Times New Roman" w:cs="Times New Roman"/>
                <w:sz w:val="28"/>
                <w:szCs w:val="28"/>
              </w:rPr>
              <w:t xml:space="preserve">93,70 latu </w:t>
            </w:r>
            <w:r w:rsidR="00587591" w:rsidRPr="00DD568D">
              <w:rPr>
                <w:rFonts w:ascii="Times New Roman" w:hAnsi="Times New Roman" w:cs="Times New Roman"/>
                <w:sz w:val="28"/>
                <w:szCs w:val="28"/>
              </w:rPr>
              <w:t>apmēr</w:t>
            </w:r>
            <w:r w:rsidRPr="00DD568D">
              <w:rPr>
                <w:rFonts w:ascii="Times New Roman" w:hAnsi="Times New Roman" w:cs="Times New Roman"/>
                <w:sz w:val="28"/>
                <w:szCs w:val="28"/>
              </w:rPr>
              <w:t>ā</w:t>
            </w:r>
            <w:r w:rsidR="00587591" w:rsidRPr="00DD568D">
              <w:rPr>
                <w:rFonts w:ascii="Times New Roman" w:hAnsi="Times New Roman" w:cs="Times New Roman"/>
                <w:sz w:val="28"/>
                <w:szCs w:val="28"/>
              </w:rPr>
              <w:t>.</w:t>
            </w:r>
          </w:p>
          <w:p w:rsidR="00D53972" w:rsidRDefault="0010699A" w:rsidP="00D53972">
            <w:pPr>
              <w:pStyle w:val="NormalWeb"/>
              <w:spacing w:before="0" w:beforeAutospacing="0" w:after="0" w:afterAutospacing="0"/>
              <w:ind w:firstLine="459"/>
              <w:jc w:val="both"/>
              <w:rPr>
                <w:sz w:val="28"/>
                <w:szCs w:val="28"/>
              </w:rPr>
            </w:pPr>
            <w:r>
              <w:rPr>
                <w:sz w:val="28"/>
                <w:szCs w:val="28"/>
              </w:rPr>
              <w:t>Civilprocesa likumā</w:t>
            </w:r>
            <w:r w:rsidR="007A7B7E" w:rsidRPr="00C06225">
              <w:rPr>
                <w:sz w:val="28"/>
                <w:szCs w:val="28"/>
              </w:rPr>
              <w:t xml:space="preserve"> ietvertais</w:t>
            </w:r>
            <w:r w:rsidR="00DD568D" w:rsidRPr="00C06225">
              <w:rPr>
                <w:sz w:val="28"/>
                <w:szCs w:val="28"/>
              </w:rPr>
              <w:t xml:space="preserve"> re</w:t>
            </w:r>
            <w:r w:rsidR="007A7B7E" w:rsidRPr="00C06225">
              <w:rPr>
                <w:sz w:val="28"/>
                <w:szCs w:val="28"/>
              </w:rPr>
              <w:t>gulējums</w:t>
            </w:r>
            <w:r w:rsidR="00DD568D" w:rsidRPr="00C06225">
              <w:rPr>
                <w:sz w:val="28"/>
                <w:szCs w:val="28"/>
              </w:rPr>
              <w:t xml:space="preserve"> </w:t>
            </w:r>
            <w:r>
              <w:rPr>
                <w:sz w:val="28"/>
                <w:szCs w:val="28"/>
              </w:rPr>
              <w:t xml:space="preserve">attiecībā uz nolēmumu par bērna nogādāšanu atpakaļ uz valsti, kurā ir viņa dzīvesvieta, </w:t>
            </w:r>
            <w:r w:rsidR="007A7B7E" w:rsidRPr="00C06225">
              <w:rPr>
                <w:sz w:val="28"/>
                <w:szCs w:val="28"/>
              </w:rPr>
              <w:t xml:space="preserve">paredz zvērinātam tiesu izpildītājam </w:t>
            </w:r>
            <w:r w:rsidR="00A93506" w:rsidRPr="00C06225">
              <w:rPr>
                <w:sz w:val="28"/>
                <w:szCs w:val="28"/>
              </w:rPr>
              <w:t>nolēmuma pi</w:t>
            </w:r>
            <w:r w:rsidR="007A7B7E" w:rsidRPr="00C06225">
              <w:rPr>
                <w:sz w:val="28"/>
                <w:szCs w:val="28"/>
              </w:rPr>
              <w:t>espiedu izpildes nodrošināšanai veikt virkni aktīvu darbību, ieskaitot arī tāda galējā līdzekļa piemērošanu kā telpu atvēršana piespiedu kārtā.</w:t>
            </w:r>
            <w:r w:rsidR="00D53972">
              <w:rPr>
                <w:sz w:val="28"/>
                <w:szCs w:val="28"/>
              </w:rPr>
              <w:t xml:space="preserve"> Turklāt, ņemot vērā konkrēto izpildu </w:t>
            </w:r>
            <w:r w:rsidR="00D53972">
              <w:rPr>
                <w:sz w:val="28"/>
                <w:szCs w:val="28"/>
              </w:rPr>
              <w:lastRenderedPageBreak/>
              <w:t>lietu raksturu, izpildes process praksē var b</w:t>
            </w:r>
            <w:r w:rsidR="00887AF7">
              <w:rPr>
                <w:sz w:val="28"/>
                <w:szCs w:val="28"/>
              </w:rPr>
              <w:t>ūt ļoti komplicēts un ilgstošs, it īpaši gadījumā, ja bērna vecāki vai aizbildņi nevēlas aktīvi un konstruktīvi sadarboties ar procesā iesaistītajām institūcijām, lai atri</w:t>
            </w:r>
            <w:r w:rsidR="002A4906">
              <w:rPr>
                <w:sz w:val="28"/>
                <w:szCs w:val="28"/>
              </w:rPr>
              <w:t>sinātu radušos situāciju.</w:t>
            </w:r>
          </w:p>
          <w:p w:rsidR="00587591" w:rsidRDefault="00D53972" w:rsidP="002A4906">
            <w:pPr>
              <w:pStyle w:val="NormalWeb"/>
              <w:spacing w:before="0" w:beforeAutospacing="0" w:after="0" w:afterAutospacing="0"/>
              <w:ind w:firstLine="459"/>
              <w:jc w:val="both"/>
              <w:rPr>
                <w:sz w:val="28"/>
                <w:szCs w:val="28"/>
              </w:rPr>
            </w:pPr>
            <w:r w:rsidRPr="00D53972">
              <w:rPr>
                <w:sz w:val="28"/>
                <w:szCs w:val="28"/>
              </w:rPr>
              <w:t>Paredzamajai amata atlīdzībai ir jābūt atbilstošai gan ieguldītajam darba apjomam, gan reāli nolēmuma izpildes procesā patērētajam laikam.</w:t>
            </w:r>
            <w:r>
              <w:rPr>
                <w:sz w:val="28"/>
                <w:szCs w:val="28"/>
              </w:rPr>
              <w:t xml:space="preserve"> </w:t>
            </w:r>
            <w:r w:rsidR="002A4906">
              <w:rPr>
                <w:sz w:val="28"/>
                <w:szCs w:val="28"/>
              </w:rPr>
              <w:t xml:space="preserve">Līdz ar to, noteikumu projektā paredzētais amata atlīdzības apmērs tiek pielīdzināts tam, kāds šobrīd </w:t>
            </w:r>
            <w:r w:rsidR="002A4906" w:rsidRPr="005D10C6">
              <w:rPr>
                <w:sz w:val="28"/>
                <w:szCs w:val="28"/>
              </w:rPr>
              <w:t>Ministru kabineta 2004.</w:t>
            </w:r>
            <w:r w:rsidR="002A4906">
              <w:rPr>
                <w:sz w:val="28"/>
                <w:szCs w:val="28"/>
              </w:rPr>
              <w:t> </w:t>
            </w:r>
            <w:r w:rsidR="002A4906" w:rsidRPr="005D10C6">
              <w:rPr>
                <w:sz w:val="28"/>
                <w:szCs w:val="28"/>
              </w:rPr>
              <w:t>gada 28.</w:t>
            </w:r>
            <w:r w:rsidR="002A4906">
              <w:rPr>
                <w:sz w:val="28"/>
                <w:szCs w:val="28"/>
              </w:rPr>
              <w:t> decembra noteikumos</w:t>
            </w:r>
            <w:r w:rsidR="002A4906" w:rsidRPr="005D10C6">
              <w:rPr>
                <w:sz w:val="28"/>
                <w:szCs w:val="28"/>
              </w:rPr>
              <w:t xml:space="preserve"> Nr.</w:t>
            </w:r>
            <w:r w:rsidR="002A4906">
              <w:rPr>
                <w:sz w:val="28"/>
                <w:szCs w:val="28"/>
              </w:rPr>
              <w:t> </w:t>
            </w:r>
            <w:r w:rsidR="002A4906" w:rsidRPr="005D10C6">
              <w:rPr>
                <w:sz w:val="28"/>
                <w:szCs w:val="28"/>
              </w:rPr>
              <w:t>1075 „Noteikumi par zvērinātu tiesu izpildītāju amata atlīdzības taksēm</w:t>
            </w:r>
            <w:r w:rsidR="002A4906">
              <w:rPr>
                <w:sz w:val="28"/>
                <w:szCs w:val="28"/>
              </w:rPr>
              <w:t>” noteikts pēc sarežģītības līmeņa līdzvērtīgām amata darbībām.</w:t>
            </w:r>
          </w:p>
          <w:p w:rsidR="00033914" w:rsidRPr="00FC7B3D" w:rsidRDefault="00033914" w:rsidP="002C35CF">
            <w:pPr>
              <w:pStyle w:val="BodyText"/>
              <w:spacing w:after="0"/>
              <w:ind w:firstLine="425"/>
              <w:jc w:val="both"/>
              <w:rPr>
                <w:rFonts w:ascii="Times New Roman" w:hAnsi="Times New Roman" w:cs="Times New Roman"/>
                <w:sz w:val="28"/>
                <w:szCs w:val="28"/>
              </w:rPr>
            </w:pPr>
          </w:p>
        </w:tc>
      </w:tr>
      <w:tr w:rsidR="00033914" w:rsidRPr="00FC7B3D" w:rsidTr="00BC16CE">
        <w:trPr>
          <w:trHeight w:val="476"/>
        </w:trPr>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lastRenderedPageBreak/>
              <w:t> 5.</w:t>
            </w:r>
          </w:p>
        </w:tc>
        <w:tc>
          <w:tcPr>
            <w:tcW w:w="3526"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izstrādē iesaistītās institūcijas</w:t>
            </w:r>
          </w:p>
        </w:tc>
        <w:tc>
          <w:tcPr>
            <w:tcW w:w="5235" w:type="dxa"/>
            <w:hideMark/>
          </w:tcPr>
          <w:p w:rsidR="00033914" w:rsidRDefault="00033914" w:rsidP="00814B74">
            <w:pPr>
              <w:tabs>
                <w:tab w:val="left" w:pos="257"/>
              </w:tabs>
              <w:jc w:val="both"/>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Tieslietu ministrija un Latvijas Zvērinātu tiesu izpildītāju padome.</w:t>
            </w:r>
          </w:p>
          <w:p w:rsidR="00033914" w:rsidRPr="00FC7B3D" w:rsidRDefault="00033914" w:rsidP="00814B74">
            <w:pPr>
              <w:tabs>
                <w:tab w:val="left" w:pos="257"/>
              </w:tabs>
              <w:jc w:val="both"/>
              <w:rPr>
                <w:rFonts w:ascii="Times New Roman" w:eastAsia="Times New Roman" w:hAnsi="Times New Roman" w:cs="Times New Roman"/>
                <w:sz w:val="28"/>
                <w:szCs w:val="28"/>
                <w:lang w:eastAsia="lv-LV"/>
              </w:rPr>
            </w:pPr>
          </w:p>
        </w:tc>
      </w:tr>
      <w:tr w:rsidR="00033914" w:rsidRPr="00FC7B3D" w:rsidTr="00BC16CE">
        <w:trPr>
          <w:trHeight w:val="705"/>
        </w:trPr>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c>
          <w:tcPr>
            <w:tcW w:w="3526"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Iemesli, kādēļ netika nodrošināta sabiedrības līdzdalība</w:t>
            </w:r>
          </w:p>
        </w:tc>
        <w:tc>
          <w:tcPr>
            <w:tcW w:w="5235" w:type="dxa"/>
            <w:hideMark/>
          </w:tcPr>
          <w:p w:rsidR="00033914" w:rsidRPr="00BC16CE" w:rsidRDefault="00BC16CE" w:rsidP="00BC16CE">
            <w:pPr>
              <w:jc w:val="both"/>
              <w:rPr>
                <w:rFonts w:ascii="Times New Roman" w:eastAsia="Calibri" w:hAnsi="Times New Roman" w:cs="Times New Roman"/>
                <w:color w:val="000000"/>
                <w:sz w:val="28"/>
                <w:szCs w:val="28"/>
              </w:rPr>
            </w:pPr>
            <w:r w:rsidRPr="00BC16CE">
              <w:rPr>
                <w:rFonts w:ascii="Times New Roman" w:hAnsi="Times New Roman" w:cs="Times New Roman"/>
                <w:sz w:val="28"/>
                <w:szCs w:val="28"/>
              </w:rPr>
              <w:t>Konsultācijas nav notikušas, jo Noteikumu projekts neierobežo un nesašaurina nevienas perso</w:t>
            </w:r>
            <w:r>
              <w:rPr>
                <w:rFonts w:ascii="Times New Roman" w:hAnsi="Times New Roman" w:cs="Times New Roman"/>
                <w:sz w:val="28"/>
                <w:szCs w:val="28"/>
              </w:rPr>
              <w:t>nu grupas vai indivīda tiesības</w:t>
            </w:r>
            <w:r w:rsidRPr="00BC16CE">
              <w:rPr>
                <w:rFonts w:ascii="Times New Roman" w:hAnsi="Times New Roman" w:cs="Times New Roman"/>
                <w:bCs/>
                <w:iCs/>
                <w:sz w:val="28"/>
                <w:szCs w:val="28"/>
              </w:rPr>
              <w:t>.</w:t>
            </w:r>
          </w:p>
        </w:tc>
      </w:tr>
      <w:tr w:rsidR="00033914" w:rsidRPr="00FC7B3D" w:rsidTr="00BC16CE">
        <w:tc>
          <w:tcPr>
            <w:tcW w:w="526"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7.</w:t>
            </w:r>
          </w:p>
        </w:tc>
        <w:tc>
          <w:tcPr>
            <w:tcW w:w="3526"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 informācija</w:t>
            </w:r>
          </w:p>
        </w:tc>
        <w:tc>
          <w:tcPr>
            <w:tcW w:w="5235" w:type="dxa"/>
            <w:hideMark/>
          </w:tcPr>
          <w:p w:rsidR="00033914"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Nav</w:t>
            </w:r>
          </w:p>
          <w:p w:rsidR="00033914" w:rsidRPr="00FC7B3D" w:rsidRDefault="00033914" w:rsidP="00814B74">
            <w:pPr>
              <w:rPr>
                <w:rFonts w:ascii="Times New Roman" w:eastAsia="Times New Roman" w:hAnsi="Times New Roman" w:cs="Times New Roman"/>
                <w:sz w:val="28"/>
                <w:szCs w:val="28"/>
                <w:lang w:eastAsia="lv-LV"/>
              </w:rPr>
            </w:pPr>
          </w:p>
        </w:tc>
      </w:tr>
      <w:tr w:rsidR="00033914" w:rsidRPr="00FC7B3D" w:rsidTr="00BC16CE">
        <w:tc>
          <w:tcPr>
            <w:tcW w:w="9287" w:type="dxa"/>
            <w:gridSpan w:val="4"/>
            <w:hideMark/>
          </w:tcPr>
          <w:p w:rsidR="00033914" w:rsidRPr="00FC7B3D" w:rsidRDefault="00033914" w:rsidP="00814B74">
            <w:pPr>
              <w:spacing w:before="100" w:beforeAutospacing="1" w:after="100" w:afterAutospacing="1"/>
              <w:jc w:val="center"/>
              <w:rPr>
                <w:rFonts w:ascii="Times New Roman" w:eastAsia="Times New Roman" w:hAnsi="Times New Roman" w:cs="Times New Roman"/>
                <w:b/>
                <w:sz w:val="28"/>
                <w:szCs w:val="28"/>
                <w:lang w:eastAsia="lv-LV"/>
              </w:rPr>
            </w:pPr>
            <w:r w:rsidRPr="00FC7B3D">
              <w:rPr>
                <w:rFonts w:ascii="Times New Roman" w:eastAsia="Times New Roman" w:hAnsi="Times New Roman" w:cs="Times New Roman"/>
                <w:b/>
                <w:sz w:val="28"/>
                <w:szCs w:val="28"/>
                <w:lang w:eastAsia="lv-LV"/>
              </w:rPr>
              <w:t>II. Tiesību akta projekta ietekme uz sabiedrību</w:t>
            </w:r>
          </w:p>
        </w:tc>
      </w:tr>
      <w:tr w:rsidR="00033914" w:rsidRPr="00FC7B3D" w:rsidTr="00BC16CE">
        <w:trPr>
          <w:trHeight w:val="467"/>
        </w:trPr>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3533"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Sabiedrības mērķgrupa</w:t>
            </w:r>
          </w:p>
        </w:tc>
        <w:tc>
          <w:tcPr>
            <w:tcW w:w="5235" w:type="dxa"/>
            <w:hideMark/>
          </w:tcPr>
          <w:p w:rsidR="00033914" w:rsidRDefault="00033914" w:rsidP="002A4906">
            <w:pPr>
              <w:pStyle w:val="naiskr"/>
              <w:spacing w:before="0" w:beforeAutospacing="0" w:after="0" w:afterAutospacing="0"/>
              <w:ind w:right="57" w:firstLine="318"/>
              <w:jc w:val="both"/>
              <w:rPr>
                <w:sz w:val="28"/>
                <w:szCs w:val="28"/>
              </w:rPr>
            </w:pPr>
            <w:r w:rsidRPr="00FC7B3D">
              <w:rPr>
                <w:sz w:val="28"/>
                <w:szCs w:val="28"/>
              </w:rPr>
              <w:t xml:space="preserve">Noteikumu projekts ir attiecināms uz </w:t>
            </w:r>
            <w:r w:rsidR="002A4906">
              <w:rPr>
                <w:sz w:val="28"/>
                <w:szCs w:val="28"/>
              </w:rPr>
              <w:t>personām</w:t>
            </w:r>
            <w:r>
              <w:rPr>
                <w:sz w:val="28"/>
                <w:szCs w:val="28"/>
              </w:rPr>
              <w:t>, kura</w:t>
            </w:r>
            <w:r w:rsidR="002A4906">
              <w:rPr>
                <w:sz w:val="28"/>
                <w:szCs w:val="28"/>
              </w:rPr>
              <w:t>s</w:t>
            </w:r>
            <w:r>
              <w:rPr>
                <w:sz w:val="28"/>
                <w:szCs w:val="28"/>
              </w:rPr>
              <w:t xml:space="preserve"> ir piedzinēja vai parādnieka statusā lietā par bērna nogādāšanu atpakaļ valstī, kurā ir viņa dzīvesvieta.</w:t>
            </w:r>
          </w:p>
          <w:p w:rsidR="00033914" w:rsidRPr="00FC7B3D" w:rsidRDefault="00033914" w:rsidP="00814B74">
            <w:pPr>
              <w:pStyle w:val="naiskr"/>
              <w:spacing w:before="0" w:beforeAutospacing="0" w:after="0" w:afterAutospacing="0"/>
              <w:ind w:left="57" w:right="57" w:firstLine="544"/>
              <w:jc w:val="both"/>
              <w:rPr>
                <w:sz w:val="28"/>
                <w:szCs w:val="28"/>
              </w:rPr>
            </w:pPr>
          </w:p>
        </w:tc>
      </w:tr>
      <w:tr w:rsidR="00033914" w:rsidRPr="00FC7B3D" w:rsidTr="00BC16CE">
        <w:trPr>
          <w:trHeight w:val="523"/>
        </w:trPr>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3533"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5235" w:type="dxa"/>
            <w:hideMark/>
          </w:tcPr>
          <w:p w:rsidR="00033914" w:rsidRPr="00FC7B3D" w:rsidRDefault="00033914" w:rsidP="00814B74">
            <w:pPr>
              <w:spacing w:before="100" w:beforeAutospacing="1" w:after="100" w:afterAutospacing="1"/>
              <w:ind w:firstLine="318"/>
              <w:rPr>
                <w:rFonts w:ascii="Times New Roman" w:eastAsia="Times New Roman" w:hAnsi="Times New Roman" w:cs="Times New Roman"/>
                <w:sz w:val="28"/>
                <w:szCs w:val="28"/>
                <w:lang w:eastAsia="lv-LV"/>
              </w:rPr>
            </w:pPr>
            <w:r w:rsidRPr="0095103F">
              <w:rPr>
                <w:rFonts w:ascii="Times New Roman" w:hAnsi="Times New Roman" w:cs="Times New Roman"/>
                <w:color w:val="000000"/>
                <w:sz w:val="28"/>
                <w:szCs w:val="28"/>
              </w:rPr>
              <w:t>Noteikumu projekts šo jomu neskar.</w:t>
            </w:r>
          </w:p>
        </w:tc>
      </w:tr>
      <w:tr w:rsidR="00033914" w:rsidRPr="00FC7B3D" w:rsidTr="00BC16CE">
        <w:trPr>
          <w:trHeight w:val="517"/>
        </w:trPr>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w:t>
            </w:r>
          </w:p>
        </w:tc>
        <w:tc>
          <w:tcPr>
            <w:tcW w:w="3533"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Tiesiskā regulējuma finansiālā ietekme</w:t>
            </w:r>
          </w:p>
        </w:tc>
        <w:tc>
          <w:tcPr>
            <w:tcW w:w="5235" w:type="dxa"/>
            <w:hideMark/>
          </w:tcPr>
          <w:p w:rsidR="00033914" w:rsidRPr="00FC7B3D" w:rsidRDefault="002A4906" w:rsidP="00942CED">
            <w:pPr>
              <w:ind w:right="-61" w:firstLine="318"/>
              <w:jc w:val="both"/>
              <w:rPr>
                <w:rFonts w:ascii="Times New Roman" w:eastAsia="Times New Roman" w:hAnsi="Times New Roman" w:cs="Times New Roman"/>
                <w:sz w:val="28"/>
                <w:szCs w:val="28"/>
                <w:lang w:eastAsia="lv-LV"/>
              </w:rPr>
            </w:pPr>
            <w:r w:rsidRPr="00E057F2">
              <w:rPr>
                <w:rFonts w:ascii="Times New Roman" w:hAnsi="Times New Roman" w:cs="Times New Roman"/>
                <w:bCs/>
                <w:sz w:val="28"/>
                <w:szCs w:val="28"/>
              </w:rPr>
              <w:t xml:space="preserve">Saskaņā ar šobrīd noteikto vispārējo sprieduma izpildes izdevumu maksāšanas kārtību izpildes procesā </w:t>
            </w:r>
            <w:r w:rsidR="00E057F2" w:rsidRPr="00E057F2">
              <w:rPr>
                <w:rFonts w:ascii="Times New Roman" w:hAnsi="Times New Roman" w:cs="Times New Roman"/>
                <w:sz w:val="28"/>
                <w:szCs w:val="28"/>
              </w:rPr>
              <w:t>sprieduma izpilde notiek uz parādnieka rēķina. Tādējādi atlīdzību minētajos noteikumos noteiktās amata atlīdzības takses apmērā zvērinātam tiesu izpildītājam sedz parādnieks pēc piedziņas veikšanas.</w:t>
            </w:r>
          </w:p>
        </w:tc>
      </w:tr>
      <w:tr w:rsidR="00033914" w:rsidRPr="00FC7B3D" w:rsidTr="00BC16CE">
        <w:trPr>
          <w:trHeight w:val="517"/>
        </w:trPr>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3533"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Tiesiskā regulējuma nefinansiālā ietekme</w:t>
            </w:r>
          </w:p>
        </w:tc>
        <w:tc>
          <w:tcPr>
            <w:tcW w:w="5235"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tc>
      </w:tr>
      <w:tr w:rsidR="00033914" w:rsidRPr="00FC7B3D" w:rsidTr="00BC16CE">
        <w:trPr>
          <w:trHeight w:val="531"/>
        </w:trPr>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w:t>
            </w:r>
          </w:p>
        </w:tc>
        <w:tc>
          <w:tcPr>
            <w:tcW w:w="3533"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Administratīvās procedūras raksturojums</w:t>
            </w:r>
          </w:p>
        </w:tc>
        <w:tc>
          <w:tcPr>
            <w:tcW w:w="5235" w:type="dxa"/>
            <w:hideMark/>
          </w:tcPr>
          <w:p w:rsidR="00033914" w:rsidRPr="00FC7B3D" w:rsidRDefault="00033914" w:rsidP="00814B74">
            <w:pPr>
              <w:jc w:val="both"/>
              <w:rPr>
                <w:rFonts w:ascii="Times New Roman" w:eastAsia="Times New Roman" w:hAnsi="Times New Roman" w:cs="Times New Roman"/>
                <w:sz w:val="28"/>
                <w:szCs w:val="28"/>
                <w:lang w:eastAsia="lv-LV"/>
              </w:rPr>
            </w:pPr>
            <w:r w:rsidRPr="0095103F">
              <w:rPr>
                <w:rFonts w:ascii="Times New Roman" w:hAnsi="Times New Roman" w:cs="Times New Roman"/>
                <w:color w:val="000000"/>
                <w:sz w:val="28"/>
                <w:szCs w:val="28"/>
              </w:rPr>
              <w:t>Noteikumu projekts šo jomu neskar.</w:t>
            </w:r>
          </w:p>
        </w:tc>
      </w:tr>
      <w:tr w:rsidR="00033914" w:rsidRPr="00FC7B3D" w:rsidTr="00BC16CE">
        <w:trPr>
          <w:trHeight w:val="357"/>
        </w:trPr>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c>
          <w:tcPr>
            <w:tcW w:w="3533" w:type="dxa"/>
            <w:gridSpan w:val="2"/>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Administratīvo izmaksu monetārs novērtējums</w:t>
            </w:r>
          </w:p>
        </w:tc>
        <w:tc>
          <w:tcPr>
            <w:tcW w:w="5235"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tc>
      </w:tr>
      <w:tr w:rsidR="00033914" w:rsidRPr="00FC7B3D" w:rsidTr="00BC16CE">
        <w:tc>
          <w:tcPr>
            <w:tcW w:w="51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7.</w:t>
            </w:r>
          </w:p>
        </w:tc>
        <w:tc>
          <w:tcPr>
            <w:tcW w:w="3533" w:type="dxa"/>
            <w:gridSpan w:val="2"/>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 informācija</w:t>
            </w:r>
          </w:p>
        </w:tc>
        <w:tc>
          <w:tcPr>
            <w:tcW w:w="5235" w:type="dxa"/>
            <w:hideMark/>
          </w:tcPr>
          <w:p w:rsidR="00033914" w:rsidRPr="00FC7B3D" w:rsidRDefault="00033914" w:rsidP="00814B74">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w:t>
            </w:r>
            <w:r w:rsidRPr="0095103F">
              <w:rPr>
                <w:rFonts w:ascii="Times New Roman" w:hAnsi="Times New Roman" w:cs="Times New Roman"/>
                <w:color w:val="000000"/>
                <w:sz w:val="28"/>
                <w:szCs w:val="28"/>
              </w:rPr>
              <w:t>Noteikumu projekts šo jomu neskar.</w:t>
            </w:r>
          </w:p>
          <w:p w:rsidR="00033914" w:rsidRDefault="00033914" w:rsidP="00814B74">
            <w:pPr>
              <w:rPr>
                <w:rFonts w:ascii="Times New Roman" w:eastAsia="Times New Roman" w:hAnsi="Times New Roman" w:cs="Times New Roman"/>
                <w:sz w:val="28"/>
                <w:szCs w:val="28"/>
                <w:lang w:eastAsia="lv-LV"/>
              </w:rPr>
            </w:pPr>
          </w:p>
          <w:p w:rsidR="00033914" w:rsidRPr="00FC7B3D" w:rsidRDefault="00033914" w:rsidP="00814B74">
            <w:pPr>
              <w:rPr>
                <w:rFonts w:ascii="Times New Roman" w:eastAsia="Times New Roman" w:hAnsi="Times New Roman" w:cs="Times New Roman"/>
                <w:sz w:val="28"/>
                <w:szCs w:val="28"/>
                <w:lang w:eastAsia="lv-LV"/>
              </w:rPr>
            </w:pPr>
          </w:p>
        </w:tc>
      </w:tr>
    </w:tbl>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323"/>
        <w:gridCol w:w="1722"/>
        <w:gridCol w:w="507"/>
        <w:gridCol w:w="878"/>
        <w:gridCol w:w="1673"/>
        <w:gridCol w:w="44"/>
        <w:gridCol w:w="2083"/>
        <w:gridCol w:w="2126"/>
      </w:tblGrid>
      <w:tr w:rsidR="00033914" w:rsidRPr="00354E6F" w:rsidTr="00BC16CE">
        <w:tc>
          <w:tcPr>
            <w:tcW w:w="9356" w:type="dxa"/>
            <w:gridSpan w:val="8"/>
            <w:tcBorders>
              <w:top w:val="outset" w:sz="6" w:space="0" w:color="auto"/>
              <w:left w:val="outset" w:sz="6" w:space="0" w:color="auto"/>
              <w:bottom w:val="outset" w:sz="6" w:space="0" w:color="auto"/>
              <w:right w:val="outset" w:sz="6" w:space="0" w:color="auto"/>
            </w:tcBorders>
            <w:vAlign w:val="center"/>
          </w:tcPr>
          <w:p w:rsidR="00033914" w:rsidRPr="00354E6F" w:rsidRDefault="00033914" w:rsidP="00814B74">
            <w:pPr>
              <w:spacing w:after="0" w:line="240" w:lineRule="auto"/>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V. Tiesību akta projekta atbilstība Latvijas Republikas starptautiskajām saistībām</w:t>
            </w:r>
          </w:p>
        </w:tc>
      </w:tr>
      <w:tr w:rsidR="00033914" w:rsidRPr="00354E6F" w:rsidTr="00BC16CE">
        <w:tc>
          <w:tcPr>
            <w:tcW w:w="323" w:type="dxa"/>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1.</w:t>
            </w:r>
          </w:p>
        </w:tc>
        <w:tc>
          <w:tcPr>
            <w:tcW w:w="3107" w:type="dxa"/>
            <w:gridSpan w:val="3"/>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Saistības pret Eiropas Savienību</w:t>
            </w:r>
          </w:p>
        </w:tc>
        <w:tc>
          <w:tcPr>
            <w:tcW w:w="5926" w:type="dxa"/>
            <w:gridSpan w:val="4"/>
            <w:tcBorders>
              <w:top w:val="outset" w:sz="6" w:space="0" w:color="auto"/>
              <w:left w:val="outset" w:sz="6" w:space="0" w:color="auto"/>
              <w:bottom w:val="outset" w:sz="6" w:space="0" w:color="auto"/>
              <w:right w:val="outset" w:sz="6" w:space="0" w:color="auto"/>
            </w:tcBorders>
          </w:tcPr>
          <w:p w:rsidR="00033914" w:rsidRDefault="00033914" w:rsidP="00814B74">
            <w:pPr>
              <w:spacing w:after="0" w:line="240" w:lineRule="auto"/>
              <w:ind w:left="57"/>
              <w:jc w:val="both"/>
              <w:rPr>
                <w:rFonts w:ascii="Times New Roman" w:hAnsi="Times New Roman" w:cs="Times New Roman"/>
                <w:sz w:val="28"/>
                <w:szCs w:val="28"/>
              </w:rPr>
            </w:pPr>
            <w:r>
              <w:rPr>
                <w:rFonts w:ascii="Times New Roman" w:eastAsia="Calibri" w:hAnsi="Times New Roman" w:cs="Times New Roman"/>
                <w:sz w:val="28"/>
                <w:szCs w:val="28"/>
              </w:rPr>
              <w:t>Noteikumu projekts</w:t>
            </w:r>
            <w:r w:rsidRPr="00354E6F">
              <w:rPr>
                <w:rFonts w:ascii="Times New Roman" w:eastAsia="Calibri" w:hAnsi="Times New Roman" w:cs="Times New Roman"/>
                <w:sz w:val="28"/>
                <w:szCs w:val="28"/>
              </w:rPr>
              <w:t xml:space="preserve"> paredz īstenot Padomes 2003.gada 27.novembra Regulas (EK) Nr. 2201/2003 par jurisdikciju un spriedumu atzīšanu un izpildi laulības lietās un lietās par vecāku atbildību un par regulas (EK) Nr. 1347/2000 atcelšanu noteikumu piemērošanu Latvijā.</w:t>
            </w:r>
          </w:p>
          <w:p w:rsidR="00033914" w:rsidRPr="00354E6F" w:rsidRDefault="00033914" w:rsidP="00814B74">
            <w:pPr>
              <w:spacing w:after="0" w:line="240" w:lineRule="auto"/>
              <w:ind w:left="57"/>
              <w:jc w:val="both"/>
              <w:rPr>
                <w:rFonts w:ascii="Times New Roman" w:eastAsia="Calibri" w:hAnsi="Times New Roman" w:cs="Times New Roman"/>
                <w:sz w:val="28"/>
                <w:szCs w:val="28"/>
              </w:rPr>
            </w:pPr>
          </w:p>
        </w:tc>
      </w:tr>
      <w:tr w:rsidR="00033914" w:rsidRPr="00354E6F" w:rsidTr="00BC16CE">
        <w:tc>
          <w:tcPr>
            <w:tcW w:w="323" w:type="dxa"/>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2.</w:t>
            </w:r>
          </w:p>
        </w:tc>
        <w:tc>
          <w:tcPr>
            <w:tcW w:w="3107" w:type="dxa"/>
            <w:gridSpan w:val="3"/>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Citas starptautiskās saistības</w:t>
            </w:r>
          </w:p>
        </w:tc>
        <w:tc>
          <w:tcPr>
            <w:tcW w:w="5926" w:type="dxa"/>
            <w:gridSpan w:val="4"/>
            <w:tcBorders>
              <w:top w:val="outset" w:sz="6" w:space="0" w:color="auto"/>
              <w:left w:val="outset" w:sz="6" w:space="0" w:color="auto"/>
              <w:bottom w:val="outset" w:sz="6" w:space="0" w:color="auto"/>
              <w:right w:val="outset" w:sz="6" w:space="0" w:color="auto"/>
            </w:tcBorders>
          </w:tcPr>
          <w:p w:rsidR="00033914" w:rsidRDefault="00033914" w:rsidP="00814B74">
            <w:pPr>
              <w:spacing w:after="0" w:line="240" w:lineRule="auto"/>
              <w:ind w:left="57"/>
              <w:jc w:val="both"/>
              <w:rPr>
                <w:rFonts w:ascii="Times New Roman" w:hAnsi="Times New Roman" w:cs="Times New Roman"/>
                <w:sz w:val="28"/>
                <w:szCs w:val="28"/>
              </w:rPr>
            </w:pPr>
            <w:r>
              <w:rPr>
                <w:rFonts w:ascii="Times New Roman" w:eastAsia="Calibri" w:hAnsi="Times New Roman" w:cs="Times New Roman"/>
                <w:sz w:val="28"/>
                <w:szCs w:val="28"/>
              </w:rPr>
              <w:t>Noteikumu projekts</w:t>
            </w:r>
            <w:r w:rsidRPr="00354E6F">
              <w:rPr>
                <w:rFonts w:ascii="Times New Roman" w:eastAsia="Calibri" w:hAnsi="Times New Roman" w:cs="Times New Roman"/>
                <w:sz w:val="28"/>
                <w:szCs w:val="28"/>
              </w:rPr>
              <w:t xml:space="preserve"> paredz īstenot nacionālajā līmenī saistības, ko Latvija ir uzņēmusies pievienojoties Hāgas 1980.gada 25.oktobra konvencijai par starptautiskās bērnu nolaupīšanas civiltiesiskajiem aspektiem.</w:t>
            </w:r>
          </w:p>
          <w:p w:rsidR="00033914" w:rsidRPr="00354E6F" w:rsidRDefault="00033914" w:rsidP="00814B74">
            <w:pPr>
              <w:spacing w:after="0" w:line="240" w:lineRule="auto"/>
              <w:ind w:left="57"/>
              <w:jc w:val="both"/>
              <w:rPr>
                <w:rFonts w:ascii="Times New Roman" w:eastAsia="Calibri" w:hAnsi="Times New Roman" w:cs="Times New Roman"/>
                <w:sz w:val="28"/>
                <w:szCs w:val="28"/>
              </w:rPr>
            </w:pPr>
          </w:p>
        </w:tc>
      </w:tr>
      <w:tr w:rsidR="00033914" w:rsidRPr="00354E6F" w:rsidTr="00BC16CE">
        <w:tc>
          <w:tcPr>
            <w:tcW w:w="323" w:type="dxa"/>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3.</w:t>
            </w:r>
          </w:p>
        </w:tc>
        <w:tc>
          <w:tcPr>
            <w:tcW w:w="3107" w:type="dxa"/>
            <w:gridSpan w:val="3"/>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Cita informācija</w:t>
            </w:r>
          </w:p>
        </w:tc>
        <w:tc>
          <w:tcPr>
            <w:tcW w:w="5926" w:type="dxa"/>
            <w:gridSpan w:val="4"/>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Nav.</w:t>
            </w:r>
          </w:p>
        </w:tc>
      </w:tr>
      <w:tr w:rsidR="00033914" w:rsidRPr="00354E6F" w:rsidTr="00BC16CE">
        <w:trPr>
          <w:cantSplit/>
          <w:trHeight w:val="523"/>
        </w:trPr>
        <w:tc>
          <w:tcPr>
            <w:tcW w:w="9356" w:type="dxa"/>
            <w:gridSpan w:val="8"/>
            <w:tcBorders>
              <w:top w:val="outset" w:sz="6" w:space="0" w:color="auto"/>
              <w:left w:val="outset" w:sz="6" w:space="0" w:color="auto"/>
              <w:bottom w:val="single" w:sz="4" w:space="0" w:color="auto"/>
              <w:right w:val="outset" w:sz="6" w:space="0" w:color="auto"/>
            </w:tcBorders>
            <w:vAlign w:val="center"/>
          </w:tcPr>
          <w:p w:rsidR="00033914" w:rsidRPr="00354E6F" w:rsidRDefault="00033914" w:rsidP="00814B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1.tabula</w:t>
            </w:r>
          </w:p>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b/>
                <w:sz w:val="28"/>
                <w:szCs w:val="28"/>
              </w:rPr>
              <w:t>Tiesību akta projekta atbilstība ES tiesību aktiem</w:t>
            </w:r>
          </w:p>
        </w:tc>
      </w:tr>
      <w:tr w:rsidR="00033914" w:rsidRPr="00354E6F" w:rsidTr="00BC16CE">
        <w:trPr>
          <w:cantSplit/>
        </w:trPr>
        <w:tc>
          <w:tcPr>
            <w:tcW w:w="2552" w:type="dxa"/>
            <w:gridSpan w:val="3"/>
            <w:tcBorders>
              <w:top w:val="single" w:sz="4" w:space="0" w:color="auto"/>
              <w:left w:val="single" w:sz="4" w:space="0" w:color="auto"/>
              <w:bottom w:val="single" w:sz="4" w:space="0" w:color="auto"/>
              <w:right w:val="single" w:sz="4"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Attiecīgā ES tiesību akta datums, numurs un nosaukums</w:t>
            </w:r>
          </w:p>
        </w:tc>
        <w:tc>
          <w:tcPr>
            <w:tcW w:w="6804" w:type="dxa"/>
            <w:gridSpan w:val="5"/>
            <w:tcBorders>
              <w:top w:val="single" w:sz="4" w:space="0" w:color="auto"/>
              <w:left w:val="single" w:sz="4" w:space="0" w:color="auto"/>
              <w:bottom w:val="single" w:sz="4" w:space="0" w:color="auto"/>
              <w:right w:val="single" w:sz="4" w:space="0" w:color="auto"/>
            </w:tcBorders>
          </w:tcPr>
          <w:p w:rsidR="00033914" w:rsidRPr="00354E6F" w:rsidRDefault="00033914" w:rsidP="00814B74">
            <w:pPr>
              <w:spacing w:after="0" w:line="240" w:lineRule="auto"/>
              <w:ind w:left="57"/>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Padomes 2003.gada 27.novembra Regula (EK) Nr. 2201/2003 par jurisdikciju un spriedumu atzīšanu un izpildi laulības lietās un lietās par vecāku atbildību un par regulas (EK) Nr. 1347/2000 atcelšanu</w:t>
            </w:r>
          </w:p>
        </w:tc>
      </w:tr>
      <w:tr w:rsidR="00033914" w:rsidRPr="00354E6F" w:rsidTr="00BC16CE">
        <w:tblPrEx>
          <w:tblCellSpacing w:w="0" w:type="dxa"/>
          <w:tblCellMar>
            <w:top w:w="0" w:type="dxa"/>
            <w:left w:w="0" w:type="dxa"/>
            <w:bottom w:w="0" w:type="dxa"/>
            <w:right w:w="0" w:type="dxa"/>
          </w:tblCellMar>
        </w:tblPrEx>
        <w:trPr>
          <w:trHeight w:val="165"/>
          <w:tblCellSpacing w:w="0" w:type="dxa"/>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A</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B</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C</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D</w:t>
            </w:r>
          </w:p>
        </w:tc>
      </w:tr>
      <w:tr w:rsidR="00033914" w:rsidRPr="00354E6F" w:rsidTr="00BC16CE">
        <w:tblPrEx>
          <w:tblCellSpacing w:w="0" w:type="dxa"/>
          <w:tblCellMar>
            <w:top w:w="0" w:type="dxa"/>
            <w:left w:w="0" w:type="dxa"/>
            <w:bottom w:w="0" w:type="dxa"/>
            <w:right w:w="0" w:type="dxa"/>
          </w:tblCellMar>
        </w:tblPrEx>
        <w:trPr>
          <w:trHeight w:val="692"/>
          <w:tblCellSpacing w:w="0" w:type="dxa"/>
        </w:trPr>
        <w:tc>
          <w:tcPr>
            <w:tcW w:w="2552" w:type="dxa"/>
            <w:gridSpan w:val="3"/>
            <w:tcBorders>
              <w:top w:val="single" w:sz="4" w:space="0" w:color="auto"/>
              <w:left w:val="single" w:sz="4" w:space="0" w:color="auto"/>
              <w:bottom w:val="single" w:sz="4" w:space="0" w:color="auto"/>
              <w:right w:val="single" w:sz="4" w:space="0" w:color="auto"/>
            </w:tcBorders>
            <w:hideMark/>
          </w:tcPr>
          <w:p w:rsidR="00033914" w:rsidRPr="00354E6F" w:rsidRDefault="00033914" w:rsidP="00814B74">
            <w:pPr>
              <w:tabs>
                <w:tab w:val="left" w:pos="8306"/>
              </w:tabs>
              <w:spacing w:after="0" w:line="240" w:lineRule="auto"/>
              <w:ind w:right="127"/>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c>
          <w:tcPr>
            <w:tcW w:w="2551" w:type="dxa"/>
            <w:gridSpan w:val="2"/>
            <w:tcBorders>
              <w:top w:val="single" w:sz="4" w:space="0" w:color="auto"/>
              <w:left w:val="single" w:sz="4" w:space="0" w:color="auto"/>
              <w:bottom w:val="single" w:sz="4" w:space="0" w:color="auto"/>
              <w:right w:val="single" w:sz="4" w:space="0" w:color="auto"/>
            </w:tcBorders>
            <w:hideMark/>
          </w:tcPr>
          <w:p w:rsidR="00033914" w:rsidRPr="00354E6F" w:rsidRDefault="00033914" w:rsidP="00814B74">
            <w:pPr>
              <w:pStyle w:val="naispant"/>
              <w:spacing w:before="0" w:beforeAutospacing="0" w:after="0" w:afterAutospacing="0"/>
              <w:jc w:val="both"/>
              <w:rPr>
                <w:sz w:val="28"/>
                <w:szCs w:val="28"/>
              </w:rPr>
            </w:pPr>
            <w:r w:rsidRPr="00354E6F">
              <w:rPr>
                <w:sz w:val="28"/>
                <w:szCs w:val="28"/>
              </w:rPr>
              <w:t>Nav attiecināms.</w:t>
            </w:r>
          </w:p>
        </w:tc>
        <w:tc>
          <w:tcPr>
            <w:tcW w:w="2127" w:type="dxa"/>
            <w:gridSpan w:val="2"/>
            <w:tcBorders>
              <w:top w:val="single" w:sz="4" w:space="0" w:color="auto"/>
              <w:left w:val="single" w:sz="4" w:space="0" w:color="auto"/>
              <w:bottom w:val="single" w:sz="4" w:space="0" w:color="auto"/>
              <w:right w:val="single" w:sz="4" w:space="0" w:color="auto"/>
            </w:tcBorders>
            <w:hideMark/>
          </w:tcPr>
          <w:p w:rsidR="00033914" w:rsidRPr="00354E6F" w:rsidRDefault="00033914" w:rsidP="00814B74">
            <w:pPr>
              <w:pStyle w:val="CommentText"/>
              <w:jc w:val="both"/>
              <w:rPr>
                <w:sz w:val="28"/>
                <w:szCs w:val="28"/>
              </w:rPr>
            </w:pPr>
            <w:r w:rsidRPr="00354E6F">
              <w:rPr>
                <w:sz w:val="28"/>
                <w:szCs w:val="28"/>
              </w:rPr>
              <w:t>Nav attiecināms.</w:t>
            </w:r>
          </w:p>
        </w:tc>
        <w:tc>
          <w:tcPr>
            <w:tcW w:w="2126" w:type="dxa"/>
            <w:tcBorders>
              <w:top w:val="single" w:sz="4" w:space="0" w:color="auto"/>
              <w:left w:val="single" w:sz="4" w:space="0" w:color="auto"/>
              <w:bottom w:val="single" w:sz="4" w:space="0" w:color="auto"/>
              <w:right w:val="single" w:sz="4" w:space="0" w:color="auto"/>
            </w:tcBorders>
            <w:hideMark/>
          </w:tcPr>
          <w:p w:rsidR="00033914" w:rsidRPr="00354E6F" w:rsidRDefault="00033914" w:rsidP="00814B74">
            <w:pPr>
              <w:spacing w:after="0" w:line="240" w:lineRule="auto"/>
              <w:ind w:left="50"/>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r>
      <w:tr w:rsidR="00033914" w:rsidRPr="00354E6F" w:rsidTr="00BC16CE">
        <w:tblPrEx>
          <w:tblCellSpacing w:w="0" w:type="dxa"/>
          <w:tblCellMar>
            <w:top w:w="0" w:type="dxa"/>
            <w:left w:w="0" w:type="dxa"/>
            <w:bottom w:w="0" w:type="dxa"/>
            <w:right w:w="0" w:type="dxa"/>
          </w:tblCellMar>
        </w:tblPrEx>
        <w:trPr>
          <w:trHeight w:val="281"/>
          <w:tblCellSpacing w:w="0" w:type="dxa"/>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Kā ir izmantota ES tiesību aktā paredzētā rīcības brīvība dalībvalstij pārņemt vai ieviest noteiktas ES tiesību akta normas.</w:t>
            </w:r>
          </w:p>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Kādēļ?</w:t>
            </w:r>
          </w:p>
        </w:tc>
        <w:tc>
          <w:tcPr>
            <w:tcW w:w="6804" w:type="dxa"/>
            <w:gridSpan w:val="5"/>
            <w:tcBorders>
              <w:top w:val="single" w:sz="4" w:space="0" w:color="auto"/>
              <w:left w:val="single" w:sz="4" w:space="0" w:color="auto"/>
              <w:bottom w:val="single" w:sz="4" w:space="0" w:color="auto"/>
              <w:right w:val="single" w:sz="4" w:space="0" w:color="auto"/>
            </w:tcBorders>
            <w:hideMark/>
          </w:tcPr>
          <w:p w:rsidR="00033914" w:rsidRPr="00354E6F" w:rsidRDefault="00033914" w:rsidP="00814B74">
            <w:pPr>
              <w:spacing w:after="0" w:line="240" w:lineRule="auto"/>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Noteikumu projekts</w:t>
            </w:r>
            <w:r w:rsidRPr="00354E6F">
              <w:rPr>
                <w:rFonts w:ascii="Times New Roman" w:eastAsia="Calibri" w:hAnsi="Times New Roman" w:cs="Times New Roman"/>
                <w:color w:val="000000"/>
                <w:sz w:val="28"/>
                <w:szCs w:val="28"/>
              </w:rPr>
              <w:t xml:space="preserve"> veicinās Latvijas saistību izpildi pret Eiropas Savienību, jo nodrošinās efektīvāku Eiropas Savienības instrumentu piemērošanu, kas saistīti ar </w:t>
            </w:r>
            <w:r w:rsidRPr="00354E6F">
              <w:rPr>
                <w:rFonts w:ascii="Times New Roman" w:eastAsia="Calibri" w:hAnsi="Times New Roman" w:cs="Times New Roman"/>
                <w:sz w:val="28"/>
                <w:szCs w:val="28"/>
              </w:rPr>
              <w:t xml:space="preserve">tiesas nolēmumu par bērna atgriešanos valstī, kura ir viņa dzīvesvieta, izpildi. </w:t>
            </w:r>
          </w:p>
        </w:tc>
      </w:tr>
      <w:tr w:rsidR="00033914" w:rsidRPr="00354E6F" w:rsidTr="00BC16CE">
        <w:tblPrEx>
          <w:tblCellSpacing w:w="0" w:type="dxa"/>
          <w:tblCellMar>
            <w:top w:w="0" w:type="dxa"/>
            <w:left w:w="0" w:type="dxa"/>
            <w:bottom w:w="0" w:type="dxa"/>
            <w:right w:w="0" w:type="dxa"/>
          </w:tblCellMar>
        </w:tblPrEx>
        <w:trPr>
          <w:trHeight w:val="913"/>
          <w:tblCellSpacing w:w="0" w:type="dxa"/>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5"/>
            <w:tcBorders>
              <w:top w:val="single" w:sz="4" w:space="0" w:color="auto"/>
              <w:left w:val="single" w:sz="4" w:space="0" w:color="auto"/>
              <w:bottom w:val="single" w:sz="4" w:space="0" w:color="auto"/>
              <w:right w:val="single" w:sz="4" w:space="0" w:color="auto"/>
            </w:tcBorders>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Nav.</w:t>
            </w:r>
          </w:p>
        </w:tc>
      </w:tr>
      <w:tr w:rsidR="00033914" w:rsidRPr="00354E6F" w:rsidTr="00BC16CE">
        <w:tblPrEx>
          <w:tblCellSpacing w:w="0" w:type="dxa"/>
          <w:tblCellMar>
            <w:top w:w="0" w:type="dxa"/>
            <w:left w:w="0" w:type="dxa"/>
            <w:bottom w:w="0" w:type="dxa"/>
            <w:right w:w="0" w:type="dxa"/>
          </w:tblCellMar>
        </w:tblPrEx>
        <w:trPr>
          <w:trHeight w:val="334"/>
          <w:tblCellSpacing w:w="0" w:type="dxa"/>
        </w:trPr>
        <w:tc>
          <w:tcPr>
            <w:tcW w:w="2552" w:type="dxa"/>
            <w:gridSpan w:val="3"/>
            <w:tcBorders>
              <w:top w:val="outset" w:sz="2" w:space="0" w:color="auto"/>
              <w:left w:val="outset" w:sz="2" w:space="0" w:color="auto"/>
              <w:bottom w:val="outset" w:sz="2" w:space="0" w:color="auto"/>
              <w:right w:val="outset" w:sz="2" w:space="0" w:color="auto"/>
            </w:tcBorders>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 Cita informācija</w:t>
            </w:r>
          </w:p>
        </w:tc>
        <w:tc>
          <w:tcPr>
            <w:tcW w:w="6804" w:type="dxa"/>
            <w:gridSpan w:val="5"/>
            <w:tcBorders>
              <w:top w:val="outset" w:sz="2" w:space="0" w:color="auto"/>
              <w:left w:val="outset" w:sz="2" w:space="0" w:color="auto"/>
              <w:bottom w:val="outset" w:sz="2" w:space="0" w:color="auto"/>
              <w:right w:val="outset" w:sz="2" w:space="0" w:color="auto"/>
            </w:tcBorders>
            <w:hideMark/>
          </w:tcPr>
          <w:p w:rsidR="00033914" w:rsidRPr="00354E6F" w:rsidRDefault="00033914" w:rsidP="00814B74">
            <w:pPr>
              <w:spacing w:after="0" w:line="240" w:lineRule="auto"/>
              <w:rPr>
                <w:rFonts w:ascii="Times New Roman" w:eastAsia="Calibri" w:hAnsi="Times New Roman" w:cs="Times New Roman"/>
                <w:sz w:val="28"/>
                <w:szCs w:val="28"/>
              </w:rPr>
            </w:pPr>
            <w:r w:rsidRPr="00354E6F">
              <w:rPr>
                <w:rFonts w:ascii="Times New Roman" w:eastAsia="Calibri" w:hAnsi="Times New Roman" w:cs="Times New Roman"/>
                <w:sz w:val="28"/>
                <w:szCs w:val="28"/>
              </w:rPr>
              <w:t>Nav.</w:t>
            </w:r>
          </w:p>
        </w:tc>
      </w:tr>
      <w:tr w:rsidR="00033914" w:rsidRPr="00354E6F" w:rsidTr="00BC16CE">
        <w:trPr>
          <w:trHeight w:val="20"/>
        </w:trPr>
        <w:tc>
          <w:tcPr>
            <w:tcW w:w="9356" w:type="dxa"/>
            <w:gridSpan w:val="8"/>
            <w:tcBorders>
              <w:top w:val="outset" w:sz="6" w:space="0" w:color="auto"/>
              <w:left w:val="outset" w:sz="6" w:space="0" w:color="auto"/>
              <w:bottom w:val="outset" w:sz="6" w:space="0" w:color="auto"/>
              <w:right w:val="outset" w:sz="6" w:space="0" w:color="auto"/>
            </w:tcBorders>
            <w:vAlign w:val="center"/>
          </w:tcPr>
          <w:p w:rsidR="00033914" w:rsidRPr="00354E6F" w:rsidRDefault="00033914" w:rsidP="00814B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2.tabula</w:t>
            </w:r>
          </w:p>
          <w:p w:rsidR="00033914" w:rsidRPr="00354E6F" w:rsidRDefault="00033914" w:rsidP="00814B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Ar tiesību akta projektu izpildītās vai uzņemtās saistības, kas izriet no starptautiskajiem tiesību aktiem vai starptautiskas institūcijas vai organizācijas dokumentiem.</w:t>
            </w:r>
          </w:p>
          <w:p w:rsidR="00033914" w:rsidRPr="00354E6F" w:rsidRDefault="00033914" w:rsidP="00814B74">
            <w:pPr>
              <w:spacing w:after="0" w:line="240" w:lineRule="auto"/>
              <w:ind w:left="57"/>
              <w:jc w:val="center"/>
              <w:rPr>
                <w:rFonts w:ascii="Times New Roman" w:eastAsia="Calibri" w:hAnsi="Times New Roman" w:cs="Times New Roman"/>
                <w:b/>
                <w:sz w:val="28"/>
                <w:szCs w:val="28"/>
              </w:rPr>
            </w:pPr>
            <w:r w:rsidRPr="00354E6F">
              <w:rPr>
                <w:rFonts w:ascii="Times New Roman" w:eastAsia="Calibri" w:hAnsi="Times New Roman" w:cs="Times New Roman"/>
                <w:b/>
                <w:sz w:val="28"/>
                <w:szCs w:val="28"/>
              </w:rPr>
              <w:t>Pasākumi šo saistību izpildei</w:t>
            </w:r>
          </w:p>
        </w:tc>
      </w:tr>
      <w:tr w:rsidR="00033914" w:rsidRPr="00354E6F" w:rsidTr="00BC16CE">
        <w:trPr>
          <w:trHeight w:val="20"/>
        </w:trPr>
        <w:tc>
          <w:tcPr>
            <w:tcW w:w="2045" w:type="dxa"/>
            <w:gridSpan w:val="2"/>
            <w:tcBorders>
              <w:top w:val="outset" w:sz="6" w:space="0" w:color="auto"/>
              <w:left w:val="outset" w:sz="6" w:space="0" w:color="auto"/>
              <w:bottom w:val="outset" w:sz="6" w:space="0" w:color="auto"/>
              <w:right w:val="outset" w:sz="6" w:space="0" w:color="auto"/>
            </w:tcBorders>
            <w:vAlign w:val="center"/>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Attiecīgā starptautiskā tiesību akta vai starptautiskas institūcijas vai organizācijas dokumenta (turpmāk – starptautiskais dokuments) datums, numurs un nosaukums</w:t>
            </w:r>
          </w:p>
        </w:tc>
        <w:tc>
          <w:tcPr>
            <w:tcW w:w="7311" w:type="dxa"/>
            <w:gridSpan w:val="6"/>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jc w:val="both"/>
              <w:rPr>
                <w:rFonts w:ascii="Times New Roman" w:eastAsia="Calibri" w:hAnsi="Times New Roman" w:cs="Times New Roman"/>
                <w:sz w:val="28"/>
                <w:szCs w:val="28"/>
              </w:rPr>
            </w:pPr>
            <w:r w:rsidRPr="00354E6F">
              <w:rPr>
                <w:rFonts w:ascii="Times New Roman" w:eastAsia="Calibri" w:hAnsi="Times New Roman" w:cs="Times New Roman"/>
                <w:sz w:val="28"/>
                <w:szCs w:val="28"/>
              </w:rPr>
              <w:t xml:space="preserve">Hāgas 1980.gada 25.oktobra konvencija par starptautiskās bērnu nolaupīšanas civiltiesiskajiem aspektiem. </w:t>
            </w:r>
          </w:p>
        </w:tc>
      </w:tr>
      <w:tr w:rsidR="00033914" w:rsidRPr="00354E6F" w:rsidTr="00BC16CE">
        <w:trPr>
          <w:trHeight w:val="20"/>
        </w:trPr>
        <w:tc>
          <w:tcPr>
            <w:tcW w:w="2045" w:type="dxa"/>
            <w:gridSpan w:val="2"/>
            <w:tcBorders>
              <w:top w:val="outset" w:sz="6" w:space="0" w:color="auto"/>
              <w:left w:val="outset" w:sz="6" w:space="0" w:color="auto"/>
              <w:bottom w:val="outset" w:sz="6" w:space="0" w:color="auto"/>
              <w:right w:val="outset" w:sz="6" w:space="0" w:color="auto"/>
            </w:tcBorders>
            <w:vAlign w:val="center"/>
          </w:tcPr>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B</w:t>
            </w:r>
          </w:p>
        </w:tc>
        <w:tc>
          <w:tcPr>
            <w:tcW w:w="4209" w:type="dxa"/>
            <w:gridSpan w:val="2"/>
            <w:tcBorders>
              <w:top w:val="outset" w:sz="6" w:space="0" w:color="auto"/>
              <w:left w:val="outset" w:sz="6" w:space="0" w:color="auto"/>
              <w:bottom w:val="outset" w:sz="6" w:space="0" w:color="auto"/>
              <w:right w:val="outset" w:sz="6" w:space="0" w:color="auto"/>
            </w:tcBorders>
            <w:vAlign w:val="center"/>
          </w:tcPr>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C</w:t>
            </w:r>
          </w:p>
        </w:tc>
      </w:tr>
      <w:tr w:rsidR="00033914" w:rsidRPr="00354E6F" w:rsidTr="00BC16CE">
        <w:trPr>
          <w:trHeight w:val="442"/>
        </w:trPr>
        <w:tc>
          <w:tcPr>
            <w:tcW w:w="2045" w:type="dxa"/>
            <w:gridSpan w:val="2"/>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c>
          <w:tcPr>
            <w:tcW w:w="3102" w:type="dxa"/>
            <w:gridSpan w:val="4"/>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c>
          <w:tcPr>
            <w:tcW w:w="4209" w:type="dxa"/>
            <w:gridSpan w:val="2"/>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jc w:val="center"/>
              <w:rPr>
                <w:rFonts w:ascii="Times New Roman" w:eastAsia="Calibri" w:hAnsi="Times New Roman" w:cs="Times New Roman"/>
                <w:sz w:val="28"/>
                <w:szCs w:val="28"/>
              </w:rPr>
            </w:pPr>
            <w:r w:rsidRPr="00354E6F">
              <w:rPr>
                <w:rFonts w:ascii="Times New Roman" w:eastAsia="Calibri" w:hAnsi="Times New Roman" w:cs="Times New Roman"/>
                <w:sz w:val="28"/>
                <w:szCs w:val="28"/>
              </w:rPr>
              <w:t>Nav attiecināms.</w:t>
            </w:r>
          </w:p>
        </w:tc>
      </w:tr>
      <w:tr w:rsidR="00033914" w:rsidRPr="00354E6F" w:rsidTr="00BC16CE">
        <w:trPr>
          <w:trHeight w:val="20"/>
        </w:trPr>
        <w:tc>
          <w:tcPr>
            <w:tcW w:w="2045" w:type="dxa"/>
            <w:gridSpan w:val="2"/>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Vai starptautiskajā dokumentā paredzētās saistības nav pretrunā ar jau esošajām Latvijas Republikas starptautiskajām saistībām</w:t>
            </w:r>
          </w:p>
        </w:tc>
        <w:tc>
          <w:tcPr>
            <w:tcW w:w="7311" w:type="dxa"/>
            <w:gridSpan w:val="6"/>
            <w:tcBorders>
              <w:top w:val="outset" w:sz="6" w:space="0" w:color="auto"/>
              <w:left w:val="outset" w:sz="6" w:space="0" w:color="auto"/>
              <w:bottom w:val="outset" w:sz="6" w:space="0" w:color="auto"/>
              <w:right w:val="outset" w:sz="6" w:space="0" w:color="auto"/>
            </w:tcBorders>
          </w:tcPr>
          <w:p w:rsidR="00033914" w:rsidRPr="00354E6F" w:rsidRDefault="00942CED" w:rsidP="00814B74">
            <w:pPr>
              <w:spacing w:after="0" w:line="240" w:lineRule="auto"/>
              <w:ind w:left="57"/>
              <w:jc w:val="both"/>
              <w:rPr>
                <w:rFonts w:ascii="Times New Roman" w:eastAsia="Calibri" w:hAnsi="Times New Roman" w:cs="Times New Roman"/>
                <w:sz w:val="28"/>
                <w:szCs w:val="28"/>
                <w:highlight w:val="yellow"/>
              </w:rPr>
            </w:pPr>
            <w:r w:rsidRPr="00354E6F">
              <w:rPr>
                <w:rFonts w:ascii="Times New Roman" w:eastAsia="Calibri" w:hAnsi="Times New Roman" w:cs="Times New Roman"/>
                <w:sz w:val="28"/>
                <w:szCs w:val="28"/>
              </w:rPr>
              <w:t>Noteikumu projekts</w:t>
            </w:r>
            <w:r w:rsidRPr="00354E6F">
              <w:rPr>
                <w:rFonts w:ascii="Times New Roman" w:eastAsia="Calibri" w:hAnsi="Times New Roman" w:cs="Times New Roman"/>
                <w:color w:val="000000"/>
                <w:sz w:val="28"/>
                <w:szCs w:val="28"/>
              </w:rPr>
              <w:t xml:space="preserve"> veicinās</w:t>
            </w:r>
            <w:r>
              <w:rPr>
                <w:rFonts w:ascii="Times New Roman" w:eastAsia="Calibri" w:hAnsi="Times New Roman" w:cs="Times New Roman"/>
                <w:color w:val="000000"/>
                <w:sz w:val="28"/>
                <w:szCs w:val="28"/>
              </w:rPr>
              <w:t xml:space="preserve"> Latvijas saistību izpildi, </w:t>
            </w:r>
            <w:r w:rsidRPr="00354E6F">
              <w:rPr>
                <w:rFonts w:ascii="Times New Roman" w:eastAsia="Calibri" w:hAnsi="Times New Roman" w:cs="Times New Roman"/>
                <w:color w:val="000000"/>
                <w:sz w:val="28"/>
                <w:szCs w:val="28"/>
              </w:rPr>
              <w:t xml:space="preserve">kas </w:t>
            </w:r>
            <w:r>
              <w:rPr>
                <w:rFonts w:ascii="Times New Roman" w:eastAsia="Calibri" w:hAnsi="Times New Roman" w:cs="Times New Roman"/>
                <w:color w:val="000000"/>
                <w:sz w:val="28"/>
                <w:szCs w:val="28"/>
              </w:rPr>
              <w:t xml:space="preserve">saistītas </w:t>
            </w:r>
            <w:r w:rsidRPr="00354E6F">
              <w:rPr>
                <w:rFonts w:ascii="Times New Roman" w:eastAsia="Calibri" w:hAnsi="Times New Roman" w:cs="Times New Roman"/>
                <w:color w:val="000000"/>
                <w:sz w:val="28"/>
                <w:szCs w:val="28"/>
              </w:rPr>
              <w:t xml:space="preserve">ar </w:t>
            </w:r>
            <w:r w:rsidRPr="00354E6F">
              <w:rPr>
                <w:rFonts w:ascii="Times New Roman" w:eastAsia="Calibri" w:hAnsi="Times New Roman" w:cs="Times New Roman"/>
                <w:sz w:val="28"/>
                <w:szCs w:val="28"/>
              </w:rPr>
              <w:t>tiesas nolēmumu par bērna atgriešanos valstī, kura ir viņa dzīvesvieta, izpildi.</w:t>
            </w:r>
          </w:p>
        </w:tc>
      </w:tr>
      <w:tr w:rsidR="00033914" w:rsidRPr="00354E6F" w:rsidTr="00BC16CE">
        <w:trPr>
          <w:trHeight w:val="20"/>
        </w:trPr>
        <w:tc>
          <w:tcPr>
            <w:tcW w:w="2045" w:type="dxa"/>
            <w:gridSpan w:val="2"/>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Cita informācija</w:t>
            </w:r>
          </w:p>
        </w:tc>
        <w:tc>
          <w:tcPr>
            <w:tcW w:w="7311" w:type="dxa"/>
            <w:gridSpan w:val="6"/>
            <w:tcBorders>
              <w:top w:val="outset" w:sz="6" w:space="0" w:color="auto"/>
              <w:left w:val="outset" w:sz="6" w:space="0" w:color="auto"/>
              <w:bottom w:val="outset" w:sz="6" w:space="0" w:color="auto"/>
              <w:right w:val="outset" w:sz="6" w:space="0" w:color="auto"/>
            </w:tcBorders>
          </w:tcPr>
          <w:p w:rsidR="00033914" w:rsidRPr="00354E6F" w:rsidRDefault="00033914" w:rsidP="00814B74">
            <w:pPr>
              <w:spacing w:after="0" w:line="240" w:lineRule="auto"/>
              <w:ind w:left="57"/>
              <w:rPr>
                <w:rFonts w:ascii="Times New Roman" w:eastAsia="Calibri" w:hAnsi="Times New Roman" w:cs="Times New Roman"/>
                <w:sz w:val="28"/>
                <w:szCs w:val="28"/>
              </w:rPr>
            </w:pPr>
            <w:r w:rsidRPr="00354E6F">
              <w:rPr>
                <w:rFonts w:ascii="Times New Roman" w:eastAsia="Calibri" w:hAnsi="Times New Roman" w:cs="Times New Roman"/>
                <w:sz w:val="28"/>
                <w:szCs w:val="28"/>
              </w:rPr>
              <w:t>Nav.</w:t>
            </w:r>
          </w:p>
        </w:tc>
      </w:tr>
    </w:tbl>
    <w:tbl>
      <w:tblPr>
        <w:tblStyle w:val="TableGrid"/>
        <w:tblW w:w="0" w:type="auto"/>
        <w:tblLook w:val="04A0"/>
      </w:tblPr>
      <w:tblGrid>
        <w:gridCol w:w="500"/>
        <w:gridCol w:w="4018"/>
        <w:gridCol w:w="4769"/>
      </w:tblGrid>
      <w:tr w:rsidR="00033914" w:rsidRPr="00FC7B3D" w:rsidTr="00BC16CE">
        <w:tc>
          <w:tcPr>
            <w:tcW w:w="9287" w:type="dxa"/>
            <w:gridSpan w:val="3"/>
            <w:hideMark/>
          </w:tcPr>
          <w:p w:rsidR="00033914" w:rsidRPr="00FC7B3D" w:rsidRDefault="00033914" w:rsidP="00814B74">
            <w:pPr>
              <w:spacing w:before="100" w:beforeAutospacing="1" w:after="100" w:afterAutospacing="1"/>
              <w:jc w:val="center"/>
              <w:rPr>
                <w:rFonts w:ascii="Times New Roman" w:eastAsia="Times New Roman" w:hAnsi="Times New Roman" w:cs="Times New Roman"/>
                <w:sz w:val="28"/>
                <w:szCs w:val="28"/>
                <w:lang w:eastAsia="lv-LV"/>
              </w:rPr>
            </w:pPr>
            <w:r w:rsidRPr="00FC7B3D">
              <w:rPr>
                <w:rFonts w:ascii="Times New Roman" w:eastAsia="Times New Roman" w:hAnsi="Times New Roman" w:cs="Times New Roman"/>
                <w:b/>
                <w:bCs/>
                <w:sz w:val="28"/>
                <w:szCs w:val="28"/>
                <w:lang w:eastAsia="lv-LV"/>
              </w:rPr>
              <w:t>VII. Tiesību akta projekta izpildes nodrošināšana un tās ietekme uz institūcijām</w:t>
            </w:r>
          </w:p>
        </w:tc>
      </w:tr>
      <w:tr w:rsidR="00033914" w:rsidRPr="00FC7B3D" w:rsidTr="00BC16CE">
        <w:trPr>
          <w:trHeight w:val="427"/>
        </w:trPr>
        <w:tc>
          <w:tcPr>
            <w:tcW w:w="500"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1.</w:t>
            </w:r>
          </w:p>
        </w:tc>
        <w:tc>
          <w:tcPr>
            <w:tcW w:w="4018"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izpildē iesaistītās institūcijas</w:t>
            </w:r>
          </w:p>
        </w:tc>
        <w:tc>
          <w:tcPr>
            <w:tcW w:w="4769" w:type="dxa"/>
            <w:hideMark/>
          </w:tcPr>
          <w:p w:rsidR="00033914" w:rsidRPr="00FC7B3D" w:rsidRDefault="00942CED" w:rsidP="00942CED">
            <w:pPr>
              <w:spacing w:before="100" w:beforeAutospacing="1" w:after="100" w:afterAutospacing="1"/>
              <w:rPr>
                <w:rFonts w:ascii="Times New Roman" w:eastAsia="Times New Roman" w:hAnsi="Times New Roman" w:cs="Times New Roman"/>
                <w:sz w:val="28"/>
                <w:szCs w:val="28"/>
                <w:lang w:eastAsia="lv-LV"/>
              </w:rPr>
            </w:pPr>
            <w:r>
              <w:rPr>
                <w:rFonts w:ascii="Times New Roman" w:hAnsi="Times New Roman" w:cs="Times New Roman"/>
                <w:iCs/>
                <w:sz w:val="28"/>
                <w:szCs w:val="28"/>
              </w:rPr>
              <w:t>Z</w:t>
            </w:r>
            <w:r w:rsidR="00033914">
              <w:rPr>
                <w:rFonts w:ascii="Times New Roman" w:hAnsi="Times New Roman" w:cs="Times New Roman"/>
                <w:iCs/>
                <w:sz w:val="28"/>
                <w:szCs w:val="28"/>
              </w:rPr>
              <w:t>vērināti tiesu izpildītāji.</w:t>
            </w:r>
          </w:p>
        </w:tc>
      </w:tr>
      <w:tr w:rsidR="00033914" w:rsidRPr="00FC7B3D" w:rsidTr="00BC16CE">
        <w:trPr>
          <w:trHeight w:val="463"/>
        </w:trPr>
        <w:tc>
          <w:tcPr>
            <w:tcW w:w="500"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2.</w:t>
            </w:r>
          </w:p>
        </w:tc>
        <w:tc>
          <w:tcPr>
            <w:tcW w:w="4018"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funkcijām</w:t>
            </w:r>
          </w:p>
        </w:tc>
        <w:tc>
          <w:tcPr>
            <w:tcW w:w="4769" w:type="dxa"/>
            <w:hideMark/>
          </w:tcPr>
          <w:p w:rsidR="00033914" w:rsidRDefault="00033914" w:rsidP="00814B74">
            <w:pPr>
              <w:ind w:hanging="28"/>
              <w:jc w:val="both"/>
              <w:rPr>
                <w:rFonts w:ascii="Times New Roman" w:hAnsi="Times New Roman" w:cs="Times New Roman"/>
                <w:sz w:val="28"/>
                <w:szCs w:val="28"/>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Institūciju funkcijas un uzdevumi ar šo projektu netiek sašaurinātas vai paplašinātas.</w:t>
            </w:r>
          </w:p>
          <w:p w:rsidR="00033914" w:rsidRPr="00FC7B3D" w:rsidRDefault="00033914" w:rsidP="00814B74">
            <w:pPr>
              <w:ind w:hanging="31"/>
              <w:jc w:val="both"/>
              <w:rPr>
                <w:rFonts w:ascii="Times New Roman" w:eastAsia="Times New Roman" w:hAnsi="Times New Roman" w:cs="Times New Roman"/>
                <w:sz w:val="28"/>
                <w:szCs w:val="28"/>
                <w:lang w:eastAsia="lv-LV"/>
              </w:rPr>
            </w:pPr>
          </w:p>
        </w:tc>
      </w:tr>
      <w:tr w:rsidR="00033914" w:rsidRPr="00FC7B3D" w:rsidTr="00BC16CE">
        <w:trPr>
          <w:trHeight w:val="725"/>
        </w:trPr>
        <w:tc>
          <w:tcPr>
            <w:tcW w:w="500"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3.</w:t>
            </w:r>
          </w:p>
        </w:tc>
        <w:tc>
          <w:tcPr>
            <w:tcW w:w="4018"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institucionālo struktūru.</w:t>
            </w:r>
          </w:p>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Jaunu institūciju izveide</w:t>
            </w:r>
          </w:p>
        </w:tc>
        <w:tc>
          <w:tcPr>
            <w:tcW w:w="4769"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Jaunu institūciju izveidi projekts neparedz.</w:t>
            </w:r>
          </w:p>
        </w:tc>
      </w:tr>
      <w:tr w:rsidR="00033914" w:rsidRPr="00FC7B3D" w:rsidTr="00BC16CE">
        <w:trPr>
          <w:trHeight w:val="780"/>
        </w:trPr>
        <w:tc>
          <w:tcPr>
            <w:tcW w:w="500"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4.</w:t>
            </w:r>
          </w:p>
        </w:tc>
        <w:tc>
          <w:tcPr>
            <w:tcW w:w="4018"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institucionālo struktūru.</w:t>
            </w:r>
          </w:p>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Esošu institūciju likvidācija</w:t>
            </w:r>
          </w:p>
        </w:tc>
        <w:tc>
          <w:tcPr>
            <w:tcW w:w="476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Esošās institūcijas projekts neparedz likvidēt.</w:t>
            </w:r>
          </w:p>
        </w:tc>
      </w:tr>
      <w:tr w:rsidR="00033914" w:rsidRPr="00FC7B3D" w:rsidTr="00BC16CE">
        <w:trPr>
          <w:trHeight w:val="703"/>
        </w:trPr>
        <w:tc>
          <w:tcPr>
            <w:tcW w:w="500"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5.</w:t>
            </w:r>
          </w:p>
        </w:tc>
        <w:tc>
          <w:tcPr>
            <w:tcW w:w="4018"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Projekta izpildes ietekme uz pārvaldes institucionālo struktūru.</w:t>
            </w:r>
          </w:p>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Esošu institūciju reorganizācija</w:t>
            </w:r>
          </w:p>
        </w:tc>
        <w:tc>
          <w:tcPr>
            <w:tcW w:w="4769"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w:t>
            </w:r>
            <w:r w:rsidRPr="00FC7B3D">
              <w:rPr>
                <w:rFonts w:ascii="Times New Roman" w:hAnsi="Times New Roman" w:cs="Times New Roman"/>
                <w:sz w:val="28"/>
                <w:szCs w:val="28"/>
              </w:rPr>
              <w:t>Esošās institūcijas projekts neparedz reorganizēt.</w:t>
            </w:r>
          </w:p>
        </w:tc>
      </w:tr>
      <w:tr w:rsidR="00033914" w:rsidRPr="00FC7B3D" w:rsidTr="00BC16CE">
        <w:trPr>
          <w:trHeight w:val="476"/>
        </w:trPr>
        <w:tc>
          <w:tcPr>
            <w:tcW w:w="500" w:type="dxa"/>
            <w:hideMark/>
          </w:tcPr>
          <w:p w:rsidR="00033914" w:rsidRPr="00FC7B3D" w:rsidRDefault="00033914" w:rsidP="00814B74">
            <w:pPr>
              <w:spacing w:before="100" w:beforeAutospacing="1" w:after="100" w:afterAutospacing="1"/>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6.</w:t>
            </w:r>
          </w:p>
        </w:tc>
        <w:tc>
          <w:tcPr>
            <w:tcW w:w="4018"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Cita informācija</w:t>
            </w:r>
          </w:p>
        </w:tc>
        <w:tc>
          <w:tcPr>
            <w:tcW w:w="4769" w:type="dxa"/>
            <w:hideMark/>
          </w:tcPr>
          <w:p w:rsidR="00033914" w:rsidRPr="00FC7B3D" w:rsidRDefault="00033914" w:rsidP="00814B74">
            <w:pPr>
              <w:rPr>
                <w:rFonts w:ascii="Times New Roman" w:eastAsia="Times New Roman" w:hAnsi="Times New Roman" w:cs="Times New Roman"/>
                <w:sz w:val="28"/>
                <w:szCs w:val="28"/>
                <w:lang w:eastAsia="lv-LV"/>
              </w:rPr>
            </w:pPr>
            <w:r w:rsidRPr="00FC7B3D">
              <w:rPr>
                <w:rFonts w:ascii="Times New Roman" w:eastAsia="Times New Roman" w:hAnsi="Times New Roman" w:cs="Times New Roman"/>
                <w:sz w:val="28"/>
                <w:szCs w:val="28"/>
                <w:lang w:eastAsia="lv-LV"/>
              </w:rPr>
              <w:t> Nav.</w:t>
            </w:r>
          </w:p>
          <w:p w:rsidR="00033914" w:rsidRPr="00FC7B3D" w:rsidRDefault="00033914" w:rsidP="00814B74">
            <w:pPr>
              <w:rPr>
                <w:rFonts w:ascii="Times New Roman" w:eastAsia="Times New Roman" w:hAnsi="Times New Roman" w:cs="Times New Roman"/>
                <w:sz w:val="28"/>
                <w:szCs w:val="28"/>
                <w:lang w:eastAsia="lv-LV"/>
              </w:rPr>
            </w:pPr>
          </w:p>
        </w:tc>
      </w:tr>
    </w:tbl>
    <w:p w:rsidR="00033914" w:rsidRPr="00FC7B3D" w:rsidRDefault="00033914" w:rsidP="00033914">
      <w:pPr>
        <w:pStyle w:val="BodyTextIndent"/>
        <w:tabs>
          <w:tab w:val="left" w:pos="6840"/>
        </w:tabs>
        <w:spacing w:after="0"/>
        <w:ind w:left="-284" w:right="-51"/>
        <w:jc w:val="both"/>
        <w:rPr>
          <w:sz w:val="28"/>
          <w:szCs w:val="28"/>
        </w:rPr>
      </w:pPr>
    </w:p>
    <w:p w:rsidR="00033914" w:rsidRPr="00BC16CE" w:rsidRDefault="00BC16CE" w:rsidP="00BC16C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Anotācijas II, IV un VI sadaļa – nav attiecināms.</w:t>
      </w:r>
    </w:p>
    <w:p w:rsidR="00BC16CE" w:rsidRPr="00FC7B3D" w:rsidRDefault="00BC16CE" w:rsidP="00033914">
      <w:pPr>
        <w:spacing w:after="0" w:line="240" w:lineRule="auto"/>
        <w:jc w:val="both"/>
        <w:rPr>
          <w:rFonts w:ascii="Times New Roman" w:eastAsia="Times New Roman" w:hAnsi="Times New Roman" w:cs="Times New Roman"/>
          <w:color w:val="000000"/>
          <w:sz w:val="28"/>
          <w:szCs w:val="28"/>
          <w:lang w:eastAsia="lv-LV"/>
        </w:rPr>
      </w:pPr>
    </w:p>
    <w:p w:rsidR="00033914" w:rsidRPr="00FC7B3D" w:rsidRDefault="00033914" w:rsidP="00033914">
      <w:pPr>
        <w:spacing w:after="0" w:line="240" w:lineRule="auto"/>
        <w:jc w:val="both"/>
        <w:rPr>
          <w:rFonts w:ascii="Times New Roman" w:eastAsia="Times New Roman" w:hAnsi="Times New Roman" w:cs="Times New Roman"/>
          <w:color w:val="000000"/>
          <w:sz w:val="28"/>
          <w:szCs w:val="28"/>
          <w:lang w:eastAsia="lv-LV"/>
        </w:rPr>
      </w:pPr>
      <w:r w:rsidRPr="00FC7B3D">
        <w:rPr>
          <w:rFonts w:ascii="Times New Roman" w:eastAsia="Times New Roman" w:hAnsi="Times New Roman" w:cs="Times New Roman"/>
          <w:color w:val="000000"/>
          <w:sz w:val="28"/>
          <w:szCs w:val="28"/>
          <w:lang w:eastAsia="lv-LV"/>
        </w:rPr>
        <w:t>Tieslietu ministrs</w:t>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ab/>
        <w:t>A. </w:t>
      </w:r>
      <w:proofErr w:type="spellStart"/>
      <w:r w:rsidRPr="00FC7B3D">
        <w:rPr>
          <w:rFonts w:ascii="Times New Roman" w:eastAsia="Times New Roman" w:hAnsi="Times New Roman" w:cs="Times New Roman"/>
          <w:color w:val="000000"/>
          <w:sz w:val="28"/>
          <w:szCs w:val="28"/>
          <w:lang w:eastAsia="lv-LV"/>
        </w:rPr>
        <w:t>Štokenbergs</w:t>
      </w:r>
      <w:proofErr w:type="spellEnd"/>
      <w:r w:rsidRPr="00FC7B3D">
        <w:rPr>
          <w:rFonts w:ascii="Times New Roman" w:eastAsia="Times New Roman" w:hAnsi="Times New Roman" w:cs="Times New Roman"/>
          <w:color w:val="000000"/>
          <w:sz w:val="28"/>
          <w:szCs w:val="28"/>
          <w:lang w:eastAsia="lv-LV"/>
        </w:rPr>
        <w:t xml:space="preserve"> </w:t>
      </w:r>
    </w:p>
    <w:p w:rsidR="00033914" w:rsidRPr="00FC7B3D" w:rsidRDefault="00033914" w:rsidP="00033914">
      <w:pPr>
        <w:spacing w:after="0" w:line="240" w:lineRule="auto"/>
        <w:jc w:val="both"/>
        <w:rPr>
          <w:rFonts w:ascii="Times New Roman" w:eastAsia="Times New Roman" w:hAnsi="Times New Roman" w:cs="Times New Roman"/>
          <w:color w:val="000000"/>
          <w:sz w:val="28"/>
          <w:szCs w:val="28"/>
          <w:lang w:eastAsia="lv-LV"/>
        </w:rPr>
      </w:pPr>
    </w:p>
    <w:p w:rsidR="00033914" w:rsidRPr="00FC7B3D" w:rsidRDefault="00033914" w:rsidP="00033914">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Valsts sekretārs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r>
      <w:r w:rsidRPr="00FC7B3D">
        <w:rPr>
          <w:rFonts w:ascii="Times New Roman" w:eastAsia="Times New Roman" w:hAnsi="Times New Roman" w:cs="Times New Roman"/>
          <w:color w:val="000000"/>
          <w:sz w:val="28"/>
          <w:szCs w:val="28"/>
          <w:lang w:eastAsia="lv-LV"/>
        </w:rPr>
        <w:t>M.</w:t>
      </w:r>
      <w:r>
        <w:rPr>
          <w:rFonts w:ascii="Times New Roman" w:eastAsia="Times New Roman" w:hAnsi="Times New Roman" w:cs="Times New Roman"/>
          <w:color w:val="000000"/>
          <w:sz w:val="28"/>
          <w:szCs w:val="28"/>
          <w:lang w:eastAsia="lv-LV"/>
        </w:rPr>
        <w:t> </w:t>
      </w:r>
      <w:r w:rsidRPr="00FC7B3D">
        <w:rPr>
          <w:rFonts w:ascii="Times New Roman" w:eastAsia="Times New Roman" w:hAnsi="Times New Roman" w:cs="Times New Roman"/>
          <w:color w:val="000000"/>
          <w:sz w:val="28"/>
          <w:szCs w:val="28"/>
          <w:lang w:eastAsia="lv-LV"/>
        </w:rPr>
        <w:t>Lazdovskis</w:t>
      </w:r>
    </w:p>
    <w:p w:rsidR="00033914" w:rsidRDefault="00033914" w:rsidP="00BC16CE">
      <w:pPr>
        <w:spacing w:after="0" w:line="240" w:lineRule="auto"/>
        <w:jc w:val="both"/>
        <w:rPr>
          <w:rFonts w:ascii="Times New Roman" w:hAnsi="Times New Roman" w:cs="Times New Roman"/>
          <w:sz w:val="20"/>
          <w:szCs w:val="20"/>
          <w:lang w:val="sv-SE"/>
        </w:rPr>
      </w:pPr>
    </w:p>
    <w:p w:rsidR="00033914" w:rsidRPr="008467A9" w:rsidRDefault="00BC16CE" w:rsidP="00033914">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lang w:val="sv-SE"/>
        </w:rPr>
        <w:t>21.10.2011. 17:22</w:t>
      </w:r>
    </w:p>
    <w:p w:rsidR="00033914" w:rsidRPr="008467A9" w:rsidRDefault="006839A5" w:rsidP="00033914">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11</w:t>
      </w:r>
      <w:r w:rsidR="00BC16CE">
        <w:rPr>
          <w:rFonts w:ascii="Times New Roman" w:hAnsi="Times New Roman" w:cs="Times New Roman"/>
          <w:sz w:val="20"/>
          <w:szCs w:val="20"/>
        </w:rPr>
        <w:t>20</w:t>
      </w:r>
    </w:p>
    <w:p w:rsidR="00033914" w:rsidRPr="008467A9" w:rsidRDefault="00033914" w:rsidP="00033914">
      <w:pPr>
        <w:spacing w:after="0" w:line="240" w:lineRule="auto"/>
        <w:ind w:left="-284" w:firstLine="284"/>
        <w:jc w:val="both"/>
        <w:rPr>
          <w:rFonts w:ascii="Times New Roman" w:hAnsi="Times New Roman" w:cs="Times New Roman"/>
          <w:sz w:val="20"/>
          <w:szCs w:val="20"/>
        </w:rPr>
      </w:pPr>
      <w:r>
        <w:rPr>
          <w:rFonts w:ascii="Times New Roman" w:hAnsi="Times New Roman" w:cs="Times New Roman"/>
          <w:sz w:val="20"/>
          <w:szCs w:val="20"/>
        </w:rPr>
        <w:t>E. Timpare</w:t>
      </w:r>
    </w:p>
    <w:p w:rsidR="00F236FB" w:rsidRPr="00BC16CE" w:rsidRDefault="00033914" w:rsidP="00BC16CE">
      <w:pPr>
        <w:pStyle w:val="HTMLPreformatted"/>
        <w:jc w:val="both"/>
        <w:rPr>
          <w:rFonts w:ascii="Times New Roman" w:hAnsi="Times New Roman" w:cs="Times New Roman"/>
        </w:rPr>
      </w:pPr>
      <w:r w:rsidRPr="008467A9">
        <w:rPr>
          <w:rFonts w:ascii="Times New Roman" w:hAnsi="Times New Roman" w:cs="Times New Roman"/>
        </w:rPr>
        <w:t>67036</w:t>
      </w:r>
      <w:r>
        <w:rPr>
          <w:rFonts w:ascii="Times New Roman" w:hAnsi="Times New Roman" w:cs="Times New Roman"/>
        </w:rPr>
        <w:t>829</w:t>
      </w:r>
      <w:r w:rsidRPr="008467A9">
        <w:rPr>
          <w:rFonts w:ascii="Times New Roman" w:hAnsi="Times New Roman" w:cs="Times New Roman"/>
        </w:rPr>
        <w:t xml:space="preserve">, </w:t>
      </w:r>
      <w:r>
        <w:rPr>
          <w:rFonts w:ascii="Times New Roman" w:hAnsi="Times New Roman" w:cs="Times New Roman"/>
        </w:rPr>
        <w:t>evija.timpare</w:t>
      </w:r>
      <w:r w:rsidRPr="008467A9">
        <w:rPr>
          <w:rFonts w:ascii="Times New Roman" w:hAnsi="Times New Roman" w:cs="Times New Roman"/>
        </w:rPr>
        <w:t>@tm.gov.lv</w:t>
      </w:r>
    </w:p>
    <w:sectPr w:rsidR="00F236FB" w:rsidRPr="00BC16CE" w:rsidSect="006839A5">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37" w:rsidRDefault="006A4137" w:rsidP="007A0565">
      <w:pPr>
        <w:spacing w:after="0" w:line="240" w:lineRule="auto"/>
      </w:pPr>
      <w:r>
        <w:separator/>
      </w:r>
    </w:p>
  </w:endnote>
  <w:endnote w:type="continuationSeparator" w:id="0">
    <w:p w:rsidR="006A4137" w:rsidRDefault="006A4137" w:rsidP="007A0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B9" w:rsidRPr="007D700E" w:rsidRDefault="00BC16CE" w:rsidP="00814B74">
    <w:pPr>
      <w:pStyle w:val="Heading2"/>
      <w:jc w:val="both"/>
      <w:rPr>
        <w:rFonts w:ascii="Times New Roman" w:hAnsi="Times New Roman"/>
        <w:b w:val="0"/>
        <w:sz w:val="24"/>
        <w:szCs w:val="24"/>
        <w:lang w:val="lv-LV"/>
      </w:rPr>
    </w:pPr>
    <w:r>
      <w:rPr>
        <w:rFonts w:ascii="Times New Roman" w:hAnsi="Times New Roman"/>
        <w:b w:val="0"/>
        <w:lang w:val="lv-LV"/>
      </w:rPr>
      <w:t>TMAnot_21</w:t>
    </w:r>
    <w:r w:rsidR="007634D8">
      <w:rPr>
        <w:rFonts w:ascii="Times New Roman" w:hAnsi="Times New Roman"/>
        <w:b w:val="0"/>
        <w:lang w:val="lv-LV"/>
      </w:rPr>
      <w:t>10</w:t>
    </w:r>
    <w:r w:rsidR="000C24B9">
      <w:rPr>
        <w:rFonts w:ascii="Times New Roman" w:hAnsi="Times New Roman"/>
        <w:b w:val="0"/>
        <w:lang w:val="lv-LV"/>
      </w:rPr>
      <w:t>11_</w:t>
    </w:r>
    <w:r w:rsidR="00131B60">
      <w:rPr>
        <w:rFonts w:ascii="Times New Roman" w:hAnsi="Times New Roman"/>
        <w:b w:val="0"/>
        <w:lang w:val="lv-LV"/>
      </w:rPr>
      <w:t>takses</w:t>
    </w:r>
    <w:r w:rsidR="000C24B9" w:rsidRPr="007D700E">
      <w:rPr>
        <w:rFonts w:ascii="Times New Roman" w:hAnsi="Times New Roman"/>
        <w:b w:val="0"/>
        <w:lang w:val="lv-LV"/>
      </w:rPr>
      <w:t>;</w:t>
    </w:r>
    <w:r w:rsidR="000C24B9" w:rsidRPr="007D700E">
      <w:rPr>
        <w:rFonts w:ascii="Times New Roman" w:hAnsi="Times New Roman"/>
        <w:b w:val="0"/>
        <w:sz w:val="24"/>
        <w:szCs w:val="24"/>
        <w:lang w:val="lv-LV"/>
      </w:rPr>
      <w:t xml:space="preserve"> </w:t>
    </w:r>
    <w:r w:rsidR="000C24B9" w:rsidRPr="007D700E">
      <w:rPr>
        <w:rFonts w:ascii="Times New Roman" w:hAnsi="Times New Roman"/>
        <w:b w:val="0"/>
        <w:lang w:val="lv-LV"/>
      </w:rPr>
      <w:t>Ministru kabineta noteikumu projekta „</w:t>
    </w:r>
    <w:r w:rsidR="000C24B9">
      <w:rPr>
        <w:rFonts w:ascii="Times New Roman" w:hAnsi="Times New Roman"/>
        <w:b w:val="0"/>
        <w:lang w:val="lv-LV"/>
      </w:rPr>
      <w:t>Grozījums Ministru kabineta 2004.gada 28.decembra noteikumos Nr. 1075 „Noteikumi par zvērinātu tiesu izpildītāju amata atlīdzības taksēm”</w:t>
    </w:r>
    <w:r w:rsidR="000C24B9" w:rsidRPr="007D700E">
      <w:rPr>
        <w:rFonts w:ascii="Times New Roman" w:hAnsi="Times New Roman"/>
        <w:b w:val="0"/>
        <w:lang w:val="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B9" w:rsidRPr="00970B79" w:rsidRDefault="000C24B9" w:rsidP="00814B74">
    <w:pPr>
      <w:pStyle w:val="Heading2"/>
      <w:jc w:val="both"/>
      <w:rPr>
        <w:rFonts w:ascii="Times New Roman" w:hAnsi="Times New Roman"/>
        <w:b w:val="0"/>
        <w:sz w:val="24"/>
        <w:szCs w:val="24"/>
        <w:lang w:val="lv-LV"/>
      </w:rPr>
    </w:pPr>
    <w:r>
      <w:rPr>
        <w:rFonts w:ascii="Times New Roman" w:hAnsi="Times New Roman"/>
        <w:b w:val="0"/>
        <w:lang w:val="lv-LV"/>
      </w:rPr>
      <w:t>TM</w:t>
    </w:r>
    <w:r w:rsidR="00BC16CE">
      <w:rPr>
        <w:rFonts w:ascii="Times New Roman" w:hAnsi="Times New Roman"/>
        <w:b w:val="0"/>
        <w:lang w:val="lv-LV"/>
      </w:rPr>
      <w:t>Anot_21</w:t>
    </w:r>
    <w:r w:rsidR="007634D8">
      <w:rPr>
        <w:rFonts w:ascii="Times New Roman" w:hAnsi="Times New Roman"/>
        <w:b w:val="0"/>
        <w:lang w:val="lv-LV"/>
      </w:rPr>
      <w:t>10</w:t>
    </w:r>
    <w:r>
      <w:rPr>
        <w:rFonts w:ascii="Times New Roman" w:hAnsi="Times New Roman"/>
        <w:b w:val="0"/>
        <w:lang w:val="lv-LV"/>
      </w:rPr>
      <w:t>11_</w:t>
    </w:r>
    <w:r w:rsidR="00131B60">
      <w:rPr>
        <w:rFonts w:ascii="Times New Roman" w:hAnsi="Times New Roman"/>
        <w:b w:val="0"/>
        <w:lang w:val="lv-LV"/>
      </w:rPr>
      <w:t>takses</w:t>
    </w:r>
    <w:r w:rsidRPr="007D700E">
      <w:rPr>
        <w:rFonts w:ascii="Times New Roman" w:hAnsi="Times New Roman"/>
        <w:b w:val="0"/>
        <w:lang w:val="lv-LV"/>
      </w:rPr>
      <w:t>;</w:t>
    </w:r>
    <w:r w:rsidRPr="007D700E">
      <w:rPr>
        <w:rFonts w:ascii="Times New Roman" w:hAnsi="Times New Roman"/>
        <w:b w:val="0"/>
        <w:sz w:val="24"/>
        <w:szCs w:val="24"/>
        <w:lang w:val="lv-LV"/>
      </w:rPr>
      <w:t xml:space="preserve"> </w:t>
    </w:r>
    <w:r w:rsidRPr="007D700E">
      <w:rPr>
        <w:rFonts w:ascii="Times New Roman" w:hAnsi="Times New Roman"/>
        <w:b w:val="0"/>
        <w:lang w:val="lv-LV"/>
      </w:rPr>
      <w:t>Ministru kabineta noteikumu projekta „</w:t>
    </w:r>
    <w:r>
      <w:rPr>
        <w:rFonts w:ascii="Times New Roman" w:hAnsi="Times New Roman"/>
        <w:b w:val="0"/>
        <w:lang w:val="lv-LV"/>
      </w:rPr>
      <w:t>Grozījums Ministru kabineta 2004.gada 28.decembra noteikumos Nr. 1075 „Noteikumi par zvērinātu tiesu izpildītāju amata atlīdzības taksēm”</w:t>
    </w:r>
    <w:r w:rsidRPr="007D700E">
      <w:rPr>
        <w:rFonts w:ascii="Times New Roman" w:hAnsi="Times New Roman"/>
        <w:b w:val="0"/>
        <w:lang w:val="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37" w:rsidRDefault="006A4137" w:rsidP="007A0565">
      <w:pPr>
        <w:spacing w:after="0" w:line="240" w:lineRule="auto"/>
      </w:pPr>
      <w:r>
        <w:separator/>
      </w:r>
    </w:p>
  </w:footnote>
  <w:footnote w:type="continuationSeparator" w:id="0">
    <w:p w:rsidR="006A4137" w:rsidRDefault="006A4137" w:rsidP="007A0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3766"/>
      <w:docPartObj>
        <w:docPartGallery w:val="Page Numbers (Top of Page)"/>
        <w:docPartUnique/>
      </w:docPartObj>
    </w:sdtPr>
    <w:sdtContent>
      <w:p w:rsidR="000C24B9" w:rsidRDefault="00D51539">
        <w:pPr>
          <w:pStyle w:val="Header"/>
          <w:jc w:val="center"/>
        </w:pPr>
        <w:r w:rsidRPr="002C637C">
          <w:rPr>
            <w:rFonts w:ascii="Times New Roman" w:hAnsi="Times New Roman" w:cs="Times New Roman"/>
            <w:sz w:val="24"/>
            <w:szCs w:val="24"/>
          </w:rPr>
          <w:fldChar w:fldCharType="begin"/>
        </w:r>
        <w:r w:rsidR="000C24B9" w:rsidRPr="002C637C">
          <w:rPr>
            <w:rFonts w:ascii="Times New Roman" w:hAnsi="Times New Roman" w:cs="Times New Roman"/>
            <w:sz w:val="24"/>
            <w:szCs w:val="24"/>
          </w:rPr>
          <w:instrText xml:space="preserve"> PAGE   \* MERGEFORMAT </w:instrText>
        </w:r>
        <w:r w:rsidRPr="002C637C">
          <w:rPr>
            <w:rFonts w:ascii="Times New Roman" w:hAnsi="Times New Roman" w:cs="Times New Roman"/>
            <w:sz w:val="24"/>
            <w:szCs w:val="24"/>
          </w:rPr>
          <w:fldChar w:fldCharType="separate"/>
        </w:r>
        <w:r w:rsidR="00BC16CE">
          <w:rPr>
            <w:rFonts w:ascii="Times New Roman" w:hAnsi="Times New Roman" w:cs="Times New Roman"/>
            <w:noProof/>
            <w:sz w:val="24"/>
            <w:szCs w:val="24"/>
          </w:rPr>
          <w:t>6</w:t>
        </w:r>
        <w:r w:rsidRPr="002C637C">
          <w:rPr>
            <w:rFonts w:ascii="Times New Roman" w:hAnsi="Times New Roman" w:cs="Times New Roman"/>
            <w:sz w:val="24"/>
            <w:szCs w:val="24"/>
          </w:rPr>
          <w:fldChar w:fldCharType="end"/>
        </w:r>
      </w:p>
    </w:sdtContent>
  </w:sdt>
  <w:p w:rsidR="000C24B9" w:rsidRDefault="000C2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428F"/>
    <w:multiLevelType w:val="hybridMultilevel"/>
    <w:tmpl w:val="4FA00480"/>
    <w:lvl w:ilvl="0" w:tplc="59521F3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3914"/>
    <w:rsid w:val="0002073E"/>
    <w:rsid w:val="00033914"/>
    <w:rsid w:val="0006363F"/>
    <w:rsid w:val="000B0B81"/>
    <w:rsid w:val="000C24B9"/>
    <w:rsid w:val="000C46C4"/>
    <w:rsid w:val="000E59A6"/>
    <w:rsid w:val="0010699A"/>
    <w:rsid w:val="00107B91"/>
    <w:rsid w:val="00110AF7"/>
    <w:rsid w:val="00121F76"/>
    <w:rsid w:val="001255FF"/>
    <w:rsid w:val="00131B60"/>
    <w:rsid w:val="00133874"/>
    <w:rsid w:val="00163D30"/>
    <w:rsid w:val="00180B9D"/>
    <w:rsid w:val="00183BFC"/>
    <w:rsid w:val="00197180"/>
    <w:rsid w:val="001C7714"/>
    <w:rsid w:val="001F17A0"/>
    <w:rsid w:val="0021717E"/>
    <w:rsid w:val="002173AE"/>
    <w:rsid w:val="00225D74"/>
    <w:rsid w:val="002374ED"/>
    <w:rsid w:val="00286447"/>
    <w:rsid w:val="00291988"/>
    <w:rsid w:val="002A36E5"/>
    <w:rsid w:val="002A4906"/>
    <w:rsid w:val="002C35CF"/>
    <w:rsid w:val="002E146E"/>
    <w:rsid w:val="002F0221"/>
    <w:rsid w:val="00305B62"/>
    <w:rsid w:val="00307E0E"/>
    <w:rsid w:val="003178F5"/>
    <w:rsid w:val="00332F56"/>
    <w:rsid w:val="003533D7"/>
    <w:rsid w:val="00353596"/>
    <w:rsid w:val="00371A4B"/>
    <w:rsid w:val="00375D16"/>
    <w:rsid w:val="003840FD"/>
    <w:rsid w:val="003A582F"/>
    <w:rsid w:val="003B1E97"/>
    <w:rsid w:val="003B259C"/>
    <w:rsid w:val="003B3B44"/>
    <w:rsid w:val="003C5E0D"/>
    <w:rsid w:val="003E37BD"/>
    <w:rsid w:val="00414E6B"/>
    <w:rsid w:val="00434044"/>
    <w:rsid w:val="00452138"/>
    <w:rsid w:val="0046300E"/>
    <w:rsid w:val="00470BBD"/>
    <w:rsid w:val="00485BC7"/>
    <w:rsid w:val="00496DC2"/>
    <w:rsid w:val="004B5F21"/>
    <w:rsid w:val="004C2B0B"/>
    <w:rsid w:val="004C2CF3"/>
    <w:rsid w:val="004D1E40"/>
    <w:rsid w:val="005069AC"/>
    <w:rsid w:val="0051283B"/>
    <w:rsid w:val="00527B31"/>
    <w:rsid w:val="00570254"/>
    <w:rsid w:val="00574243"/>
    <w:rsid w:val="005757F8"/>
    <w:rsid w:val="00587591"/>
    <w:rsid w:val="005A63FB"/>
    <w:rsid w:val="005B6EB6"/>
    <w:rsid w:val="005D10C6"/>
    <w:rsid w:val="005E73AB"/>
    <w:rsid w:val="00614473"/>
    <w:rsid w:val="00620F5B"/>
    <w:rsid w:val="00631C7A"/>
    <w:rsid w:val="006506F4"/>
    <w:rsid w:val="006550AC"/>
    <w:rsid w:val="00666FCF"/>
    <w:rsid w:val="00672839"/>
    <w:rsid w:val="00673C8B"/>
    <w:rsid w:val="006839A5"/>
    <w:rsid w:val="00695FF8"/>
    <w:rsid w:val="006A4137"/>
    <w:rsid w:val="006E1335"/>
    <w:rsid w:val="006F17CA"/>
    <w:rsid w:val="006F48DF"/>
    <w:rsid w:val="00722CC2"/>
    <w:rsid w:val="00743974"/>
    <w:rsid w:val="0075742C"/>
    <w:rsid w:val="007634D8"/>
    <w:rsid w:val="00770C79"/>
    <w:rsid w:val="00794816"/>
    <w:rsid w:val="007A0223"/>
    <w:rsid w:val="007A0565"/>
    <w:rsid w:val="007A261C"/>
    <w:rsid w:val="007A54CF"/>
    <w:rsid w:val="007A7B7E"/>
    <w:rsid w:val="007B35AD"/>
    <w:rsid w:val="007D20C0"/>
    <w:rsid w:val="007D786D"/>
    <w:rsid w:val="007E06FC"/>
    <w:rsid w:val="007F45E0"/>
    <w:rsid w:val="0080503A"/>
    <w:rsid w:val="00814B74"/>
    <w:rsid w:val="00815992"/>
    <w:rsid w:val="00825B63"/>
    <w:rsid w:val="00826C95"/>
    <w:rsid w:val="00840156"/>
    <w:rsid w:val="00852C8E"/>
    <w:rsid w:val="00887AF7"/>
    <w:rsid w:val="008B2B47"/>
    <w:rsid w:val="008B4D66"/>
    <w:rsid w:val="008C5D77"/>
    <w:rsid w:val="00902EEF"/>
    <w:rsid w:val="009137A2"/>
    <w:rsid w:val="00915350"/>
    <w:rsid w:val="009158BD"/>
    <w:rsid w:val="009249CC"/>
    <w:rsid w:val="00933D38"/>
    <w:rsid w:val="009351AA"/>
    <w:rsid w:val="00942CED"/>
    <w:rsid w:val="0095052D"/>
    <w:rsid w:val="00962E9F"/>
    <w:rsid w:val="00977BD7"/>
    <w:rsid w:val="009A1C13"/>
    <w:rsid w:val="009A774D"/>
    <w:rsid w:val="009B0258"/>
    <w:rsid w:val="009E0A87"/>
    <w:rsid w:val="009F02F0"/>
    <w:rsid w:val="009F07EA"/>
    <w:rsid w:val="009F709D"/>
    <w:rsid w:val="00A3529A"/>
    <w:rsid w:val="00A46DED"/>
    <w:rsid w:val="00A51C39"/>
    <w:rsid w:val="00A53040"/>
    <w:rsid w:val="00A55D77"/>
    <w:rsid w:val="00A55E91"/>
    <w:rsid w:val="00A86D5E"/>
    <w:rsid w:val="00A9168B"/>
    <w:rsid w:val="00A93506"/>
    <w:rsid w:val="00AA112D"/>
    <w:rsid w:val="00AB3C08"/>
    <w:rsid w:val="00AC27C9"/>
    <w:rsid w:val="00AD60C7"/>
    <w:rsid w:val="00AF622A"/>
    <w:rsid w:val="00B07887"/>
    <w:rsid w:val="00B26876"/>
    <w:rsid w:val="00B63952"/>
    <w:rsid w:val="00BA738B"/>
    <w:rsid w:val="00BA7E38"/>
    <w:rsid w:val="00BB3D77"/>
    <w:rsid w:val="00BC16CE"/>
    <w:rsid w:val="00BC3204"/>
    <w:rsid w:val="00BD1B47"/>
    <w:rsid w:val="00BF110F"/>
    <w:rsid w:val="00C06225"/>
    <w:rsid w:val="00C23A6B"/>
    <w:rsid w:val="00C27732"/>
    <w:rsid w:val="00C3551D"/>
    <w:rsid w:val="00C53615"/>
    <w:rsid w:val="00C90E14"/>
    <w:rsid w:val="00CA5F4A"/>
    <w:rsid w:val="00CB1780"/>
    <w:rsid w:val="00CC094E"/>
    <w:rsid w:val="00CC3006"/>
    <w:rsid w:val="00CC4DE1"/>
    <w:rsid w:val="00CD0AC5"/>
    <w:rsid w:val="00CD7D04"/>
    <w:rsid w:val="00CE33A0"/>
    <w:rsid w:val="00CF0DC4"/>
    <w:rsid w:val="00D16476"/>
    <w:rsid w:val="00D22BE7"/>
    <w:rsid w:val="00D313A8"/>
    <w:rsid w:val="00D50338"/>
    <w:rsid w:val="00D51539"/>
    <w:rsid w:val="00D53972"/>
    <w:rsid w:val="00D651B3"/>
    <w:rsid w:val="00D72247"/>
    <w:rsid w:val="00D82450"/>
    <w:rsid w:val="00D94138"/>
    <w:rsid w:val="00DC684E"/>
    <w:rsid w:val="00DC6E28"/>
    <w:rsid w:val="00DD568D"/>
    <w:rsid w:val="00DE4427"/>
    <w:rsid w:val="00E057F2"/>
    <w:rsid w:val="00E55826"/>
    <w:rsid w:val="00E76AD7"/>
    <w:rsid w:val="00EA07CB"/>
    <w:rsid w:val="00EA577F"/>
    <w:rsid w:val="00EB198E"/>
    <w:rsid w:val="00EB77B3"/>
    <w:rsid w:val="00EF75CA"/>
    <w:rsid w:val="00F04904"/>
    <w:rsid w:val="00F22704"/>
    <w:rsid w:val="00F227B0"/>
    <w:rsid w:val="00F236FB"/>
    <w:rsid w:val="00F31B30"/>
    <w:rsid w:val="00F35B4F"/>
    <w:rsid w:val="00F37286"/>
    <w:rsid w:val="00F5091F"/>
    <w:rsid w:val="00F5181E"/>
    <w:rsid w:val="00F5443E"/>
    <w:rsid w:val="00F546AB"/>
    <w:rsid w:val="00F55AF5"/>
    <w:rsid w:val="00F611BF"/>
    <w:rsid w:val="00F77280"/>
    <w:rsid w:val="00F86A6A"/>
    <w:rsid w:val="00FC4064"/>
    <w:rsid w:val="00FC45E8"/>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14"/>
    <w:rPr>
      <w:rFonts w:asciiTheme="minorHAnsi" w:hAnsiTheme="minorHAnsi" w:cstheme="minorBidi"/>
      <w:sz w:val="22"/>
      <w:szCs w:val="22"/>
    </w:rPr>
  </w:style>
  <w:style w:type="paragraph" w:styleId="Heading2">
    <w:name w:val="heading 2"/>
    <w:basedOn w:val="Normal"/>
    <w:next w:val="Normal"/>
    <w:link w:val="Heading2Char"/>
    <w:unhideWhenUsed/>
    <w:qFormat/>
    <w:rsid w:val="00033914"/>
    <w:pPr>
      <w:keepNext/>
      <w:widowControl w:val="0"/>
      <w:overflowPunct w:val="0"/>
      <w:autoSpaceDE w:val="0"/>
      <w:autoSpaceDN w:val="0"/>
      <w:adjustRightInd w:val="0"/>
      <w:spacing w:after="0" w:line="240" w:lineRule="auto"/>
      <w:outlineLvl w:val="1"/>
    </w:pPr>
    <w:rPr>
      <w:rFonts w:ascii="RimTimes" w:eastAsia="Times New Roman" w:hAnsi="RimTime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914"/>
    <w:rPr>
      <w:rFonts w:ascii="RimTimes" w:eastAsia="Times New Roman" w:hAnsi="RimTimes"/>
      <w:b/>
      <w:sz w:val="20"/>
      <w:szCs w:val="20"/>
      <w:lang w:val="en-US"/>
    </w:rPr>
  </w:style>
  <w:style w:type="paragraph" w:customStyle="1" w:styleId="naiskr">
    <w:name w:val="naiskr"/>
    <w:basedOn w:val="Normal"/>
    <w:rsid w:val="000339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3391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033914"/>
    <w:rPr>
      <w:rFonts w:eastAsia="Times New Roman"/>
      <w:szCs w:val="24"/>
      <w:lang w:eastAsia="lv-LV"/>
    </w:rPr>
  </w:style>
  <w:style w:type="paragraph" w:styleId="HTMLPreformatted">
    <w:name w:val="HTML Preformatted"/>
    <w:basedOn w:val="Normal"/>
    <w:link w:val="HTMLPreformattedChar"/>
    <w:rsid w:val="0003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033914"/>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0339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914"/>
    <w:rPr>
      <w:rFonts w:asciiTheme="minorHAnsi" w:hAnsiTheme="minorHAnsi" w:cstheme="minorBidi"/>
      <w:sz w:val="22"/>
      <w:szCs w:val="22"/>
    </w:rPr>
  </w:style>
  <w:style w:type="table" w:styleId="TableGrid">
    <w:name w:val="Table Grid"/>
    <w:basedOn w:val="TableNormal"/>
    <w:rsid w:val="00033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339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033914"/>
    <w:pPr>
      <w:spacing w:after="120"/>
    </w:pPr>
  </w:style>
  <w:style w:type="character" w:customStyle="1" w:styleId="BodyTextChar">
    <w:name w:val="Body Text Char"/>
    <w:basedOn w:val="DefaultParagraphFont"/>
    <w:link w:val="BodyText"/>
    <w:uiPriority w:val="99"/>
    <w:rsid w:val="00033914"/>
    <w:rPr>
      <w:rFonts w:asciiTheme="minorHAnsi" w:hAnsiTheme="minorHAnsi" w:cstheme="minorBidi"/>
      <w:sz w:val="22"/>
      <w:szCs w:val="22"/>
    </w:rPr>
  </w:style>
  <w:style w:type="paragraph" w:customStyle="1" w:styleId="naispant">
    <w:name w:val="naispant"/>
    <w:basedOn w:val="Normal"/>
    <w:rsid w:val="000339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03391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033914"/>
    <w:rPr>
      <w:rFonts w:eastAsia="Times New Roman"/>
      <w:sz w:val="20"/>
      <w:szCs w:val="20"/>
      <w:lang w:eastAsia="lv-LV"/>
    </w:rPr>
  </w:style>
  <w:style w:type="paragraph" w:customStyle="1" w:styleId="naisc">
    <w:name w:val="naisc"/>
    <w:basedOn w:val="Normal"/>
    <w:rsid w:val="000339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7A056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A0565"/>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C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784565">
      <w:bodyDiv w:val="1"/>
      <w:marLeft w:val="0"/>
      <w:marRight w:val="0"/>
      <w:marTop w:val="0"/>
      <w:marBottom w:val="0"/>
      <w:divBdr>
        <w:top w:val="none" w:sz="0" w:space="0" w:color="auto"/>
        <w:left w:val="none" w:sz="0" w:space="0" w:color="auto"/>
        <w:bottom w:val="none" w:sz="0" w:space="0" w:color="auto"/>
        <w:right w:val="none" w:sz="0" w:space="0" w:color="auto"/>
      </w:divBdr>
      <w:divsChild>
        <w:div w:id="468479193">
          <w:marLeft w:val="0"/>
          <w:marRight w:val="0"/>
          <w:marTop w:val="0"/>
          <w:marBottom w:val="0"/>
          <w:divBdr>
            <w:top w:val="none" w:sz="0" w:space="0" w:color="auto"/>
            <w:left w:val="none" w:sz="0" w:space="0" w:color="auto"/>
            <w:bottom w:val="none" w:sz="0" w:space="0" w:color="auto"/>
            <w:right w:val="none" w:sz="0" w:space="0" w:color="auto"/>
          </w:divBdr>
          <w:divsChild>
            <w:div w:id="1273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1146</Words>
  <Characters>7776</Characters>
  <Application>Microsoft Office Word</Application>
  <DocSecurity>0</DocSecurity>
  <Lines>277</Lines>
  <Paragraphs>104</Paragraphs>
  <ScaleCrop>false</ScaleCrop>
  <HeadingPairs>
    <vt:vector size="2" baseType="variant">
      <vt:variant>
        <vt:lpstr>Title</vt:lpstr>
      </vt:variant>
      <vt:variant>
        <vt:i4>1</vt:i4>
      </vt:variant>
    </vt:vector>
  </HeadingPairs>
  <TitlesOfParts>
    <vt:vector size="1" baseType="lpstr">
      <vt:lpstr>Grozījums Ministru kabineta 2004.gada 28.decembra noteikumos Nr. 1075 "Noteikumi par zvērinātu tiesu izpildītāju amata atlīdzības taksēm"</vt:lpstr>
    </vt:vector>
  </TitlesOfParts>
  <Company>Tieslietu Ministrija</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2004.gada 28.decembra noteikumos Nr. 1075 "Noteikumi par zvērinātu tiesu izpildītāju amata atlīdzības taksēm"</dc:title>
  <dc:subject>Anotācija</dc:subject>
  <dc:creator>Evija Timpare</dc:creator>
  <cp:keywords/>
  <dc:description>evija.timpare@tm.gov.lv_x000d_
67036829</dc:description>
  <cp:lastModifiedBy>et1401</cp:lastModifiedBy>
  <cp:revision>4</cp:revision>
  <cp:lastPrinted>2011-09-19T14:00:00Z</cp:lastPrinted>
  <dcterms:created xsi:type="dcterms:W3CDTF">2011-10-20T06:50:00Z</dcterms:created>
  <dcterms:modified xsi:type="dcterms:W3CDTF">2011-10-21T14:22:00Z</dcterms:modified>
</cp:coreProperties>
</file>