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2C" w:rsidRPr="008B4684" w:rsidRDefault="00AE772C" w:rsidP="00AE772C">
      <w:pPr>
        <w:pStyle w:val="naislab"/>
        <w:spacing w:before="0" w:after="0"/>
        <w:jc w:val="center"/>
        <w:outlineLvl w:val="0"/>
        <w:rPr>
          <w:b/>
          <w:sz w:val="28"/>
          <w:szCs w:val="28"/>
        </w:rPr>
      </w:pPr>
      <w:bookmarkStart w:id="0" w:name="OLE_LINK7"/>
      <w:bookmarkStart w:id="1" w:name="OLE_LINK8"/>
      <w:r w:rsidRPr="008B4684">
        <w:rPr>
          <w:b/>
          <w:sz w:val="28"/>
          <w:szCs w:val="28"/>
        </w:rPr>
        <w:t>Ministru kabineta noteikumu projekta „</w:t>
      </w:r>
      <w:r w:rsidRPr="004F1DE3">
        <w:rPr>
          <w:b/>
          <w:bCs/>
          <w:sz w:val="28"/>
          <w:szCs w:val="28"/>
        </w:rPr>
        <w:t>Izpildu lietu reģistra noteikumi</w:t>
      </w:r>
      <w:r w:rsidRPr="008B4684">
        <w:rPr>
          <w:b/>
          <w:sz w:val="28"/>
          <w:szCs w:val="28"/>
        </w:rPr>
        <w:t xml:space="preserve">” sākotnējās ietekmes novērtējuma </w:t>
      </w:r>
      <w:smartTag w:uri="schemas-tilde-lv/tildestengine" w:element="veidnes">
        <w:smartTagPr>
          <w:attr w:name="text" w:val="ziņojums"/>
          <w:attr w:name="id" w:val="-1"/>
          <w:attr w:name="baseform" w:val="ziņojum|s"/>
        </w:smartTagPr>
        <w:r w:rsidRPr="008B4684">
          <w:rPr>
            <w:b/>
            <w:sz w:val="28"/>
            <w:szCs w:val="28"/>
          </w:rPr>
          <w:t>ziņojums</w:t>
        </w:r>
      </w:smartTag>
      <w:r w:rsidRPr="008B4684">
        <w:rPr>
          <w:b/>
          <w:sz w:val="28"/>
          <w:szCs w:val="28"/>
        </w:rPr>
        <w:t xml:space="preserve"> (anotācija)</w:t>
      </w:r>
      <w:bookmarkEnd w:id="0"/>
      <w:bookmarkEnd w:id="1"/>
    </w:p>
    <w:tbl>
      <w:tblPr>
        <w:tblpPr w:leftFromText="180" w:rightFromText="180" w:bottomFromText="200" w:vertAnchor="text" w:horzAnchor="margin" w:tblpXSpec="center" w:tblpY="149"/>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3141"/>
        <w:gridCol w:w="6034"/>
        <w:gridCol w:w="47"/>
      </w:tblGrid>
      <w:tr w:rsidR="00AE772C" w:rsidRPr="008B4684" w:rsidTr="009B5E1C">
        <w:trPr>
          <w:gridAfter w:val="1"/>
          <w:wAfter w:w="47" w:type="dxa"/>
        </w:trPr>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AE772C" w:rsidRPr="008B4684" w:rsidRDefault="00AE772C" w:rsidP="009B5E1C">
            <w:pPr>
              <w:pStyle w:val="naisnod"/>
              <w:spacing w:before="0" w:after="0" w:line="276" w:lineRule="auto"/>
              <w:rPr>
                <w:sz w:val="28"/>
                <w:szCs w:val="28"/>
              </w:rPr>
            </w:pPr>
            <w:r w:rsidRPr="008B4684">
              <w:rPr>
                <w:sz w:val="28"/>
                <w:szCs w:val="28"/>
              </w:rPr>
              <w:t>I. Tiesību akta projekta izstrādes nepieciešamība</w:t>
            </w:r>
          </w:p>
        </w:tc>
      </w:tr>
      <w:tr w:rsidR="00AE772C" w:rsidRPr="008B4684" w:rsidTr="009B5E1C">
        <w:trPr>
          <w:gridAfter w:val="1"/>
          <w:wAfter w:w="47" w:type="dxa"/>
          <w:trHeight w:val="630"/>
        </w:trPr>
        <w:tc>
          <w:tcPr>
            <w:tcW w:w="550" w:type="dxa"/>
            <w:tcBorders>
              <w:top w:val="single" w:sz="4" w:space="0" w:color="auto"/>
              <w:left w:val="single" w:sz="4" w:space="0" w:color="auto"/>
              <w:bottom w:val="single" w:sz="4" w:space="0" w:color="auto"/>
              <w:right w:val="single" w:sz="4" w:space="0" w:color="auto"/>
            </w:tcBorders>
            <w:vAlign w:val="center"/>
            <w:hideMark/>
          </w:tcPr>
          <w:p w:rsidR="00AE772C" w:rsidRPr="008B4684" w:rsidRDefault="00AE772C" w:rsidP="009B5E1C">
            <w:pPr>
              <w:pStyle w:val="naiskr"/>
              <w:spacing w:before="0" w:after="0" w:line="276" w:lineRule="auto"/>
              <w:jc w:val="center"/>
              <w:rPr>
                <w:sz w:val="28"/>
                <w:szCs w:val="28"/>
              </w:rPr>
            </w:pPr>
            <w:r w:rsidRPr="008B4684">
              <w:rPr>
                <w:sz w:val="28"/>
                <w:szCs w:val="28"/>
              </w:rPr>
              <w:t>1.</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line="276" w:lineRule="auto"/>
              <w:ind w:hanging="10"/>
              <w:rPr>
                <w:sz w:val="28"/>
                <w:szCs w:val="28"/>
              </w:rPr>
            </w:pPr>
            <w:r w:rsidRPr="008B4684">
              <w:rPr>
                <w:sz w:val="28"/>
                <w:szCs w:val="28"/>
              </w:rPr>
              <w:t>Pamatojums</w:t>
            </w:r>
          </w:p>
        </w:tc>
        <w:tc>
          <w:tcPr>
            <w:tcW w:w="6034" w:type="dxa"/>
            <w:tcBorders>
              <w:top w:val="single" w:sz="4" w:space="0" w:color="auto"/>
              <w:left w:val="single" w:sz="4" w:space="0" w:color="auto"/>
              <w:bottom w:val="single" w:sz="4" w:space="0" w:color="auto"/>
              <w:right w:val="single" w:sz="4" w:space="0" w:color="auto"/>
            </w:tcBorders>
          </w:tcPr>
          <w:p w:rsidR="00AE772C" w:rsidRDefault="00AE772C" w:rsidP="009B5E1C">
            <w:pPr>
              <w:pStyle w:val="BodyText"/>
              <w:spacing w:after="0"/>
              <w:ind w:firstLine="425"/>
              <w:jc w:val="both"/>
              <w:rPr>
                <w:sz w:val="28"/>
                <w:szCs w:val="28"/>
              </w:rPr>
            </w:pPr>
            <w:r w:rsidRPr="008B4684">
              <w:rPr>
                <w:sz w:val="28"/>
                <w:szCs w:val="28"/>
              </w:rPr>
              <w:t xml:space="preserve">Ministru kabineta noteikumu projekts </w:t>
            </w:r>
            <w:r w:rsidRPr="002D75F0">
              <w:rPr>
                <w:sz w:val="28"/>
                <w:szCs w:val="28"/>
              </w:rPr>
              <w:t>„</w:t>
            </w:r>
            <w:r>
              <w:rPr>
                <w:bCs/>
                <w:sz w:val="20"/>
                <w:szCs w:val="20"/>
              </w:rPr>
              <w:t xml:space="preserve"> </w:t>
            </w:r>
            <w:r w:rsidRPr="004F1DE3">
              <w:rPr>
                <w:bCs/>
                <w:sz w:val="28"/>
                <w:szCs w:val="28"/>
              </w:rPr>
              <w:t>Izpildu lietu reģistra noteikumi</w:t>
            </w:r>
            <w:r>
              <w:rPr>
                <w:sz w:val="28"/>
                <w:szCs w:val="28"/>
              </w:rPr>
              <w:t>” (turpmāk – n</w:t>
            </w:r>
            <w:r w:rsidRPr="008B4684">
              <w:rPr>
                <w:sz w:val="28"/>
                <w:szCs w:val="28"/>
              </w:rPr>
              <w:t xml:space="preserve">oteikumu projekts) izstrādāts, izpildot Tiesu izpildītāju likuma </w:t>
            </w:r>
            <w:r>
              <w:rPr>
                <w:sz w:val="28"/>
                <w:szCs w:val="28"/>
              </w:rPr>
              <w:t>156</w:t>
            </w:r>
            <w:r w:rsidRPr="008B4684">
              <w:rPr>
                <w:sz w:val="28"/>
                <w:szCs w:val="28"/>
              </w:rPr>
              <w:t>.</w:t>
            </w:r>
            <w:r>
              <w:rPr>
                <w:sz w:val="28"/>
                <w:szCs w:val="28"/>
                <w:vertAlign w:val="superscript"/>
              </w:rPr>
              <w:t>1</w:t>
            </w:r>
            <w:r w:rsidRPr="008B4684">
              <w:rPr>
                <w:sz w:val="28"/>
                <w:szCs w:val="28"/>
              </w:rPr>
              <w:t xml:space="preserve"> panta </w:t>
            </w:r>
            <w:r>
              <w:rPr>
                <w:sz w:val="28"/>
                <w:szCs w:val="28"/>
              </w:rPr>
              <w:t>ceturtajā</w:t>
            </w:r>
            <w:r w:rsidRPr="008B4684">
              <w:rPr>
                <w:sz w:val="28"/>
                <w:szCs w:val="28"/>
              </w:rPr>
              <w:t xml:space="preserve"> daļā ietverto deleģējumu Ministru kabinetam noteikt</w:t>
            </w:r>
            <w:r>
              <w:rPr>
                <w:sz w:val="28"/>
                <w:szCs w:val="28"/>
              </w:rPr>
              <w:t xml:space="preserve"> Izpildu lietu reģistra izveidošanas, uzturēšanas un izmantošanas kārtību, kā arī minimālo tajā iekļaujamās informācijas apjomu.</w:t>
            </w:r>
          </w:p>
          <w:p w:rsidR="00AE772C" w:rsidRPr="008B4684" w:rsidRDefault="00AE772C" w:rsidP="009B5E1C">
            <w:pPr>
              <w:pStyle w:val="BodyText"/>
              <w:spacing w:after="0"/>
              <w:ind w:firstLine="425"/>
              <w:jc w:val="both"/>
              <w:rPr>
                <w:sz w:val="28"/>
                <w:szCs w:val="28"/>
              </w:rPr>
            </w:pPr>
          </w:p>
        </w:tc>
      </w:tr>
      <w:tr w:rsidR="00AE772C" w:rsidRPr="008B4684" w:rsidTr="009B5E1C">
        <w:trPr>
          <w:gridAfter w:val="1"/>
          <w:wAfter w:w="47" w:type="dxa"/>
          <w:trHeight w:val="472"/>
        </w:trPr>
        <w:tc>
          <w:tcPr>
            <w:tcW w:w="550" w:type="dxa"/>
            <w:tcBorders>
              <w:top w:val="single" w:sz="4" w:space="0" w:color="auto"/>
              <w:left w:val="single" w:sz="4" w:space="0" w:color="auto"/>
              <w:bottom w:val="single" w:sz="4" w:space="0" w:color="auto"/>
              <w:right w:val="single" w:sz="4" w:space="0" w:color="auto"/>
            </w:tcBorders>
            <w:vAlign w:val="center"/>
            <w:hideMark/>
          </w:tcPr>
          <w:p w:rsidR="00AE772C" w:rsidRPr="008B4684" w:rsidRDefault="00AE772C" w:rsidP="009B5E1C">
            <w:pPr>
              <w:pStyle w:val="naiskr"/>
              <w:spacing w:before="0" w:after="0" w:line="276" w:lineRule="auto"/>
              <w:jc w:val="center"/>
              <w:rPr>
                <w:sz w:val="28"/>
                <w:szCs w:val="28"/>
              </w:rPr>
            </w:pPr>
            <w:r w:rsidRPr="008B4684">
              <w:rPr>
                <w:sz w:val="28"/>
                <w:szCs w:val="28"/>
              </w:rPr>
              <w:t>2.</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tabs>
                <w:tab w:val="left" w:pos="170"/>
              </w:tabs>
              <w:spacing w:before="0" w:after="0" w:line="276" w:lineRule="auto"/>
              <w:rPr>
                <w:sz w:val="28"/>
                <w:szCs w:val="28"/>
              </w:rPr>
            </w:pPr>
            <w:r w:rsidRPr="003214C2">
              <w:rPr>
                <w:sz w:val="28"/>
                <w:szCs w:val="28"/>
              </w:rPr>
              <w:t>Pašreizējā situācija un problēmas</w:t>
            </w:r>
          </w:p>
        </w:tc>
        <w:tc>
          <w:tcPr>
            <w:tcW w:w="6034" w:type="dxa"/>
            <w:tcBorders>
              <w:top w:val="single" w:sz="4" w:space="0" w:color="auto"/>
              <w:left w:val="single" w:sz="4" w:space="0" w:color="auto"/>
              <w:bottom w:val="single" w:sz="4" w:space="0" w:color="auto"/>
              <w:right w:val="single" w:sz="4" w:space="0" w:color="auto"/>
            </w:tcBorders>
          </w:tcPr>
          <w:p w:rsidR="00AE772C" w:rsidRDefault="00AE772C" w:rsidP="009B5E1C">
            <w:pPr>
              <w:ind w:firstLine="425"/>
              <w:jc w:val="both"/>
              <w:rPr>
                <w:sz w:val="28"/>
                <w:szCs w:val="28"/>
              </w:rPr>
            </w:pPr>
            <w:r>
              <w:rPr>
                <w:sz w:val="28"/>
                <w:szCs w:val="28"/>
              </w:rPr>
              <w:t xml:space="preserve">Zvērināti tiesu izpildītāji kā brīvās juridiskās profesijas pārstāvji paši nosaka un organizē, kādā veidā praktiski tiek nodrošināta visas tās informācijas reģistrēšana, kas saistīta ar amata un profesionālajām darbībām un vesta depozītu summu uzskaite. Lielākā daļa zvērinātu tiesu izpildītāju lieto informācijas sistēmu tiesu izpildītājiem, kurā katrs zvērināts tiesu izpildītājs sava iecirkņa ietvaros reģistrē gan ievestās izpildu lietas, ar lietu saistītās darbības, gan ved depozītu summu uzskaites grāmatu. Daļa zvērinātu tiesu izpildītāju izpildu lietvedību, izpildu lietas un depozītu summu uzskaiti ved manuāli, informāciju reģistrējot papīra grāmatā. </w:t>
            </w:r>
          </w:p>
          <w:p w:rsidR="00AE772C" w:rsidRDefault="00AE772C" w:rsidP="009B5E1C">
            <w:pPr>
              <w:ind w:firstLine="425"/>
              <w:jc w:val="both"/>
              <w:rPr>
                <w:sz w:val="28"/>
                <w:szCs w:val="28"/>
              </w:rPr>
            </w:pPr>
            <w:r>
              <w:rPr>
                <w:sz w:val="28"/>
                <w:szCs w:val="28"/>
              </w:rPr>
              <w:t>Pastāvot šādai praksei, netiek nodrošināta centralizēta informācijas reģistrēšana, apstrāde, glabāšana un pieejamība. Tāpat netiek nodrošināta efektīva datu apmaiņa starp zvērinātiem tiesu izpildītājiem un tiesu sistēmas iestādēm.</w:t>
            </w:r>
          </w:p>
          <w:p w:rsidR="00AE772C" w:rsidRPr="002B674E" w:rsidRDefault="00AE772C" w:rsidP="009B5E1C">
            <w:pPr>
              <w:ind w:firstLine="425"/>
              <w:jc w:val="both"/>
              <w:rPr>
                <w:sz w:val="23"/>
                <w:szCs w:val="23"/>
              </w:rPr>
            </w:pPr>
            <w:r w:rsidRPr="002F68E4">
              <w:rPr>
                <w:sz w:val="28"/>
                <w:szCs w:val="28"/>
              </w:rPr>
              <w:t>2009. gada 10. decembrī Eiropas Komisij</w:t>
            </w:r>
            <w:r>
              <w:rPr>
                <w:sz w:val="28"/>
                <w:szCs w:val="28"/>
              </w:rPr>
              <w:t>as</w:t>
            </w:r>
            <w:r w:rsidRPr="002F68E4">
              <w:rPr>
                <w:sz w:val="28"/>
                <w:szCs w:val="28"/>
              </w:rPr>
              <w:t xml:space="preserve"> brīvības, drošības politikas un tiesiskuma jomas īpašās programmas „Civiltiesības” 2008. gada programmas ietvaros Tiesu administrācija ar</w:t>
            </w:r>
            <w:r>
              <w:rPr>
                <w:sz w:val="28"/>
                <w:szCs w:val="28"/>
              </w:rPr>
              <w:t xml:space="preserve"> Eiropas Komisiju</w:t>
            </w:r>
            <w:r w:rsidRPr="002F68E4">
              <w:rPr>
                <w:sz w:val="28"/>
                <w:szCs w:val="28"/>
              </w:rPr>
              <w:t xml:space="preserve"> </w:t>
            </w:r>
            <w:r>
              <w:rPr>
                <w:sz w:val="28"/>
                <w:szCs w:val="28"/>
              </w:rPr>
              <w:t>noslēdza</w:t>
            </w:r>
            <w:r w:rsidRPr="002F68E4">
              <w:rPr>
                <w:sz w:val="28"/>
                <w:szCs w:val="28"/>
              </w:rPr>
              <w:t xml:space="preserve"> līgumu par projekta „Izpildu lietu reģistrs” īstenošanu.</w:t>
            </w:r>
            <w:r>
              <w:rPr>
                <w:sz w:val="28"/>
                <w:szCs w:val="28"/>
              </w:rPr>
              <w:t xml:space="preserve"> </w:t>
            </w:r>
            <w:r w:rsidRPr="00902F25">
              <w:rPr>
                <w:sz w:val="28"/>
                <w:szCs w:val="28"/>
              </w:rPr>
              <w:t xml:space="preserve">Projekta mērķis </w:t>
            </w:r>
            <w:r>
              <w:rPr>
                <w:sz w:val="28"/>
                <w:szCs w:val="28"/>
              </w:rPr>
              <w:t>paredzēja</w:t>
            </w:r>
            <w:r w:rsidRPr="00902F25">
              <w:rPr>
                <w:sz w:val="28"/>
                <w:szCs w:val="28"/>
              </w:rPr>
              <w:t xml:space="preserve">  </w:t>
            </w:r>
            <w:r>
              <w:rPr>
                <w:sz w:val="28"/>
                <w:szCs w:val="28"/>
              </w:rPr>
              <w:t>izpildes procesa kvalitātes</w:t>
            </w:r>
            <w:r w:rsidRPr="00902F25">
              <w:rPr>
                <w:sz w:val="28"/>
                <w:szCs w:val="28"/>
              </w:rPr>
              <w:t xml:space="preserve"> </w:t>
            </w:r>
            <w:r>
              <w:rPr>
                <w:sz w:val="28"/>
                <w:szCs w:val="28"/>
              </w:rPr>
              <w:t>paaugstināšanas nolūkā</w:t>
            </w:r>
            <w:r w:rsidRPr="00902F25">
              <w:rPr>
                <w:sz w:val="28"/>
                <w:szCs w:val="28"/>
              </w:rPr>
              <w:t xml:space="preserve"> izveidot nacionālu izpildu lietu reģistru</w:t>
            </w:r>
            <w:r>
              <w:rPr>
                <w:sz w:val="28"/>
                <w:szCs w:val="28"/>
              </w:rPr>
              <w:t xml:space="preserve"> (turpmāk – reģistrs)</w:t>
            </w:r>
            <w:r w:rsidRPr="00902F25">
              <w:rPr>
                <w:sz w:val="28"/>
                <w:szCs w:val="28"/>
              </w:rPr>
              <w:t>, lai nodrošinātu izpildu lietu centra</w:t>
            </w:r>
            <w:r>
              <w:rPr>
                <w:sz w:val="28"/>
                <w:szCs w:val="28"/>
              </w:rPr>
              <w:t>lizētu, elektronisku uzskaiti</w:t>
            </w:r>
            <w:r w:rsidRPr="00902F25">
              <w:rPr>
                <w:sz w:val="28"/>
                <w:szCs w:val="28"/>
              </w:rPr>
              <w:t>.</w:t>
            </w:r>
            <w:r>
              <w:rPr>
                <w:sz w:val="23"/>
                <w:szCs w:val="23"/>
              </w:rPr>
              <w:t xml:space="preserve"> </w:t>
            </w:r>
          </w:p>
          <w:p w:rsidR="00AE772C" w:rsidRPr="002B674E" w:rsidRDefault="00AE772C" w:rsidP="009B5E1C">
            <w:pPr>
              <w:pStyle w:val="BodyText"/>
              <w:spacing w:after="0"/>
              <w:ind w:firstLine="425"/>
              <w:jc w:val="both"/>
              <w:rPr>
                <w:sz w:val="28"/>
                <w:szCs w:val="28"/>
              </w:rPr>
            </w:pPr>
            <w:r w:rsidRPr="002B674E">
              <w:rPr>
                <w:sz w:val="28"/>
                <w:szCs w:val="28"/>
              </w:rPr>
              <w:t xml:space="preserve">Reģistra programmatūras izstrādei Tiesu administrācija 2011. gada martā noslēdza iepirkuma līgumu „Par programmas izstrādi un garantijas </w:t>
            </w:r>
            <w:r w:rsidRPr="002B674E">
              <w:rPr>
                <w:sz w:val="28"/>
                <w:szCs w:val="28"/>
              </w:rPr>
              <w:lastRenderedPageBreak/>
              <w:t xml:space="preserve">nodrošināšanu Eiropas Komisijas līdzfinansētā projekta „Izpildu lietu reģistrs””. Saskaņā ar līguma nosacījumiem ir izstrādāta reģistra programmatūra un 2011. gada decembrī uzsākta reģistra lietošana izmēģinājuma ekspluatācijā. </w:t>
            </w:r>
          </w:p>
          <w:p w:rsidR="00AE772C" w:rsidRDefault="00AE772C" w:rsidP="009B5E1C">
            <w:pPr>
              <w:ind w:firstLine="425"/>
              <w:jc w:val="both"/>
              <w:rPr>
                <w:sz w:val="28"/>
                <w:szCs w:val="28"/>
              </w:rPr>
            </w:pPr>
            <w:r w:rsidRPr="00D54871">
              <w:rPr>
                <w:sz w:val="28"/>
                <w:szCs w:val="28"/>
              </w:rPr>
              <w:t xml:space="preserve">Lai </w:t>
            </w:r>
            <w:r>
              <w:rPr>
                <w:sz w:val="28"/>
                <w:szCs w:val="28"/>
              </w:rPr>
              <w:t xml:space="preserve">nostiprinātu </w:t>
            </w:r>
            <w:r w:rsidRPr="00D54871">
              <w:rPr>
                <w:sz w:val="28"/>
                <w:szCs w:val="28"/>
              </w:rPr>
              <w:t xml:space="preserve">reģistra izveidošanas un darbības tiesisko pamatu, ar 2011. gada 27. janvāra likumu „Grozījumi Tiesu izpildītāju likumā”, </w:t>
            </w:r>
            <w:r>
              <w:rPr>
                <w:sz w:val="28"/>
                <w:szCs w:val="28"/>
              </w:rPr>
              <w:t>cita starp Tiesu izpildītāju likums papildināts ar 156.</w:t>
            </w:r>
            <w:r w:rsidRPr="00426774">
              <w:rPr>
                <w:sz w:val="28"/>
                <w:szCs w:val="28"/>
                <w:vertAlign w:val="superscript"/>
              </w:rPr>
              <w:t>1</w:t>
            </w:r>
            <w:r>
              <w:rPr>
                <w:sz w:val="28"/>
                <w:szCs w:val="28"/>
              </w:rPr>
              <w:t xml:space="preserve"> pantu, nosakot, ka zvērināti tiesu izpildītāji, veicot amata darbības, lieto reģistru. Vienlaikus minētā panta ceturtajā daļā noteikts deleģējums Ministru kabinetam </w:t>
            </w:r>
            <w:r w:rsidRPr="008B4684">
              <w:rPr>
                <w:sz w:val="28"/>
                <w:szCs w:val="28"/>
              </w:rPr>
              <w:t>noteikt</w:t>
            </w:r>
            <w:r>
              <w:rPr>
                <w:sz w:val="28"/>
                <w:szCs w:val="28"/>
              </w:rPr>
              <w:t xml:space="preserve"> reģistra izveidošanas, uzturēšanas un izmantošanas kārtību, kā arī minimālo tajā iekļaujamās informācijas apjomu. </w:t>
            </w:r>
          </w:p>
          <w:p w:rsidR="00AE772C" w:rsidRDefault="00AE772C" w:rsidP="009B5E1C">
            <w:pPr>
              <w:ind w:firstLine="425"/>
              <w:jc w:val="both"/>
              <w:rPr>
                <w:sz w:val="28"/>
                <w:szCs w:val="28"/>
              </w:rPr>
            </w:pPr>
            <w:r>
              <w:rPr>
                <w:sz w:val="28"/>
                <w:szCs w:val="28"/>
              </w:rPr>
              <w:t xml:space="preserve">Ņemot vērā minēto, nepieciešams </w:t>
            </w:r>
            <w:r w:rsidRPr="004A0D4F">
              <w:rPr>
                <w:sz w:val="28"/>
                <w:szCs w:val="28"/>
              </w:rPr>
              <w:t xml:space="preserve">izstrādāt </w:t>
            </w:r>
            <w:r>
              <w:rPr>
                <w:sz w:val="28"/>
                <w:szCs w:val="28"/>
              </w:rPr>
              <w:t>attiecīga satura Ministru kabineta noteikumus.</w:t>
            </w:r>
          </w:p>
          <w:p w:rsidR="00AE772C" w:rsidRPr="008B4684" w:rsidRDefault="00AE772C" w:rsidP="009B5E1C">
            <w:pPr>
              <w:ind w:firstLine="425"/>
              <w:jc w:val="both"/>
              <w:rPr>
                <w:sz w:val="28"/>
                <w:szCs w:val="28"/>
              </w:rPr>
            </w:pPr>
          </w:p>
        </w:tc>
      </w:tr>
      <w:tr w:rsidR="00AE772C" w:rsidRPr="008B4684" w:rsidTr="009B5E1C">
        <w:trPr>
          <w:gridAfter w:val="1"/>
          <w:wAfter w:w="47" w:type="dxa"/>
          <w:trHeight w:val="770"/>
        </w:trPr>
        <w:tc>
          <w:tcPr>
            <w:tcW w:w="550" w:type="dxa"/>
            <w:tcBorders>
              <w:top w:val="single" w:sz="4" w:space="0" w:color="auto"/>
              <w:left w:val="single" w:sz="4" w:space="0" w:color="auto"/>
              <w:bottom w:val="single" w:sz="4" w:space="0" w:color="auto"/>
              <w:right w:val="single" w:sz="4" w:space="0" w:color="auto"/>
            </w:tcBorders>
            <w:vAlign w:val="center"/>
            <w:hideMark/>
          </w:tcPr>
          <w:p w:rsidR="00AE772C" w:rsidRPr="008B4684" w:rsidRDefault="00AE772C" w:rsidP="009B5E1C">
            <w:pPr>
              <w:pStyle w:val="naiskr"/>
              <w:spacing w:before="0" w:after="0"/>
              <w:jc w:val="center"/>
              <w:rPr>
                <w:sz w:val="28"/>
                <w:szCs w:val="28"/>
              </w:rPr>
            </w:pPr>
            <w:r w:rsidRPr="008B4684">
              <w:rPr>
                <w:sz w:val="28"/>
                <w:szCs w:val="28"/>
              </w:rPr>
              <w:lastRenderedPageBreak/>
              <w:t>3.</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Saistītie politikas ietekmes novērtējumi un pētījumi</w:t>
            </w:r>
          </w:p>
        </w:tc>
        <w:tc>
          <w:tcPr>
            <w:tcW w:w="6034" w:type="dxa"/>
            <w:tcBorders>
              <w:top w:val="single" w:sz="4" w:space="0" w:color="auto"/>
              <w:left w:val="single" w:sz="4" w:space="0" w:color="auto"/>
              <w:bottom w:val="single" w:sz="4" w:space="0" w:color="auto"/>
              <w:right w:val="single" w:sz="4" w:space="0" w:color="auto"/>
            </w:tcBorders>
            <w:hideMark/>
          </w:tcPr>
          <w:p w:rsidR="00AE772C" w:rsidRPr="008B4684" w:rsidRDefault="00184A6F" w:rsidP="009B5E1C">
            <w:pPr>
              <w:pStyle w:val="FootnoteText"/>
              <w:ind w:firstLine="425"/>
              <w:rPr>
                <w:sz w:val="28"/>
                <w:szCs w:val="28"/>
              </w:rPr>
            </w:pPr>
            <w:r>
              <w:rPr>
                <w:sz w:val="28"/>
                <w:szCs w:val="28"/>
              </w:rPr>
              <w:t>Projekts šo jomu neskar</w:t>
            </w:r>
            <w:r w:rsidR="00AE772C" w:rsidRPr="008B4684">
              <w:rPr>
                <w:sz w:val="28"/>
                <w:szCs w:val="28"/>
              </w:rPr>
              <w:t>.</w:t>
            </w:r>
          </w:p>
        </w:tc>
      </w:tr>
      <w:tr w:rsidR="00AE772C" w:rsidRPr="008B4684" w:rsidTr="009B5E1C">
        <w:trPr>
          <w:gridAfter w:val="1"/>
          <w:wAfter w:w="47" w:type="dxa"/>
          <w:trHeight w:val="384"/>
        </w:trPr>
        <w:tc>
          <w:tcPr>
            <w:tcW w:w="550" w:type="dxa"/>
            <w:tcBorders>
              <w:top w:val="single" w:sz="4" w:space="0" w:color="auto"/>
              <w:left w:val="single" w:sz="4" w:space="0" w:color="auto"/>
              <w:bottom w:val="single" w:sz="4" w:space="0" w:color="auto"/>
              <w:right w:val="single" w:sz="4" w:space="0" w:color="auto"/>
            </w:tcBorders>
            <w:vAlign w:val="center"/>
            <w:hideMark/>
          </w:tcPr>
          <w:p w:rsidR="00AE772C" w:rsidRPr="008B4684" w:rsidRDefault="00AE772C" w:rsidP="009B5E1C">
            <w:pPr>
              <w:pStyle w:val="naiskr"/>
              <w:spacing w:before="0" w:after="0"/>
              <w:jc w:val="center"/>
              <w:rPr>
                <w:sz w:val="28"/>
                <w:szCs w:val="28"/>
              </w:rPr>
            </w:pPr>
            <w:r w:rsidRPr="008B4684">
              <w:rPr>
                <w:sz w:val="28"/>
                <w:szCs w:val="28"/>
              </w:rPr>
              <w:t>4.</w:t>
            </w:r>
          </w:p>
        </w:tc>
        <w:tc>
          <w:tcPr>
            <w:tcW w:w="3141" w:type="dxa"/>
            <w:tcBorders>
              <w:top w:val="single" w:sz="4" w:space="0" w:color="auto"/>
              <w:left w:val="single" w:sz="4" w:space="0" w:color="auto"/>
              <w:bottom w:val="single" w:sz="4" w:space="0" w:color="auto"/>
              <w:right w:val="single" w:sz="4" w:space="0" w:color="auto"/>
            </w:tcBorders>
          </w:tcPr>
          <w:p w:rsidR="00AE772C" w:rsidRPr="008B4684" w:rsidRDefault="00AE772C" w:rsidP="009B5E1C">
            <w:pPr>
              <w:pStyle w:val="naiskr"/>
              <w:spacing w:before="0" w:after="0"/>
              <w:rPr>
                <w:sz w:val="28"/>
                <w:szCs w:val="28"/>
              </w:rPr>
            </w:pPr>
            <w:r w:rsidRPr="008B4684">
              <w:rPr>
                <w:sz w:val="28"/>
                <w:szCs w:val="28"/>
              </w:rPr>
              <w:t>Tiesiskā regulējuma mērķis un būtība</w:t>
            </w:r>
          </w:p>
          <w:p w:rsidR="00AE772C" w:rsidRPr="008B4684" w:rsidRDefault="00AE772C" w:rsidP="009B5E1C">
            <w:pPr>
              <w:pStyle w:val="naiskr"/>
              <w:spacing w:before="0" w:after="0"/>
              <w:rPr>
                <w:sz w:val="28"/>
                <w:szCs w:val="28"/>
              </w:rPr>
            </w:pPr>
          </w:p>
        </w:tc>
        <w:tc>
          <w:tcPr>
            <w:tcW w:w="6034" w:type="dxa"/>
            <w:tcBorders>
              <w:top w:val="single" w:sz="4" w:space="0" w:color="auto"/>
              <w:left w:val="single" w:sz="4" w:space="0" w:color="auto"/>
              <w:bottom w:val="single" w:sz="4" w:space="0" w:color="auto"/>
              <w:right w:val="single" w:sz="4" w:space="0" w:color="auto"/>
            </w:tcBorders>
          </w:tcPr>
          <w:p w:rsidR="00AE772C" w:rsidRDefault="00AE772C" w:rsidP="009B5E1C">
            <w:pPr>
              <w:pStyle w:val="BodyText"/>
              <w:spacing w:after="0"/>
              <w:ind w:firstLine="425"/>
              <w:jc w:val="both"/>
              <w:rPr>
                <w:sz w:val="28"/>
                <w:szCs w:val="28"/>
              </w:rPr>
            </w:pPr>
            <w:r>
              <w:rPr>
                <w:sz w:val="28"/>
                <w:szCs w:val="28"/>
              </w:rPr>
              <w:t>Noteikumu projektā ir noteikta reģistra izveidošanas, uzturēšanas un izmantošanas kārtība, kā arī minimālais tajā iekļaujamās informācijas apjoms.</w:t>
            </w:r>
          </w:p>
          <w:p w:rsidR="00AE772C" w:rsidRPr="00D60DD3" w:rsidRDefault="00AE772C" w:rsidP="009B5E1C">
            <w:pPr>
              <w:pStyle w:val="BodyText"/>
              <w:spacing w:after="0"/>
              <w:ind w:firstLine="425"/>
              <w:jc w:val="both"/>
              <w:rPr>
                <w:sz w:val="28"/>
                <w:szCs w:val="28"/>
              </w:rPr>
            </w:pPr>
            <w:r w:rsidRPr="002651D0">
              <w:rPr>
                <w:sz w:val="28"/>
                <w:szCs w:val="28"/>
              </w:rPr>
              <w:t xml:space="preserve">Saskaņā ar Valsts informācijas sistēmu likuma 1. panta 1. punktu valsts informācijas sistēma ir strukturizēts informācijas tehnoloģiju un datu bāzu kopums, kuru lietojot tiek nodrošināta valsts funkciju izpildei nepieciešamās informācijas ierosināšana, radīšana, apkopošana, uzkrāšana, apstrādāšana, izmantošana un iznīcināšana. Proti, </w:t>
            </w:r>
            <w:r>
              <w:rPr>
                <w:sz w:val="28"/>
                <w:szCs w:val="28"/>
              </w:rPr>
              <w:t xml:space="preserve">pamata kritērijs informācijas sistēmas atzīšanai par valsts nozīmes informācijas sistēmu ir tās izveidošanas un uzturēšanas mērķis – </w:t>
            </w:r>
            <w:r w:rsidRPr="00BE7773">
              <w:rPr>
                <w:sz w:val="28"/>
                <w:szCs w:val="28"/>
              </w:rPr>
              <w:t>atvieglot kādas valsts funkcijas izpildi, pilnveidojot un automatizējot tās īstenošanai nepieciešamās informācijas aprit</w:t>
            </w:r>
            <w:r>
              <w:rPr>
                <w:sz w:val="28"/>
                <w:szCs w:val="28"/>
              </w:rPr>
              <w:t>i</w:t>
            </w:r>
            <w:r w:rsidRPr="00BE7773">
              <w:rPr>
                <w:sz w:val="28"/>
                <w:szCs w:val="28"/>
              </w:rPr>
              <w:t xml:space="preserve">. </w:t>
            </w:r>
          </w:p>
          <w:p w:rsidR="00AE772C" w:rsidRDefault="00AE772C" w:rsidP="009B5E1C">
            <w:pPr>
              <w:pStyle w:val="BodyText"/>
              <w:spacing w:after="0"/>
              <w:ind w:firstLine="425"/>
              <w:jc w:val="both"/>
              <w:rPr>
                <w:sz w:val="28"/>
                <w:szCs w:val="28"/>
              </w:rPr>
            </w:pPr>
            <w:r w:rsidRPr="00D60DD3">
              <w:rPr>
                <w:sz w:val="28"/>
                <w:szCs w:val="28"/>
              </w:rPr>
              <w:t>Reģistra</w:t>
            </w:r>
            <w:r w:rsidRPr="00BE7773">
              <w:rPr>
                <w:sz w:val="28"/>
                <w:szCs w:val="28"/>
              </w:rPr>
              <w:t xml:space="preserve"> </w:t>
            </w:r>
            <w:r>
              <w:rPr>
                <w:sz w:val="28"/>
                <w:szCs w:val="28"/>
              </w:rPr>
              <w:t xml:space="preserve">pamata lietotāji būs </w:t>
            </w:r>
            <w:r w:rsidRPr="00BE7773">
              <w:rPr>
                <w:sz w:val="28"/>
                <w:szCs w:val="28"/>
              </w:rPr>
              <w:t>zvērināti tiesu izpildītāji</w:t>
            </w:r>
            <w:r>
              <w:rPr>
                <w:sz w:val="28"/>
                <w:szCs w:val="28"/>
              </w:rPr>
              <w:t xml:space="preserve">. </w:t>
            </w:r>
            <w:r w:rsidRPr="00D60DD3">
              <w:rPr>
                <w:sz w:val="28"/>
                <w:szCs w:val="28"/>
              </w:rPr>
              <w:t xml:space="preserve">Saskaņā ar Tiesu izpildītāju likuma 2. pantu </w:t>
            </w:r>
            <w:r>
              <w:rPr>
                <w:sz w:val="28"/>
                <w:szCs w:val="28"/>
              </w:rPr>
              <w:t xml:space="preserve">zvērināti </w:t>
            </w:r>
            <w:r w:rsidRPr="00D60DD3">
              <w:rPr>
                <w:sz w:val="28"/>
                <w:szCs w:val="28"/>
              </w:rPr>
              <w:t>tiesu izpildītāji veic tiesu un citu institūciju nolēmumu izpildi, kā arī citas likumā noteiktās darbības. Atbilstoši likuma „Par tiesu varu” 106.</w:t>
            </w:r>
            <w:r w:rsidRPr="00D60DD3">
              <w:rPr>
                <w:sz w:val="28"/>
                <w:szCs w:val="28"/>
                <w:vertAlign w:val="superscript"/>
              </w:rPr>
              <w:t>4</w:t>
            </w:r>
            <w:r w:rsidRPr="00D60DD3">
              <w:rPr>
                <w:sz w:val="28"/>
                <w:szCs w:val="28"/>
              </w:rPr>
              <w:t xml:space="preserve"> pantā noteiktajam </w:t>
            </w:r>
            <w:r>
              <w:rPr>
                <w:sz w:val="28"/>
                <w:szCs w:val="28"/>
              </w:rPr>
              <w:t xml:space="preserve">zvērināti </w:t>
            </w:r>
            <w:r w:rsidRPr="00D60DD3">
              <w:rPr>
                <w:sz w:val="28"/>
                <w:szCs w:val="28"/>
              </w:rPr>
              <w:t xml:space="preserve">tiesu izpildītāji ir tiesu sistēmai piederīgas personas. Turklāt saskaņā ar </w:t>
            </w:r>
            <w:r w:rsidRPr="00D60DD3">
              <w:rPr>
                <w:sz w:val="28"/>
                <w:szCs w:val="28"/>
              </w:rPr>
              <w:lastRenderedPageBreak/>
              <w:t>Tiesu izpildītāju likuma 5. pantu tiesu izpildītāji amata darbībā ir pi</w:t>
            </w:r>
            <w:r>
              <w:rPr>
                <w:sz w:val="28"/>
                <w:szCs w:val="28"/>
              </w:rPr>
              <w:t xml:space="preserve">elīdzināti valsts amatpersonām. </w:t>
            </w:r>
          </w:p>
          <w:p w:rsidR="00AE772C" w:rsidRDefault="00AE772C" w:rsidP="009B5E1C">
            <w:pPr>
              <w:pStyle w:val="BodyText"/>
              <w:spacing w:after="0"/>
              <w:ind w:firstLine="425"/>
              <w:jc w:val="both"/>
              <w:rPr>
                <w:sz w:val="28"/>
                <w:szCs w:val="28"/>
              </w:rPr>
            </w:pPr>
            <w:r w:rsidRPr="00253C41">
              <w:rPr>
                <w:sz w:val="28"/>
                <w:szCs w:val="28"/>
              </w:rPr>
              <w:t xml:space="preserve">Tiesas nolēmuma pienācīgas un savlaicīgas izpildes nodrošināšana ir būtiska un neatņemama daļa no personas tiesībām aizstāvēt savas tiesības un likumiskās intereses taisnīgā tiesā. </w:t>
            </w:r>
            <w:r>
              <w:rPr>
                <w:sz w:val="28"/>
                <w:szCs w:val="28"/>
              </w:rPr>
              <w:t>V</w:t>
            </w:r>
            <w:r w:rsidRPr="00253C41">
              <w:rPr>
                <w:sz w:val="28"/>
                <w:szCs w:val="28"/>
              </w:rPr>
              <w:t xml:space="preserve">alstij ir pienākums </w:t>
            </w:r>
            <w:r>
              <w:rPr>
                <w:sz w:val="28"/>
                <w:szCs w:val="28"/>
              </w:rPr>
              <w:t>garantēt</w:t>
            </w:r>
            <w:r w:rsidRPr="00253C41">
              <w:rPr>
                <w:sz w:val="28"/>
                <w:szCs w:val="28"/>
              </w:rPr>
              <w:t xml:space="preserve"> </w:t>
            </w:r>
            <w:r>
              <w:rPr>
                <w:sz w:val="28"/>
                <w:szCs w:val="28"/>
              </w:rPr>
              <w:t xml:space="preserve">minētās tiesības, cita starp nodrošinot </w:t>
            </w:r>
            <w:r w:rsidRPr="00253C41">
              <w:rPr>
                <w:sz w:val="28"/>
                <w:szCs w:val="28"/>
              </w:rPr>
              <w:t>tiesas un citu instit</w:t>
            </w:r>
            <w:r>
              <w:rPr>
                <w:sz w:val="28"/>
                <w:szCs w:val="28"/>
              </w:rPr>
              <w:t>ūciju nolēmumu pienācīgu izpildes procesu</w:t>
            </w:r>
            <w:r w:rsidRPr="00253C41">
              <w:rPr>
                <w:sz w:val="28"/>
                <w:szCs w:val="28"/>
              </w:rPr>
              <w:t>.</w:t>
            </w:r>
            <w:r>
              <w:rPr>
                <w:sz w:val="28"/>
                <w:szCs w:val="28"/>
              </w:rPr>
              <w:t xml:space="preserve"> Tādējādi, veicot</w:t>
            </w:r>
            <w:r w:rsidRPr="00D60DD3">
              <w:rPr>
                <w:sz w:val="28"/>
                <w:szCs w:val="28"/>
              </w:rPr>
              <w:t xml:space="preserve"> tiesas </w:t>
            </w:r>
            <w:r>
              <w:rPr>
                <w:sz w:val="28"/>
                <w:szCs w:val="28"/>
              </w:rPr>
              <w:t>spriedumu</w:t>
            </w:r>
            <w:r w:rsidRPr="00D60DD3">
              <w:rPr>
                <w:sz w:val="28"/>
                <w:szCs w:val="28"/>
              </w:rPr>
              <w:t xml:space="preserve"> un citu likumā noteikto valsts institūciju lēmumu piespiedu izpildi, zvērināti tiesu izpildītāji realizē valsts noteiktu funkciju.</w:t>
            </w:r>
            <w:r>
              <w:rPr>
                <w:sz w:val="28"/>
                <w:szCs w:val="28"/>
              </w:rPr>
              <w:t xml:space="preserve"> </w:t>
            </w:r>
          </w:p>
          <w:p w:rsidR="00AE772C" w:rsidRDefault="00AE772C" w:rsidP="009B5E1C">
            <w:pPr>
              <w:pStyle w:val="BodyText"/>
              <w:spacing w:after="0"/>
              <w:ind w:firstLine="425"/>
              <w:jc w:val="both"/>
              <w:rPr>
                <w:sz w:val="28"/>
                <w:szCs w:val="28"/>
              </w:rPr>
            </w:pPr>
            <w:r>
              <w:rPr>
                <w:sz w:val="28"/>
                <w:szCs w:val="28"/>
              </w:rPr>
              <w:t xml:space="preserve">Savukārt </w:t>
            </w:r>
            <w:r w:rsidRPr="00BE7773">
              <w:rPr>
                <w:sz w:val="28"/>
                <w:szCs w:val="28"/>
              </w:rPr>
              <w:t xml:space="preserve">garantējot </w:t>
            </w:r>
            <w:r>
              <w:rPr>
                <w:sz w:val="28"/>
                <w:szCs w:val="28"/>
              </w:rPr>
              <w:t>izpildu</w:t>
            </w:r>
            <w:r w:rsidRPr="00BE7773">
              <w:rPr>
                <w:sz w:val="28"/>
                <w:szCs w:val="28"/>
              </w:rPr>
              <w:t xml:space="preserve"> lietvedības datu reģistrēšanu, apstrādi, glabāšanu un pieejamību, veicinot iespēju operatīvi kontrolēt izpildu lietu virzību, kā arī nodrošinot efektīvu nepieciešamo datu apmaiņu starp zvērinātiem tiesu izpildītājiem un tieslietu sistēmas iestādēm un izpildes procesa īstenošanai nepieciešamo datu ātru un operatīvu ieguvi no cit</w:t>
            </w:r>
            <w:r>
              <w:rPr>
                <w:sz w:val="28"/>
                <w:szCs w:val="28"/>
              </w:rPr>
              <w:t xml:space="preserve">ām valsts informācijas sistēmām, tiek </w:t>
            </w:r>
            <w:r w:rsidRPr="00BE7773">
              <w:rPr>
                <w:sz w:val="28"/>
                <w:szCs w:val="28"/>
              </w:rPr>
              <w:t>optimizē</w:t>
            </w:r>
            <w:r>
              <w:rPr>
                <w:sz w:val="28"/>
                <w:szCs w:val="28"/>
              </w:rPr>
              <w:t xml:space="preserve">ts </w:t>
            </w:r>
            <w:r w:rsidRPr="00BE7773">
              <w:rPr>
                <w:sz w:val="28"/>
                <w:szCs w:val="28"/>
              </w:rPr>
              <w:t xml:space="preserve"> z</w:t>
            </w:r>
            <w:r>
              <w:rPr>
                <w:sz w:val="28"/>
                <w:szCs w:val="28"/>
              </w:rPr>
              <w:t>vērinātu tiesu izpildītāju darbs</w:t>
            </w:r>
            <w:r w:rsidRPr="00BE7773">
              <w:rPr>
                <w:sz w:val="28"/>
                <w:szCs w:val="28"/>
              </w:rPr>
              <w:t xml:space="preserve"> un </w:t>
            </w:r>
            <w:r>
              <w:rPr>
                <w:sz w:val="28"/>
                <w:szCs w:val="28"/>
              </w:rPr>
              <w:t>efektivizēts</w:t>
            </w:r>
            <w:r w:rsidRPr="00BE7773">
              <w:rPr>
                <w:sz w:val="28"/>
                <w:szCs w:val="28"/>
              </w:rPr>
              <w:t xml:space="preserve"> </w:t>
            </w:r>
            <w:r>
              <w:rPr>
                <w:sz w:val="28"/>
                <w:szCs w:val="28"/>
              </w:rPr>
              <w:t>izpildes process kopumā</w:t>
            </w:r>
            <w:r w:rsidRPr="00BE7773">
              <w:rPr>
                <w:sz w:val="28"/>
                <w:szCs w:val="28"/>
              </w:rPr>
              <w:t>.</w:t>
            </w:r>
            <w:r>
              <w:rPr>
                <w:sz w:val="28"/>
                <w:szCs w:val="28"/>
              </w:rPr>
              <w:t xml:space="preserve"> Ņemot vērā minēto, noteikumu projekts nosaka, ka reģistrs ir valsts informācijas sistēma.</w:t>
            </w:r>
          </w:p>
          <w:p w:rsidR="00AE772C" w:rsidRDefault="00AE772C" w:rsidP="009B5E1C">
            <w:pPr>
              <w:pStyle w:val="BodyText"/>
              <w:spacing w:after="0"/>
              <w:ind w:firstLine="425"/>
              <w:jc w:val="both"/>
              <w:rPr>
                <w:rFonts w:cstheme="minorHAnsi"/>
                <w:sz w:val="28"/>
                <w:szCs w:val="28"/>
              </w:rPr>
            </w:pPr>
            <w:r>
              <w:rPr>
                <w:sz w:val="28"/>
                <w:szCs w:val="28"/>
              </w:rPr>
              <w:t xml:space="preserve">Noteikumu projekts paredz, ka reģistrā </w:t>
            </w:r>
            <w:r w:rsidRPr="00DB03E3">
              <w:rPr>
                <w:sz w:val="28"/>
                <w:szCs w:val="28"/>
              </w:rPr>
              <w:t xml:space="preserve">zvērinātu tiesu izpildītāju darba </w:t>
            </w:r>
            <w:r>
              <w:rPr>
                <w:sz w:val="28"/>
                <w:szCs w:val="28"/>
              </w:rPr>
              <w:t xml:space="preserve">nodrošināšanas un organizēšanas </w:t>
            </w:r>
            <w:r w:rsidRPr="00DB03E3">
              <w:rPr>
                <w:sz w:val="28"/>
                <w:szCs w:val="28"/>
              </w:rPr>
              <w:t>vajadzībām</w:t>
            </w:r>
            <w:r>
              <w:rPr>
                <w:sz w:val="28"/>
                <w:szCs w:val="28"/>
              </w:rPr>
              <w:t xml:space="preserve"> elektroniski tiek glabāti ar </w:t>
            </w:r>
            <w:r w:rsidRPr="00DB03E3">
              <w:rPr>
                <w:sz w:val="28"/>
                <w:szCs w:val="28"/>
              </w:rPr>
              <w:t>zvērinātu tiesu izpildītāju lietvedīb</w:t>
            </w:r>
            <w:r>
              <w:rPr>
                <w:sz w:val="28"/>
                <w:szCs w:val="28"/>
              </w:rPr>
              <w:t>u</w:t>
            </w:r>
            <w:r w:rsidRPr="00DB03E3">
              <w:rPr>
                <w:sz w:val="28"/>
                <w:szCs w:val="28"/>
              </w:rPr>
              <w:t xml:space="preserve"> un izpildu lietu </w:t>
            </w:r>
            <w:r>
              <w:rPr>
                <w:sz w:val="28"/>
                <w:szCs w:val="28"/>
              </w:rPr>
              <w:t xml:space="preserve">vešanu saistīti </w:t>
            </w:r>
            <w:r w:rsidRPr="00DB03E3">
              <w:rPr>
                <w:sz w:val="28"/>
                <w:szCs w:val="28"/>
              </w:rPr>
              <w:t>dat</w:t>
            </w:r>
            <w:r>
              <w:rPr>
                <w:sz w:val="28"/>
                <w:szCs w:val="28"/>
              </w:rPr>
              <w:t xml:space="preserve">i. </w:t>
            </w:r>
            <w:r>
              <w:rPr>
                <w:rFonts w:cstheme="minorHAnsi"/>
                <w:sz w:val="28"/>
                <w:szCs w:val="28"/>
              </w:rPr>
              <w:t>Vienlaikus noteikumu projekts definē reģistra izveidošanas un uzturēšanas mērķus:</w:t>
            </w:r>
          </w:p>
          <w:p w:rsidR="00AE772C" w:rsidRDefault="00AE772C" w:rsidP="009B5E1C">
            <w:pPr>
              <w:pStyle w:val="BodyText"/>
              <w:spacing w:after="0"/>
              <w:ind w:firstLine="425"/>
              <w:jc w:val="both"/>
              <w:rPr>
                <w:rFonts w:cstheme="minorHAnsi"/>
                <w:sz w:val="28"/>
                <w:szCs w:val="28"/>
              </w:rPr>
            </w:pPr>
            <w:r>
              <w:rPr>
                <w:rFonts w:cstheme="minorHAnsi"/>
                <w:sz w:val="28"/>
                <w:szCs w:val="28"/>
              </w:rPr>
              <w:t>- </w:t>
            </w:r>
            <w:r w:rsidRPr="00BA66A1">
              <w:rPr>
                <w:rFonts w:cstheme="minorHAnsi"/>
                <w:sz w:val="28"/>
                <w:szCs w:val="28"/>
              </w:rPr>
              <w:t>automatizēt nolēmumu izpildes lietvedības ciklu un nodrošināt izpildu lietu datu reģistrēšanu un to elektronisku apstrādi, glabāša</w:t>
            </w:r>
            <w:r>
              <w:rPr>
                <w:rFonts w:cstheme="minorHAnsi"/>
                <w:sz w:val="28"/>
                <w:szCs w:val="28"/>
              </w:rPr>
              <w:t>nu, pārraidīšanu un pieejamību vienā reģistrā;</w:t>
            </w:r>
          </w:p>
          <w:p w:rsidR="00AE772C" w:rsidRDefault="00AE772C" w:rsidP="009B5E1C">
            <w:pPr>
              <w:pStyle w:val="BodyText"/>
              <w:spacing w:after="0"/>
              <w:ind w:firstLine="425"/>
              <w:jc w:val="both"/>
              <w:rPr>
                <w:rFonts w:cstheme="minorHAnsi"/>
                <w:sz w:val="28"/>
                <w:szCs w:val="28"/>
              </w:rPr>
            </w:pPr>
            <w:r>
              <w:rPr>
                <w:rFonts w:cstheme="minorHAnsi"/>
                <w:sz w:val="28"/>
                <w:szCs w:val="28"/>
              </w:rPr>
              <w:t>- </w:t>
            </w:r>
            <w:r w:rsidRPr="00BA66A1">
              <w:rPr>
                <w:rFonts w:cstheme="minorHAnsi"/>
                <w:sz w:val="28"/>
                <w:szCs w:val="28"/>
              </w:rPr>
              <w:t>nodrošināt informācijas par zvērināta tiesu izpildītāja depozīta kontā esošajiem līdzekļiem un to sadalījumu pa izpil</w:t>
            </w:r>
            <w:r>
              <w:rPr>
                <w:rFonts w:cstheme="minorHAnsi"/>
                <w:sz w:val="28"/>
                <w:szCs w:val="28"/>
              </w:rPr>
              <w:t xml:space="preserve">du lietām uzkrāšanu un apstrādi, proti, </w:t>
            </w:r>
            <w:r w:rsidRPr="002F2933">
              <w:rPr>
                <w:sz w:val="28"/>
                <w:szCs w:val="28"/>
              </w:rPr>
              <w:t xml:space="preserve">depozītu summu uzskaites grāmatu </w:t>
            </w:r>
            <w:r>
              <w:rPr>
                <w:sz w:val="28"/>
                <w:szCs w:val="28"/>
              </w:rPr>
              <w:t>vešanu</w:t>
            </w:r>
            <w:r w:rsidRPr="002F2933">
              <w:rPr>
                <w:sz w:val="28"/>
                <w:szCs w:val="28"/>
              </w:rPr>
              <w:t xml:space="preserve"> elektroniski</w:t>
            </w:r>
            <w:r>
              <w:rPr>
                <w:rFonts w:cstheme="minorHAnsi"/>
                <w:sz w:val="28"/>
                <w:szCs w:val="28"/>
              </w:rPr>
              <w:t>;</w:t>
            </w:r>
          </w:p>
          <w:p w:rsidR="00555075" w:rsidRDefault="00AE772C" w:rsidP="00555075">
            <w:pPr>
              <w:pStyle w:val="BodyText"/>
              <w:spacing w:after="0"/>
              <w:ind w:firstLine="425"/>
              <w:jc w:val="both"/>
              <w:rPr>
                <w:sz w:val="28"/>
                <w:szCs w:val="28"/>
              </w:rPr>
            </w:pPr>
            <w:r>
              <w:rPr>
                <w:rFonts w:cstheme="minorHAnsi"/>
                <w:sz w:val="28"/>
                <w:szCs w:val="28"/>
              </w:rPr>
              <w:t>- nodrošināt zvērinātu tiesu izpildītāju</w:t>
            </w:r>
            <w:r w:rsidRPr="00BA66A1">
              <w:rPr>
                <w:rFonts w:cstheme="minorHAnsi"/>
                <w:sz w:val="28"/>
                <w:szCs w:val="28"/>
              </w:rPr>
              <w:t xml:space="preserve"> </w:t>
            </w:r>
            <w:r>
              <w:rPr>
                <w:rFonts w:cstheme="minorHAnsi"/>
                <w:sz w:val="28"/>
                <w:szCs w:val="28"/>
              </w:rPr>
              <w:t xml:space="preserve">lietvedības, kā arī </w:t>
            </w:r>
            <w:r w:rsidRPr="00BA66A1">
              <w:rPr>
                <w:rFonts w:cstheme="minorHAnsi"/>
                <w:sz w:val="28"/>
                <w:szCs w:val="28"/>
              </w:rPr>
              <w:t>sastādīto aktu reģistrēšan</w:t>
            </w:r>
            <w:r>
              <w:rPr>
                <w:rFonts w:cstheme="minorHAnsi"/>
                <w:sz w:val="28"/>
                <w:szCs w:val="28"/>
              </w:rPr>
              <w:t>u</w:t>
            </w:r>
            <w:r w:rsidRPr="00BA66A1">
              <w:rPr>
                <w:rFonts w:cstheme="minorHAnsi"/>
                <w:sz w:val="28"/>
                <w:szCs w:val="28"/>
              </w:rPr>
              <w:t xml:space="preserve"> un uzskaites kārtošanu elektroniski</w:t>
            </w:r>
            <w:r>
              <w:rPr>
                <w:rFonts w:cstheme="minorHAnsi"/>
                <w:sz w:val="28"/>
                <w:szCs w:val="28"/>
              </w:rPr>
              <w:t>;- </w:t>
            </w:r>
            <w:r>
              <w:rPr>
                <w:sz w:val="28"/>
                <w:szCs w:val="28"/>
              </w:rPr>
              <w:t xml:space="preserve"> elektroniski</w:t>
            </w:r>
            <w:r w:rsidRPr="00DB03E3">
              <w:rPr>
                <w:sz w:val="28"/>
                <w:szCs w:val="28"/>
              </w:rPr>
              <w:t xml:space="preserve"> </w:t>
            </w:r>
            <w:r>
              <w:rPr>
                <w:rFonts w:cstheme="minorHAnsi"/>
                <w:sz w:val="28"/>
                <w:szCs w:val="28"/>
              </w:rPr>
              <w:t xml:space="preserve">uzkrāt </w:t>
            </w:r>
            <w:r w:rsidRPr="00DB03E3">
              <w:rPr>
                <w:sz w:val="28"/>
                <w:szCs w:val="28"/>
              </w:rPr>
              <w:t>ar zvērinātu tiesu izpildītāju un zvērinātu tiesu izpildītāju palīgu personāllietvedības kārtošanu saistīt</w:t>
            </w:r>
            <w:r w:rsidR="00555075">
              <w:rPr>
                <w:sz w:val="28"/>
                <w:szCs w:val="28"/>
              </w:rPr>
              <w:t>u informāciju.</w:t>
            </w:r>
          </w:p>
          <w:p w:rsidR="00946FB8" w:rsidRDefault="00401546">
            <w:pPr>
              <w:pStyle w:val="BodyText"/>
              <w:spacing w:after="0"/>
              <w:ind w:firstLine="425"/>
              <w:jc w:val="both"/>
              <w:rPr>
                <w:sz w:val="28"/>
                <w:szCs w:val="28"/>
              </w:rPr>
            </w:pPr>
            <w:r>
              <w:rPr>
                <w:sz w:val="28"/>
                <w:szCs w:val="28"/>
              </w:rPr>
              <w:t xml:space="preserve">Lai nodrošinātu </w:t>
            </w:r>
            <w:r w:rsidR="006757F0">
              <w:rPr>
                <w:sz w:val="28"/>
                <w:szCs w:val="28"/>
              </w:rPr>
              <w:t>pilnvērtīgu un sprieduma izpildes procesam atbilstošu reģistra darbību un tā turpmāko attīstību,</w:t>
            </w:r>
            <w:r>
              <w:rPr>
                <w:sz w:val="28"/>
                <w:szCs w:val="28"/>
              </w:rPr>
              <w:t xml:space="preserve"> noteikumu projekts paredz, ka jautājumus, kas saistīti ar </w:t>
            </w:r>
            <w:r w:rsidRPr="007034B0">
              <w:rPr>
                <w:sz w:val="28"/>
                <w:szCs w:val="28"/>
              </w:rPr>
              <w:t>reģistra</w:t>
            </w:r>
            <w:r>
              <w:rPr>
                <w:sz w:val="28"/>
                <w:szCs w:val="28"/>
              </w:rPr>
              <w:t xml:space="preserve"> uzturēšanai nepieciešamā</w:t>
            </w:r>
            <w:r w:rsidRPr="007034B0">
              <w:rPr>
                <w:sz w:val="28"/>
                <w:szCs w:val="28"/>
              </w:rPr>
              <w:t xml:space="preserve"> </w:t>
            </w:r>
            <w:r>
              <w:rPr>
                <w:sz w:val="28"/>
                <w:szCs w:val="28"/>
              </w:rPr>
              <w:t>finansējuma plānošanu</w:t>
            </w:r>
            <w:r w:rsidRPr="007034B0">
              <w:rPr>
                <w:sz w:val="28"/>
                <w:szCs w:val="28"/>
              </w:rPr>
              <w:t>,</w:t>
            </w:r>
            <w:r>
              <w:t xml:space="preserve"> </w:t>
            </w:r>
            <w:r>
              <w:rPr>
                <w:sz w:val="28"/>
                <w:szCs w:val="28"/>
              </w:rPr>
              <w:t>priekšlikumu</w:t>
            </w:r>
            <w:r w:rsidRPr="00F52288">
              <w:rPr>
                <w:sz w:val="28"/>
                <w:szCs w:val="28"/>
              </w:rPr>
              <w:t xml:space="preserve"> un izmaiņu pieprasījumu par sistēmas uzlabojumiem</w:t>
            </w:r>
            <w:r>
              <w:rPr>
                <w:sz w:val="28"/>
                <w:szCs w:val="28"/>
              </w:rPr>
              <w:t xml:space="preserve"> izskatīšanu</w:t>
            </w:r>
            <w:r w:rsidRPr="00F52288">
              <w:rPr>
                <w:sz w:val="28"/>
                <w:szCs w:val="28"/>
              </w:rPr>
              <w:t xml:space="preserve">, </w:t>
            </w:r>
            <w:r>
              <w:rPr>
                <w:sz w:val="28"/>
                <w:szCs w:val="28"/>
              </w:rPr>
              <w:t xml:space="preserve">kā arī </w:t>
            </w:r>
            <w:r w:rsidRPr="00F52288">
              <w:rPr>
                <w:sz w:val="28"/>
                <w:szCs w:val="28"/>
              </w:rPr>
              <w:t xml:space="preserve">sadarbības līguma vai starpresoru vienošanās nepieciešamību reģistra darbības nodrošināšanai nepieciešamo ziņu apmaiņai ar citām informācijas sistēmām, </w:t>
            </w:r>
            <w:r w:rsidR="00DD0146">
              <w:rPr>
                <w:sz w:val="28"/>
                <w:szCs w:val="28"/>
              </w:rPr>
              <w:t>r</w:t>
            </w:r>
            <w:r>
              <w:rPr>
                <w:sz w:val="28"/>
                <w:szCs w:val="28"/>
              </w:rPr>
              <w:t xml:space="preserve">eģistra </w:t>
            </w:r>
            <w:r w:rsidRPr="007034B0">
              <w:rPr>
                <w:sz w:val="28"/>
                <w:szCs w:val="28"/>
              </w:rPr>
              <w:t xml:space="preserve">pārzinis </w:t>
            </w:r>
            <w:r w:rsidR="00DD0146">
              <w:rPr>
                <w:sz w:val="28"/>
                <w:szCs w:val="28"/>
              </w:rPr>
              <w:t>risina</w:t>
            </w:r>
            <w:r>
              <w:rPr>
                <w:sz w:val="28"/>
                <w:szCs w:val="28"/>
              </w:rPr>
              <w:t xml:space="preserve"> sadarbībā ar Latvijas Zvēr</w:t>
            </w:r>
            <w:r w:rsidR="006757F0">
              <w:rPr>
                <w:sz w:val="28"/>
                <w:szCs w:val="28"/>
              </w:rPr>
              <w:t xml:space="preserve">inātu tiesu izpildītāju padomi kā zvērinātu tiesu izpildītāju pārstāvības institūciju. </w:t>
            </w:r>
            <w:r w:rsidR="00AE772C" w:rsidRPr="00A60176">
              <w:rPr>
                <w:sz w:val="28"/>
                <w:szCs w:val="28"/>
              </w:rPr>
              <w:t>Noteikumu projektā noteikts reģistrā iekļaujam</w:t>
            </w:r>
            <w:r w:rsidR="00AE772C">
              <w:rPr>
                <w:sz w:val="28"/>
                <w:szCs w:val="28"/>
              </w:rPr>
              <w:t>ās informācijas minimālais apjoms attiecībā uz zvērinātu tiesu izpildītāju lietvedībā esošajām izpildu lietām (tai skaitā par izpildu lietā iesaistītajām personām, izpildu lietā veiktajām amata darbībām un ar to veikšanu saistītajiem sprieduma izpildes izdevumiem), zvērināta tiesu izpildītāja korespondenci, depozīta summu uzskaiti (informāciju par zvērināta tiesu izpildītāja depozīta kontā veiktajām iemaksām un izmaksām), zvērināta tiesu izpildītāja sagatavotajiem aktiem, aprēķiniem un rēķiniem. Noteikumu projektā paredzētā iekļaujamā informācija attiecībā uz minētajām pozīcijām noteikta atbilstoši tam informācijas apjomam, kāds noteikts Ministru kabineta 2006. gada 14. marta noteikumos Nr. 202 „Noteikumi par zvērinātu tiesu izpildītāju lietvedību” zvērināta tiesu izpildītāja lietvedības uzskaites kārtībai.</w:t>
            </w:r>
          </w:p>
          <w:p w:rsidR="00AE772C" w:rsidRDefault="00AE772C" w:rsidP="009B5E1C">
            <w:pPr>
              <w:pStyle w:val="NormalWeb"/>
              <w:spacing w:before="0" w:beforeAutospacing="0" w:after="0" w:afterAutospacing="0"/>
              <w:ind w:firstLine="714"/>
              <w:jc w:val="both"/>
              <w:rPr>
                <w:sz w:val="28"/>
                <w:szCs w:val="28"/>
              </w:rPr>
            </w:pPr>
            <w:r>
              <w:rPr>
                <w:sz w:val="28"/>
                <w:szCs w:val="28"/>
              </w:rPr>
              <w:t xml:space="preserve">Vienlaikus noteikumu projekts paredz reģistrā iekļaut informāciju par zvērināta tiesu izpildītāja iecirkni. </w:t>
            </w:r>
          </w:p>
          <w:p w:rsidR="00AE772C" w:rsidRDefault="00AE772C" w:rsidP="009B5E1C">
            <w:pPr>
              <w:pStyle w:val="NormalWeb"/>
              <w:spacing w:before="0" w:beforeAutospacing="0" w:after="0" w:afterAutospacing="0"/>
              <w:ind w:firstLine="714"/>
              <w:jc w:val="both"/>
              <w:rPr>
                <w:sz w:val="28"/>
                <w:szCs w:val="28"/>
              </w:rPr>
            </w:pPr>
            <w:r>
              <w:rPr>
                <w:sz w:val="28"/>
                <w:szCs w:val="28"/>
              </w:rPr>
              <w:t>Atbilstoši noteikumu projektam informāciju</w:t>
            </w:r>
            <w:r w:rsidRPr="00DB03E3">
              <w:rPr>
                <w:sz w:val="28"/>
                <w:szCs w:val="28"/>
              </w:rPr>
              <w:t xml:space="preserve"> reģistrā iekļauj</w:t>
            </w:r>
            <w:r>
              <w:rPr>
                <w:sz w:val="28"/>
                <w:szCs w:val="28"/>
              </w:rPr>
              <w:t xml:space="preserve"> un aktualizē</w:t>
            </w:r>
            <w:r w:rsidRPr="00DB03E3">
              <w:rPr>
                <w:sz w:val="28"/>
                <w:szCs w:val="28"/>
              </w:rPr>
              <w:t xml:space="preserve">, pamatojoties uz attiecīgu lietvedības vai izpildu dokumentu vai amata pienākumu izpildes ietvaros veiktu </w:t>
            </w:r>
            <w:r>
              <w:rPr>
                <w:sz w:val="28"/>
                <w:szCs w:val="28"/>
              </w:rPr>
              <w:t xml:space="preserve">amata </w:t>
            </w:r>
            <w:r w:rsidRPr="00DB03E3">
              <w:rPr>
                <w:sz w:val="28"/>
                <w:szCs w:val="28"/>
              </w:rPr>
              <w:t>darbību</w:t>
            </w:r>
            <w:r>
              <w:rPr>
                <w:sz w:val="28"/>
                <w:szCs w:val="28"/>
              </w:rPr>
              <w:t>.</w:t>
            </w:r>
            <w:r w:rsidRPr="00DB03E3">
              <w:rPr>
                <w:sz w:val="28"/>
                <w:szCs w:val="28"/>
              </w:rPr>
              <w:t xml:space="preserve"> </w:t>
            </w:r>
          </w:p>
          <w:p w:rsidR="00AE772C" w:rsidRPr="00226487" w:rsidRDefault="00AE772C" w:rsidP="009B5E1C">
            <w:pPr>
              <w:pStyle w:val="NormalWeb"/>
              <w:spacing w:before="0" w:beforeAutospacing="0" w:after="0" w:afterAutospacing="0"/>
              <w:ind w:firstLine="567"/>
              <w:jc w:val="both"/>
              <w:rPr>
                <w:sz w:val="28"/>
                <w:szCs w:val="28"/>
              </w:rPr>
            </w:pPr>
            <w:r w:rsidRPr="00226487">
              <w:rPr>
                <w:sz w:val="28"/>
                <w:szCs w:val="28"/>
              </w:rPr>
              <w:t xml:space="preserve">Ņemot vērā tiesas un citu institūciju nolēmumu piespiedu izpildei normatīvajos aktos noteikto kārtību, zvērinātam tiesu izpildītājam ir jānodrošina parādnieka ienākumu un mantiskā stāvokļa pārbaude. </w:t>
            </w:r>
          </w:p>
          <w:p w:rsidR="00AE772C" w:rsidRPr="00226487" w:rsidRDefault="00AE772C" w:rsidP="009B5E1C">
            <w:pPr>
              <w:pStyle w:val="NormalWeb"/>
              <w:spacing w:before="0" w:beforeAutospacing="0" w:after="0" w:afterAutospacing="0"/>
              <w:jc w:val="both"/>
              <w:rPr>
                <w:sz w:val="28"/>
                <w:szCs w:val="28"/>
              </w:rPr>
            </w:pPr>
            <w:r>
              <w:rPr>
                <w:sz w:val="28"/>
                <w:szCs w:val="28"/>
              </w:rPr>
              <w:t>T</w:t>
            </w:r>
            <w:r w:rsidRPr="00226487">
              <w:rPr>
                <w:sz w:val="28"/>
                <w:szCs w:val="28"/>
              </w:rPr>
              <w:t>iesisko pamatu zvērināta tiesu izpildītāja rīcībai, dodot rīkojumus un veicot informācijas pieprasījumus attiecībā uz parādnieka mantisko stāvokli, nosaka Tiesu izpildītāju likuma 41. pants un Civilprocesa likuma 551. pants. Proti, saskaņā ar Tiesu izpildītāju likuma 41. pantu, veicot amata darbības, zvērināts tiesu izpildītājs ir tiesīgs ar amata pienākumu pildīšanu saistīto nepieciešamo informāciju motivēti pieprasīt no valsts un pašvaldību iestādēm un institūcijām, kā arī no visām fiziskajām un juridiskajām personām, ciktāl to neierobežo speciālās tiesību normas. Savukārt Civilprocesa likuma 551. panta pirmā daļa nosaka, ka tiesu izpildītāja prasības un rīkojumi, izpildot tiesu un citu institūciju nolēmumus, ir obligāti fiziskajām un juridiskajām personām visā valsts teritorijā.</w:t>
            </w:r>
          </w:p>
          <w:p w:rsidR="00AE772C" w:rsidRPr="00226487" w:rsidRDefault="00AE772C" w:rsidP="009B5E1C">
            <w:pPr>
              <w:pStyle w:val="NormalWeb"/>
              <w:spacing w:before="0" w:beforeAutospacing="0" w:after="0" w:afterAutospacing="0"/>
              <w:ind w:firstLine="567"/>
              <w:jc w:val="both"/>
              <w:rPr>
                <w:sz w:val="28"/>
                <w:szCs w:val="28"/>
              </w:rPr>
            </w:pPr>
            <w:r w:rsidRPr="00226487">
              <w:rPr>
                <w:sz w:val="28"/>
                <w:szCs w:val="28"/>
              </w:rPr>
              <w:t>Ievērojot minēto, zvērināts tiesu izpildītājs, saņemot izpildei izpildu dokumentu, pārbauda parādnieka mantisko stāvokli, nosūtot pieprasījumus uz reģistriem, kuros tiek uzkrāta informācija par fizisko personu ienākumiem vai mantisko stāvokli, kā arī informācija par fiziskās personas statusu, proti, vai konkrētā persona ir dzīva, mirusi, kāds ir tās ģimenes stāvoklis, kā arī citas ziņas. Tiesu izpildītājs ir tiesīgs nepastarpināti pieprasīt ziņas par parādnieka īpašumiem un ienākumiem no visiem valsts nozīmes reģistriem, kā arī kredītiestādēm un citām trešajām personām. Zvērināts tiesu izpildītājs, lai konstatētu parādnieka mantu vai ienākumus, pārbauda informāciju tādos valsts uzturētajos reģistros, kā, piemēram, Ceļu satiksmes drošības direkcijas Transportlīdzekļu un to vadītāju reģistrā, Valsts zemes dienest</w:t>
            </w:r>
            <w:r>
              <w:rPr>
                <w:sz w:val="28"/>
                <w:szCs w:val="28"/>
              </w:rPr>
              <w:t>a Nekustamā īpašuma valsts kadastra informācijas sistēmā</w:t>
            </w:r>
            <w:r w:rsidRPr="00226487">
              <w:rPr>
                <w:sz w:val="28"/>
                <w:szCs w:val="28"/>
              </w:rPr>
              <w:t xml:space="preserve">, Valsts vienotajā datorizētajā zemesgrāmatā, Pilsonības un migrācijas lietu pārvaldes Iedzīvotāju reģistrā un citos reģistros. Ja nepieciešams, zvērināts tiesu izpildītājs veic parādnieka mantas apskati parādnieka dzīvesvietā. </w:t>
            </w:r>
          </w:p>
          <w:p w:rsidR="00AE772C" w:rsidRPr="00226487" w:rsidRDefault="00AE772C" w:rsidP="009B5E1C">
            <w:pPr>
              <w:pStyle w:val="NormalWeb"/>
              <w:spacing w:before="0" w:beforeAutospacing="0" w:after="0" w:afterAutospacing="0"/>
              <w:ind w:firstLine="567"/>
              <w:jc w:val="both"/>
              <w:rPr>
                <w:sz w:val="28"/>
                <w:szCs w:val="28"/>
              </w:rPr>
            </w:pPr>
            <w:r w:rsidRPr="00226487">
              <w:rPr>
                <w:sz w:val="28"/>
                <w:szCs w:val="28"/>
              </w:rPr>
              <w:t xml:space="preserve">Šobrīd reģistros esošās informācijas ieguves veids ir atšķirīgs, proti, ir reģistri, kas pieeju informācijai nodrošina elektroniski tiešsaistes režīmā, un ir arī tādi, kas informāciju sniedz rakstiski, pamatojoties uz iesniegtu pieprasījumu. </w:t>
            </w:r>
          </w:p>
          <w:p w:rsidR="00AE772C" w:rsidRDefault="00AE772C" w:rsidP="009B5E1C">
            <w:pPr>
              <w:pStyle w:val="NormalWeb"/>
              <w:spacing w:before="0" w:beforeAutospacing="0" w:after="0" w:afterAutospacing="0"/>
              <w:ind w:firstLine="567"/>
              <w:jc w:val="both"/>
              <w:rPr>
                <w:sz w:val="28"/>
                <w:szCs w:val="28"/>
              </w:rPr>
            </w:pPr>
            <w:r w:rsidRPr="002E6E60">
              <w:rPr>
                <w:sz w:val="28"/>
                <w:szCs w:val="28"/>
              </w:rPr>
              <w:t>Lai nodrošinātu pēc iespējas kvalitatīvāku un ātrāku piespiedu izpildes procesu, zvērināta tiesu izpildītāj rīcībā ir jābūt visai ar</w:t>
            </w:r>
            <w:r>
              <w:rPr>
                <w:sz w:val="28"/>
                <w:szCs w:val="28"/>
              </w:rPr>
              <w:t xml:space="preserve"> piespiedu</w:t>
            </w:r>
            <w:r w:rsidRPr="002E6E60">
              <w:rPr>
                <w:sz w:val="28"/>
                <w:szCs w:val="28"/>
              </w:rPr>
              <w:t xml:space="preserve"> izpildi un tās ietvaros veicamajām darbībām saistītajai informācijai.</w:t>
            </w:r>
            <w:r>
              <w:t xml:space="preserve"> </w:t>
            </w:r>
            <w:r w:rsidRPr="00226487">
              <w:rPr>
                <w:sz w:val="28"/>
                <w:szCs w:val="28"/>
              </w:rPr>
              <w:t>Proti, sekmīgas nolēmuma izpildes pamatnosacījums ir informācijas par parādnieka mantisko stāvokli ieguve. Jo ātrāka ir ziņu ieguves metode un pilnīgāka iegūtā informācija, jo lielāka iespēja nodrošināt izpildi. Tādējādi, minētās problēmas risināšanā par efektīvāko risinājumu atzīstama pieejas reģistros esošajai informācijai nodrošināšana tiešsaistes režīmā, izvairoties no ilgstoša dokumentu apstrādes procesa kā tiesu izpildītāja birojā, tā attiecīgajā valsts iestādē.</w:t>
            </w:r>
            <w:r>
              <w:rPr>
                <w:sz w:val="28"/>
                <w:szCs w:val="28"/>
              </w:rPr>
              <w:t xml:space="preserve"> </w:t>
            </w:r>
          </w:p>
          <w:p w:rsidR="00AE772C" w:rsidRDefault="00AE772C" w:rsidP="009B5E1C">
            <w:pPr>
              <w:pStyle w:val="NormalWeb"/>
              <w:spacing w:before="0" w:beforeAutospacing="0" w:after="0" w:afterAutospacing="0"/>
              <w:ind w:firstLine="714"/>
              <w:jc w:val="both"/>
              <w:rPr>
                <w:sz w:val="28"/>
                <w:szCs w:val="28"/>
              </w:rPr>
            </w:pPr>
            <w:r>
              <w:rPr>
                <w:sz w:val="28"/>
                <w:szCs w:val="28"/>
              </w:rPr>
              <w:t>Attiecīgi, lai optimizētu un paātrinātu izpildes procesa gaitu un nodrošinātu elektronisku informācijas apmaiņu ar citām iestādēm, Izpildu lietu reģistru ir paredzēts saslēgt ar vairākām citām informācijas sistēmām un reģistriem. Ņemot vērā minēto, noteikumu projekts paredz, ka z</w:t>
            </w:r>
            <w:r w:rsidRPr="00DB03E3">
              <w:rPr>
                <w:sz w:val="28"/>
                <w:szCs w:val="28"/>
              </w:rPr>
              <w:t xml:space="preserve">iņas par zvērināta tiesu izpildītāja lietvedībā esošu lietu un veiktajām amata darbībām reģistrā </w:t>
            </w:r>
            <w:r>
              <w:rPr>
                <w:sz w:val="28"/>
                <w:szCs w:val="28"/>
              </w:rPr>
              <w:t xml:space="preserve">var tikt iekļautas arī </w:t>
            </w:r>
            <w:r w:rsidRPr="00DB03E3">
              <w:rPr>
                <w:sz w:val="28"/>
                <w:szCs w:val="28"/>
              </w:rPr>
              <w:t>pamatojoties uz tiešsaistes datu pārraides vai auto</w:t>
            </w:r>
            <w:r>
              <w:rPr>
                <w:sz w:val="28"/>
                <w:szCs w:val="28"/>
              </w:rPr>
              <w:t>matizētajā datu apmaiņas režīmā saņemtām ziņām.</w:t>
            </w:r>
          </w:p>
          <w:p w:rsidR="00AE772C" w:rsidRDefault="00AE772C" w:rsidP="009B5E1C">
            <w:pPr>
              <w:pStyle w:val="NormalWeb"/>
              <w:spacing w:before="0" w:beforeAutospacing="0" w:after="0" w:afterAutospacing="0"/>
              <w:ind w:firstLine="709"/>
              <w:jc w:val="both"/>
              <w:rPr>
                <w:sz w:val="28"/>
                <w:szCs w:val="28"/>
              </w:rPr>
            </w:pPr>
            <w:r>
              <w:rPr>
                <w:sz w:val="28"/>
                <w:szCs w:val="28"/>
              </w:rPr>
              <w:t xml:space="preserve">Cita starp šādā kārtībā noteikumu projekts paredz iespēju reģistrā iekļaujamās ziņas par administratīvo pārkāpumu lietās un krimināllietās personām piemērotā naudas soda, kas izdarāms valsts ienākumos, nomaksu sniegt un saņemt no valsts iestādes, kas saskaņā ar normatīvajos aktos tai noteikto kompetenci uzkrāj, uzglabā un aktualizē informāciju par personām piemērotajiem sodiem un to izpildi (piemēram, Iekšlietu ministrijas Informācijas Centra). </w:t>
            </w:r>
          </w:p>
          <w:p w:rsidR="00AE772C" w:rsidRPr="00A60176" w:rsidRDefault="00AE772C" w:rsidP="009B5E1C">
            <w:pPr>
              <w:pStyle w:val="NormalWeb"/>
              <w:spacing w:before="0" w:beforeAutospacing="0" w:after="0" w:afterAutospacing="0"/>
              <w:ind w:firstLine="714"/>
              <w:jc w:val="both"/>
              <w:rPr>
                <w:sz w:val="28"/>
                <w:szCs w:val="28"/>
              </w:rPr>
            </w:pPr>
            <w:r>
              <w:rPr>
                <w:sz w:val="28"/>
                <w:szCs w:val="28"/>
              </w:rPr>
              <w:t xml:space="preserve">Vienlaikus noteikumu projekts nosaka reģistra izmantošanas kārtību. </w:t>
            </w:r>
          </w:p>
          <w:p w:rsidR="0077534D" w:rsidRDefault="00AE772C" w:rsidP="009B5E1C">
            <w:pPr>
              <w:pStyle w:val="NormalWeb"/>
              <w:spacing w:before="0" w:beforeAutospacing="0" w:after="0" w:afterAutospacing="0"/>
              <w:ind w:firstLine="567"/>
              <w:jc w:val="both"/>
              <w:rPr>
                <w:sz w:val="28"/>
                <w:szCs w:val="28"/>
              </w:rPr>
            </w:pPr>
            <w:r w:rsidRPr="00BE5DF4">
              <w:rPr>
                <w:sz w:val="28"/>
                <w:szCs w:val="28"/>
              </w:rPr>
              <w:t>Noteikumu projekts paredz, ka reģistrā iekļautie dati pieejami vienīgi autorizētiem reģistra lietotājiem – zvērinātiem tiesu izpildītājiem, zvērināta tiesu izpildītāja palīgiem un biroja darbiniekiem, kā arī Tieslietu ministrijas, Tiesu administrācijas un Latvijas Zvērinātu tiesu izpildītāju padomes noteikumu projektā noteiktajā kārtībā noteiktajām nodarbinātajām personām, vienlaikus paredzot katrai reģistra lietotāju grupai, ņemot vērā piekļuves tiesību piešķiršanas mērķi, diferencētu piekļuves tiesību apjomu, tādējādi novēršot nesankcionētas reģistrā iekļauto datu apstrādes risku</w:t>
            </w:r>
            <w:r>
              <w:rPr>
                <w:sz w:val="28"/>
                <w:szCs w:val="28"/>
              </w:rPr>
              <w:t>.</w:t>
            </w:r>
          </w:p>
          <w:p w:rsidR="00761C48" w:rsidRPr="0077534D" w:rsidRDefault="00AE772C" w:rsidP="0077534D">
            <w:pPr>
              <w:pStyle w:val="NormalWeb"/>
              <w:spacing w:before="0" w:beforeAutospacing="0" w:after="0" w:afterAutospacing="0"/>
              <w:ind w:firstLine="567"/>
              <w:jc w:val="both"/>
              <w:rPr>
                <w:sz w:val="28"/>
                <w:szCs w:val="28"/>
              </w:rPr>
            </w:pPr>
            <w:r>
              <w:rPr>
                <w:sz w:val="28"/>
                <w:szCs w:val="28"/>
              </w:rPr>
              <w:t xml:space="preserve">Zvērinātiem tiesu izpildītājiem un zvērinātu tiesu izpildītāju palīgiem reģistra lietotāja tiesības rodas uzsākot pildīt amata pienākumus. Vienlaikus </w:t>
            </w:r>
            <w:r w:rsidR="0077534D">
              <w:rPr>
                <w:sz w:val="28"/>
                <w:szCs w:val="28"/>
              </w:rPr>
              <w:t xml:space="preserve">noteikumu projekts paredz iespēju pēc zvērināta tiesu izpildītāja pieprasījuma nepieciešamības gadījumā nodrošināt piekļuves iespēju reģistrā iekļautajai informācijai par konkrētā zvērināta tiesu izpildītāja </w:t>
            </w:r>
            <w:r w:rsidR="0077534D" w:rsidRPr="00F96A9D">
              <w:rPr>
                <w:sz w:val="28"/>
                <w:szCs w:val="28"/>
              </w:rPr>
              <w:t>iecirkņa lietvedību arī citiem biroja darbiniekiem (piemēram, zvērināta tiesu izpildītāja palīga kandidātam), tādējādi radot iespēju atslogot zvērinātu tiesu izpildītāju darbu un paātrināt veicamo darbu izpildi.</w:t>
            </w:r>
          </w:p>
          <w:p w:rsidR="00AE772C" w:rsidRDefault="00AE772C" w:rsidP="009B5E1C">
            <w:pPr>
              <w:pStyle w:val="NormalWeb"/>
              <w:spacing w:before="0" w:beforeAutospacing="0" w:after="0" w:afterAutospacing="0"/>
              <w:ind w:firstLine="567"/>
              <w:jc w:val="both"/>
              <w:rPr>
                <w:sz w:val="28"/>
                <w:szCs w:val="28"/>
              </w:rPr>
            </w:pPr>
            <w:r>
              <w:rPr>
                <w:sz w:val="28"/>
                <w:szCs w:val="28"/>
              </w:rPr>
              <w:t>Latvijas Zvērinātu tiesu izpildītāju padomei un Tieslietu ministrijai tiesības skatīšanās režīmā piekļūt reģistrā iekļautajai informācijai noteikumu projektā paredzētas, ievērojot tām normatīvajos aktos noteiktās funkcijas, kas saistītas ar zvērinātu tiesu izpildītāju darbības uzraudzību (Tiesu izpildītāju likuma 53., 54. un 84.</w:t>
            </w:r>
            <w:r w:rsidRPr="00170C16">
              <w:rPr>
                <w:sz w:val="28"/>
                <w:szCs w:val="28"/>
                <w:vertAlign w:val="superscript"/>
              </w:rPr>
              <w:t>1</w:t>
            </w:r>
            <w:r>
              <w:rPr>
                <w:sz w:val="28"/>
                <w:szCs w:val="28"/>
              </w:rPr>
              <w:t> pants), kā arī ar zvērinātu tiesu izpildītāju institūta darbības nodrošināšanu kopumā (piemēram, Tiesu izpildītāju likuma 32. panta pirmā daļa). Informācijas ieguve par izpildu lietās veiktajām amata darbībām un zvērināta tiesu izpildītāja biroja darbību nepastarpināti, izmantojot reģistra datus, ietaupītu laika un darbaspēka resursus</w:t>
            </w:r>
            <w:r w:rsidRPr="00FC7B3D">
              <w:rPr>
                <w:sz w:val="28"/>
                <w:szCs w:val="28"/>
              </w:rPr>
              <w:t xml:space="preserve"> gan </w:t>
            </w:r>
            <w:r>
              <w:rPr>
                <w:sz w:val="28"/>
                <w:szCs w:val="28"/>
              </w:rPr>
              <w:t xml:space="preserve">ministrijai un Latvijas Zvērinātu tiesu izpildītāju padomei, </w:t>
            </w:r>
            <w:r w:rsidRPr="00FC7B3D">
              <w:rPr>
                <w:sz w:val="28"/>
                <w:szCs w:val="28"/>
              </w:rPr>
              <w:t xml:space="preserve">sagatavojot </w:t>
            </w:r>
            <w:r>
              <w:rPr>
                <w:sz w:val="28"/>
                <w:szCs w:val="28"/>
              </w:rPr>
              <w:t>nepieciešamās informācijas pieprasījumus zvērinātiem tiesu izpildītājiem</w:t>
            </w:r>
            <w:r w:rsidRPr="00FC7B3D">
              <w:rPr>
                <w:sz w:val="28"/>
                <w:szCs w:val="28"/>
              </w:rPr>
              <w:t xml:space="preserve">, gan arī </w:t>
            </w:r>
            <w:r>
              <w:rPr>
                <w:sz w:val="28"/>
                <w:szCs w:val="28"/>
              </w:rPr>
              <w:t xml:space="preserve">zvērinātiem tiesu izpildītājiem, </w:t>
            </w:r>
            <w:r w:rsidRPr="00FC7B3D">
              <w:rPr>
                <w:sz w:val="28"/>
                <w:szCs w:val="28"/>
              </w:rPr>
              <w:t xml:space="preserve">veicot </w:t>
            </w:r>
            <w:r>
              <w:rPr>
                <w:sz w:val="28"/>
                <w:szCs w:val="28"/>
              </w:rPr>
              <w:t xml:space="preserve">minēto pieprasījumu apstrādi, </w:t>
            </w:r>
            <w:r w:rsidRPr="00C1188F">
              <w:rPr>
                <w:sz w:val="28"/>
                <w:szCs w:val="28"/>
              </w:rPr>
              <w:t xml:space="preserve">un ļautu atbildīgajām institūcijām ātrāk reaģēt </w:t>
            </w:r>
            <w:r>
              <w:rPr>
                <w:sz w:val="28"/>
                <w:szCs w:val="28"/>
              </w:rPr>
              <w:t>dažādu ar izpildes procesa nodrošināšanu saistītu problēmu novēršanai.</w:t>
            </w:r>
          </w:p>
          <w:p w:rsidR="00AE772C" w:rsidRDefault="00AE772C" w:rsidP="009B5E1C">
            <w:pPr>
              <w:pStyle w:val="NormalWeb"/>
              <w:spacing w:before="0" w:beforeAutospacing="0" w:after="0" w:afterAutospacing="0"/>
              <w:ind w:firstLine="567"/>
              <w:jc w:val="both"/>
              <w:rPr>
                <w:sz w:val="28"/>
                <w:szCs w:val="28"/>
              </w:rPr>
            </w:pPr>
            <w:r>
              <w:rPr>
                <w:sz w:val="28"/>
                <w:szCs w:val="28"/>
              </w:rPr>
              <w:t xml:space="preserve">Savukārt atsevišķām Tiesu administrācijas nodarbinātajām personām paredzētās tiesības piekļūt reģistra datiem pamatojamas ar reģistra turētājam valsts informācijas sistēmu darbību regulējošos normatīvajos aktos </w:t>
            </w:r>
            <w:r w:rsidRPr="00AB2B6C">
              <w:rPr>
                <w:sz w:val="28"/>
                <w:szCs w:val="28"/>
              </w:rPr>
              <w:t xml:space="preserve">noteikto funkciju īstenošanu,  tādējādi ļaujot Tiesu administrācijai </w:t>
            </w:r>
            <w:r w:rsidRPr="00AB2B6C">
              <w:rPr>
                <w:bCs/>
                <w:sz w:val="28"/>
                <w:szCs w:val="28"/>
              </w:rPr>
              <w:t xml:space="preserve">nodrošināt pastāvīgu efektīvu </w:t>
            </w:r>
            <w:r w:rsidRPr="00AB2B6C">
              <w:rPr>
                <w:sz w:val="28"/>
                <w:szCs w:val="28"/>
              </w:rPr>
              <w:t>gan ar reģistra darbību un attīstību, gan ar reģistru saistītās informācijas tehnoloģijas infrastruktūru (tās kapacitāti, izmantošanu un uzturēšanu) saistītu jautājumu risināšanu.</w:t>
            </w:r>
            <w:r>
              <w:rPr>
                <w:sz w:val="28"/>
                <w:szCs w:val="28"/>
              </w:rPr>
              <w:t xml:space="preserve"> </w:t>
            </w:r>
          </w:p>
          <w:p w:rsidR="0077534D" w:rsidRDefault="00E047B3" w:rsidP="0077534D">
            <w:pPr>
              <w:pStyle w:val="NormalWeb"/>
              <w:spacing w:before="0" w:beforeAutospacing="0" w:after="0" w:afterAutospacing="0"/>
              <w:ind w:firstLine="567"/>
              <w:jc w:val="both"/>
              <w:rPr>
                <w:sz w:val="28"/>
                <w:szCs w:val="28"/>
              </w:rPr>
            </w:pPr>
            <w:r>
              <w:rPr>
                <w:sz w:val="28"/>
                <w:szCs w:val="28"/>
              </w:rPr>
              <w:t xml:space="preserve">Ar mērķi nodrošināt reģistrā iekļauto datu drošību </w:t>
            </w:r>
            <w:r w:rsidR="00325772">
              <w:rPr>
                <w:sz w:val="28"/>
                <w:szCs w:val="28"/>
              </w:rPr>
              <w:t xml:space="preserve">noteikumu projekts </w:t>
            </w:r>
            <w:r>
              <w:rPr>
                <w:sz w:val="28"/>
                <w:szCs w:val="28"/>
              </w:rPr>
              <w:t>vienlaikus nosaka reģistra turētājam pienākumu</w:t>
            </w:r>
            <w:r w:rsidR="00325772">
              <w:rPr>
                <w:sz w:val="28"/>
                <w:szCs w:val="28"/>
              </w:rPr>
              <w:t xml:space="preserve"> n</w:t>
            </w:r>
            <w:r>
              <w:rPr>
                <w:sz w:val="28"/>
                <w:szCs w:val="28"/>
              </w:rPr>
              <w:t>odrošināt</w:t>
            </w:r>
            <w:r w:rsidR="00325772">
              <w:rPr>
                <w:sz w:val="28"/>
                <w:szCs w:val="28"/>
              </w:rPr>
              <w:t xml:space="preserve"> </w:t>
            </w:r>
            <w:r w:rsidR="00325772" w:rsidRPr="00DC3F89">
              <w:rPr>
                <w:sz w:val="28"/>
                <w:szCs w:val="28"/>
              </w:rPr>
              <w:t>jebkuru ar reģistrā iekļautiem datiem veiktu darbību (ierakstīšanas, labošanas, apskates, dzēšanas) vēstures saglabāšanu</w:t>
            </w:r>
            <w:r w:rsidR="00325772">
              <w:rPr>
                <w:sz w:val="28"/>
                <w:szCs w:val="28"/>
              </w:rPr>
              <w:t>.</w:t>
            </w:r>
            <w:r w:rsidR="0077534D">
              <w:rPr>
                <w:sz w:val="28"/>
                <w:szCs w:val="28"/>
              </w:rPr>
              <w:t xml:space="preserve"> </w:t>
            </w:r>
          </w:p>
          <w:p w:rsidR="00946FB8" w:rsidRPr="00446368" w:rsidRDefault="00A67188">
            <w:pPr>
              <w:ind w:firstLine="425"/>
              <w:jc w:val="both"/>
            </w:pPr>
            <w:r w:rsidRPr="00A67188">
              <w:rPr>
                <w:sz w:val="28"/>
                <w:szCs w:val="28"/>
              </w:rPr>
              <w:t>Reģistrā iekļautās informācijas nesankcionētas apstrādes novēršanai, kā arī, lai nodrošinātu valsts informācijas sistēmas pārzinim personas datu apstrādi regulējošos normatīvajos aktos noteikto funkciju un pienākumu kvalitatīvu īstenošanu, reģistra programmatūra nodrošina iespēju pārzinim redzēt visus aktīvos un neaktīvos lietotājus zvērināta tiesu izpildītāja biroja ietvaros, katra lietotāja pēdējās autentifikācijas laiku un IP adresi, no kuras autentifikācija veikta, kā arī iespēja redzēt katra lietotāja veiktās darbības sistēmā. Līdz ar to, reģistra turētāja rīcībā pastāvīgi būs aktuālā informācija par visiem reģistra lietotājiem. Tāpat noteikumu projektā ietverta atruna, ka reģistra turētājam arī pēc savas iniciatīvas ir tiesības slēgt piekļuves tiesības reģistram, ja pārziņa rīcībā nonākusi informācija, ka piekļuves tiesības kādam lietotājam piešķirtas nepamatoti (piemēram, tiesu izpildītājs piešķīris piekļuves tiesības personai, kas nav viņa biroja darbinieks). Tādējādi nodrošinot pārzinim rīcības brīvību, īstenojot tam normatīvajos aktos noteiktās funkcijas - veikt pasākumus, lai nepieļautu, ka personas, kurām nav nepieciešamā pilnvarojuma, lieto reģistru, un aizsargātu reģistra lietotāju reģistrā ievadīto informāciju pret nesankcionētu piekļuvi. Turklāt noteikumu projekts paredz pienākumu zvērinātam tiesu izpildītājam nodrošināt, ka palīgi un citi biroja darbinieki, kuriem pēc tā pieprasījuma piešķirtas piekļuves tiesības reģistram, reģistru lieto atbilstoši piekļuves tiesību piešķiršanas mērķim un reģistrā iekļautās ziņas izmanto amata pienākumu izpildei.</w:t>
            </w:r>
          </w:p>
          <w:p w:rsidR="00AE772C" w:rsidRPr="00132C09" w:rsidRDefault="00AE772C" w:rsidP="009B5E1C">
            <w:pPr>
              <w:ind w:firstLine="567"/>
              <w:jc w:val="both"/>
              <w:rPr>
                <w:sz w:val="28"/>
                <w:szCs w:val="28"/>
              </w:rPr>
            </w:pPr>
            <w:r w:rsidRPr="00132C09">
              <w:rPr>
                <w:sz w:val="28"/>
                <w:szCs w:val="28"/>
              </w:rPr>
              <w:t>Izpildu lietu reģistra izveidošanas un darbības tiesiskais pamats nostiprināts Tiesu izpildītāju likumā. Saskaņā ar Tiesu izpildītāju likuma 156.</w:t>
            </w:r>
            <w:r w:rsidRPr="00132C09">
              <w:rPr>
                <w:sz w:val="28"/>
                <w:szCs w:val="28"/>
                <w:vertAlign w:val="superscript"/>
              </w:rPr>
              <w:t>1</w:t>
            </w:r>
            <w:r w:rsidRPr="00132C09">
              <w:rPr>
                <w:sz w:val="28"/>
                <w:szCs w:val="28"/>
              </w:rPr>
              <w:t> panta piekto daļu Izpildu lietu reģistrā iekļautā informācija ir ierobežotas pieejamības informācija. Minētais pamatojams ar apstākli, ka ziņas par zvērināta tiesu izpildītāja sastādītajiem aktiem un veiktajām amata darbībām, kā arī ziņas, kas iegūtas, veicot zvērināta tiesu izpildītāja profesionālo darbību, saskaņā ar Tiesu izpildītāja likuma 52. panta pirmo daļu nav izpaužamas trešajām personām.</w:t>
            </w:r>
          </w:p>
          <w:p w:rsidR="00AE772C" w:rsidRPr="00132C09" w:rsidRDefault="00AE772C" w:rsidP="009B5E1C">
            <w:pPr>
              <w:ind w:firstLine="567"/>
              <w:jc w:val="both"/>
              <w:rPr>
                <w:sz w:val="28"/>
                <w:szCs w:val="28"/>
              </w:rPr>
            </w:pPr>
            <w:r w:rsidRPr="00132C09">
              <w:rPr>
                <w:sz w:val="28"/>
                <w:szCs w:val="28"/>
              </w:rPr>
              <w:t xml:space="preserve">Noteikumu projektā noteiktais Izpildu lietu reģistrā iekļaujamās informācijas apjoms, kas tieši neattiecas uz zvērināta tiesu izpildītāja veiktām amata darbībām un neatbilst Informācijas atklātības likumā norādītajai ierobežotas pieejamības informācijas statusam (piemēram, informācija par zvērināta tiesu izpildītāja iecirkni un zvērinātu tiesu izpildītāju), paredzēts ar mērķi nodrošināt izpildu lietu reģistra kopējā datu apjoma uzturēšanu un atvieglot ar zvērinātu tiesu izpildītāju darba organizēšanu saistītu jautājumu risināšanu. </w:t>
            </w:r>
          </w:p>
          <w:p w:rsidR="00AE772C" w:rsidRPr="00132C09" w:rsidRDefault="00AE772C" w:rsidP="009B5E1C">
            <w:pPr>
              <w:pStyle w:val="NormalWeb"/>
              <w:spacing w:before="0" w:beforeAutospacing="0" w:after="0" w:afterAutospacing="0"/>
              <w:ind w:firstLine="425"/>
              <w:jc w:val="both"/>
              <w:rPr>
                <w:sz w:val="28"/>
                <w:szCs w:val="28"/>
              </w:rPr>
            </w:pPr>
            <w:r w:rsidRPr="00132C09">
              <w:rPr>
                <w:sz w:val="28"/>
                <w:szCs w:val="28"/>
              </w:rPr>
              <w:t xml:space="preserve">Vienlaikus ar zvērinātu tiesu izpildītāju darbu saistītā informācija, kurai saskaņā ar Tiesu izpildītāju likuma normām nav noteikta ierobežotas pieejamības statuss, ir publiski pieejama ikvienam interesentam citos avotos. Tā piemēram, informācija par amatā ieceltiem, no amata atbrīvotiem, atceltiem vai atstādinātiem zvērinātiem tiesu izpildītājiem tiek izsludināta laikrakstā „Latvijas Vēstnesi”. Savukārt Latvijas Zvērinātu tiesu izpildītāju mājas lapā internetā </w:t>
            </w:r>
            <w:hyperlink r:id="rId7" w:history="1">
              <w:r w:rsidRPr="00132C09">
                <w:rPr>
                  <w:rStyle w:val="Hyperlink"/>
                  <w:sz w:val="28"/>
                  <w:szCs w:val="28"/>
                </w:rPr>
                <w:t>www.lzti.lv</w:t>
              </w:r>
            </w:hyperlink>
            <w:r w:rsidRPr="00132C09">
              <w:rPr>
                <w:sz w:val="28"/>
                <w:szCs w:val="28"/>
              </w:rPr>
              <w:t xml:space="preserve"> brīvi pieejama informācija par ikvienu zvērinātu tiesu izpildītāju, tā iecirkni, prakses vietas adresi, kontaktinformāciju, pieņemšanas laikiem un cita informācija.</w:t>
            </w:r>
          </w:p>
          <w:p w:rsidR="00AE772C" w:rsidRPr="00D85E9A" w:rsidRDefault="00AE772C" w:rsidP="009B5E1C">
            <w:pPr>
              <w:pStyle w:val="NormalWeb"/>
              <w:spacing w:before="0" w:beforeAutospacing="0" w:after="0" w:afterAutospacing="0"/>
              <w:ind w:firstLine="425"/>
              <w:jc w:val="both"/>
              <w:rPr>
                <w:sz w:val="28"/>
                <w:szCs w:val="28"/>
              </w:rPr>
            </w:pPr>
            <w:r w:rsidRPr="00D85E9A">
              <w:rPr>
                <w:sz w:val="28"/>
                <w:szCs w:val="28"/>
              </w:rPr>
              <w:t xml:space="preserve">Noteikumu projekts neparedz iespēju paplašināt reģistra lietotāju grupas. Vienlaikus norādāms, ka noteikumu projektā neminētajām institūcijām </w:t>
            </w:r>
            <w:r>
              <w:rPr>
                <w:sz w:val="28"/>
                <w:szCs w:val="28"/>
              </w:rPr>
              <w:t>(</w:t>
            </w:r>
            <w:r w:rsidRPr="00D85E9A">
              <w:rPr>
                <w:sz w:val="28"/>
                <w:szCs w:val="28"/>
              </w:rPr>
              <w:t>piemēram, tiesai vai izmeklēšanas iestādēm) nepieciešamības gadījumā ir tiesības saņemt ziņas par zvērināta tiesu izpildītāja sastādītajiem aktiem un veiktajām amata darbībām saskaņā ar Tiesu izpildītāju likuma 52. pantu minētajā tiesību normā noteiktajos gadījumos un kārtībā. Savukārt izpildu lietas dalībniekiem (piedzinējam un parādniekam) zvērināts tiesu izpildītājs nodrošina lietvedībā esošās informācijas izsniegšanu un iepazīšanos ar izpildu lietvedībā esošajiem dokumentiem Ministru kabineta 2006. gada 14. marta noteikumos Nr. 202 „Noteikumi par zvērinātu tiesu izpildītāju lietvedību” noteiktajā kārtībā.</w:t>
            </w:r>
          </w:p>
          <w:p w:rsidR="00AE772C" w:rsidRDefault="00AE772C" w:rsidP="009B5E1C">
            <w:pPr>
              <w:pStyle w:val="BodyText"/>
              <w:spacing w:after="0"/>
              <w:ind w:firstLine="425"/>
              <w:jc w:val="both"/>
              <w:rPr>
                <w:sz w:val="28"/>
                <w:szCs w:val="28"/>
              </w:rPr>
            </w:pPr>
            <w:r>
              <w:rPr>
                <w:sz w:val="28"/>
                <w:szCs w:val="28"/>
              </w:rPr>
              <w:t xml:space="preserve">Vienlaikus noteikumu projektā iekļauti noslēguma jautājumi, kas paredz noteikt termiņu - </w:t>
            </w:r>
            <w:r w:rsidRPr="00DB03E3">
              <w:rPr>
                <w:sz w:val="28"/>
                <w:szCs w:val="28"/>
              </w:rPr>
              <w:t xml:space="preserve">2012. gada </w:t>
            </w:r>
            <w:r>
              <w:rPr>
                <w:sz w:val="28"/>
                <w:szCs w:val="28"/>
              </w:rPr>
              <w:t>3</w:t>
            </w:r>
            <w:r w:rsidRPr="00DB03E3">
              <w:rPr>
                <w:sz w:val="28"/>
                <w:szCs w:val="28"/>
              </w:rPr>
              <w:t>1. </w:t>
            </w:r>
            <w:r>
              <w:rPr>
                <w:sz w:val="28"/>
                <w:szCs w:val="28"/>
              </w:rPr>
              <w:t>decembri, līdz kuram nodrošināma informācijas iekļaušana reģistrā attiecībā uz izpildu lietām, kas zvērinātu tiesu izpildītāju</w:t>
            </w:r>
            <w:r w:rsidRPr="00DB03E3">
              <w:rPr>
                <w:sz w:val="28"/>
                <w:szCs w:val="28"/>
              </w:rPr>
              <w:t xml:space="preserve"> lietvedībā ievesta</w:t>
            </w:r>
            <w:r>
              <w:rPr>
                <w:sz w:val="28"/>
                <w:szCs w:val="28"/>
              </w:rPr>
              <w:t>s</w:t>
            </w:r>
            <w:r w:rsidRPr="00DB03E3">
              <w:rPr>
                <w:sz w:val="28"/>
                <w:szCs w:val="28"/>
              </w:rPr>
              <w:t xml:space="preserve"> un šo noteikumu spēkā stāšanās brīdī </w:t>
            </w:r>
            <w:r>
              <w:rPr>
                <w:sz w:val="28"/>
                <w:szCs w:val="28"/>
              </w:rPr>
              <w:t>nebūs</w:t>
            </w:r>
            <w:r w:rsidRPr="00DB03E3">
              <w:rPr>
                <w:sz w:val="28"/>
                <w:szCs w:val="28"/>
              </w:rPr>
              <w:t xml:space="preserve"> pabeigta</w:t>
            </w:r>
            <w:r>
              <w:rPr>
                <w:sz w:val="28"/>
                <w:szCs w:val="28"/>
              </w:rPr>
              <w:t>s.</w:t>
            </w:r>
          </w:p>
          <w:p w:rsidR="00AE772C" w:rsidRDefault="00AE772C" w:rsidP="009B5E1C">
            <w:pPr>
              <w:pStyle w:val="BodyText"/>
              <w:spacing w:after="0"/>
              <w:ind w:firstLine="425"/>
              <w:jc w:val="both"/>
              <w:rPr>
                <w:sz w:val="28"/>
                <w:szCs w:val="28"/>
              </w:rPr>
            </w:pPr>
            <w:r>
              <w:rPr>
                <w:sz w:val="28"/>
                <w:szCs w:val="28"/>
              </w:rPr>
              <w:t>Šāda regulējuma iekļaušana noteikumu projektā  pamatojama ar apstākli, ka būtiska daļa zvērinātu tiesu izpildītāju līdz reģistra izveidei izpildu lietu uzskaiti nav veduši elektroniski (izmantojot  datorizētu lietvedības sistēmu Informatīvo sistēmu tiesu izpildītājiem) un līdz ar to visas vēsturiskās informācijas ievade reģistrā veicama manuāli. Ņemot vērā katras izpildu lietas reģistrācijai nepieciešamo laiku, kā arī apstākli, ka katra zvērināta tiesu izpildītāja lietvedībā gada laikā vidēji tiek reģistrētas 1000 jaunas izpildu lietas, visu nepabeigto izpildu lietu pārreģistrācijas nodrošināšanai objektīvu iemeslu dēļ nepieciešami vairāki mēneši.</w:t>
            </w:r>
          </w:p>
          <w:p w:rsidR="00AE772C" w:rsidRPr="00A0283B" w:rsidRDefault="00AE772C" w:rsidP="009B5E1C">
            <w:pPr>
              <w:pStyle w:val="BodyText"/>
              <w:spacing w:after="0"/>
              <w:ind w:firstLine="425"/>
              <w:jc w:val="both"/>
              <w:rPr>
                <w:sz w:val="28"/>
                <w:szCs w:val="28"/>
              </w:rPr>
            </w:pPr>
            <w:r>
              <w:rPr>
                <w:sz w:val="28"/>
                <w:szCs w:val="28"/>
              </w:rPr>
              <w:t>Līdzīgi noteikumu projekts paredz noteikt, ka d</w:t>
            </w:r>
            <w:r w:rsidRPr="00DB03E3">
              <w:rPr>
                <w:sz w:val="28"/>
                <w:szCs w:val="28"/>
              </w:rPr>
              <w:t>epozīta summu uzskaiti reģistrā zvērināts tiesu izpildītāj</w:t>
            </w:r>
            <w:r>
              <w:rPr>
                <w:sz w:val="28"/>
                <w:szCs w:val="28"/>
              </w:rPr>
              <w:t>s kārto no 2013. gada 1. janvāra.</w:t>
            </w:r>
            <w:r w:rsidRPr="00DB03E3">
              <w:rPr>
                <w:sz w:val="28"/>
                <w:szCs w:val="28"/>
              </w:rPr>
              <w:t xml:space="preserve"> Zi</w:t>
            </w:r>
            <w:r>
              <w:rPr>
                <w:sz w:val="28"/>
                <w:szCs w:val="28"/>
              </w:rPr>
              <w:t>ņas par depozīta summu, kas 2012</w:t>
            </w:r>
            <w:r w:rsidRPr="00DB03E3">
              <w:rPr>
                <w:sz w:val="28"/>
                <w:szCs w:val="28"/>
              </w:rPr>
              <w:t>. gada 31. decembrī palikusi atlikumā zvērināta ti</w:t>
            </w:r>
            <w:r>
              <w:rPr>
                <w:sz w:val="28"/>
                <w:szCs w:val="28"/>
              </w:rPr>
              <w:t xml:space="preserve">esu izpildītāja depozīta kontā </w:t>
            </w:r>
            <w:r w:rsidRPr="00DB03E3">
              <w:rPr>
                <w:sz w:val="28"/>
                <w:szCs w:val="28"/>
              </w:rPr>
              <w:t>zvērināts tiesu izpild</w:t>
            </w:r>
            <w:r>
              <w:rPr>
                <w:sz w:val="28"/>
                <w:szCs w:val="28"/>
              </w:rPr>
              <w:t>ītājs iekļauj reģistrā līdz 2013</w:t>
            </w:r>
            <w:r w:rsidRPr="00DB03E3">
              <w:rPr>
                <w:sz w:val="28"/>
                <w:szCs w:val="28"/>
              </w:rPr>
              <w:t xml:space="preserve">. gada </w:t>
            </w:r>
            <w:r>
              <w:rPr>
                <w:sz w:val="28"/>
                <w:szCs w:val="28"/>
              </w:rPr>
              <w:t>5</w:t>
            </w:r>
            <w:r w:rsidRPr="00DB03E3">
              <w:rPr>
                <w:sz w:val="28"/>
                <w:szCs w:val="28"/>
              </w:rPr>
              <w:t>. </w:t>
            </w:r>
            <w:r>
              <w:rPr>
                <w:sz w:val="28"/>
                <w:szCs w:val="28"/>
              </w:rPr>
              <w:t>janvārim</w:t>
            </w:r>
            <w:r w:rsidRPr="00DB03E3">
              <w:rPr>
                <w:sz w:val="28"/>
                <w:szCs w:val="28"/>
              </w:rPr>
              <w:t>.</w:t>
            </w:r>
            <w:r>
              <w:rPr>
                <w:sz w:val="28"/>
                <w:szCs w:val="28"/>
              </w:rPr>
              <w:t xml:space="preserve"> </w:t>
            </w:r>
          </w:p>
          <w:p w:rsidR="00AE772C" w:rsidRPr="008B4684" w:rsidRDefault="00AE772C" w:rsidP="009B5E1C">
            <w:pPr>
              <w:pStyle w:val="BodyText"/>
              <w:spacing w:after="0"/>
              <w:jc w:val="both"/>
              <w:rPr>
                <w:sz w:val="28"/>
                <w:szCs w:val="28"/>
              </w:rPr>
            </w:pPr>
          </w:p>
        </w:tc>
      </w:tr>
      <w:tr w:rsidR="00AE772C" w:rsidRPr="008B4684" w:rsidTr="009B5E1C">
        <w:trPr>
          <w:gridAfter w:val="1"/>
          <w:wAfter w:w="47" w:type="dxa"/>
          <w:trHeight w:val="476"/>
        </w:trPr>
        <w:tc>
          <w:tcPr>
            <w:tcW w:w="550" w:type="dxa"/>
            <w:tcBorders>
              <w:top w:val="single" w:sz="4" w:space="0" w:color="auto"/>
              <w:left w:val="single" w:sz="4" w:space="0" w:color="auto"/>
              <w:bottom w:val="single" w:sz="4" w:space="0" w:color="auto"/>
              <w:right w:val="single" w:sz="4" w:space="0" w:color="auto"/>
            </w:tcBorders>
            <w:vAlign w:val="center"/>
            <w:hideMark/>
          </w:tcPr>
          <w:p w:rsidR="00AE772C" w:rsidRPr="008B4684" w:rsidRDefault="00AE772C" w:rsidP="009B5E1C">
            <w:pPr>
              <w:pStyle w:val="naiskr"/>
              <w:spacing w:before="0" w:after="0"/>
              <w:jc w:val="center"/>
              <w:rPr>
                <w:sz w:val="28"/>
                <w:szCs w:val="28"/>
              </w:rPr>
            </w:pPr>
            <w:r w:rsidRPr="008B4684">
              <w:rPr>
                <w:sz w:val="28"/>
                <w:szCs w:val="28"/>
              </w:rPr>
              <w:lastRenderedPageBreak/>
              <w:t>5.</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Projekta izstrādē iesaistītās institūcijas</w:t>
            </w:r>
          </w:p>
        </w:tc>
        <w:tc>
          <w:tcPr>
            <w:tcW w:w="6034"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ind w:firstLine="425"/>
              <w:jc w:val="both"/>
              <w:rPr>
                <w:sz w:val="28"/>
                <w:szCs w:val="28"/>
              </w:rPr>
            </w:pPr>
            <w:r w:rsidRPr="008B4684">
              <w:rPr>
                <w:sz w:val="28"/>
                <w:szCs w:val="28"/>
              </w:rPr>
              <w:t>Tieslietu ministrija</w:t>
            </w:r>
            <w:r>
              <w:rPr>
                <w:sz w:val="28"/>
                <w:szCs w:val="28"/>
              </w:rPr>
              <w:t>, Tiesu administrācija</w:t>
            </w:r>
            <w:r w:rsidRPr="008B4684">
              <w:rPr>
                <w:sz w:val="28"/>
                <w:szCs w:val="28"/>
              </w:rPr>
              <w:t xml:space="preserve"> un Latvijas Zvērinātu tiesu izpildītāju padome.</w:t>
            </w:r>
          </w:p>
        </w:tc>
      </w:tr>
      <w:tr w:rsidR="00AE772C" w:rsidRPr="008B4684" w:rsidTr="009B5E1C">
        <w:trPr>
          <w:gridAfter w:val="1"/>
          <w:wAfter w:w="47" w:type="dxa"/>
          <w:trHeight w:val="1083"/>
        </w:trPr>
        <w:tc>
          <w:tcPr>
            <w:tcW w:w="550" w:type="dxa"/>
            <w:tcBorders>
              <w:top w:val="single" w:sz="4" w:space="0" w:color="auto"/>
              <w:left w:val="single" w:sz="4" w:space="0" w:color="auto"/>
              <w:bottom w:val="single" w:sz="4" w:space="0" w:color="auto"/>
              <w:right w:val="single" w:sz="4" w:space="0" w:color="auto"/>
            </w:tcBorders>
            <w:vAlign w:val="center"/>
            <w:hideMark/>
          </w:tcPr>
          <w:p w:rsidR="00AE772C" w:rsidRPr="008B4684" w:rsidRDefault="00AE772C" w:rsidP="009B5E1C">
            <w:pPr>
              <w:pStyle w:val="naiskr"/>
              <w:spacing w:before="0" w:after="0"/>
              <w:jc w:val="center"/>
              <w:rPr>
                <w:sz w:val="28"/>
                <w:szCs w:val="28"/>
              </w:rPr>
            </w:pPr>
            <w:r w:rsidRPr="008B4684">
              <w:rPr>
                <w:sz w:val="28"/>
                <w:szCs w:val="28"/>
              </w:rPr>
              <w:t>6.</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i/>
                <w:sz w:val="28"/>
                <w:szCs w:val="28"/>
                <w:highlight w:val="yellow"/>
              </w:rPr>
            </w:pPr>
            <w:r w:rsidRPr="008B4684">
              <w:rPr>
                <w:sz w:val="28"/>
                <w:szCs w:val="28"/>
              </w:rPr>
              <w:t>Iemesli, kādēļ netika nodrošināta sabiedrības līdzdalība</w:t>
            </w:r>
          </w:p>
        </w:tc>
        <w:tc>
          <w:tcPr>
            <w:tcW w:w="6034" w:type="dxa"/>
            <w:tcBorders>
              <w:top w:val="single" w:sz="4" w:space="0" w:color="auto"/>
              <w:left w:val="single" w:sz="4" w:space="0" w:color="auto"/>
              <w:bottom w:val="single" w:sz="4" w:space="0" w:color="auto"/>
              <w:right w:val="single" w:sz="4" w:space="0" w:color="auto"/>
            </w:tcBorders>
            <w:hideMark/>
          </w:tcPr>
          <w:p w:rsidR="00AE772C" w:rsidRDefault="00AE772C" w:rsidP="009B5E1C">
            <w:pPr>
              <w:pStyle w:val="FootnoteText"/>
              <w:ind w:firstLine="425"/>
              <w:jc w:val="both"/>
              <w:rPr>
                <w:bCs/>
                <w:iCs/>
                <w:sz w:val="28"/>
                <w:szCs w:val="28"/>
              </w:rPr>
            </w:pPr>
            <w:r w:rsidRPr="008B4684">
              <w:rPr>
                <w:sz w:val="28"/>
                <w:szCs w:val="28"/>
              </w:rPr>
              <w:t>K</w:t>
            </w:r>
            <w:r>
              <w:rPr>
                <w:sz w:val="28"/>
                <w:szCs w:val="28"/>
              </w:rPr>
              <w:t>onsultācijas nav notikušas, jo n</w:t>
            </w:r>
            <w:r w:rsidRPr="008B4684">
              <w:rPr>
                <w:sz w:val="28"/>
                <w:szCs w:val="28"/>
              </w:rPr>
              <w:t>oteikumu projekts neierobežo un nesašaurina nevienas personu grupas vai indivīda tiesības, kā arī nenosaka pienākumus sabiedrībai</w:t>
            </w:r>
            <w:r w:rsidRPr="008B4684">
              <w:rPr>
                <w:bCs/>
                <w:iCs/>
                <w:sz w:val="28"/>
                <w:szCs w:val="28"/>
              </w:rPr>
              <w:t>.</w:t>
            </w:r>
          </w:p>
          <w:p w:rsidR="00AE772C" w:rsidRPr="008B4684" w:rsidRDefault="00AE772C" w:rsidP="009B5E1C">
            <w:pPr>
              <w:pStyle w:val="FootnoteText"/>
              <w:ind w:firstLine="425"/>
              <w:jc w:val="both"/>
              <w:rPr>
                <w:sz w:val="28"/>
                <w:szCs w:val="28"/>
              </w:rPr>
            </w:pPr>
          </w:p>
        </w:tc>
      </w:tr>
      <w:tr w:rsidR="00AE772C" w:rsidRPr="008B4684" w:rsidTr="009B5E1C">
        <w:trPr>
          <w:gridAfter w:val="1"/>
          <w:wAfter w:w="47" w:type="dxa"/>
        </w:trPr>
        <w:tc>
          <w:tcPr>
            <w:tcW w:w="550" w:type="dxa"/>
            <w:tcBorders>
              <w:top w:val="single" w:sz="4" w:space="0" w:color="auto"/>
              <w:left w:val="single" w:sz="4" w:space="0" w:color="auto"/>
              <w:bottom w:val="single" w:sz="4" w:space="0" w:color="auto"/>
              <w:right w:val="single" w:sz="4" w:space="0" w:color="auto"/>
            </w:tcBorders>
            <w:vAlign w:val="center"/>
            <w:hideMark/>
          </w:tcPr>
          <w:p w:rsidR="00AE772C" w:rsidRPr="008B4684" w:rsidRDefault="00AE772C" w:rsidP="009B5E1C">
            <w:pPr>
              <w:pStyle w:val="naiskr"/>
              <w:spacing w:before="0" w:after="0"/>
              <w:jc w:val="center"/>
              <w:rPr>
                <w:sz w:val="28"/>
                <w:szCs w:val="28"/>
              </w:rPr>
            </w:pPr>
            <w:r w:rsidRPr="008B4684">
              <w:rPr>
                <w:sz w:val="28"/>
                <w:szCs w:val="28"/>
              </w:rPr>
              <w:t>7.</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Cita informācija</w:t>
            </w:r>
          </w:p>
        </w:tc>
        <w:tc>
          <w:tcPr>
            <w:tcW w:w="6034" w:type="dxa"/>
            <w:tcBorders>
              <w:top w:val="single" w:sz="4" w:space="0" w:color="auto"/>
              <w:left w:val="single" w:sz="4" w:space="0" w:color="auto"/>
              <w:bottom w:val="single" w:sz="4" w:space="0" w:color="auto"/>
              <w:right w:val="single" w:sz="4" w:space="0" w:color="auto"/>
            </w:tcBorders>
            <w:hideMark/>
          </w:tcPr>
          <w:p w:rsidR="00AE772C" w:rsidRPr="008B4684" w:rsidRDefault="00AE772C" w:rsidP="00184A6F">
            <w:pPr>
              <w:pStyle w:val="naiskr"/>
              <w:spacing w:before="0" w:after="0"/>
              <w:ind w:firstLine="425"/>
              <w:rPr>
                <w:sz w:val="28"/>
                <w:szCs w:val="28"/>
              </w:rPr>
            </w:pPr>
            <w:r w:rsidRPr="008B4684">
              <w:rPr>
                <w:sz w:val="28"/>
                <w:szCs w:val="28"/>
              </w:rPr>
              <w:t>Nav</w:t>
            </w:r>
            <w:r>
              <w:rPr>
                <w:sz w:val="28"/>
                <w:szCs w:val="28"/>
              </w:rPr>
              <w:t>.</w:t>
            </w:r>
          </w:p>
        </w:tc>
      </w:tr>
      <w:tr w:rsidR="00AE772C" w:rsidRPr="008B4684" w:rsidTr="009B5E1C">
        <w:tc>
          <w:tcPr>
            <w:tcW w:w="9772" w:type="dxa"/>
            <w:gridSpan w:val="4"/>
            <w:tcBorders>
              <w:top w:val="single" w:sz="4" w:space="0" w:color="auto"/>
              <w:left w:val="single" w:sz="4" w:space="0" w:color="auto"/>
              <w:bottom w:val="single" w:sz="4" w:space="0" w:color="auto"/>
              <w:right w:val="single" w:sz="4" w:space="0" w:color="auto"/>
            </w:tcBorders>
            <w:vAlign w:val="center"/>
            <w:hideMark/>
          </w:tcPr>
          <w:p w:rsidR="00AE772C" w:rsidRPr="008B4684" w:rsidRDefault="00AE772C" w:rsidP="009B5E1C">
            <w:pPr>
              <w:pStyle w:val="naisnod"/>
              <w:spacing w:before="0" w:after="0"/>
              <w:rPr>
                <w:sz w:val="28"/>
                <w:szCs w:val="28"/>
              </w:rPr>
            </w:pPr>
            <w:r w:rsidRPr="008B4684">
              <w:rPr>
                <w:sz w:val="28"/>
                <w:szCs w:val="28"/>
              </w:rPr>
              <w:t>II. Tiesību akta projekta ietekme uz sabiedrību</w:t>
            </w:r>
          </w:p>
        </w:tc>
      </w:tr>
      <w:tr w:rsidR="00AE772C" w:rsidRPr="008B4684" w:rsidTr="009B5E1C">
        <w:trPr>
          <w:trHeight w:val="467"/>
        </w:trPr>
        <w:tc>
          <w:tcPr>
            <w:tcW w:w="55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1.</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Sabiedrības mērķgrupa</w:t>
            </w:r>
          </w:p>
        </w:tc>
        <w:tc>
          <w:tcPr>
            <w:tcW w:w="6081" w:type="dxa"/>
            <w:gridSpan w:val="2"/>
            <w:tcBorders>
              <w:top w:val="single" w:sz="4" w:space="0" w:color="auto"/>
              <w:left w:val="single" w:sz="4" w:space="0" w:color="auto"/>
              <w:bottom w:val="single" w:sz="4" w:space="0" w:color="auto"/>
              <w:right w:val="single" w:sz="4" w:space="0" w:color="auto"/>
            </w:tcBorders>
            <w:hideMark/>
          </w:tcPr>
          <w:p w:rsidR="00AE772C" w:rsidRDefault="00AE772C" w:rsidP="009B5E1C">
            <w:pPr>
              <w:pStyle w:val="naiskr"/>
              <w:tabs>
                <w:tab w:val="left" w:pos="0"/>
              </w:tabs>
              <w:spacing w:before="0" w:after="0"/>
              <w:ind w:right="142" w:firstLine="425"/>
              <w:jc w:val="both"/>
              <w:rPr>
                <w:iCs/>
                <w:sz w:val="28"/>
                <w:szCs w:val="28"/>
              </w:rPr>
            </w:pPr>
            <w:r w:rsidRPr="008B4684">
              <w:rPr>
                <w:iCs/>
                <w:sz w:val="28"/>
                <w:szCs w:val="28"/>
              </w:rPr>
              <w:t>Noteikumu projekta reg</w:t>
            </w:r>
            <w:r>
              <w:rPr>
                <w:iCs/>
                <w:sz w:val="28"/>
                <w:szCs w:val="28"/>
              </w:rPr>
              <w:t>ulējums attiecināms uz zvērinātiem tiesu izpildītājiem, zvērinātu tiesu izpildītāju palīgiem un to biroju darbiniekiem, kā arī Tieslietu ministrijas, Tiesu administrācijas un Latvijas Zvērinātu tiesu izpildītāju padomes nodarbinātajām personām, kurām noteikto amata vai darba pienākumu izpildei tiks piešķirtas piekļuves tiesības reģistram.</w:t>
            </w:r>
          </w:p>
          <w:p w:rsidR="00AE772C" w:rsidRPr="008B4684" w:rsidRDefault="00AE772C" w:rsidP="009B5E1C">
            <w:pPr>
              <w:pStyle w:val="naiskr"/>
              <w:tabs>
                <w:tab w:val="left" w:pos="0"/>
              </w:tabs>
              <w:spacing w:before="0" w:after="0"/>
              <w:ind w:right="142" w:firstLine="425"/>
              <w:jc w:val="both"/>
              <w:rPr>
                <w:sz w:val="28"/>
                <w:szCs w:val="28"/>
              </w:rPr>
            </w:pPr>
          </w:p>
        </w:tc>
      </w:tr>
      <w:tr w:rsidR="00AE772C" w:rsidRPr="008B4684" w:rsidTr="009B5E1C">
        <w:trPr>
          <w:trHeight w:val="523"/>
        </w:trPr>
        <w:tc>
          <w:tcPr>
            <w:tcW w:w="55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2.</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Citas sabiedrības grupas (bez mērķgrupas), kuras tiesiskais regulējums arī ietekmē vai varētu ietekmēt</w:t>
            </w:r>
          </w:p>
        </w:tc>
        <w:tc>
          <w:tcPr>
            <w:tcW w:w="6081" w:type="dxa"/>
            <w:gridSpan w:val="2"/>
            <w:tcBorders>
              <w:top w:val="single" w:sz="4" w:space="0" w:color="auto"/>
              <w:left w:val="single" w:sz="4" w:space="0" w:color="auto"/>
              <w:bottom w:val="single" w:sz="4" w:space="0" w:color="auto"/>
              <w:right w:val="single" w:sz="4" w:space="0" w:color="auto"/>
            </w:tcBorders>
            <w:hideMark/>
          </w:tcPr>
          <w:p w:rsidR="00AE772C" w:rsidRPr="008B4684" w:rsidRDefault="00184A6F" w:rsidP="009B5E1C">
            <w:pPr>
              <w:pStyle w:val="naiskr"/>
              <w:spacing w:before="0" w:after="0"/>
              <w:ind w:right="142" w:firstLine="440"/>
              <w:jc w:val="both"/>
              <w:rPr>
                <w:sz w:val="28"/>
                <w:szCs w:val="28"/>
              </w:rPr>
            </w:pPr>
            <w:r>
              <w:rPr>
                <w:sz w:val="28"/>
                <w:szCs w:val="28"/>
              </w:rPr>
              <w:t>Projekts šo jomu neskar</w:t>
            </w:r>
            <w:r w:rsidR="00AE772C" w:rsidRPr="008B4684">
              <w:rPr>
                <w:sz w:val="28"/>
                <w:szCs w:val="28"/>
              </w:rPr>
              <w:t>.</w:t>
            </w:r>
          </w:p>
        </w:tc>
      </w:tr>
      <w:tr w:rsidR="00AE772C" w:rsidRPr="008B4684" w:rsidTr="009B5E1C">
        <w:trPr>
          <w:trHeight w:val="517"/>
        </w:trPr>
        <w:tc>
          <w:tcPr>
            <w:tcW w:w="55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3.</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Tiesiskā regulējuma finansiālā ietekme</w:t>
            </w:r>
          </w:p>
        </w:tc>
        <w:tc>
          <w:tcPr>
            <w:tcW w:w="6081" w:type="dxa"/>
            <w:gridSpan w:val="2"/>
            <w:tcBorders>
              <w:top w:val="single" w:sz="4" w:space="0" w:color="auto"/>
              <w:left w:val="single" w:sz="4" w:space="0" w:color="auto"/>
              <w:bottom w:val="single" w:sz="4" w:space="0" w:color="auto"/>
              <w:right w:val="single" w:sz="4" w:space="0" w:color="auto"/>
            </w:tcBorders>
          </w:tcPr>
          <w:p w:rsidR="00AE772C" w:rsidRPr="00760CA2" w:rsidRDefault="00184A6F" w:rsidP="009B5E1C">
            <w:pPr>
              <w:pStyle w:val="PlainText"/>
              <w:ind w:firstLine="440"/>
              <w:jc w:val="both"/>
              <w:rPr>
                <w:rFonts w:ascii="Times New Roman" w:hAnsi="Times New Roman"/>
                <w:sz w:val="28"/>
                <w:szCs w:val="28"/>
              </w:rPr>
            </w:pPr>
            <w:r>
              <w:rPr>
                <w:rFonts w:ascii="Times New Roman" w:hAnsi="Times New Roman"/>
                <w:sz w:val="28"/>
                <w:szCs w:val="28"/>
              </w:rPr>
              <w:t>Projekts šo jomu neskar</w:t>
            </w:r>
            <w:r w:rsidR="00AE772C" w:rsidRPr="008B4684">
              <w:rPr>
                <w:rFonts w:ascii="Times New Roman" w:hAnsi="Times New Roman"/>
                <w:sz w:val="28"/>
                <w:szCs w:val="28"/>
              </w:rPr>
              <w:t>.</w:t>
            </w:r>
          </w:p>
        </w:tc>
      </w:tr>
      <w:tr w:rsidR="00AE772C" w:rsidRPr="008B4684" w:rsidTr="009B5E1C">
        <w:trPr>
          <w:trHeight w:val="517"/>
        </w:trPr>
        <w:tc>
          <w:tcPr>
            <w:tcW w:w="55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4.</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24575D">
              <w:rPr>
                <w:sz w:val="28"/>
                <w:szCs w:val="28"/>
              </w:rPr>
              <w:t>Tiesiskā regulējuma nefinansiālā ietekme</w:t>
            </w:r>
          </w:p>
        </w:tc>
        <w:tc>
          <w:tcPr>
            <w:tcW w:w="6081" w:type="dxa"/>
            <w:gridSpan w:val="2"/>
            <w:tcBorders>
              <w:top w:val="single" w:sz="4" w:space="0" w:color="auto"/>
              <w:left w:val="single" w:sz="4" w:space="0" w:color="auto"/>
              <w:bottom w:val="single" w:sz="4" w:space="0" w:color="auto"/>
              <w:right w:val="single" w:sz="4" w:space="0" w:color="auto"/>
            </w:tcBorders>
            <w:hideMark/>
          </w:tcPr>
          <w:p w:rsidR="00AE772C" w:rsidRDefault="00AE772C" w:rsidP="009B5E1C">
            <w:pPr>
              <w:shd w:val="clear" w:color="auto" w:fill="FFFFFF"/>
              <w:spacing w:before="100" w:beforeAutospacing="1" w:after="100" w:afterAutospacing="1" w:line="300" w:lineRule="atLeast"/>
              <w:ind w:firstLine="425"/>
              <w:jc w:val="both"/>
              <w:rPr>
                <w:sz w:val="28"/>
                <w:szCs w:val="28"/>
              </w:rPr>
            </w:pPr>
            <w:r w:rsidRPr="00997F20">
              <w:rPr>
                <w:sz w:val="28"/>
                <w:szCs w:val="28"/>
              </w:rPr>
              <w:t>Izpildu lietvedības datu reģistrēšana un uzkrāšana mūsdienīgā uz tehniskiem līdzekļiem bāzētā izpildu lietu reģistrēšanas un apstrādes sistēmā un piespiedu izpildes īstenošanai nepieciešamās informācijas ieguve automatizētā režīmā, būtiski paātrinās ikdienas lietvedības darbus, atvieglos zvērinātu tiesu izpildītāju darbu un</w:t>
            </w:r>
            <w:r>
              <w:rPr>
                <w:sz w:val="28"/>
                <w:szCs w:val="28"/>
              </w:rPr>
              <w:t xml:space="preserve"> izpildes nodrošināšanai nepieciešamās informācijas ieguvi. </w:t>
            </w:r>
            <w:r w:rsidRPr="00997F20">
              <w:rPr>
                <w:sz w:val="28"/>
                <w:szCs w:val="28"/>
              </w:rPr>
              <w:t xml:space="preserve">Tāpat </w:t>
            </w:r>
            <w:r>
              <w:rPr>
                <w:sz w:val="28"/>
                <w:szCs w:val="28"/>
              </w:rPr>
              <w:t xml:space="preserve">minētais veicinās </w:t>
            </w:r>
            <w:r w:rsidRPr="00997F20">
              <w:rPr>
                <w:sz w:val="28"/>
                <w:szCs w:val="28"/>
              </w:rPr>
              <w:t>ātru un pilnīgu statistikas datu ieguvi par nolēmumu izpildi</w:t>
            </w:r>
            <w:r>
              <w:rPr>
                <w:sz w:val="28"/>
                <w:szCs w:val="28"/>
              </w:rPr>
              <w:t xml:space="preserve"> un atvieglotu Tieslietu ministrijai un Latvijas Zvērinātu tiesu izpildītāju padomei noteikto funkciju zvērinātu tiesu izpildītāju un to palīgu darbības uzraudzības jomā. </w:t>
            </w:r>
          </w:p>
          <w:p w:rsidR="00AE772C" w:rsidRPr="008B4684" w:rsidRDefault="00AE772C" w:rsidP="009B5E1C">
            <w:pPr>
              <w:shd w:val="clear" w:color="auto" w:fill="FFFFFF"/>
              <w:spacing w:before="100" w:beforeAutospacing="1" w:after="100" w:afterAutospacing="1" w:line="300" w:lineRule="atLeast"/>
              <w:ind w:firstLine="425"/>
              <w:jc w:val="both"/>
              <w:rPr>
                <w:sz w:val="28"/>
                <w:szCs w:val="28"/>
              </w:rPr>
            </w:pPr>
          </w:p>
        </w:tc>
      </w:tr>
      <w:tr w:rsidR="00AE772C" w:rsidRPr="008B4684" w:rsidTr="009B5E1C">
        <w:trPr>
          <w:trHeight w:val="531"/>
        </w:trPr>
        <w:tc>
          <w:tcPr>
            <w:tcW w:w="55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5.</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0B1A28">
              <w:rPr>
                <w:sz w:val="28"/>
                <w:szCs w:val="28"/>
              </w:rPr>
              <w:t>Administratīvās procedūras raksturojums</w:t>
            </w:r>
          </w:p>
        </w:tc>
        <w:tc>
          <w:tcPr>
            <w:tcW w:w="6081" w:type="dxa"/>
            <w:gridSpan w:val="2"/>
            <w:tcBorders>
              <w:top w:val="single" w:sz="4" w:space="0" w:color="auto"/>
              <w:left w:val="single" w:sz="4" w:space="0" w:color="auto"/>
              <w:bottom w:val="single" w:sz="4" w:space="0" w:color="auto"/>
              <w:right w:val="single" w:sz="4" w:space="0" w:color="auto"/>
            </w:tcBorders>
            <w:hideMark/>
          </w:tcPr>
          <w:p w:rsidR="00AE772C" w:rsidRDefault="00AE772C" w:rsidP="009B5E1C">
            <w:pPr>
              <w:ind w:firstLine="459"/>
              <w:jc w:val="both"/>
              <w:rPr>
                <w:sz w:val="28"/>
                <w:szCs w:val="28"/>
              </w:rPr>
            </w:pPr>
            <w:r w:rsidRPr="00FC7B3D">
              <w:rPr>
                <w:sz w:val="28"/>
                <w:szCs w:val="28"/>
              </w:rPr>
              <w:t xml:space="preserve">Noteikumu projekts </w:t>
            </w:r>
            <w:r>
              <w:rPr>
                <w:sz w:val="28"/>
                <w:szCs w:val="28"/>
              </w:rPr>
              <w:t>cita starp nosaka reģistra izmantošanas kārtību, tai skaitā reģistra piekļuves tiesību piešķiršanas un anulēšanas kārtību. Atbilstoši noteikumu projektam tajā uzskaitītajām personām piekļuves tiesības reģistram nodrošina reģistra turētājs, proti, Tiesu administrācija, pamatojoties uz:</w:t>
            </w:r>
          </w:p>
          <w:p w:rsidR="00AE772C" w:rsidRDefault="00AE772C" w:rsidP="009B5E1C">
            <w:pPr>
              <w:ind w:firstLine="459"/>
              <w:jc w:val="both"/>
              <w:rPr>
                <w:sz w:val="28"/>
                <w:szCs w:val="28"/>
              </w:rPr>
            </w:pPr>
            <w:r>
              <w:rPr>
                <w:sz w:val="28"/>
                <w:szCs w:val="28"/>
              </w:rPr>
              <w:t>- tieslietu ministra rīkojumu par iecelšanu amatā, ja piekļuves tiesības nodrošināmas zvērinātam tiesu izpildītājam vai zvērināta tiesu izpildītāja palīgam;</w:t>
            </w:r>
          </w:p>
          <w:p w:rsidR="00AE772C" w:rsidRDefault="00AE772C" w:rsidP="009B5E1C">
            <w:pPr>
              <w:ind w:firstLine="459"/>
              <w:jc w:val="both"/>
              <w:rPr>
                <w:sz w:val="28"/>
                <w:szCs w:val="28"/>
              </w:rPr>
            </w:pPr>
            <w:r>
              <w:rPr>
                <w:sz w:val="28"/>
                <w:szCs w:val="28"/>
              </w:rPr>
              <w:t>- Tieslietu ministrijas, Tiesu administrācijas vai Latvijas Zvērinātu tiesu izpildītāju padomes pieprasījumu, ja piekļuves tiesības reģistram nodrošināmas attiecīgi Tieslietu ministrijas, Tiesu administrācijas vai Latvijas Zvērinātu tiesu izpildītāju padomes nodarbinātai personai;</w:t>
            </w:r>
          </w:p>
          <w:p w:rsidR="00AE772C" w:rsidRDefault="00AE772C" w:rsidP="009B5E1C">
            <w:pPr>
              <w:ind w:firstLine="459"/>
              <w:jc w:val="both"/>
              <w:rPr>
                <w:sz w:val="28"/>
                <w:szCs w:val="28"/>
              </w:rPr>
            </w:pPr>
            <w:r>
              <w:rPr>
                <w:sz w:val="28"/>
                <w:szCs w:val="28"/>
              </w:rPr>
              <w:t>- </w:t>
            </w:r>
            <w:r w:rsidR="00761C48">
              <w:rPr>
                <w:sz w:val="28"/>
                <w:szCs w:val="28"/>
              </w:rPr>
              <w:t xml:space="preserve">zvērināta tiesu izpildītāja pieprasījumu un </w:t>
            </w:r>
            <w:r>
              <w:rPr>
                <w:sz w:val="28"/>
                <w:szCs w:val="28"/>
              </w:rPr>
              <w:t>faktu par nodibinātām darba tiesiskajām attiecībām, ja piekļuves tiesības reģistram nodrošināmas attiecīgi zvērināta tiesu izpildītāja biroja darbiniekam (piemēram, zvērināta tiesu izpildītāja palīga kandidātam).</w:t>
            </w:r>
          </w:p>
          <w:p w:rsidR="00AE772C" w:rsidRDefault="00AE772C" w:rsidP="009B5E1C">
            <w:pPr>
              <w:ind w:firstLine="459"/>
              <w:jc w:val="both"/>
              <w:rPr>
                <w:sz w:val="28"/>
                <w:szCs w:val="28"/>
              </w:rPr>
            </w:pPr>
            <w:r>
              <w:rPr>
                <w:sz w:val="28"/>
                <w:szCs w:val="28"/>
              </w:rPr>
              <w:t xml:space="preserve">Tiesu administrācija nodrošina piekļuves tiesību piešķiršanu piecu darba dienu laikā no minēto pamatojošo dokumentu saņemšanas. Piekļuves tiesības tiek piešķirtas atbilstoši noteikumu projektā katrai lietotāju grupai noteiktajam piekļuves tiesību apjomam. </w:t>
            </w:r>
          </w:p>
          <w:p w:rsidR="00AE772C" w:rsidRDefault="00AE772C" w:rsidP="009B5E1C">
            <w:pPr>
              <w:ind w:firstLine="459"/>
              <w:jc w:val="both"/>
              <w:rPr>
                <w:sz w:val="28"/>
                <w:szCs w:val="28"/>
              </w:rPr>
            </w:pPr>
            <w:r>
              <w:rPr>
                <w:sz w:val="28"/>
                <w:szCs w:val="28"/>
              </w:rPr>
              <w:t xml:space="preserve">Lietotājam piešķirtās piekļuves tiesības reģistram Tiesu administrācija anulē nekavējoties, bet ne vēlāk kā nākamajā darba dienā, ja saņemts tieslietu ministra rīkojums par zvērināta tiesu izpildītāja atbrīvošanu vai atcelšanu no amata Tieslietu ministrijas, Tiesu administrācijas vai Latvijas Zvērinātu tiesu izpildītāju padomes pieprasījumu par piekļuves tiesību slēgšanu attiecīgi minēto institūciju nodarbinātai personai. Savukārt zvērināts tiesu izpildītājs palīgam vai citam biroja darbiniekam piešķirtās piekļuves tiesības anulē </w:t>
            </w:r>
            <w:r w:rsidRPr="00DB03E3">
              <w:rPr>
                <w:sz w:val="28"/>
                <w:szCs w:val="28"/>
              </w:rPr>
              <w:t xml:space="preserve"> pamatojoties uz tieslietu ministra rīkojumu par zvērināta tiesu izpildītāja palīga atbrīvošanu vai atcelšanu no amata</w:t>
            </w:r>
            <w:r>
              <w:rPr>
                <w:sz w:val="28"/>
                <w:szCs w:val="28"/>
              </w:rPr>
              <w:t xml:space="preserve"> vai </w:t>
            </w:r>
            <w:r w:rsidR="00761C48">
              <w:rPr>
                <w:sz w:val="28"/>
                <w:szCs w:val="28"/>
              </w:rPr>
              <w:t xml:space="preserve">pamatojoties uz zvērināta tiesu izpildītāja </w:t>
            </w:r>
            <w:r w:rsidR="007B01BB">
              <w:rPr>
                <w:sz w:val="28"/>
                <w:szCs w:val="28"/>
              </w:rPr>
              <w:t xml:space="preserve">pieprasījumu </w:t>
            </w:r>
            <w:r>
              <w:rPr>
                <w:sz w:val="28"/>
                <w:szCs w:val="28"/>
              </w:rPr>
              <w:t xml:space="preserve">sakarā ar darba tiesisko attiecību pārtraukšanu, vai arī citu iemeslu dēļ pēc savas iniciatīvas (piemēram, biroja darbiniekiem noteikto darba pienākumu pārdales gadījumā). </w:t>
            </w:r>
          </w:p>
          <w:p w:rsidR="00AE772C" w:rsidRDefault="00AE772C" w:rsidP="009B5E1C">
            <w:pPr>
              <w:ind w:firstLine="459"/>
              <w:jc w:val="both"/>
              <w:rPr>
                <w:sz w:val="28"/>
                <w:szCs w:val="28"/>
              </w:rPr>
            </w:pPr>
            <w:r>
              <w:rPr>
                <w:sz w:val="28"/>
                <w:szCs w:val="28"/>
              </w:rPr>
              <w:t xml:space="preserve">Tāpat noteikumu projektā paredzētas tiesības reģistra turētājam pēc savas iniciatīvas pieņemt lēmumu par lietotājam piešķirto piekļuves tiesību reģistram anulēšanu, ja tam kļuvis zināms, ka piekļuves tiesības lietotājam piešķirtas nepamatoti (piemēram, tās piešķirtas personai, kas nav zvērināta tiesu izpildītāja darbinieks). Tādējādi, tiek nodrošināta plašāka iespēja reģistra turētājam veikt pasākumus, lai nepieļautu, ka personas, kurām nav nepieciešamā pilnvarojuma, lieto reģistru, un aizsargātu reģistra lietotāju reģistrā ievadīto informāciju pret nesankcionētu piekļuvi. </w:t>
            </w:r>
          </w:p>
          <w:p w:rsidR="00AE772C" w:rsidRPr="008B4684" w:rsidRDefault="00AE772C" w:rsidP="009B5E1C">
            <w:pPr>
              <w:ind w:firstLine="461"/>
              <w:jc w:val="both"/>
              <w:rPr>
                <w:sz w:val="28"/>
                <w:szCs w:val="28"/>
              </w:rPr>
            </w:pPr>
          </w:p>
        </w:tc>
      </w:tr>
      <w:tr w:rsidR="00AE772C" w:rsidRPr="008B4684" w:rsidTr="009B5E1C">
        <w:trPr>
          <w:trHeight w:val="357"/>
        </w:trPr>
        <w:tc>
          <w:tcPr>
            <w:tcW w:w="55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6.</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Administratīvo izmaksu monetārs novērtējums</w:t>
            </w:r>
          </w:p>
        </w:tc>
        <w:tc>
          <w:tcPr>
            <w:tcW w:w="6081" w:type="dxa"/>
            <w:gridSpan w:val="2"/>
            <w:tcBorders>
              <w:top w:val="single" w:sz="4" w:space="0" w:color="auto"/>
              <w:left w:val="single" w:sz="4" w:space="0" w:color="auto"/>
              <w:bottom w:val="single" w:sz="4" w:space="0" w:color="auto"/>
              <w:right w:val="single" w:sz="4" w:space="0" w:color="auto"/>
            </w:tcBorders>
            <w:hideMark/>
          </w:tcPr>
          <w:p w:rsidR="00AE772C" w:rsidRPr="008B4684" w:rsidRDefault="00184A6F" w:rsidP="009B5E1C">
            <w:pPr>
              <w:pStyle w:val="naiskr"/>
              <w:spacing w:before="0" w:after="0"/>
              <w:ind w:firstLine="440"/>
              <w:rPr>
                <w:sz w:val="28"/>
                <w:szCs w:val="28"/>
              </w:rPr>
            </w:pPr>
            <w:r>
              <w:rPr>
                <w:iCs/>
                <w:sz w:val="28"/>
                <w:szCs w:val="28"/>
              </w:rPr>
              <w:t>Projekts šo jomu neskar</w:t>
            </w:r>
            <w:r w:rsidR="00AE772C" w:rsidRPr="008B4684">
              <w:rPr>
                <w:iCs/>
                <w:sz w:val="28"/>
                <w:szCs w:val="28"/>
              </w:rPr>
              <w:t>.</w:t>
            </w:r>
          </w:p>
        </w:tc>
      </w:tr>
      <w:tr w:rsidR="00AE772C" w:rsidRPr="008B4684" w:rsidTr="009B5E1C">
        <w:trPr>
          <w:trHeight w:val="470"/>
        </w:trPr>
        <w:tc>
          <w:tcPr>
            <w:tcW w:w="55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7.</w:t>
            </w:r>
          </w:p>
        </w:tc>
        <w:tc>
          <w:tcPr>
            <w:tcW w:w="3141"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rPr>
                <w:sz w:val="28"/>
                <w:szCs w:val="28"/>
              </w:rPr>
            </w:pPr>
            <w:r w:rsidRPr="008B4684">
              <w:rPr>
                <w:sz w:val="28"/>
                <w:szCs w:val="28"/>
              </w:rPr>
              <w:t>Cita informācija</w:t>
            </w:r>
          </w:p>
        </w:tc>
        <w:tc>
          <w:tcPr>
            <w:tcW w:w="6081" w:type="dxa"/>
            <w:gridSpan w:val="2"/>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ind w:firstLine="567"/>
              <w:rPr>
                <w:sz w:val="28"/>
                <w:szCs w:val="28"/>
              </w:rPr>
            </w:pPr>
            <w:r w:rsidRPr="008B4684">
              <w:rPr>
                <w:sz w:val="28"/>
                <w:szCs w:val="28"/>
              </w:rPr>
              <w:t xml:space="preserve">Nav </w:t>
            </w:r>
          </w:p>
        </w:tc>
      </w:tr>
    </w:tbl>
    <w:tbl>
      <w:tblPr>
        <w:tblStyle w:val="TableGrid"/>
        <w:tblW w:w="9782" w:type="dxa"/>
        <w:tblInd w:w="-318" w:type="dxa"/>
        <w:tblLook w:val="04A0"/>
      </w:tblPr>
      <w:tblGrid>
        <w:gridCol w:w="2777"/>
        <w:gridCol w:w="1224"/>
        <w:gridCol w:w="1306"/>
        <w:gridCol w:w="1430"/>
        <w:gridCol w:w="1430"/>
        <w:gridCol w:w="1615"/>
      </w:tblGrid>
      <w:tr w:rsidR="00AE772C" w:rsidRPr="00FC7B3D" w:rsidTr="009B5E1C">
        <w:trPr>
          <w:trHeight w:val="395"/>
        </w:trPr>
        <w:tc>
          <w:tcPr>
            <w:tcW w:w="9782" w:type="dxa"/>
            <w:gridSpan w:val="6"/>
            <w:hideMark/>
          </w:tcPr>
          <w:p w:rsidR="00AE772C" w:rsidRPr="00FC7B3D" w:rsidRDefault="00AE772C" w:rsidP="009B5E1C">
            <w:pPr>
              <w:jc w:val="center"/>
              <w:rPr>
                <w:b/>
                <w:sz w:val="28"/>
                <w:szCs w:val="28"/>
              </w:rPr>
            </w:pPr>
            <w:r w:rsidRPr="00FC7B3D">
              <w:rPr>
                <w:b/>
                <w:sz w:val="28"/>
                <w:szCs w:val="28"/>
              </w:rPr>
              <w:t>III. Tiesību akta projekta ietekme uz valsts budžetu un pašvaldību budžetiem</w:t>
            </w:r>
          </w:p>
        </w:tc>
      </w:tr>
      <w:tr w:rsidR="00AE772C" w:rsidRPr="00FC7B3D" w:rsidTr="009B5E1C">
        <w:tc>
          <w:tcPr>
            <w:tcW w:w="2777" w:type="dxa"/>
            <w:vMerge w:val="restart"/>
            <w:hideMark/>
          </w:tcPr>
          <w:p w:rsidR="00AE772C" w:rsidRPr="00FC7B3D" w:rsidRDefault="00AE772C" w:rsidP="009B5E1C">
            <w:pPr>
              <w:spacing w:before="100" w:beforeAutospacing="1" w:after="100" w:afterAutospacing="1"/>
              <w:rPr>
                <w:sz w:val="28"/>
                <w:szCs w:val="28"/>
              </w:rPr>
            </w:pPr>
            <w:r w:rsidRPr="00FC7B3D">
              <w:rPr>
                <w:sz w:val="28"/>
                <w:szCs w:val="28"/>
              </w:rPr>
              <w:t> </w:t>
            </w:r>
            <w:r w:rsidRPr="00FC7B3D">
              <w:rPr>
                <w:b/>
                <w:bCs/>
                <w:sz w:val="28"/>
                <w:szCs w:val="28"/>
              </w:rPr>
              <w:t>Rādītāji</w:t>
            </w:r>
          </w:p>
        </w:tc>
        <w:tc>
          <w:tcPr>
            <w:tcW w:w="2530" w:type="dxa"/>
            <w:gridSpan w:val="2"/>
            <w:vMerge w:val="restart"/>
            <w:hideMark/>
          </w:tcPr>
          <w:p w:rsidR="00AE772C" w:rsidRPr="00FC7B3D" w:rsidRDefault="00AE772C" w:rsidP="009B5E1C">
            <w:pPr>
              <w:spacing w:before="100" w:beforeAutospacing="1" w:after="100" w:afterAutospacing="1"/>
              <w:jc w:val="center"/>
              <w:rPr>
                <w:sz w:val="28"/>
                <w:szCs w:val="28"/>
              </w:rPr>
            </w:pPr>
            <w:r w:rsidRPr="00FC7B3D">
              <w:rPr>
                <w:b/>
                <w:bCs/>
                <w:sz w:val="28"/>
                <w:szCs w:val="28"/>
              </w:rPr>
              <w:t>201</w:t>
            </w:r>
            <w:r>
              <w:rPr>
                <w:b/>
                <w:bCs/>
                <w:sz w:val="28"/>
                <w:szCs w:val="28"/>
              </w:rPr>
              <w:t>2</w:t>
            </w:r>
            <w:r w:rsidRPr="00FC7B3D">
              <w:rPr>
                <w:b/>
                <w:bCs/>
                <w:sz w:val="28"/>
                <w:szCs w:val="28"/>
              </w:rPr>
              <w:t>.gads</w:t>
            </w:r>
          </w:p>
        </w:tc>
        <w:tc>
          <w:tcPr>
            <w:tcW w:w="4475" w:type="dxa"/>
            <w:gridSpan w:val="3"/>
            <w:hideMark/>
          </w:tcPr>
          <w:p w:rsidR="00AE772C" w:rsidRPr="00FC7B3D" w:rsidRDefault="00AE772C" w:rsidP="009B5E1C">
            <w:pPr>
              <w:spacing w:before="100" w:beforeAutospacing="1" w:after="100" w:afterAutospacing="1"/>
              <w:rPr>
                <w:sz w:val="28"/>
                <w:szCs w:val="28"/>
              </w:rPr>
            </w:pPr>
            <w:r w:rsidRPr="00FC7B3D">
              <w:rPr>
                <w:sz w:val="28"/>
                <w:szCs w:val="28"/>
              </w:rPr>
              <w:t> Turpmākie trīs gadi (tūkst. latu)</w:t>
            </w:r>
          </w:p>
        </w:tc>
      </w:tr>
      <w:tr w:rsidR="00AE772C" w:rsidRPr="00FC7B3D" w:rsidTr="009B5E1C">
        <w:tc>
          <w:tcPr>
            <w:tcW w:w="2777" w:type="dxa"/>
            <w:vMerge/>
            <w:hideMark/>
          </w:tcPr>
          <w:p w:rsidR="00AE772C" w:rsidRPr="00FC7B3D" w:rsidRDefault="00AE772C" w:rsidP="009B5E1C">
            <w:pPr>
              <w:rPr>
                <w:sz w:val="28"/>
                <w:szCs w:val="28"/>
              </w:rPr>
            </w:pPr>
          </w:p>
        </w:tc>
        <w:tc>
          <w:tcPr>
            <w:tcW w:w="0" w:type="auto"/>
            <w:gridSpan w:val="2"/>
            <w:vMerge/>
            <w:hideMark/>
          </w:tcPr>
          <w:p w:rsidR="00AE772C" w:rsidRPr="00FC7B3D" w:rsidRDefault="00AE772C" w:rsidP="009B5E1C">
            <w:pPr>
              <w:rPr>
                <w:sz w:val="28"/>
                <w:szCs w:val="28"/>
              </w:rPr>
            </w:pPr>
          </w:p>
        </w:tc>
        <w:tc>
          <w:tcPr>
            <w:tcW w:w="1430" w:type="dxa"/>
            <w:hideMark/>
          </w:tcPr>
          <w:p w:rsidR="00AE772C" w:rsidRPr="00FC7B3D" w:rsidRDefault="00AE772C" w:rsidP="009B5E1C">
            <w:pPr>
              <w:spacing w:before="100" w:beforeAutospacing="1" w:after="100" w:afterAutospacing="1"/>
              <w:rPr>
                <w:sz w:val="28"/>
                <w:szCs w:val="28"/>
              </w:rPr>
            </w:pPr>
            <w:r>
              <w:rPr>
                <w:sz w:val="28"/>
                <w:szCs w:val="28"/>
              </w:rPr>
              <w:t> 2013</w:t>
            </w:r>
            <w:r w:rsidRPr="00FC7B3D">
              <w:rPr>
                <w:sz w:val="28"/>
                <w:szCs w:val="28"/>
              </w:rPr>
              <w:t>.gads</w:t>
            </w:r>
          </w:p>
        </w:tc>
        <w:tc>
          <w:tcPr>
            <w:tcW w:w="1430" w:type="dxa"/>
            <w:hideMark/>
          </w:tcPr>
          <w:p w:rsidR="00AE772C" w:rsidRPr="00FC7B3D" w:rsidRDefault="00AE772C" w:rsidP="009B5E1C">
            <w:pPr>
              <w:spacing w:before="100" w:beforeAutospacing="1" w:after="100" w:afterAutospacing="1"/>
              <w:rPr>
                <w:sz w:val="28"/>
                <w:szCs w:val="28"/>
              </w:rPr>
            </w:pPr>
            <w:r>
              <w:rPr>
                <w:sz w:val="28"/>
                <w:szCs w:val="28"/>
              </w:rPr>
              <w:t> 2014</w:t>
            </w:r>
            <w:r w:rsidRPr="00FC7B3D">
              <w:rPr>
                <w:sz w:val="28"/>
                <w:szCs w:val="28"/>
              </w:rPr>
              <w:t>.gads</w:t>
            </w:r>
          </w:p>
        </w:tc>
        <w:tc>
          <w:tcPr>
            <w:tcW w:w="1615" w:type="dxa"/>
            <w:hideMark/>
          </w:tcPr>
          <w:p w:rsidR="00AE772C" w:rsidRPr="00FC7B3D" w:rsidRDefault="00AE772C" w:rsidP="009B5E1C">
            <w:pPr>
              <w:spacing w:before="100" w:beforeAutospacing="1" w:after="100" w:afterAutospacing="1"/>
              <w:rPr>
                <w:sz w:val="28"/>
                <w:szCs w:val="28"/>
              </w:rPr>
            </w:pPr>
            <w:r>
              <w:rPr>
                <w:sz w:val="28"/>
                <w:szCs w:val="28"/>
              </w:rPr>
              <w:t> 2015</w:t>
            </w:r>
            <w:r w:rsidRPr="00FC7B3D">
              <w:rPr>
                <w:sz w:val="28"/>
                <w:szCs w:val="28"/>
              </w:rPr>
              <w:t>.gads</w:t>
            </w:r>
          </w:p>
        </w:tc>
      </w:tr>
      <w:tr w:rsidR="00AE772C" w:rsidRPr="00FC7B3D" w:rsidTr="009B5E1C">
        <w:tc>
          <w:tcPr>
            <w:tcW w:w="2777" w:type="dxa"/>
            <w:vMerge/>
            <w:hideMark/>
          </w:tcPr>
          <w:p w:rsidR="00AE772C" w:rsidRPr="00FC7B3D" w:rsidRDefault="00AE772C" w:rsidP="009B5E1C">
            <w:pPr>
              <w:rPr>
                <w:sz w:val="28"/>
                <w:szCs w:val="28"/>
              </w:rPr>
            </w:pPr>
          </w:p>
        </w:tc>
        <w:tc>
          <w:tcPr>
            <w:tcW w:w="1224" w:type="dxa"/>
            <w:hideMark/>
          </w:tcPr>
          <w:p w:rsidR="00AE772C" w:rsidRPr="00FC7B3D" w:rsidRDefault="00AE772C" w:rsidP="009B5E1C">
            <w:pPr>
              <w:spacing w:before="100" w:beforeAutospacing="1" w:after="100" w:afterAutospacing="1"/>
              <w:rPr>
                <w:sz w:val="28"/>
                <w:szCs w:val="28"/>
              </w:rPr>
            </w:pPr>
            <w:r w:rsidRPr="00FC7B3D">
              <w:rPr>
                <w:sz w:val="28"/>
                <w:szCs w:val="28"/>
              </w:rPr>
              <w:t> Saskaņā ar valsts budžetu kārtējam gadam</w:t>
            </w:r>
          </w:p>
        </w:tc>
        <w:tc>
          <w:tcPr>
            <w:tcW w:w="1306" w:type="dxa"/>
            <w:hideMark/>
          </w:tcPr>
          <w:p w:rsidR="00AE772C" w:rsidRPr="00FC7B3D" w:rsidRDefault="00AE772C" w:rsidP="009B5E1C">
            <w:pPr>
              <w:spacing w:before="100" w:beforeAutospacing="1" w:after="100" w:afterAutospacing="1"/>
              <w:rPr>
                <w:sz w:val="28"/>
                <w:szCs w:val="28"/>
              </w:rPr>
            </w:pPr>
            <w:r w:rsidRPr="00FC7B3D">
              <w:rPr>
                <w:sz w:val="28"/>
                <w:szCs w:val="28"/>
              </w:rPr>
              <w:t> Izmaiņas kārtējā gadā, salīdzinot ar budžetu kārtējam gadam</w:t>
            </w:r>
          </w:p>
        </w:tc>
        <w:tc>
          <w:tcPr>
            <w:tcW w:w="1430" w:type="dxa"/>
            <w:hideMark/>
          </w:tcPr>
          <w:p w:rsidR="00AE772C" w:rsidRPr="00FC7B3D" w:rsidRDefault="00AE772C" w:rsidP="009B5E1C">
            <w:pPr>
              <w:spacing w:before="100" w:beforeAutospacing="1" w:after="100" w:afterAutospacing="1"/>
              <w:rPr>
                <w:sz w:val="28"/>
                <w:szCs w:val="28"/>
              </w:rPr>
            </w:pPr>
            <w:r w:rsidRPr="00FC7B3D">
              <w:rPr>
                <w:sz w:val="28"/>
                <w:szCs w:val="28"/>
              </w:rPr>
              <w:t> Izmaiņas, salīdzinot ar kārtējo (n) gadu</w:t>
            </w:r>
          </w:p>
        </w:tc>
        <w:tc>
          <w:tcPr>
            <w:tcW w:w="1430" w:type="dxa"/>
            <w:hideMark/>
          </w:tcPr>
          <w:p w:rsidR="00AE772C" w:rsidRPr="00FC7B3D" w:rsidRDefault="00AE772C" w:rsidP="009B5E1C">
            <w:pPr>
              <w:spacing w:before="100" w:beforeAutospacing="1" w:after="100" w:afterAutospacing="1"/>
              <w:rPr>
                <w:sz w:val="28"/>
                <w:szCs w:val="28"/>
              </w:rPr>
            </w:pPr>
            <w:r w:rsidRPr="00FC7B3D">
              <w:rPr>
                <w:sz w:val="28"/>
                <w:szCs w:val="28"/>
              </w:rPr>
              <w:t> Izmaiņas, salīdzinot ar kārtējo (n) gadu</w:t>
            </w:r>
          </w:p>
        </w:tc>
        <w:tc>
          <w:tcPr>
            <w:tcW w:w="1615" w:type="dxa"/>
            <w:hideMark/>
          </w:tcPr>
          <w:p w:rsidR="00AE772C" w:rsidRPr="00FC7B3D" w:rsidRDefault="00AE772C" w:rsidP="009B5E1C">
            <w:pPr>
              <w:spacing w:before="100" w:beforeAutospacing="1" w:after="100" w:afterAutospacing="1"/>
              <w:rPr>
                <w:sz w:val="28"/>
                <w:szCs w:val="28"/>
              </w:rPr>
            </w:pPr>
            <w:r w:rsidRPr="00FC7B3D">
              <w:rPr>
                <w:sz w:val="28"/>
                <w:szCs w:val="28"/>
              </w:rPr>
              <w:t> Izmaiņas, salīdzinot ar kārtējo (n) gadu</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1</w:t>
            </w:r>
          </w:p>
        </w:tc>
        <w:tc>
          <w:tcPr>
            <w:tcW w:w="1224" w:type="dxa"/>
            <w:hideMark/>
          </w:tcPr>
          <w:p w:rsidR="00AE772C" w:rsidRPr="00FC7B3D" w:rsidRDefault="00AE772C" w:rsidP="009B5E1C">
            <w:pPr>
              <w:spacing w:before="100" w:beforeAutospacing="1" w:after="100" w:afterAutospacing="1"/>
              <w:rPr>
                <w:sz w:val="28"/>
                <w:szCs w:val="28"/>
              </w:rPr>
            </w:pPr>
            <w:r w:rsidRPr="00FC7B3D">
              <w:rPr>
                <w:sz w:val="28"/>
                <w:szCs w:val="28"/>
              </w:rPr>
              <w:t> 2</w:t>
            </w:r>
          </w:p>
        </w:tc>
        <w:tc>
          <w:tcPr>
            <w:tcW w:w="1306" w:type="dxa"/>
            <w:hideMark/>
          </w:tcPr>
          <w:p w:rsidR="00AE772C" w:rsidRPr="00FC7B3D" w:rsidRDefault="00AE772C" w:rsidP="009B5E1C">
            <w:pPr>
              <w:spacing w:before="100" w:beforeAutospacing="1" w:after="100" w:afterAutospacing="1"/>
              <w:rPr>
                <w:sz w:val="28"/>
                <w:szCs w:val="28"/>
              </w:rPr>
            </w:pPr>
            <w:r w:rsidRPr="00FC7B3D">
              <w:rPr>
                <w:sz w:val="28"/>
                <w:szCs w:val="28"/>
              </w:rPr>
              <w:t> 3</w:t>
            </w:r>
          </w:p>
        </w:tc>
        <w:tc>
          <w:tcPr>
            <w:tcW w:w="1430" w:type="dxa"/>
            <w:hideMark/>
          </w:tcPr>
          <w:p w:rsidR="00AE772C" w:rsidRPr="00FC7B3D" w:rsidRDefault="00AE772C" w:rsidP="009B5E1C">
            <w:pPr>
              <w:spacing w:before="100" w:beforeAutospacing="1" w:after="100" w:afterAutospacing="1"/>
              <w:rPr>
                <w:sz w:val="28"/>
                <w:szCs w:val="28"/>
              </w:rPr>
            </w:pPr>
            <w:r w:rsidRPr="00FC7B3D">
              <w:rPr>
                <w:sz w:val="28"/>
                <w:szCs w:val="28"/>
              </w:rPr>
              <w:t> 4</w:t>
            </w:r>
          </w:p>
        </w:tc>
        <w:tc>
          <w:tcPr>
            <w:tcW w:w="1430" w:type="dxa"/>
            <w:hideMark/>
          </w:tcPr>
          <w:p w:rsidR="00AE772C" w:rsidRPr="00FC7B3D" w:rsidRDefault="00AE772C" w:rsidP="009B5E1C">
            <w:pPr>
              <w:spacing w:before="100" w:beforeAutospacing="1" w:after="100" w:afterAutospacing="1"/>
              <w:rPr>
                <w:sz w:val="28"/>
                <w:szCs w:val="28"/>
              </w:rPr>
            </w:pPr>
            <w:r w:rsidRPr="00FC7B3D">
              <w:rPr>
                <w:sz w:val="28"/>
                <w:szCs w:val="28"/>
              </w:rPr>
              <w:t> 5</w:t>
            </w:r>
          </w:p>
        </w:tc>
        <w:tc>
          <w:tcPr>
            <w:tcW w:w="1615" w:type="dxa"/>
            <w:hideMark/>
          </w:tcPr>
          <w:p w:rsidR="00AE772C" w:rsidRPr="00FC7B3D" w:rsidRDefault="00AE772C" w:rsidP="009B5E1C">
            <w:pPr>
              <w:spacing w:before="100" w:beforeAutospacing="1" w:after="100" w:afterAutospacing="1"/>
              <w:rPr>
                <w:sz w:val="28"/>
                <w:szCs w:val="28"/>
              </w:rPr>
            </w:pPr>
            <w:r w:rsidRPr="00FC7B3D">
              <w:rPr>
                <w:sz w:val="28"/>
                <w:szCs w:val="28"/>
              </w:rPr>
              <w:t> 6</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1. Budžeta ieņēmumi:</w:t>
            </w:r>
          </w:p>
        </w:tc>
        <w:tc>
          <w:tcPr>
            <w:tcW w:w="1224" w:type="dxa"/>
            <w:hideMark/>
          </w:tcPr>
          <w:p w:rsidR="00AE772C" w:rsidRPr="007640D9" w:rsidRDefault="00AE772C" w:rsidP="009B5E1C">
            <w:pPr>
              <w:spacing w:before="100" w:beforeAutospacing="1" w:after="100" w:afterAutospacing="1"/>
              <w:jc w:val="center"/>
            </w:pPr>
            <w:r>
              <w:t>0</w:t>
            </w:r>
          </w:p>
        </w:tc>
        <w:tc>
          <w:tcPr>
            <w:tcW w:w="1306"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0</w:t>
            </w:r>
          </w:p>
        </w:tc>
        <w:tc>
          <w:tcPr>
            <w:tcW w:w="1615" w:type="dxa"/>
            <w:hideMark/>
          </w:tcPr>
          <w:p w:rsidR="00AE772C" w:rsidRPr="007640D9" w:rsidRDefault="00AE772C" w:rsidP="009B5E1C">
            <w:pPr>
              <w:spacing w:before="100" w:beforeAutospacing="1" w:after="100" w:afterAutospacing="1"/>
              <w:jc w:val="center"/>
            </w:pPr>
            <w:r>
              <w:t>0</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1.1. valsts pamatbudžets, tai skaitā ieņēmumi no maksas pakalpojumiem un citi pašu ieņēmumi</w:t>
            </w:r>
          </w:p>
        </w:tc>
        <w:tc>
          <w:tcPr>
            <w:tcW w:w="1224" w:type="dxa"/>
            <w:hideMark/>
          </w:tcPr>
          <w:p w:rsidR="00AE772C" w:rsidRPr="007640D9" w:rsidRDefault="00AE772C" w:rsidP="009B5E1C">
            <w:pPr>
              <w:spacing w:before="100" w:beforeAutospacing="1" w:after="100" w:afterAutospacing="1"/>
              <w:jc w:val="center"/>
            </w:pPr>
            <w:r>
              <w:t>0</w:t>
            </w:r>
          </w:p>
        </w:tc>
        <w:tc>
          <w:tcPr>
            <w:tcW w:w="1306"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0</w:t>
            </w:r>
          </w:p>
        </w:tc>
        <w:tc>
          <w:tcPr>
            <w:tcW w:w="1615" w:type="dxa"/>
            <w:hideMark/>
          </w:tcPr>
          <w:p w:rsidR="00AE772C" w:rsidRPr="007640D9" w:rsidRDefault="00AE772C" w:rsidP="009B5E1C">
            <w:pPr>
              <w:spacing w:before="100" w:beforeAutospacing="1" w:after="100" w:afterAutospacing="1"/>
              <w:jc w:val="center"/>
            </w:pPr>
            <w:r>
              <w:t>0</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1.2. valsts speciālais budžets</w:t>
            </w:r>
          </w:p>
        </w:tc>
        <w:tc>
          <w:tcPr>
            <w:tcW w:w="1224" w:type="dxa"/>
            <w:hideMark/>
          </w:tcPr>
          <w:p w:rsidR="00AE772C" w:rsidRPr="007640D9" w:rsidRDefault="00AE772C" w:rsidP="009B5E1C">
            <w:pPr>
              <w:spacing w:before="100" w:beforeAutospacing="1" w:after="100" w:afterAutospacing="1"/>
              <w:jc w:val="center"/>
            </w:pPr>
          </w:p>
        </w:tc>
        <w:tc>
          <w:tcPr>
            <w:tcW w:w="1306"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615" w:type="dxa"/>
            <w:hideMark/>
          </w:tcPr>
          <w:p w:rsidR="00AE772C" w:rsidRPr="007640D9" w:rsidRDefault="00AE772C" w:rsidP="009B5E1C">
            <w:pPr>
              <w:spacing w:before="100" w:beforeAutospacing="1" w:after="100" w:afterAutospacing="1"/>
              <w:jc w:val="center"/>
            </w:pP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1.3. pašvaldību budžets</w:t>
            </w:r>
          </w:p>
        </w:tc>
        <w:tc>
          <w:tcPr>
            <w:tcW w:w="1224" w:type="dxa"/>
            <w:hideMark/>
          </w:tcPr>
          <w:p w:rsidR="00AE772C" w:rsidRPr="007640D9" w:rsidRDefault="00AE772C" w:rsidP="009B5E1C">
            <w:pPr>
              <w:spacing w:before="100" w:beforeAutospacing="1" w:after="100" w:afterAutospacing="1"/>
              <w:jc w:val="center"/>
            </w:pPr>
          </w:p>
        </w:tc>
        <w:tc>
          <w:tcPr>
            <w:tcW w:w="1306"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615" w:type="dxa"/>
            <w:hideMark/>
          </w:tcPr>
          <w:p w:rsidR="00AE772C" w:rsidRPr="007640D9" w:rsidRDefault="00AE772C" w:rsidP="009B5E1C">
            <w:pPr>
              <w:spacing w:before="100" w:beforeAutospacing="1" w:after="100" w:afterAutospacing="1"/>
              <w:jc w:val="center"/>
            </w:pP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2. Budžeta izdevumi:</w:t>
            </w:r>
          </w:p>
        </w:tc>
        <w:tc>
          <w:tcPr>
            <w:tcW w:w="1224" w:type="dxa"/>
            <w:hideMark/>
          </w:tcPr>
          <w:p w:rsidR="00AE772C" w:rsidRPr="007640D9" w:rsidRDefault="00AE772C" w:rsidP="009B5E1C">
            <w:pPr>
              <w:spacing w:before="100" w:beforeAutospacing="1" w:after="100" w:afterAutospacing="1"/>
              <w:jc w:val="center"/>
            </w:pPr>
            <w:r>
              <w:t>0</w:t>
            </w:r>
          </w:p>
        </w:tc>
        <w:tc>
          <w:tcPr>
            <w:tcW w:w="1306"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28,1</w:t>
            </w:r>
          </w:p>
        </w:tc>
        <w:tc>
          <w:tcPr>
            <w:tcW w:w="1615" w:type="dxa"/>
            <w:hideMark/>
          </w:tcPr>
          <w:p w:rsidR="00AE772C" w:rsidRPr="007640D9" w:rsidRDefault="00AE772C" w:rsidP="009B5E1C">
            <w:pPr>
              <w:spacing w:before="100" w:beforeAutospacing="1" w:after="100" w:afterAutospacing="1"/>
              <w:jc w:val="center"/>
            </w:pPr>
            <w:r>
              <w:t>28,1</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2.1. valsts pamatbudžets</w:t>
            </w:r>
          </w:p>
        </w:tc>
        <w:tc>
          <w:tcPr>
            <w:tcW w:w="1224" w:type="dxa"/>
            <w:hideMark/>
          </w:tcPr>
          <w:p w:rsidR="00AE772C" w:rsidRPr="007640D9" w:rsidRDefault="00AE772C" w:rsidP="009B5E1C">
            <w:pPr>
              <w:spacing w:before="100" w:beforeAutospacing="1" w:after="100" w:afterAutospacing="1"/>
              <w:jc w:val="center"/>
            </w:pPr>
            <w:r>
              <w:t>0</w:t>
            </w:r>
          </w:p>
        </w:tc>
        <w:tc>
          <w:tcPr>
            <w:tcW w:w="1306"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28,1</w:t>
            </w:r>
          </w:p>
        </w:tc>
        <w:tc>
          <w:tcPr>
            <w:tcW w:w="1615" w:type="dxa"/>
            <w:hideMark/>
          </w:tcPr>
          <w:p w:rsidR="00AE772C" w:rsidRPr="007640D9" w:rsidRDefault="00AE772C" w:rsidP="009B5E1C">
            <w:pPr>
              <w:spacing w:before="100" w:beforeAutospacing="1" w:after="100" w:afterAutospacing="1"/>
              <w:jc w:val="center"/>
            </w:pPr>
            <w:r>
              <w:t>28,1</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2.2. valsts speciālais budžets</w:t>
            </w:r>
          </w:p>
        </w:tc>
        <w:tc>
          <w:tcPr>
            <w:tcW w:w="1224" w:type="dxa"/>
            <w:hideMark/>
          </w:tcPr>
          <w:p w:rsidR="00AE772C" w:rsidRPr="007640D9" w:rsidRDefault="00AE772C" w:rsidP="009B5E1C">
            <w:pPr>
              <w:spacing w:before="100" w:beforeAutospacing="1" w:after="100" w:afterAutospacing="1"/>
              <w:jc w:val="center"/>
            </w:pPr>
          </w:p>
        </w:tc>
        <w:tc>
          <w:tcPr>
            <w:tcW w:w="1306"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615" w:type="dxa"/>
            <w:hideMark/>
          </w:tcPr>
          <w:p w:rsidR="00AE772C" w:rsidRPr="007640D9" w:rsidRDefault="00AE772C" w:rsidP="009B5E1C">
            <w:pPr>
              <w:spacing w:before="100" w:beforeAutospacing="1" w:after="100" w:afterAutospacing="1"/>
              <w:jc w:val="center"/>
            </w:pP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2.3. pašvaldību budžets</w:t>
            </w:r>
          </w:p>
        </w:tc>
        <w:tc>
          <w:tcPr>
            <w:tcW w:w="1224" w:type="dxa"/>
            <w:hideMark/>
          </w:tcPr>
          <w:p w:rsidR="00AE772C" w:rsidRPr="007640D9" w:rsidRDefault="00AE772C" w:rsidP="009B5E1C">
            <w:pPr>
              <w:spacing w:before="100" w:beforeAutospacing="1" w:after="100" w:afterAutospacing="1"/>
              <w:jc w:val="center"/>
            </w:pPr>
          </w:p>
        </w:tc>
        <w:tc>
          <w:tcPr>
            <w:tcW w:w="1306"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615" w:type="dxa"/>
            <w:hideMark/>
          </w:tcPr>
          <w:p w:rsidR="00AE772C" w:rsidRPr="007640D9" w:rsidRDefault="00AE772C" w:rsidP="009B5E1C">
            <w:pPr>
              <w:spacing w:before="100" w:beforeAutospacing="1" w:after="100" w:afterAutospacing="1"/>
              <w:jc w:val="center"/>
            </w:pP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3. Finansiālā ietekme:</w:t>
            </w:r>
          </w:p>
        </w:tc>
        <w:tc>
          <w:tcPr>
            <w:tcW w:w="1224" w:type="dxa"/>
            <w:vAlign w:val="center"/>
            <w:hideMark/>
          </w:tcPr>
          <w:p w:rsidR="00AE772C" w:rsidRPr="007640D9" w:rsidRDefault="00AE772C" w:rsidP="009B5E1C">
            <w:pPr>
              <w:spacing w:before="100" w:beforeAutospacing="1" w:after="100" w:afterAutospacing="1"/>
              <w:jc w:val="center"/>
            </w:pPr>
            <w:r>
              <w:t>0</w:t>
            </w:r>
          </w:p>
        </w:tc>
        <w:tc>
          <w:tcPr>
            <w:tcW w:w="1306"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-28,1</w:t>
            </w:r>
          </w:p>
        </w:tc>
        <w:tc>
          <w:tcPr>
            <w:tcW w:w="1615" w:type="dxa"/>
            <w:hideMark/>
          </w:tcPr>
          <w:p w:rsidR="00AE772C" w:rsidRPr="007640D9" w:rsidRDefault="00AE772C" w:rsidP="009B5E1C">
            <w:pPr>
              <w:spacing w:before="100" w:beforeAutospacing="1" w:after="100" w:afterAutospacing="1"/>
              <w:jc w:val="center"/>
            </w:pPr>
            <w:r>
              <w:t>-28,1</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3.1. valsts pamatbudžets</w:t>
            </w:r>
          </w:p>
        </w:tc>
        <w:tc>
          <w:tcPr>
            <w:tcW w:w="1224" w:type="dxa"/>
            <w:hideMark/>
          </w:tcPr>
          <w:p w:rsidR="00AE772C" w:rsidRPr="007640D9" w:rsidRDefault="00AE772C" w:rsidP="009B5E1C">
            <w:pPr>
              <w:spacing w:before="100" w:beforeAutospacing="1" w:after="100" w:afterAutospacing="1"/>
              <w:jc w:val="center"/>
            </w:pPr>
            <w:r>
              <w:t>0</w:t>
            </w:r>
          </w:p>
        </w:tc>
        <w:tc>
          <w:tcPr>
            <w:tcW w:w="1306"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-28,1</w:t>
            </w:r>
          </w:p>
        </w:tc>
        <w:tc>
          <w:tcPr>
            <w:tcW w:w="1615" w:type="dxa"/>
            <w:hideMark/>
          </w:tcPr>
          <w:p w:rsidR="00AE772C" w:rsidRPr="007640D9" w:rsidRDefault="00AE772C" w:rsidP="009B5E1C">
            <w:pPr>
              <w:spacing w:before="100" w:beforeAutospacing="1" w:after="100" w:afterAutospacing="1"/>
              <w:jc w:val="center"/>
            </w:pPr>
            <w:r>
              <w:t>-28,1</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3.2. speciālais budžets</w:t>
            </w:r>
          </w:p>
        </w:tc>
        <w:tc>
          <w:tcPr>
            <w:tcW w:w="1224" w:type="dxa"/>
            <w:hideMark/>
          </w:tcPr>
          <w:p w:rsidR="00AE772C" w:rsidRPr="007640D9" w:rsidRDefault="00AE772C" w:rsidP="009B5E1C">
            <w:pPr>
              <w:spacing w:before="100" w:beforeAutospacing="1" w:after="100" w:afterAutospacing="1"/>
              <w:jc w:val="center"/>
            </w:pPr>
          </w:p>
        </w:tc>
        <w:tc>
          <w:tcPr>
            <w:tcW w:w="1306"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615" w:type="dxa"/>
            <w:hideMark/>
          </w:tcPr>
          <w:p w:rsidR="00AE772C" w:rsidRPr="007640D9" w:rsidRDefault="00AE772C" w:rsidP="009B5E1C">
            <w:pPr>
              <w:spacing w:before="100" w:beforeAutospacing="1" w:after="100" w:afterAutospacing="1"/>
              <w:jc w:val="center"/>
            </w:pP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3.3. pašvaldību budžets</w:t>
            </w:r>
          </w:p>
        </w:tc>
        <w:tc>
          <w:tcPr>
            <w:tcW w:w="1224" w:type="dxa"/>
            <w:hideMark/>
          </w:tcPr>
          <w:p w:rsidR="00AE772C" w:rsidRPr="007640D9" w:rsidRDefault="00AE772C" w:rsidP="009B5E1C">
            <w:pPr>
              <w:spacing w:before="100" w:beforeAutospacing="1" w:after="100" w:afterAutospacing="1"/>
            </w:pPr>
          </w:p>
        </w:tc>
        <w:tc>
          <w:tcPr>
            <w:tcW w:w="1306" w:type="dxa"/>
            <w:hideMark/>
          </w:tcPr>
          <w:p w:rsidR="00AE772C" w:rsidRPr="007640D9" w:rsidRDefault="00AE772C" w:rsidP="009B5E1C">
            <w:pPr>
              <w:spacing w:before="100" w:beforeAutospacing="1" w:after="100" w:afterAutospacing="1"/>
            </w:pPr>
          </w:p>
        </w:tc>
        <w:tc>
          <w:tcPr>
            <w:tcW w:w="1430" w:type="dxa"/>
            <w:hideMark/>
          </w:tcPr>
          <w:p w:rsidR="00AE772C" w:rsidRPr="007640D9" w:rsidRDefault="00AE772C" w:rsidP="009B5E1C">
            <w:pPr>
              <w:spacing w:before="100" w:beforeAutospacing="1" w:after="100" w:afterAutospacing="1"/>
            </w:pPr>
          </w:p>
        </w:tc>
        <w:tc>
          <w:tcPr>
            <w:tcW w:w="1430" w:type="dxa"/>
            <w:hideMark/>
          </w:tcPr>
          <w:p w:rsidR="00AE772C" w:rsidRPr="007640D9" w:rsidRDefault="00AE772C" w:rsidP="009B5E1C">
            <w:pPr>
              <w:spacing w:before="100" w:beforeAutospacing="1" w:after="100" w:afterAutospacing="1"/>
            </w:pPr>
          </w:p>
        </w:tc>
        <w:tc>
          <w:tcPr>
            <w:tcW w:w="1615" w:type="dxa"/>
            <w:hideMark/>
          </w:tcPr>
          <w:p w:rsidR="00AE772C" w:rsidRPr="007640D9" w:rsidRDefault="00AE772C" w:rsidP="009B5E1C">
            <w:pPr>
              <w:spacing w:before="100" w:beforeAutospacing="1" w:after="100" w:afterAutospacing="1"/>
            </w:pPr>
          </w:p>
        </w:tc>
      </w:tr>
      <w:tr w:rsidR="00AE772C" w:rsidRPr="00FC7B3D" w:rsidTr="009B5E1C">
        <w:tc>
          <w:tcPr>
            <w:tcW w:w="2777" w:type="dxa"/>
            <w:vMerge w:val="restart"/>
            <w:hideMark/>
          </w:tcPr>
          <w:p w:rsidR="00AE772C" w:rsidRPr="00FC7B3D" w:rsidRDefault="00AE772C" w:rsidP="009B5E1C">
            <w:pPr>
              <w:spacing w:before="100" w:beforeAutospacing="1" w:after="100" w:afterAutospacing="1"/>
              <w:rPr>
                <w:sz w:val="28"/>
                <w:szCs w:val="28"/>
              </w:rPr>
            </w:pPr>
            <w:r w:rsidRPr="00FC7B3D">
              <w:rPr>
                <w:sz w:val="28"/>
                <w:szCs w:val="28"/>
              </w:rPr>
              <w:t> 4. Finanšu līdzekļi papildu izde</w:t>
            </w:r>
            <w:r w:rsidRPr="00FC7B3D">
              <w:rPr>
                <w:sz w:val="28"/>
                <w:szCs w:val="28"/>
              </w:rPr>
              <w:softHyphen/>
              <w:t>vumu finansēšanai (kompensējošu izdevumu samazinājumu norāda ar "+" zīmi)</w:t>
            </w:r>
          </w:p>
        </w:tc>
        <w:tc>
          <w:tcPr>
            <w:tcW w:w="1224" w:type="dxa"/>
            <w:vMerge w:val="restart"/>
            <w:hideMark/>
          </w:tcPr>
          <w:p w:rsidR="00AE772C" w:rsidRPr="007640D9" w:rsidRDefault="00AE772C" w:rsidP="009B5E1C">
            <w:pPr>
              <w:spacing w:before="100" w:beforeAutospacing="1" w:after="100" w:afterAutospacing="1"/>
              <w:jc w:val="center"/>
            </w:pPr>
            <w:r w:rsidRPr="007640D9">
              <w:t>X</w:t>
            </w:r>
          </w:p>
        </w:tc>
        <w:tc>
          <w:tcPr>
            <w:tcW w:w="1306"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430" w:type="dxa"/>
            <w:hideMark/>
          </w:tcPr>
          <w:p w:rsidR="00AE772C" w:rsidRPr="007640D9" w:rsidRDefault="00AE772C" w:rsidP="009B5E1C">
            <w:pPr>
              <w:spacing w:before="100" w:beforeAutospacing="1" w:after="100" w:afterAutospacing="1"/>
              <w:jc w:val="center"/>
            </w:pPr>
          </w:p>
        </w:tc>
        <w:tc>
          <w:tcPr>
            <w:tcW w:w="1615" w:type="dxa"/>
            <w:hideMark/>
          </w:tcPr>
          <w:p w:rsidR="00AE772C" w:rsidRPr="007640D9" w:rsidRDefault="00AE772C" w:rsidP="009B5E1C">
            <w:pPr>
              <w:spacing w:before="100" w:beforeAutospacing="1" w:after="100" w:afterAutospacing="1"/>
              <w:jc w:val="center"/>
            </w:pPr>
          </w:p>
        </w:tc>
      </w:tr>
      <w:tr w:rsidR="00AE772C" w:rsidRPr="00FC7B3D" w:rsidTr="009B5E1C">
        <w:tc>
          <w:tcPr>
            <w:tcW w:w="2777" w:type="dxa"/>
            <w:vMerge/>
            <w:hideMark/>
          </w:tcPr>
          <w:p w:rsidR="00AE772C" w:rsidRPr="00FC7B3D" w:rsidRDefault="00AE772C" w:rsidP="009B5E1C">
            <w:pPr>
              <w:rPr>
                <w:sz w:val="28"/>
                <w:szCs w:val="28"/>
              </w:rPr>
            </w:pPr>
          </w:p>
        </w:tc>
        <w:tc>
          <w:tcPr>
            <w:tcW w:w="0" w:type="auto"/>
            <w:vMerge/>
            <w:vAlign w:val="center"/>
            <w:hideMark/>
          </w:tcPr>
          <w:p w:rsidR="00AE772C" w:rsidRPr="00FC7B3D" w:rsidRDefault="00AE772C" w:rsidP="009B5E1C">
            <w:pPr>
              <w:jc w:val="center"/>
              <w:rPr>
                <w:sz w:val="28"/>
                <w:szCs w:val="28"/>
              </w:rPr>
            </w:pPr>
          </w:p>
        </w:tc>
        <w:tc>
          <w:tcPr>
            <w:tcW w:w="1306" w:type="dxa"/>
            <w:hideMark/>
          </w:tcPr>
          <w:p w:rsidR="00AE772C" w:rsidRPr="00FC7B3D" w:rsidRDefault="00AE772C" w:rsidP="009B5E1C">
            <w:pPr>
              <w:spacing w:before="100" w:beforeAutospacing="1" w:after="100" w:afterAutospacing="1"/>
              <w:jc w:val="center"/>
              <w:rPr>
                <w:sz w:val="28"/>
                <w:szCs w:val="28"/>
              </w:rPr>
            </w:pPr>
          </w:p>
        </w:tc>
        <w:tc>
          <w:tcPr>
            <w:tcW w:w="1430" w:type="dxa"/>
            <w:hideMark/>
          </w:tcPr>
          <w:p w:rsidR="00AE772C" w:rsidRPr="00FC7B3D" w:rsidRDefault="00AE772C" w:rsidP="009B5E1C">
            <w:pPr>
              <w:spacing w:before="100" w:beforeAutospacing="1" w:after="100" w:afterAutospacing="1"/>
              <w:jc w:val="center"/>
              <w:rPr>
                <w:sz w:val="28"/>
                <w:szCs w:val="28"/>
              </w:rPr>
            </w:pPr>
          </w:p>
        </w:tc>
        <w:tc>
          <w:tcPr>
            <w:tcW w:w="1430" w:type="dxa"/>
            <w:hideMark/>
          </w:tcPr>
          <w:p w:rsidR="00AE772C" w:rsidRPr="00FC7B3D" w:rsidRDefault="00AE772C" w:rsidP="009B5E1C">
            <w:pPr>
              <w:spacing w:before="100" w:beforeAutospacing="1" w:after="100" w:afterAutospacing="1"/>
              <w:jc w:val="center"/>
              <w:rPr>
                <w:sz w:val="28"/>
                <w:szCs w:val="28"/>
              </w:rPr>
            </w:pPr>
          </w:p>
        </w:tc>
        <w:tc>
          <w:tcPr>
            <w:tcW w:w="1615" w:type="dxa"/>
            <w:hideMark/>
          </w:tcPr>
          <w:p w:rsidR="00AE772C" w:rsidRPr="00FC7B3D" w:rsidRDefault="00AE772C" w:rsidP="009B5E1C">
            <w:pPr>
              <w:spacing w:before="100" w:beforeAutospacing="1" w:after="100" w:afterAutospacing="1"/>
              <w:jc w:val="center"/>
              <w:rPr>
                <w:sz w:val="28"/>
                <w:szCs w:val="28"/>
              </w:rPr>
            </w:pPr>
          </w:p>
        </w:tc>
      </w:tr>
      <w:tr w:rsidR="00AE772C" w:rsidRPr="00FC7B3D" w:rsidTr="009B5E1C">
        <w:tc>
          <w:tcPr>
            <w:tcW w:w="2777" w:type="dxa"/>
            <w:vMerge/>
            <w:hideMark/>
          </w:tcPr>
          <w:p w:rsidR="00AE772C" w:rsidRPr="00FC7B3D" w:rsidRDefault="00AE772C" w:rsidP="009B5E1C">
            <w:pPr>
              <w:rPr>
                <w:sz w:val="28"/>
                <w:szCs w:val="28"/>
              </w:rPr>
            </w:pPr>
          </w:p>
        </w:tc>
        <w:tc>
          <w:tcPr>
            <w:tcW w:w="0" w:type="auto"/>
            <w:vMerge/>
            <w:vAlign w:val="center"/>
            <w:hideMark/>
          </w:tcPr>
          <w:p w:rsidR="00AE772C" w:rsidRPr="00FC7B3D" w:rsidRDefault="00AE772C" w:rsidP="009B5E1C">
            <w:pPr>
              <w:jc w:val="center"/>
              <w:rPr>
                <w:sz w:val="28"/>
                <w:szCs w:val="28"/>
              </w:rPr>
            </w:pPr>
          </w:p>
        </w:tc>
        <w:tc>
          <w:tcPr>
            <w:tcW w:w="1306" w:type="dxa"/>
            <w:hideMark/>
          </w:tcPr>
          <w:p w:rsidR="00AE772C" w:rsidRPr="00FC7B3D" w:rsidRDefault="00AE772C" w:rsidP="009B5E1C">
            <w:pPr>
              <w:spacing w:before="100" w:beforeAutospacing="1" w:after="100" w:afterAutospacing="1"/>
              <w:jc w:val="center"/>
              <w:rPr>
                <w:sz w:val="28"/>
                <w:szCs w:val="28"/>
              </w:rPr>
            </w:pPr>
          </w:p>
        </w:tc>
        <w:tc>
          <w:tcPr>
            <w:tcW w:w="1430" w:type="dxa"/>
            <w:hideMark/>
          </w:tcPr>
          <w:p w:rsidR="00AE772C" w:rsidRPr="00FC7B3D" w:rsidRDefault="00AE772C" w:rsidP="009B5E1C">
            <w:pPr>
              <w:spacing w:before="100" w:beforeAutospacing="1" w:after="100" w:afterAutospacing="1"/>
              <w:jc w:val="center"/>
              <w:rPr>
                <w:sz w:val="28"/>
                <w:szCs w:val="28"/>
              </w:rPr>
            </w:pPr>
          </w:p>
        </w:tc>
        <w:tc>
          <w:tcPr>
            <w:tcW w:w="1430" w:type="dxa"/>
            <w:hideMark/>
          </w:tcPr>
          <w:p w:rsidR="00AE772C" w:rsidRPr="00FC7B3D" w:rsidRDefault="00AE772C" w:rsidP="009B5E1C">
            <w:pPr>
              <w:spacing w:before="100" w:beforeAutospacing="1" w:after="100" w:afterAutospacing="1"/>
              <w:jc w:val="center"/>
              <w:rPr>
                <w:sz w:val="28"/>
                <w:szCs w:val="28"/>
              </w:rPr>
            </w:pPr>
          </w:p>
        </w:tc>
        <w:tc>
          <w:tcPr>
            <w:tcW w:w="1615" w:type="dxa"/>
            <w:hideMark/>
          </w:tcPr>
          <w:p w:rsidR="00AE772C" w:rsidRPr="00FC7B3D" w:rsidRDefault="00AE772C" w:rsidP="009B5E1C">
            <w:pPr>
              <w:spacing w:before="100" w:beforeAutospacing="1" w:after="100" w:afterAutospacing="1"/>
              <w:jc w:val="center"/>
              <w:rPr>
                <w:sz w:val="28"/>
                <w:szCs w:val="28"/>
              </w:rPr>
            </w:pP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5. Precizēta finansiālā ietekme:</w:t>
            </w:r>
          </w:p>
        </w:tc>
        <w:tc>
          <w:tcPr>
            <w:tcW w:w="1224" w:type="dxa"/>
            <w:vMerge w:val="restart"/>
            <w:hideMark/>
          </w:tcPr>
          <w:p w:rsidR="00AE772C" w:rsidRPr="007640D9" w:rsidRDefault="00AE772C" w:rsidP="009B5E1C">
            <w:pPr>
              <w:spacing w:before="100" w:beforeAutospacing="1" w:after="100" w:afterAutospacing="1"/>
              <w:jc w:val="center"/>
            </w:pPr>
            <w:r w:rsidRPr="007640D9">
              <w:t>X</w:t>
            </w:r>
          </w:p>
        </w:tc>
        <w:tc>
          <w:tcPr>
            <w:tcW w:w="1306"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0</w:t>
            </w:r>
          </w:p>
        </w:tc>
        <w:tc>
          <w:tcPr>
            <w:tcW w:w="1430" w:type="dxa"/>
            <w:hideMark/>
          </w:tcPr>
          <w:p w:rsidR="00AE772C" w:rsidRPr="007640D9" w:rsidRDefault="00AE772C" w:rsidP="009B5E1C">
            <w:pPr>
              <w:spacing w:before="100" w:beforeAutospacing="1" w:after="100" w:afterAutospacing="1"/>
              <w:jc w:val="center"/>
            </w:pPr>
            <w:r>
              <w:t>-28,1</w:t>
            </w:r>
          </w:p>
        </w:tc>
        <w:tc>
          <w:tcPr>
            <w:tcW w:w="1615" w:type="dxa"/>
            <w:hideMark/>
          </w:tcPr>
          <w:p w:rsidR="00AE772C" w:rsidRPr="007640D9" w:rsidRDefault="00AE772C" w:rsidP="009B5E1C">
            <w:pPr>
              <w:spacing w:before="100" w:beforeAutospacing="1" w:after="100" w:afterAutospacing="1"/>
              <w:jc w:val="center"/>
            </w:pPr>
            <w:r>
              <w:t>-28,1</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5.1. valsts pamatbudžets</w:t>
            </w:r>
          </w:p>
        </w:tc>
        <w:tc>
          <w:tcPr>
            <w:tcW w:w="0" w:type="auto"/>
            <w:vMerge/>
            <w:vAlign w:val="center"/>
            <w:hideMark/>
          </w:tcPr>
          <w:p w:rsidR="00AE772C" w:rsidRPr="00FC7B3D" w:rsidRDefault="00AE772C" w:rsidP="009B5E1C">
            <w:pPr>
              <w:jc w:val="center"/>
              <w:rPr>
                <w:sz w:val="28"/>
                <w:szCs w:val="28"/>
              </w:rPr>
            </w:pPr>
          </w:p>
        </w:tc>
        <w:tc>
          <w:tcPr>
            <w:tcW w:w="1306" w:type="dxa"/>
            <w:hideMark/>
          </w:tcPr>
          <w:p w:rsidR="00AE772C" w:rsidRPr="00FC7B3D" w:rsidRDefault="00AE772C" w:rsidP="009B5E1C">
            <w:pPr>
              <w:spacing w:before="100" w:beforeAutospacing="1" w:after="100" w:afterAutospacing="1"/>
              <w:jc w:val="center"/>
              <w:rPr>
                <w:sz w:val="28"/>
                <w:szCs w:val="28"/>
              </w:rPr>
            </w:pPr>
            <w:r>
              <w:t>0</w:t>
            </w:r>
          </w:p>
        </w:tc>
        <w:tc>
          <w:tcPr>
            <w:tcW w:w="1430" w:type="dxa"/>
            <w:hideMark/>
          </w:tcPr>
          <w:p w:rsidR="00AE772C" w:rsidRPr="00FC7B3D" w:rsidRDefault="00AE772C" w:rsidP="009B5E1C">
            <w:pPr>
              <w:spacing w:before="100" w:beforeAutospacing="1" w:after="100" w:afterAutospacing="1"/>
              <w:jc w:val="center"/>
              <w:rPr>
                <w:sz w:val="28"/>
                <w:szCs w:val="28"/>
              </w:rPr>
            </w:pPr>
            <w:r>
              <w:t>0</w:t>
            </w:r>
          </w:p>
        </w:tc>
        <w:tc>
          <w:tcPr>
            <w:tcW w:w="1430" w:type="dxa"/>
            <w:hideMark/>
          </w:tcPr>
          <w:p w:rsidR="00AE772C" w:rsidRPr="00FC7B3D" w:rsidRDefault="00AE772C" w:rsidP="009B5E1C">
            <w:pPr>
              <w:spacing w:before="100" w:beforeAutospacing="1" w:after="100" w:afterAutospacing="1"/>
              <w:jc w:val="center"/>
              <w:rPr>
                <w:sz w:val="28"/>
                <w:szCs w:val="28"/>
              </w:rPr>
            </w:pPr>
            <w:r>
              <w:t>-28,1</w:t>
            </w:r>
          </w:p>
        </w:tc>
        <w:tc>
          <w:tcPr>
            <w:tcW w:w="1615" w:type="dxa"/>
            <w:hideMark/>
          </w:tcPr>
          <w:p w:rsidR="00AE772C" w:rsidRPr="00FC7B3D" w:rsidRDefault="00AE772C" w:rsidP="009B5E1C">
            <w:pPr>
              <w:spacing w:before="100" w:beforeAutospacing="1" w:after="100" w:afterAutospacing="1"/>
              <w:jc w:val="center"/>
              <w:rPr>
                <w:sz w:val="28"/>
                <w:szCs w:val="28"/>
              </w:rPr>
            </w:pPr>
            <w:r>
              <w:t>-28,1</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5.2. speciālais budžets</w:t>
            </w:r>
          </w:p>
        </w:tc>
        <w:tc>
          <w:tcPr>
            <w:tcW w:w="0" w:type="auto"/>
            <w:vMerge/>
            <w:vAlign w:val="center"/>
            <w:hideMark/>
          </w:tcPr>
          <w:p w:rsidR="00AE772C" w:rsidRPr="00FC7B3D" w:rsidRDefault="00AE772C" w:rsidP="009B5E1C">
            <w:pPr>
              <w:rPr>
                <w:sz w:val="28"/>
                <w:szCs w:val="28"/>
              </w:rPr>
            </w:pPr>
          </w:p>
        </w:tc>
        <w:tc>
          <w:tcPr>
            <w:tcW w:w="1306" w:type="dxa"/>
            <w:hideMark/>
          </w:tcPr>
          <w:p w:rsidR="00AE772C" w:rsidRPr="00FC7B3D" w:rsidRDefault="00AE772C" w:rsidP="009B5E1C">
            <w:pPr>
              <w:spacing w:before="100" w:beforeAutospacing="1" w:after="100" w:afterAutospacing="1"/>
              <w:rPr>
                <w:sz w:val="28"/>
                <w:szCs w:val="28"/>
              </w:rPr>
            </w:pPr>
            <w:r w:rsidRPr="007640D9">
              <w:t>  </w:t>
            </w:r>
          </w:p>
        </w:tc>
        <w:tc>
          <w:tcPr>
            <w:tcW w:w="1430" w:type="dxa"/>
            <w:hideMark/>
          </w:tcPr>
          <w:p w:rsidR="00AE772C" w:rsidRPr="00FC7B3D" w:rsidRDefault="00AE772C" w:rsidP="009B5E1C">
            <w:pPr>
              <w:spacing w:before="100" w:beforeAutospacing="1" w:after="100" w:afterAutospacing="1"/>
              <w:rPr>
                <w:sz w:val="28"/>
                <w:szCs w:val="28"/>
              </w:rPr>
            </w:pPr>
            <w:r w:rsidRPr="007640D9">
              <w:t>  </w:t>
            </w:r>
          </w:p>
        </w:tc>
        <w:tc>
          <w:tcPr>
            <w:tcW w:w="1430" w:type="dxa"/>
            <w:hideMark/>
          </w:tcPr>
          <w:p w:rsidR="00AE772C" w:rsidRPr="00FC7B3D" w:rsidRDefault="00AE772C" w:rsidP="009B5E1C">
            <w:pPr>
              <w:spacing w:before="100" w:beforeAutospacing="1" w:after="100" w:afterAutospacing="1"/>
              <w:rPr>
                <w:sz w:val="28"/>
                <w:szCs w:val="28"/>
              </w:rPr>
            </w:pPr>
            <w:r w:rsidRPr="007640D9">
              <w:t>  </w:t>
            </w:r>
          </w:p>
        </w:tc>
        <w:tc>
          <w:tcPr>
            <w:tcW w:w="1615" w:type="dxa"/>
            <w:hideMark/>
          </w:tcPr>
          <w:p w:rsidR="00AE772C" w:rsidRPr="00FC7B3D" w:rsidRDefault="00AE772C" w:rsidP="009B5E1C">
            <w:pPr>
              <w:spacing w:before="100" w:beforeAutospacing="1" w:after="100" w:afterAutospacing="1"/>
              <w:rPr>
                <w:sz w:val="28"/>
                <w:szCs w:val="28"/>
              </w:rPr>
            </w:pPr>
            <w:r w:rsidRPr="007640D9">
              <w:t>  </w:t>
            </w:r>
          </w:p>
        </w:tc>
      </w:tr>
      <w:tr w:rsidR="00AE772C" w:rsidRPr="00FC7B3D" w:rsidTr="009B5E1C">
        <w:tc>
          <w:tcPr>
            <w:tcW w:w="2777" w:type="dxa"/>
            <w:hideMark/>
          </w:tcPr>
          <w:p w:rsidR="00AE772C" w:rsidRPr="00FC7B3D" w:rsidRDefault="00AE772C" w:rsidP="009B5E1C">
            <w:pPr>
              <w:spacing w:before="100" w:beforeAutospacing="1" w:after="100" w:afterAutospacing="1"/>
              <w:rPr>
                <w:sz w:val="28"/>
                <w:szCs w:val="28"/>
              </w:rPr>
            </w:pPr>
            <w:r w:rsidRPr="00FC7B3D">
              <w:rPr>
                <w:sz w:val="28"/>
                <w:szCs w:val="28"/>
              </w:rPr>
              <w:t> 5.3. pašvaldību budžets</w:t>
            </w:r>
          </w:p>
        </w:tc>
        <w:tc>
          <w:tcPr>
            <w:tcW w:w="0" w:type="auto"/>
            <w:vMerge/>
            <w:vAlign w:val="center"/>
            <w:hideMark/>
          </w:tcPr>
          <w:p w:rsidR="00AE772C" w:rsidRPr="00FC7B3D" w:rsidRDefault="00AE772C" w:rsidP="009B5E1C">
            <w:pPr>
              <w:rPr>
                <w:sz w:val="28"/>
                <w:szCs w:val="28"/>
              </w:rPr>
            </w:pPr>
          </w:p>
        </w:tc>
        <w:tc>
          <w:tcPr>
            <w:tcW w:w="1306" w:type="dxa"/>
            <w:hideMark/>
          </w:tcPr>
          <w:p w:rsidR="00AE772C" w:rsidRPr="00FC7B3D" w:rsidRDefault="00AE772C" w:rsidP="009B5E1C">
            <w:pPr>
              <w:spacing w:before="100" w:beforeAutospacing="1" w:after="100" w:afterAutospacing="1"/>
              <w:rPr>
                <w:sz w:val="28"/>
                <w:szCs w:val="28"/>
              </w:rPr>
            </w:pPr>
            <w:r w:rsidRPr="007640D9">
              <w:t>  </w:t>
            </w:r>
          </w:p>
        </w:tc>
        <w:tc>
          <w:tcPr>
            <w:tcW w:w="1430" w:type="dxa"/>
            <w:hideMark/>
          </w:tcPr>
          <w:p w:rsidR="00AE772C" w:rsidRPr="00FC7B3D" w:rsidRDefault="00AE772C" w:rsidP="009B5E1C">
            <w:pPr>
              <w:spacing w:before="100" w:beforeAutospacing="1" w:after="100" w:afterAutospacing="1"/>
              <w:rPr>
                <w:sz w:val="28"/>
                <w:szCs w:val="28"/>
              </w:rPr>
            </w:pPr>
            <w:r w:rsidRPr="007640D9">
              <w:t>  </w:t>
            </w:r>
          </w:p>
        </w:tc>
        <w:tc>
          <w:tcPr>
            <w:tcW w:w="1430" w:type="dxa"/>
            <w:hideMark/>
          </w:tcPr>
          <w:p w:rsidR="00AE772C" w:rsidRPr="00FC7B3D" w:rsidRDefault="00AE772C" w:rsidP="009B5E1C">
            <w:pPr>
              <w:spacing w:before="100" w:beforeAutospacing="1" w:after="100" w:afterAutospacing="1"/>
              <w:rPr>
                <w:sz w:val="28"/>
                <w:szCs w:val="28"/>
              </w:rPr>
            </w:pPr>
            <w:r w:rsidRPr="007640D9">
              <w:t>  </w:t>
            </w:r>
          </w:p>
        </w:tc>
        <w:tc>
          <w:tcPr>
            <w:tcW w:w="1615" w:type="dxa"/>
            <w:hideMark/>
          </w:tcPr>
          <w:p w:rsidR="00AE772C" w:rsidRPr="00FC7B3D" w:rsidRDefault="00AE772C" w:rsidP="009B5E1C">
            <w:pPr>
              <w:spacing w:before="100" w:beforeAutospacing="1" w:after="100" w:afterAutospacing="1"/>
              <w:rPr>
                <w:sz w:val="28"/>
                <w:szCs w:val="28"/>
              </w:rPr>
            </w:pPr>
            <w:r w:rsidRPr="007640D9">
              <w:t>  </w:t>
            </w:r>
          </w:p>
        </w:tc>
      </w:tr>
      <w:tr w:rsidR="00AE772C" w:rsidRPr="000E1F90" w:rsidTr="009B5E1C">
        <w:tc>
          <w:tcPr>
            <w:tcW w:w="2777" w:type="dxa"/>
            <w:hideMark/>
          </w:tcPr>
          <w:p w:rsidR="00AE772C" w:rsidRPr="000E1F90" w:rsidRDefault="00AE772C" w:rsidP="009B5E1C">
            <w:pPr>
              <w:spacing w:before="100" w:beforeAutospacing="1" w:after="100" w:afterAutospacing="1"/>
              <w:rPr>
                <w:sz w:val="28"/>
                <w:szCs w:val="28"/>
              </w:rPr>
            </w:pPr>
            <w:r w:rsidRPr="00FC7B3D">
              <w:rPr>
                <w:sz w:val="28"/>
                <w:szCs w:val="28"/>
              </w:rPr>
              <w:t> </w:t>
            </w:r>
            <w:r w:rsidRPr="000E1F90">
              <w:rPr>
                <w:sz w:val="28"/>
                <w:szCs w:val="28"/>
              </w:rPr>
              <w:t>6. Detalizēts ieņēmumu un izdevumu aprēķins (ja nepieciešams, detalizētu ieņēmumu un izdevumu aprēķinu var pievienot anotācijas pielikumā):</w:t>
            </w:r>
          </w:p>
        </w:tc>
        <w:tc>
          <w:tcPr>
            <w:tcW w:w="7005" w:type="dxa"/>
            <w:gridSpan w:val="5"/>
            <w:vMerge w:val="restart"/>
            <w:hideMark/>
          </w:tcPr>
          <w:p w:rsidR="00AE772C" w:rsidRPr="000E1F90" w:rsidRDefault="00AE772C" w:rsidP="009B5E1C">
            <w:pPr>
              <w:spacing w:before="100" w:beforeAutospacing="1" w:after="100" w:afterAutospacing="1"/>
              <w:jc w:val="both"/>
              <w:rPr>
                <w:b/>
                <w:sz w:val="28"/>
                <w:szCs w:val="28"/>
              </w:rPr>
            </w:pPr>
            <w:r w:rsidRPr="000E1F90">
              <w:rPr>
                <w:b/>
                <w:sz w:val="28"/>
                <w:szCs w:val="28"/>
              </w:rPr>
              <w:t>6.1. detalizēts ieņēmumu aprēķins</w:t>
            </w:r>
          </w:p>
          <w:p w:rsidR="00AE772C" w:rsidRPr="000E1F90" w:rsidRDefault="00AE772C" w:rsidP="009B5E1C">
            <w:pPr>
              <w:spacing w:before="100" w:beforeAutospacing="1" w:after="100" w:afterAutospacing="1"/>
              <w:jc w:val="both"/>
              <w:rPr>
                <w:rFonts w:eastAsia="Calibri"/>
                <w:b/>
                <w:sz w:val="28"/>
                <w:szCs w:val="28"/>
              </w:rPr>
            </w:pPr>
            <w:r w:rsidRPr="000E1F90">
              <w:rPr>
                <w:rFonts w:eastAsia="Calibri"/>
                <w:b/>
                <w:sz w:val="28"/>
                <w:szCs w:val="28"/>
              </w:rPr>
              <w:t>6.2. detalizēts izdevumu aprēķins</w:t>
            </w:r>
          </w:p>
          <w:p w:rsidR="00AE772C" w:rsidRPr="000E1F90" w:rsidRDefault="00AE772C" w:rsidP="009B5E1C">
            <w:pPr>
              <w:spacing w:before="100" w:beforeAutospacing="1" w:after="100" w:afterAutospacing="1"/>
              <w:jc w:val="both"/>
              <w:rPr>
                <w:rFonts w:eastAsia="Calibri"/>
                <w:b/>
                <w:sz w:val="28"/>
                <w:szCs w:val="28"/>
                <w:u w:val="single"/>
              </w:rPr>
            </w:pPr>
            <w:r w:rsidRPr="000E1F90">
              <w:rPr>
                <w:rFonts w:eastAsia="Calibri"/>
                <w:b/>
                <w:sz w:val="28"/>
                <w:szCs w:val="28"/>
                <w:u w:val="single"/>
              </w:rPr>
              <w:t>2013. gads</w:t>
            </w:r>
          </w:p>
          <w:p w:rsidR="00AE772C" w:rsidRPr="000E1F90" w:rsidRDefault="00AE772C" w:rsidP="009B5E1C">
            <w:pPr>
              <w:jc w:val="both"/>
              <w:rPr>
                <w:rFonts w:eastAsia="Calibri"/>
                <w:sz w:val="28"/>
                <w:szCs w:val="28"/>
              </w:rPr>
            </w:pPr>
            <w:r w:rsidRPr="000E1F90">
              <w:rPr>
                <w:rFonts w:eastAsia="Calibri"/>
                <w:sz w:val="28"/>
                <w:szCs w:val="28"/>
              </w:rPr>
              <w:t>Saskaņā ar „Tiesu izpildītāju likuma” 156</w:t>
            </w:r>
            <w:r w:rsidRPr="000E1F90">
              <w:rPr>
                <w:rFonts w:eastAsia="Calibri"/>
                <w:sz w:val="28"/>
                <w:szCs w:val="28"/>
                <w:vertAlign w:val="superscript"/>
              </w:rPr>
              <w:t>1</w:t>
            </w:r>
            <w:r w:rsidRPr="000E1F90">
              <w:rPr>
                <w:rFonts w:eastAsia="Calibri"/>
                <w:sz w:val="28"/>
                <w:szCs w:val="28"/>
              </w:rPr>
              <w:t xml:space="preserve">. panta trešo daļu Tiesu administrācija kopš 2012. gada 1. janvāra ir Izpildu lietu reģistra (turpmāk - ILR) sistēmas turētāja, bet saskaņā ar Valsts informācijas sistēmu likuma 8. pantu reģistra uzturēšanai Tiesu administrācijai nepieciešams nodrošināt sekojošas funkcijas un atbildēt par: datu apstrādi, glabāšanu, izmantošanu, pārraidīšanu, publicēšanu, atbilstību iesniegtajiem datiem, aktualizēšanu, labošanu, kā arī datu kvalitāti valsts informācijas sistēmā, datu lietošanu un to apmaiņu starp valsts informācijas sistēmām elektroniskā veidā; piekļūšanu apritē esošajai informācijai elektroniskā veidā; sistēmas lietotāju konsultēšanu; iespēju valsts informācijas sistēmas lietotājiem pieejamos informatīvos pakalpojumus saņemt elektroniskā veidā, izmantojot informācijas tehnoloģijas; valsts informācijas sistēmas arhīva formēšanu elektroniskā veidā, tā saglabāšanu, datu rezerves kopiju sagatavošanu, datu drošību un aizsardzību; valsts informācijas sistēmas dokumentācijas izstrādāšanu, uzturēšanu un pieejamību atbilstoši Latvijas standartiem un citām ar reģistru saistošām administrēšanas funkcijām; drošības sistēmas dokumentācijas uzturēšanu, kā arī integrētu datu apmaiņu vismaz ar 15 ārējo reģistru komponentēm. </w:t>
            </w:r>
          </w:p>
          <w:p w:rsidR="00AE772C" w:rsidRPr="000E1F90" w:rsidRDefault="00AE772C" w:rsidP="009B5E1C">
            <w:pPr>
              <w:ind w:firstLine="518"/>
              <w:jc w:val="both"/>
              <w:rPr>
                <w:rFonts w:eastAsia="Calibri"/>
                <w:sz w:val="28"/>
                <w:szCs w:val="28"/>
              </w:rPr>
            </w:pPr>
            <w:r w:rsidRPr="000E1F90">
              <w:rPr>
                <w:rFonts w:eastAsia="Calibri"/>
                <w:sz w:val="28"/>
                <w:szCs w:val="28"/>
              </w:rPr>
              <w:t>Reģistra programmatūru lietos 116 zvērinātu tiesu izpildītāju iecirkņi. Katra iecirkņa pakļautībā ir vidēji trīs līdz pieci darbinieki. Reģistram jau šobrīd ir piesaistīti 350 lietotāji un plānots, ka šis lietotāju skaits palielināsies līdz 500 lietotājiem.</w:t>
            </w:r>
          </w:p>
          <w:p w:rsidR="00AE772C" w:rsidRPr="000E1F90" w:rsidRDefault="00AE772C" w:rsidP="009B5E1C">
            <w:pPr>
              <w:ind w:firstLine="518"/>
              <w:jc w:val="both"/>
              <w:rPr>
                <w:rFonts w:eastAsia="Calibri"/>
                <w:sz w:val="28"/>
                <w:szCs w:val="28"/>
              </w:rPr>
            </w:pPr>
            <w:r w:rsidRPr="000E1F90">
              <w:rPr>
                <w:rFonts w:eastAsia="Calibri"/>
                <w:sz w:val="28"/>
                <w:szCs w:val="28"/>
              </w:rPr>
              <w:t xml:space="preserve">ILR ir informācijas sistēma, kuras funkcionalitāte nodrošināta ar speciāli izstrādātu automatizētu sistēmas programmatūru. Informācijas sistēmai ir trīspakāpju klienta-servera arhitektūra, centralizēta relāciju datu bāzes vadības sistēma (RDBMS) un tīmekļa (Web) lietojuma programmatūras interfeiss. Datu krātuve veidota SQL datu bāzes vadības sistēmā - Microsoft SQL Server. Papildus ILR nodrošina specifiskas datu apmaiņas ar trešo pušu informācijas sistēmām, izmantojot </w:t>
            </w:r>
            <w:proofErr w:type="spellStart"/>
            <w:r w:rsidRPr="000E1F90">
              <w:rPr>
                <w:rFonts w:eastAsia="Calibri"/>
                <w:sz w:val="28"/>
                <w:szCs w:val="28"/>
              </w:rPr>
              <w:t>web</w:t>
            </w:r>
            <w:proofErr w:type="spellEnd"/>
            <w:r w:rsidRPr="000E1F90">
              <w:rPr>
                <w:rFonts w:eastAsia="Calibri"/>
                <w:sz w:val="28"/>
                <w:szCs w:val="28"/>
              </w:rPr>
              <w:t xml:space="preserve"> servisus, kas veidoti, balstoties uz WSDL valodu un SOAP protokolu.</w:t>
            </w:r>
          </w:p>
          <w:p w:rsidR="00AE772C" w:rsidRPr="000E1F90" w:rsidRDefault="00AE772C" w:rsidP="009B5E1C">
            <w:pPr>
              <w:ind w:firstLine="518"/>
              <w:jc w:val="both"/>
              <w:rPr>
                <w:rFonts w:eastAsia="Calibri"/>
                <w:bCs/>
                <w:sz w:val="28"/>
                <w:szCs w:val="28"/>
              </w:rPr>
            </w:pPr>
            <w:r w:rsidRPr="000E1F90">
              <w:rPr>
                <w:rFonts w:eastAsia="Calibri"/>
                <w:bCs/>
                <w:sz w:val="28"/>
                <w:szCs w:val="28"/>
              </w:rPr>
              <w:t xml:space="preserve">ILR informācijas sistēma un tās datu bāzes atrodas uz serveriem un Tiesu administrācija sadarbībā ar Valsts akciju sabiedrību “Tiesu namu aģentūra” veic ILR infrastruktūras uzturēšanu. </w:t>
            </w:r>
          </w:p>
          <w:p w:rsidR="00AE772C" w:rsidRPr="000E1F90" w:rsidRDefault="00AE772C" w:rsidP="009B5E1C">
            <w:pPr>
              <w:ind w:firstLine="518"/>
              <w:jc w:val="both"/>
              <w:rPr>
                <w:rFonts w:eastAsia="Calibri"/>
                <w:sz w:val="28"/>
                <w:szCs w:val="28"/>
              </w:rPr>
            </w:pPr>
            <w:r w:rsidRPr="000E1F90">
              <w:rPr>
                <w:rFonts w:eastAsia="Calibri"/>
                <w:sz w:val="28"/>
                <w:szCs w:val="28"/>
              </w:rPr>
              <w:t xml:space="preserve">ILR tiek veikti arī informācijas resursu loģiskās aizsardzības pasākumi, nodrošinot sistēmas lietotāju reģistrāciju, sistēmas piekļuves piešķiršanu un slēgšanu, kā arī ir izveidotas vairākas lietotāju grupas ar atšķirīgām piekļuves tiesībām un funkcionālajām iespējām. </w:t>
            </w:r>
          </w:p>
          <w:p w:rsidR="00AE772C" w:rsidRPr="000E1F90" w:rsidRDefault="00AE772C" w:rsidP="009B5E1C">
            <w:pPr>
              <w:jc w:val="both"/>
              <w:rPr>
                <w:rFonts w:eastAsia="Calibri"/>
                <w:b/>
                <w:sz w:val="28"/>
                <w:szCs w:val="28"/>
              </w:rPr>
            </w:pPr>
          </w:p>
          <w:p w:rsidR="00AE772C" w:rsidRPr="000E1F90" w:rsidRDefault="00AE772C" w:rsidP="009B5E1C">
            <w:pPr>
              <w:jc w:val="both"/>
              <w:rPr>
                <w:rFonts w:eastAsia="Calibri"/>
                <w:b/>
                <w:sz w:val="28"/>
                <w:szCs w:val="28"/>
              </w:rPr>
            </w:pPr>
            <w:r w:rsidRPr="000E1F90">
              <w:rPr>
                <w:rFonts w:eastAsia="Calibri"/>
                <w:b/>
                <w:sz w:val="28"/>
                <w:szCs w:val="28"/>
              </w:rPr>
              <w:t>Precēm un pakalpojumiem – Ls 20 014, t.sk.</w:t>
            </w:r>
          </w:p>
          <w:p w:rsidR="00AE772C" w:rsidRPr="000E1F90" w:rsidRDefault="00AE772C" w:rsidP="009B5E1C">
            <w:pPr>
              <w:pStyle w:val="ListParagraph"/>
              <w:keepNext/>
              <w:keepLines/>
              <w:numPr>
                <w:ilvl w:val="0"/>
                <w:numId w:val="3"/>
              </w:numPr>
              <w:jc w:val="both"/>
              <w:outlineLvl w:val="2"/>
              <w:rPr>
                <w:color w:val="000000"/>
                <w:sz w:val="28"/>
                <w:szCs w:val="28"/>
              </w:rPr>
            </w:pPr>
            <w:r w:rsidRPr="000E1F90">
              <w:rPr>
                <w:color w:val="000000"/>
                <w:sz w:val="28"/>
                <w:szCs w:val="28"/>
              </w:rPr>
              <w:t>Informācijas tehnoloģiju pakalpojumi (Izpildu lietu reģistra datu pārraides tīkla savienojuma uzturēšanai, servera aparatūras uzturēšanai, programmatūras uzturēšanai, datu bāzes vadības sistēmas uzturēšanai)  – Ls 20 014;</w:t>
            </w:r>
          </w:p>
          <w:p w:rsidR="00AE772C" w:rsidRPr="000E1F90" w:rsidRDefault="00AE772C" w:rsidP="009B5E1C">
            <w:pPr>
              <w:keepNext/>
              <w:keepLines/>
              <w:ind w:left="360"/>
              <w:jc w:val="both"/>
              <w:outlineLvl w:val="2"/>
              <w:rPr>
                <w:b/>
                <w:color w:val="000000"/>
                <w:sz w:val="28"/>
                <w:szCs w:val="28"/>
              </w:rPr>
            </w:pPr>
          </w:p>
          <w:p w:rsidR="00AE772C" w:rsidRPr="000E1F90" w:rsidRDefault="00AE772C" w:rsidP="009B5E1C">
            <w:pPr>
              <w:keepNext/>
              <w:keepLines/>
              <w:jc w:val="both"/>
              <w:outlineLvl w:val="2"/>
              <w:rPr>
                <w:b/>
                <w:color w:val="000000"/>
                <w:sz w:val="28"/>
                <w:szCs w:val="28"/>
              </w:rPr>
            </w:pPr>
            <w:r w:rsidRPr="000E1F90">
              <w:rPr>
                <w:b/>
                <w:color w:val="000000"/>
                <w:sz w:val="28"/>
                <w:szCs w:val="28"/>
              </w:rPr>
              <w:t>Kopā 2013.gadā – Ls 20 014;</w:t>
            </w:r>
          </w:p>
          <w:p w:rsidR="00AE772C" w:rsidRPr="000E1F90" w:rsidRDefault="00AE772C" w:rsidP="009B5E1C">
            <w:pPr>
              <w:spacing w:before="100" w:beforeAutospacing="1" w:after="100" w:afterAutospacing="1"/>
              <w:jc w:val="both"/>
              <w:rPr>
                <w:rFonts w:eastAsia="Calibri"/>
                <w:b/>
                <w:sz w:val="28"/>
                <w:szCs w:val="28"/>
                <w:u w:val="single"/>
              </w:rPr>
            </w:pPr>
            <w:r w:rsidRPr="000E1F90">
              <w:rPr>
                <w:rFonts w:eastAsia="Calibri"/>
                <w:b/>
                <w:sz w:val="28"/>
                <w:szCs w:val="28"/>
                <w:u w:val="single"/>
              </w:rPr>
              <w:t>2014. gads un turpmākie gadi</w:t>
            </w:r>
          </w:p>
          <w:p w:rsidR="00AE772C" w:rsidRPr="000E1F90" w:rsidRDefault="00AE772C" w:rsidP="009B5E1C">
            <w:pPr>
              <w:ind w:firstLine="518"/>
              <w:jc w:val="both"/>
              <w:rPr>
                <w:rFonts w:eastAsia="Calibri"/>
                <w:sz w:val="28"/>
                <w:szCs w:val="28"/>
              </w:rPr>
            </w:pPr>
            <w:r w:rsidRPr="000E1F90">
              <w:rPr>
                <w:rFonts w:eastAsia="Calibri"/>
                <w:sz w:val="28"/>
                <w:szCs w:val="28"/>
              </w:rPr>
              <w:t xml:space="preserve">ILR informācijas sistēma ir funkcionāli līdzvērtīga Tiesu informācijas sistēmai un Valsts vienotai datorizētai zemesgrāmatas informācijas sistēmai, kuru funkciju izpildi nodrošina divas neatkarīgas struktūrvienības, līdz ar to, lai nodrošinātu pilnvērtīgu ILR darbību, Tiesu administrācijai reģistra funkciju nodrošināšanai, sākot ar 2014.gadu, ir nepieciešams finansējums, lai varētu no valsts budžeta līdzekļiem noalgot divus darbiniekus, kuri nodrošinātu ILR nepārtrauktu darbību un kuri spētu prombūtnes (atvaļinājuma, slimības u.tml.) laikā viens otru aizvietot. </w:t>
            </w:r>
          </w:p>
          <w:p w:rsidR="00AE772C" w:rsidRPr="000E1F90" w:rsidRDefault="00AE772C" w:rsidP="009B5E1C">
            <w:pPr>
              <w:ind w:firstLine="518"/>
              <w:jc w:val="both"/>
              <w:rPr>
                <w:rFonts w:eastAsia="Calibri"/>
                <w:sz w:val="28"/>
                <w:szCs w:val="28"/>
              </w:rPr>
            </w:pPr>
            <w:r w:rsidRPr="000E1F90">
              <w:rPr>
                <w:rFonts w:eastAsia="Calibri"/>
                <w:sz w:val="28"/>
                <w:szCs w:val="28"/>
              </w:rPr>
              <w:t>Tiesu administrācijai ir nepieciešamas šādas amata vietas:</w:t>
            </w:r>
          </w:p>
          <w:p w:rsidR="00AE772C" w:rsidRPr="000E1F90" w:rsidRDefault="00AE772C" w:rsidP="009B5E1C">
            <w:pPr>
              <w:pStyle w:val="ListParagraph"/>
              <w:numPr>
                <w:ilvl w:val="0"/>
                <w:numId w:val="1"/>
              </w:numPr>
              <w:tabs>
                <w:tab w:val="left" w:pos="320"/>
              </w:tabs>
              <w:ind w:left="37" w:firstLine="0"/>
              <w:jc w:val="both"/>
              <w:rPr>
                <w:rFonts w:eastAsia="Calibri"/>
                <w:sz w:val="28"/>
                <w:szCs w:val="28"/>
              </w:rPr>
            </w:pPr>
            <w:r w:rsidRPr="000E1F90">
              <w:rPr>
                <w:rFonts w:eastAsia="Calibri"/>
                <w:sz w:val="28"/>
                <w:szCs w:val="28"/>
                <w:u w:val="single"/>
              </w:rPr>
              <w:t>Viena nodaļas vadītāja vieta</w:t>
            </w:r>
            <w:r w:rsidRPr="000E1F90">
              <w:rPr>
                <w:rFonts w:eastAsia="Calibri"/>
                <w:sz w:val="28"/>
                <w:szCs w:val="28"/>
              </w:rPr>
              <w:t>, kas nepieciešama, lai vadītu un uzraudzītu ILR informācijas sistēmas darbību, kas saistīta ar programmatūras atjauninājumu ieviešanu, lietotāju administrēšanu, regulāri veicot sistēmas testus produkcijas un testa vidē; plānotu un organizētu nodaļas darbu; kontrolētu kompetencē esošo uzdevumu savlaicīgu un kvalitatīvu izpildi; uzraudzītu, koordinētu un kontrolētu tehnisko specifikāciju izstrādi ILR papildinājumiem un metodiskos norādījumus ILR lietotājiem; organizētu un nodrošinātu sistēmas tehnisko uzturēšanu, informācijas un statistikas sagatavošanu par kompetencē esošajiem jautājumiem; ieviešot jaunas tehnoloģijas, kompetences ietvaros organizētu lietotājiem apmācības, piedalītos reģistra pārraudzībā esošo projektu realizēšanā; sagatavotu atbildes uz lietotāju iesniegumiem, sūdzībām, vēstulēm un sniegtu atbildes gan telefoniski, gan elektroniski, kā arī sistēmas uzraudzībai, testēšanai un turpmākai attīstībai, lietotāju kontu administrēšanai, lietotāju uzskaites ierakstu radīšanai un to pārvaldībai; reģistra datu kvalitātes pārbaužu veikšanai, nepilnību un kļūdu novēršanai sadarbībā ar Latvijas Zvērinātu tiesu izpildītāju padomi un reģistra izstrādātājiem, tādejādi nodrošinot savlaicīgu nepieciešamo programmu izmaiņu ieviešanu, kā arī, lai nodrošinātu reģistra sistēmas veiktspēju un pieejamību; piedalītos Latvijas Zvērinātu tiesu izpildītāju padomes, Tiesu administrācijas uzdevumos, kas saistīti ar Izpildu lietu reģistra īstenošanā, normatīvo aktu un projektu izstrādi, reģistra sistēmas darbības nodrošināšanai, kā arī, lai organizētu un piedalītos darba grupās ar citām iestādēm, kas iesaistītas datu apmaiņas vai citas ILR funkcionalitātes izstrādē; apstrādāt reģistra sistēmas lietotāju pieprasījumus un izmaiņu pieprasījumus par reģistra sistēmas darbību, sagatavot par tiem atzinumus un skaidrojumus, nodrošināt nepieciešamo reģistra datu apmaiņu ar ārējiem reģistriem vai sistēmām.</w:t>
            </w:r>
            <w:r w:rsidRPr="000E1F90">
              <w:rPr>
                <w:rFonts w:eastAsia="Calibri"/>
                <w:sz w:val="28"/>
                <w:szCs w:val="28"/>
                <w:u w:val="single"/>
              </w:rPr>
              <w:t xml:space="preserve"> </w:t>
            </w:r>
          </w:p>
          <w:p w:rsidR="00AE772C" w:rsidRPr="000E1F90" w:rsidRDefault="00AE772C" w:rsidP="009B5E1C">
            <w:pPr>
              <w:pStyle w:val="ListParagraph"/>
              <w:numPr>
                <w:ilvl w:val="0"/>
                <w:numId w:val="1"/>
              </w:numPr>
              <w:tabs>
                <w:tab w:val="left" w:pos="320"/>
              </w:tabs>
              <w:ind w:left="37" w:firstLine="0"/>
              <w:jc w:val="both"/>
              <w:rPr>
                <w:rFonts w:eastAsia="Calibri"/>
                <w:sz w:val="28"/>
                <w:szCs w:val="28"/>
              </w:rPr>
            </w:pPr>
            <w:r w:rsidRPr="000E1F90">
              <w:rPr>
                <w:rFonts w:eastAsia="Calibri"/>
                <w:sz w:val="28"/>
                <w:szCs w:val="28"/>
                <w:u w:val="single"/>
              </w:rPr>
              <w:t>Viena vecākā referenta amata vieta</w:t>
            </w:r>
            <w:r w:rsidRPr="000E1F90">
              <w:rPr>
                <w:rFonts w:eastAsia="Calibri"/>
                <w:sz w:val="28"/>
                <w:szCs w:val="28"/>
              </w:rPr>
              <w:t>, kas plānotu un organizētu reģistra attīstības pasākumus, uzraudzītu reģistra programmatūras papildinājumu izstrādi un testēšanu; izstrādātu tehniskās specifikācijas reģistra papildinājumiem un metodiskos norādījumus reģistra lietotājiem; piedalītos Latvijas zvērinātu tiesu izpildītāju padomes, Tiesu administrācijas sanāksmēs, kas saistīti ar reģistra izveidi un pilnveidošanu, iekšējo normatīvo aktu un projektu izstrādi, reģistra sistēmas darbības nodrošināšanu; konsultētu reģistra lietotājus jautājumos, kas saistīti ar reģistra sistēmas izmantošanu un sagatavotu vienošanās projektus, noteikumu projektus, kā arī citus dokumentus, kas saistītas ar ārējo reģistru saslēgšu reģistra sistēmā, piemēram, Valsts ieņēmumu dienesta informācijas sistēmu; Tiesu informatīvo sistēmu; Iedzīvotāju reģistru; Uzņēmumu reģistra informācijas sistēmu; Ceļu satiksmes drošības direkcijas reģistru; Valsts vienotās datorizētās zemesgrāmatas reģistru; Valsts zemes dienesta Nekustamā īpašuma valsts kadastra informācijas sistēmu; Valsts Tehniskās uzraudzības aģentūra reģistru; Valsts sociālās apdrošināšanas aģentūras reģistru, Latvijas Vēstnesi un citiem reģistriem vai informācijas sistēmām, kas nepieciešamas, lai nodrošinātu pilnvērtīgu reģistra darbību (turpmāk – ārējie reģistri vai sistēmas);</w:t>
            </w:r>
          </w:p>
          <w:p w:rsidR="00AE772C" w:rsidRPr="000E1F90" w:rsidRDefault="00AE772C" w:rsidP="009B5E1C">
            <w:pPr>
              <w:pStyle w:val="ListParagraph"/>
              <w:tabs>
                <w:tab w:val="left" w:pos="320"/>
              </w:tabs>
              <w:ind w:left="37"/>
              <w:jc w:val="both"/>
              <w:rPr>
                <w:rFonts w:eastAsia="Calibri"/>
                <w:sz w:val="28"/>
                <w:szCs w:val="28"/>
              </w:rPr>
            </w:pPr>
          </w:p>
          <w:p w:rsidR="00AE772C" w:rsidRPr="000E1F90" w:rsidRDefault="00AE772C" w:rsidP="009B5E1C">
            <w:pPr>
              <w:keepNext/>
              <w:keepLines/>
              <w:jc w:val="both"/>
              <w:outlineLvl w:val="2"/>
              <w:rPr>
                <w:color w:val="000000"/>
                <w:sz w:val="28"/>
                <w:szCs w:val="28"/>
              </w:rPr>
            </w:pPr>
            <w:r w:rsidRPr="000E1F90">
              <w:rPr>
                <w:b/>
                <w:color w:val="000000"/>
                <w:sz w:val="28"/>
                <w:szCs w:val="28"/>
              </w:rPr>
              <w:t>Atlīdzībai – Ls 21 342</w:t>
            </w:r>
            <w:r w:rsidRPr="000E1F90">
              <w:rPr>
                <w:color w:val="000000"/>
                <w:sz w:val="28"/>
                <w:szCs w:val="28"/>
              </w:rPr>
              <w:t>, t.sk.:</w:t>
            </w:r>
          </w:p>
          <w:p w:rsidR="00AE772C" w:rsidRPr="000E1F90" w:rsidRDefault="00AE772C" w:rsidP="009B5E1C">
            <w:pPr>
              <w:pStyle w:val="ListParagraph"/>
              <w:keepNext/>
              <w:keepLines/>
              <w:numPr>
                <w:ilvl w:val="0"/>
                <w:numId w:val="2"/>
              </w:numPr>
              <w:jc w:val="both"/>
              <w:outlineLvl w:val="2"/>
              <w:rPr>
                <w:color w:val="000000"/>
                <w:sz w:val="28"/>
                <w:szCs w:val="28"/>
              </w:rPr>
            </w:pPr>
            <w:r w:rsidRPr="000E1F90">
              <w:rPr>
                <w:color w:val="000000"/>
                <w:sz w:val="28"/>
                <w:szCs w:val="28"/>
              </w:rPr>
              <w:t xml:space="preserve">Mēnešalga (viens Izpildu lietu reģistra informācijas sistēmas nodaļas vecākais referents, 35 amata saime, III līmenis, 10.algu grupa – Ls 577 mēnesī x 12 mēneši = Ls 6924 un viens Izpildu lietu reģistra informācijas sistēmas nodaļas vadītājs 35 amatu saime, IV B līmenis, 12.algu grupa – Ls 810 x 12 mēneši = Ls 9720) – </w:t>
            </w:r>
            <w:r w:rsidRPr="000E1F90">
              <w:rPr>
                <w:b/>
                <w:color w:val="000000"/>
                <w:sz w:val="28"/>
                <w:szCs w:val="28"/>
              </w:rPr>
              <w:t>Ls 16 644</w:t>
            </w:r>
            <w:r w:rsidRPr="000E1F90">
              <w:rPr>
                <w:color w:val="000000"/>
                <w:sz w:val="28"/>
                <w:szCs w:val="28"/>
              </w:rPr>
              <w:t>;</w:t>
            </w:r>
          </w:p>
          <w:p w:rsidR="00AE772C" w:rsidRPr="000E1F90" w:rsidRDefault="00AE772C" w:rsidP="009B5E1C">
            <w:pPr>
              <w:pStyle w:val="ListParagraph"/>
              <w:keepNext/>
              <w:keepLines/>
              <w:numPr>
                <w:ilvl w:val="0"/>
                <w:numId w:val="2"/>
              </w:numPr>
              <w:jc w:val="both"/>
              <w:outlineLvl w:val="2"/>
              <w:rPr>
                <w:color w:val="000000"/>
                <w:sz w:val="28"/>
                <w:szCs w:val="28"/>
              </w:rPr>
            </w:pPr>
            <w:r w:rsidRPr="000E1F90">
              <w:rPr>
                <w:color w:val="000000"/>
                <w:sz w:val="28"/>
                <w:szCs w:val="28"/>
              </w:rPr>
              <w:t xml:space="preserve">Piemaksa par prombūtnē esoša darbinieka aizvietošanu atbilstoši Valsts un pašvaldību institūciju amatpersonu un darbinieku atlīdzības likuma 14.panta pirmajai daļai (20% no mēnešalgas 2 darbiniekiem x 2 mēneši)– </w:t>
            </w:r>
            <w:r w:rsidRPr="000E1F90">
              <w:rPr>
                <w:b/>
                <w:color w:val="000000"/>
                <w:sz w:val="28"/>
                <w:szCs w:val="28"/>
              </w:rPr>
              <w:t>Ls 555</w:t>
            </w:r>
            <w:r w:rsidRPr="000E1F90">
              <w:rPr>
                <w:color w:val="000000"/>
                <w:sz w:val="28"/>
                <w:szCs w:val="28"/>
              </w:rPr>
              <w:t>;</w:t>
            </w:r>
          </w:p>
          <w:p w:rsidR="00AE772C" w:rsidRPr="000E1F90" w:rsidRDefault="00AE772C" w:rsidP="009B5E1C">
            <w:pPr>
              <w:pStyle w:val="ListParagraph"/>
              <w:keepNext/>
              <w:keepLines/>
              <w:numPr>
                <w:ilvl w:val="0"/>
                <w:numId w:val="2"/>
              </w:numPr>
              <w:jc w:val="both"/>
              <w:outlineLvl w:val="2"/>
              <w:rPr>
                <w:color w:val="000000"/>
                <w:sz w:val="28"/>
                <w:szCs w:val="28"/>
              </w:rPr>
            </w:pPr>
            <w:r w:rsidRPr="000E1F90">
              <w:rPr>
                <w:color w:val="000000"/>
                <w:sz w:val="28"/>
                <w:szCs w:val="28"/>
              </w:rPr>
              <w:t xml:space="preserve">Darba devēja valsts sociālās apdrošināšanas obligātās iemaksas – </w:t>
            </w:r>
            <w:r w:rsidRPr="000E1F90">
              <w:rPr>
                <w:b/>
                <w:color w:val="000000"/>
                <w:sz w:val="28"/>
                <w:szCs w:val="28"/>
              </w:rPr>
              <w:t>Ls 4 143</w:t>
            </w:r>
            <w:r w:rsidRPr="000E1F90">
              <w:rPr>
                <w:color w:val="000000"/>
                <w:sz w:val="28"/>
                <w:szCs w:val="28"/>
              </w:rPr>
              <w:t>;</w:t>
            </w:r>
          </w:p>
          <w:p w:rsidR="00AE772C" w:rsidRPr="000E1F90" w:rsidRDefault="00AE772C" w:rsidP="009B5E1C">
            <w:pPr>
              <w:keepNext/>
              <w:keepLines/>
              <w:jc w:val="both"/>
              <w:outlineLvl w:val="2"/>
              <w:rPr>
                <w:color w:val="000000"/>
                <w:sz w:val="28"/>
                <w:szCs w:val="28"/>
              </w:rPr>
            </w:pPr>
            <w:r w:rsidRPr="000E1F90">
              <w:rPr>
                <w:b/>
                <w:color w:val="000000"/>
                <w:sz w:val="28"/>
                <w:szCs w:val="28"/>
              </w:rPr>
              <w:t>Precēm un pakalpojumiem – Ls 26 766</w:t>
            </w:r>
            <w:r w:rsidRPr="000E1F90">
              <w:rPr>
                <w:color w:val="000000"/>
                <w:sz w:val="28"/>
                <w:szCs w:val="28"/>
              </w:rPr>
              <w:t>, t.sk.</w:t>
            </w:r>
          </w:p>
          <w:p w:rsidR="00AE772C" w:rsidRPr="000E1F90" w:rsidRDefault="00AE772C" w:rsidP="009B5E1C">
            <w:pPr>
              <w:pStyle w:val="ListParagraph"/>
              <w:keepNext/>
              <w:keepLines/>
              <w:numPr>
                <w:ilvl w:val="0"/>
                <w:numId w:val="5"/>
              </w:numPr>
              <w:jc w:val="both"/>
              <w:outlineLvl w:val="2"/>
              <w:rPr>
                <w:color w:val="000000"/>
                <w:sz w:val="28"/>
                <w:szCs w:val="28"/>
              </w:rPr>
            </w:pPr>
            <w:r w:rsidRPr="000E1F90">
              <w:rPr>
                <w:color w:val="000000"/>
                <w:sz w:val="28"/>
                <w:szCs w:val="28"/>
              </w:rPr>
              <w:t>Pasta, telefona un citi sakaru pakalpojumi (2 darbinieki x Ls 10 tālruņu sakaru pakalpojumu apmaksai x 12 mēneši, 2 darbinieki x Ls 20 pasta pakalpojumu apmaksai x 12 mēneši) – Ls 720;</w:t>
            </w:r>
          </w:p>
          <w:p w:rsidR="00AE772C" w:rsidRPr="000E1F90" w:rsidRDefault="00AE772C" w:rsidP="009B5E1C">
            <w:pPr>
              <w:pStyle w:val="ListParagraph"/>
              <w:keepNext/>
              <w:keepLines/>
              <w:numPr>
                <w:ilvl w:val="0"/>
                <w:numId w:val="5"/>
              </w:numPr>
              <w:jc w:val="both"/>
              <w:outlineLvl w:val="2"/>
              <w:rPr>
                <w:color w:val="000000"/>
                <w:sz w:val="28"/>
                <w:szCs w:val="28"/>
              </w:rPr>
            </w:pPr>
            <w:r w:rsidRPr="000E1F90">
              <w:rPr>
                <w:color w:val="000000"/>
                <w:sz w:val="28"/>
                <w:szCs w:val="28"/>
              </w:rPr>
              <w:t>Pieaicināto ekspertu pakalpojumu izdevumu apmaksa (sistēmas audits vienu reizi gadā) – Ls 5000;</w:t>
            </w:r>
          </w:p>
          <w:p w:rsidR="00AE772C" w:rsidRPr="000E1F90" w:rsidRDefault="00AE772C" w:rsidP="009B5E1C">
            <w:pPr>
              <w:pStyle w:val="ListParagraph"/>
              <w:keepNext/>
              <w:keepLines/>
              <w:numPr>
                <w:ilvl w:val="0"/>
                <w:numId w:val="5"/>
              </w:numPr>
              <w:jc w:val="both"/>
              <w:outlineLvl w:val="2"/>
              <w:rPr>
                <w:color w:val="000000"/>
                <w:sz w:val="28"/>
                <w:szCs w:val="28"/>
              </w:rPr>
            </w:pPr>
            <w:r w:rsidRPr="000E1F90">
              <w:rPr>
                <w:color w:val="000000"/>
                <w:sz w:val="28"/>
                <w:szCs w:val="28"/>
              </w:rPr>
              <w:t>Remontdarbi un iestāžu uzturēšanas pakalpojumi (2 darbinieki x Ls 5 iekārtas un inventāra apkalpošanas izdevumi x 12 mēneši – Ls 120;</w:t>
            </w:r>
          </w:p>
          <w:p w:rsidR="00AE772C" w:rsidRPr="000E1F90" w:rsidRDefault="00AE772C" w:rsidP="009B5E1C">
            <w:pPr>
              <w:pStyle w:val="ListParagraph"/>
              <w:keepNext/>
              <w:keepLines/>
              <w:numPr>
                <w:ilvl w:val="0"/>
                <w:numId w:val="5"/>
              </w:numPr>
              <w:jc w:val="both"/>
              <w:outlineLvl w:val="2"/>
              <w:rPr>
                <w:color w:val="000000"/>
                <w:sz w:val="28"/>
                <w:szCs w:val="28"/>
              </w:rPr>
            </w:pPr>
            <w:r w:rsidRPr="000E1F90">
              <w:rPr>
                <w:color w:val="000000"/>
                <w:sz w:val="28"/>
                <w:szCs w:val="28"/>
              </w:rPr>
              <w:t>Izdevumi par komunālajiem pakalpojumiem (izdevumi par ūdeni un kanalizāciju 2 darbinieki x Ls 5 mēnesī x 12 mēneši, izdevumi par elektroenerģiju 2 darbinieki x Ls 10 mēnesī x 12 mēneši) – Ls 360;</w:t>
            </w:r>
          </w:p>
          <w:p w:rsidR="00AE772C" w:rsidRPr="000E1F90" w:rsidRDefault="00AE772C" w:rsidP="009B5E1C">
            <w:pPr>
              <w:pStyle w:val="ListParagraph"/>
              <w:keepNext/>
              <w:keepLines/>
              <w:numPr>
                <w:ilvl w:val="0"/>
                <w:numId w:val="5"/>
              </w:numPr>
              <w:jc w:val="both"/>
              <w:outlineLvl w:val="2"/>
              <w:rPr>
                <w:color w:val="000000"/>
                <w:sz w:val="28"/>
                <w:szCs w:val="28"/>
              </w:rPr>
            </w:pPr>
            <w:r w:rsidRPr="000E1F90">
              <w:rPr>
                <w:color w:val="000000"/>
                <w:sz w:val="28"/>
                <w:szCs w:val="28"/>
              </w:rPr>
              <w:t>Informācijas tehnoloģiju pakalpojumi (Izpildu lietu reģistra datu pārraides tīkla savienojuma uzturēšanai, servera aparatūras uzturēšanai, programmatūras uzturēšanai, datu bāzes vadības sistēmas uzturēšanai)  – Ls 20 014;</w:t>
            </w:r>
          </w:p>
          <w:p w:rsidR="00AE772C" w:rsidRPr="000E1F90" w:rsidRDefault="00AE772C" w:rsidP="009B5E1C">
            <w:pPr>
              <w:pStyle w:val="ListParagraph"/>
              <w:keepNext/>
              <w:keepLines/>
              <w:numPr>
                <w:ilvl w:val="0"/>
                <w:numId w:val="5"/>
              </w:numPr>
              <w:jc w:val="both"/>
              <w:outlineLvl w:val="2"/>
              <w:rPr>
                <w:color w:val="000000"/>
                <w:sz w:val="28"/>
                <w:szCs w:val="28"/>
              </w:rPr>
            </w:pPr>
            <w:r w:rsidRPr="000E1F90">
              <w:rPr>
                <w:color w:val="000000"/>
                <w:sz w:val="28"/>
                <w:szCs w:val="28"/>
              </w:rPr>
              <w:t>Biroja preces un inventārs (2 darbinieki x Ls 19 mēnesī x 12 mēneši) – Ls 456;</w:t>
            </w:r>
          </w:p>
          <w:p w:rsidR="00AE772C" w:rsidRPr="000E1F90" w:rsidRDefault="00AE772C" w:rsidP="009B5E1C">
            <w:pPr>
              <w:pStyle w:val="ListParagraph"/>
              <w:keepNext/>
              <w:keepLines/>
              <w:numPr>
                <w:ilvl w:val="0"/>
                <w:numId w:val="5"/>
              </w:numPr>
              <w:jc w:val="both"/>
              <w:outlineLvl w:val="2"/>
              <w:rPr>
                <w:color w:val="000000"/>
                <w:sz w:val="28"/>
                <w:szCs w:val="28"/>
              </w:rPr>
            </w:pPr>
            <w:r w:rsidRPr="000E1F90">
              <w:rPr>
                <w:color w:val="000000"/>
                <w:sz w:val="28"/>
                <w:szCs w:val="28"/>
              </w:rPr>
              <w:t>Kārtējā remonta un iestāžu uzturēšanas materiāli (2 darbinieki x Ls 4 mēnesī x 12 mēneši) – Ls 96;</w:t>
            </w:r>
          </w:p>
          <w:p w:rsidR="00AE772C" w:rsidRPr="000E1F90" w:rsidRDefault="00AE772C" w:rsidP="009B5E1C">
            <w:pPr>
              <w:keepNext/>
              <w:keepLines/>
              <w:spacing w:before="100" w:beforeAutospacing="1" w:after="100" w:afterAutospacing="1"/>
              <w:jc w:val="both"/>
              <w:outlineLvl w:val="2"/>
              <w:rPr>
                <w:color w:val="000000"/>
                <w:sz w:val="28"/>
                <w:szCs w:val="28"/>
              </w:rPr>
            </w:pPr>
            <w:r w:rsidRPr="000E1F90">
              <w:rPr>
                <w:color w:val="000000"/>
                <w:sz w:val="28"/>
                <w:szCs w:val="28"/>
              </w:rPr>
              <w:t>Pēc reģistra ieviešanas, garantijas pakalpojumi ietver tikai kļūdu novēršanu atvēlētajos termiņos. Savukārt, lai nodrošinātu reģistra attīstību nepieciešams veikt funkcionalitātes papildinājumus un papildus darbus ārpus oriģinālā projektējuma.</w:t>
            </w:r>
          </w:p>
          <w:p w:rsidR="00AE772C" w:rsidRPr="000E1F90" w:rsidRDefault="00AE772C" w:rsidP="009B5E1C">
            <w:pPr>
              <w:jc w:val="both"/>
              <w:rPr>
                <w:color w:val="000000"/>
                <w:sz w:val="28"/>
                <w:szCs w:val="28"/>
              </w:rPr>
            </w:pPr>
            <w:r w:rsidRPr="000E1F90">
              <w:rPr>
                <w:color w:val="000000"/>
                <w:sz w:val="28"/>
                <w:szCs w:val="28"/>
              </w:rPr>
              <w:t xml:space="preserve">Saskaņā ar Tiesu izpildītāju likuma 41. pantu, veicot amata darbības, zvērināts tiesu izpildītājs ir tiesīgs ar amata pienākumu pildīšanu, saistīto nepieciešamo informāciju motivēti pieprasīt no valsts un pašvaldību iestādēm un institūcijām, kā arī no visām fiziskajām un juridiskajām personām, ciktāl to neierobežo speciālās tiesību normas. Tiesu izpildītāju likuma 45. panta pirmā daļa paredz, ka zvērināti tiesu izpildītāji pēc savas iniciatīvas veic visus likumā noteiktos pasākumus un izmanto visus likumā paredzētos līdzekļus un metodes, lai ātri un kvalitatīvi pildītu tiesas un citu institūciju nolēmumus. Tādējādi Tiesu izpildītāju likums paredz, ka zvērinātam tiesu izpildītājam jāveic visas nepieciešamās darbības, lai ātri un efektīvi izpildītu amata darbības, tai skaitā pieprasot no iestādēm nepieciešamo informāciju par parādniekam piederošo mantu, naudas līdzekļiem un ienākumiem, uz kuriem būtu iespējams vērst piedziņu. </w:t>
            </w:r>
          </w:p>
          <w:p w:rsidR="00AE772C" w:rsidRPr="000E1F90" w:rsidRDefault="00AE772C" w:rsidP="009B5E1C">
            <w:pPr>
              <w:ind w:firstLine="518"/>
              <w:jc w:val="both"/>
              <w:rPr>
                <w:color w:val="000000"/>
                <w:sz w:val="28"/>
                <w:szCs w:val="28"/>
              </w:rPr>
            </w:pPr>
            <w:r w:rsidRPr="000E1F90">
              <w:rPr>
                <w:color w:val="000000"/>
                <w:sz w:val="28"/>
                <w:szCs w:val="28"/>
              </w:rPr>
              <w:t>Lai piedziņa būtu sekmīga, zvērinātam tiesu izpildītājam nepieciešams iegūt pēc iespējas ātrāk plašāku informāciju par parādniekam iespējamiem ienākumu saņemšanas avotiem un vietām, kā arī parādnieka mantu un tās atrašanās vietu. Atsaucoties uz minēto, reģistru nepieciešams saslēgt ar vairākiem ārējiem reģistriem un informācijas sistēmām, piemēram, ar komercbanku informācijas sistēmām, kas nodrošinātu elektronisku reģistra informācijas apmaiņu starp bankām, CSDD turējumā esošo Transportlīdzekļu datu bāzi, Uzņēmumu reģistra turējumā esošajām informācijas sistēmām, tādā veidā nodrošinot zvērinātiem tiesu izpildītājiem piedziņas efektivitāti, ātrāku informācijas un rīkojumu apriti, kā arī samazinātu personāla noslodzi uz šo funkciju izpildi un administratīvos izdevumus, kas ietver arī piedziņas procesa izmaksas. Papildus atzīmējams, ka elektroniska reģistra sasaiste ar tādiem reģistriem kā Komercreģistrs, Laulāto mantisko attiecību reģistrs, Valsts vienotās datorizētās zemesgrāmatas reģistrs būtiski atvieglotu nolēmumu izpildes veikšanu, kā arī ļautu iegūt nepieciešamo informāciju daudz ātrākā laikā, nekā pieprasot to rakstveidā, tādā veidā tiktu optimizēta un paātrināta izpildes gaita un nodrošināta elektroniska informācijas apmaiņa ar citām iestādēm.</w:t>
            </w:r>
          </w:p>
          <w:p w:rsidR="00AE772C" w:rsidRPr="000E1F90" w:rsidRDefault="00AE772C" w:rsidP="009B5E1C">
            <w:pPr>
              <w:ind w:firstLine="518"/>
              <w:jc w:val="both"/>
              <w:rPr>
                <w:color w:val="000000"/>
                <w:sz w:val="28"/>
                <w:szCs w:val="28"/>
              </w:rPr>
            </w:pPr>
            <w:r w:rsidRPr="000E1F90">
              <w:rPr>
                <w:color w:val="000000"/>
                <w:sz w:val="28"/>
                <w:szCs w:val="28"/>
              </w:rPr>
              <w:t xml:space="preserve">Vienlīdz nozīmīgi ir nodrošināt zvērinātiem tiesu izpildītājiem iespēju elektroniskā veidā caur reģistru veikt oficiālo paziņojumu publikāciju interneta vietnē </w:t>
            </w:r>
            <w:proofErr w:type="spellStart"/>
            <w:r w:rsidRPr="000E1F90">
              <w:rPr>
                <w:i/>
                <w:color w:val="000000"/>
                <w:sz w:val="28"/>
                <w:szCs w:val="28"/>
              </w:rPr>
              <w:t>www.vestnesis.lv</w:t>
            </w:r>
            <w:proofErr w:type="spellEnd"/>
            <w:r w:rsidRPr="000E1F90">
              <w:rPr>
                <w:color w:val="000000"/>
                <w:sz w:val="28"/>
                <w:szCs w:val="28"/>
              </w:rPr>
              <w:t>, kas arī paātrinātu un atvieglotu piedziņas procesu gaitu.</w:t>
            </w:r>
          </w:p>
          <w:p w:rsidR="00AE772C" w:rsidRPr="000E1F90" w:rsidRDefault="00AE772C" w:rsidP="009B5E1C">
            <w:pPr>
              <w:jc w:val="both"/>
              <w:rPr>
                <w:rFonts w:eastAsia="Calibri"/>
                <w:b/>
                <w:sz w:val="28"/>
                <w:szCs w:val="28"/>
              </w:rPr>
            </w:pPr>
          </w:p>
          <w:p w:rsidR="00AE772C" w:rsidRPr="000E1F90" w:rsidRDefault="00AE772C" w:rsidP="009B5E1C">
            <w:pPr>
              <w:jc w:val="both"/>
              <w:rPr>
                <w:rFonts w:eastAsia="Calibri"/>
                <w:b/>
                <w:sz w:val="28"/>
                <w:szCs w:val="28"/>
              </w:rPr>
            </w:pPr>
            <w:r w:rsidRPr="000E1F90">
              <w:rPr>
                <w:rFonts w:eastAsia="Calibri"/>
                <w:b/>
                <w:sz w:val="28"/>
                <w:szCs w:val="28"/>
              </w:rPr>
              <w:t>Kopā 2014.gadā un turpmākajos gados – Ls 48 108.</w:t>
            </w:r>
          </w:p>
          <w:p w:rsidR="00AE772C" w:rsidRPr="000E1F90" w:rsidRDefault="00AE772C" w:rsidP="009B5E1C">
            <w:pPr>
              <w:jc w:val="both"/>
              <w:rPr>
                <w:rFonts w:eastAsia="Calibri"/>
                <w:b/>
                <w:sz w:val="28"/>
                <w:szCs w:val="28"/>
              </w:rPr>
            </w:pPr>
          </w:p>
          <w:p w:rsidR="00AE772C" w:rsidRPr="000E1F90" w:rsidRDefault="00AE772C" w:rsidP="009B5E1C">
            <w:pPr>
              <w:jc w:val="both"/>
              <w:rPr>
                <w:rFonts w:eastAsia="Calibri"/>
                <w:b/>
                <w:sz w:val="28"/>
                <w:szCs w:val="28"/>
              </w:rPr>
            </w:pPr>
            <w:r w:rsidRPr="000E1F90">
              <w:rPr>
                <w:rFonts w:eastAsia="Calibri"/>
                <w:b/>
                <w:sz w:val="28"/>
                <w:szCs w:val="28"/>
              </w:rPr>
              <w:t>Tiesu administrācijai minētais finansējums nepieciešams pilnā apmērā, lai nodrošinātu šādu funkciju izpildi:</w:t>
            </w:r>
          </w:p>
          <w:p w:rsidR="00AE772C" w:rsidRPr="000E1F90" w:rsidRDefault="00AE772C" w:rsidP="009B5E1C">
            <w:pPr>
              <w:pStyle w:val="ListParagraph"/>
              <w:numPr>
                <w:ilvl w:val="0"/>
                <w:numId w:val="4"/>
              </w:numPr>
              <w:jc w:val="both"/>
              <w:rPr>
                <w:rFonts w:eastAsia="Calibri"/>
                <w:sz w:val="28"/>
                <w:szCs w:val="28"/>
              </w:rPr>
            </w:pPr>
            <w:r w:rsidRPr="000E1F90">
              <w:rPr>
                <w:rFonts w:eastAsia="Calibri"/>
                <w:sz w:val="28"/>
                <w:szCs w:val="28"/>
              </w:rPr>
              <w:t>ILR informācijas sistēmas funkcionalitātes izstrādi un pilnveidošanu, kā arī ILR ārējo reģistru sasaisti atbilstoši Tiesu izpildītāju likumam, Civilprocesa likumam, Ministru kabineta 2006.gada 14.marta noteikumiem Nr.202 „Noteikumi par zvērinātu tiesu izpildītāju lietvedību”, Ministru kabineta 2004.gada 28.decembra noteikumiem Nr.1075 „Noteikumi par zvērinātu tiesu izpildītāju amata atlīdzības taksēm” un citiem zvērinātu tiesu izpildītāju darbību regulējošiem normatīviem aktiem, tādējādi atvieglojot zvērinātiem tiesu izpildītājiem darbu un nodrošinātu operatīvu un pilnvērtīgu amata pienākumu izpildi;</w:t>
            </w:r>
          </w:p>
          <w:p w:rsidR="00AE772C" w:rsidRPr="000E1F90" w:rsidRDefault="00AE772C" w:rsidP="009B5E1C">
            <w:pPr>
              <w:numPr>
                <w:ilvl w:val="0"/>
                <w:numId w:val="4"/>
              </w:numPr>
              <w:jc w:val="both"/>
              <w:rPr>
                <w:rFonts w:eastAsia="Calibri"/>
                <w:sz w:val="28"/>
                <w:szCs w:val="28"/>
              </w:rPr>
            </w:pPr>
            <w:r w:rsidRPr="000E1F90">
              <w:rPr>
                <w:rFonts w:eastAsia="Calibri"/>
                <w:sz w:val="28"/>
                <w:szCs w:val="28"/>
              </w:rPr>
              <w:t>sistēmas turētāja funkciju ILR, kas jāveic Tiesu administrācijai saskaņā ar „Tiesu izpildītāju likuma” 156</w:t>
            </w:r>
            <w:r w:rsidRPr="000E1F90">
              <w:rPr>
                <w:rFonts w:eastAsia="Calibri"/>
                <w:sz w:val="28"/>
                <w:szCs w:val="28"/>
                <w:vertAlign w:val="superscript"/>
              </w:rPr>
              <w:t>1</w:t>
            </w:r>
            <w:r w:rsidRPr="000E1F90">
              <w:rPr>
                <w:rFonts w:eastAsia="Calibri"/>
                <w:sz w:val="28"/>
                <w:szCs w:val="28"/>
              </w:rPr>
              <w:t xml:space="preserve">. panta trešo daļu kopš 2012. gada 1. janvāra un saskaņā ar Valsts informācijas sistēmu likuma 8. pantu, kas ietver arī ILR uzturēšanu no sistēmas izstrādātāju puses, nodrošinot sistēmas izstrādi atbilstoši programmatūras projektējuma aprakstam un atbilstoši Latvijas Republikas saistošajiem normatīviem aktiem, pieprasītās sistēmas funkcionalitātes izstrādi un ieviešanu produkcijas vidē, datu labošanu, kā arī sistēmas kļūdu novēršanu un konsultāciju sniegšanu par kompetencē saistošajiem jautājumiem, bet no Tiesu administrācijas puses, nodrošinot konsultāciju sniegšanu un apmācību organizēšanu, sagatavoto ILR lietotāju vēstuļu izskatīšanu, ILR lietotāju problēmu ziņojumu, datu labošanas pieprasījumu un izmaiņu pieprasījumu izskatīšanu un to pieteikšanu sistēmas izstrādātājiem, testēšanu ILR testa un produkcijas vidē, kā arī jaunu sistēmas datu apmaiņu moduļu izstrādi, kuru izstrādei nepieciešams organizēt darba grupas ar visām iesaistītajām pusēm, izstrādājot tehniskos risinājumus, gan arī līgumus, vienošanās vai citus saistošos dokumentus, uz kura pamata darbotos konkrētais datu apmaiņas modulis. </w:t>
            </w:r>
          </w:p>
          <w:p w:rsidR="00AE772C" w:rsidRPr="000E1F90" w:rsidRDefault="00AE772C" w:rsidP="009B5E1C">
            <w:pPr>
              <w:numPr>
                <w:ilvl w:val="0"/>
                <w:numId w:val="4"/>
              </w:numPr>
              <w:jc w:val="both"/>
              <w:rPr>
                <w:rFonts w:eastAsia="Calibri"/>
                <w:sz w:val="28"/>
                <w:szCs w:val="28"/>
              </w:rPr>
            </w:pPr>
            <w:r w:rsidRPr="000E1F90">
              <w:rPr>
                <w:rFonts w:eastAsia="Calibri"/>
                <w:sz w:val="28"/>
                <w:szCs w:val="28"/>
              </w:rPr>
              <w:t>ILR informācijas sistēmas drošību saskaņā ar „Fizisko personu datu aizsardzības likumu”; „Informācijas tehnoloģijas drošības likumu”, „Informācijas atklātības likumu” un Ministru kabineta 2005. gada 11. oktobra noteikumiem Nr.765 "Valsts informācijas sistēmu vispārējās drošības prasības", kas ietver arī sistēmas datu pārraides tīkla savienojumu uzturēšanu, sistēmas serveru aparatūras uzturēšanu, sistēmas programmatūras uzturēšanu, sistēmas serveru operētājsistēmas un citas nepieciešamās programmatūras uzturēšanu,</w:t>
            </w:r>
            <w:r w:rsidRPr="000E1F90">
              <w:rPr>
                <w:spacing w:val="-1"/>
                <w:szCs w:val="20"/>
                <w:lang w:eastAsia="en-US"/>
              </w:rPr>
              <w:t xml:space="preserve"> </w:t>
            </w:r>
            <w:r w:rsidRPr="000E1F90">
              <w:rPr>
                <w:rFonts w:eastAsia="Calibri"/>
                <w:sz w:val="28"/>
                <w:szCs w:val="28"/>
              </w:rPr>
              <w:t>sistēmas serveru datubāzes vadības sistēmas uzturēšanu, rezerves kopiju nodrošināšanu, sistēmas platformas darbības uzraudzību, problēmu un konsultāciju pieņemšanu un izskatīšanu, un arī ar sistēmas platformas bojājumiem saistīto incidentu novēršanu un problēmu risināšanu.</w:t>
            </w:r>
          </w:p>
          <w:p w:rsidR="00AE772C" w:rsidRPr="000E1F90" w:rsidRDefault="00AE772C" w:rsidP="009B5E1C">
            <w:pPr>
              <w:jc w:val="both"/>
              <w:rPr>
                <w:rFonts w:eastAsia="Calibri"/>
                <w:sz w:val="28"/>
                <w:szCs w:val="28"/>
              </w:rPr>
            </w:pPr>
            <w:r w:rsidRPr="000E1F90">
              <w:rPr>
                <w:rFonts w:eastAsia="Calibri"/>
                <w:sz w:val="28"/>
                <w:szCs w:val="28"/>
              </w:rPr>
              <w:t>Atbilstoši minētajam Tiesu administrācija nespēs pildīt arī Eiropas Komisijas Pasākuma dotācijas nolīguma (turpmāk - Nolīgums) prasības (Nolīguma numurs JLS/2008/JCIV/1021 - 30CE-0312148/00-22), uz kura pamata ILR informācijas sistēmas izstrādei tika piešķirti līdzekļi informācijas sistēmas izstrādei.</w:t>
            </w:r>
          </w:p>
          <w:p w:rsidR="00AE772C" w:rsidRPr="000E1F90" w:rsidRDefault="00AE772C" w:rsidP="009B5E1C">
            <w:pPr>
              <w:jc w:val="both"/>
              <w:rPr>
                <w:rFonts w:eastAsia="Calibri"/>
                <w:sz w:val="28"/>
                <w:szCs w:val="28"/>
              </w:rPr>
            </w:pPr>
            <w:r w:rsidRPr="000E1F90">
              <w:rPr>
                <w:rFonts w:eastAsia="Calibri"/>
                <w:sz w:val="28"/>
                <w:szCs w:val="28"/>
              </w:rPr>
              <w:t>Nolīguma II.12.pants Finansiālie sodi paredz, ka saskaņā ar Finanšu regulu, ko piemēro Eiropas Kopienu vispārējam budžetam, saņēmējam, par kuru atklāts, ka viņš būtiski nav pildījis savas līgumsaistības, piemēro finansiālo sodu, bet saskaņā ar II.19.pantu Kontroles un revīzijas, komisijai ir tiesības veikt revīziju par dotācijas izlietojumu. Šādas revīzijas var veikt piecus gadus pēc dotācijas atlikušās daļas samaksas dienas. Vajadzības gadījumā šo revīziju rezultātu dēļ Komisija var pieņemt lēmumus par finanšu atgūšanu, bet kopējais dotāciju apmērs, kas tika saņemts minētā nolīguma ietvaros sastāda EUR 284 818.</w:t>
            </w:r>
          </w:p>
          <w:p w:rsidR="00AE772C" w:rsidRPr="000E1F90" w:rsidRDefault="00AE772C" w:rsidP="009B5E1C">
            <w:pPr>
              <w:ind w:firstLine="376"/>
              <w:jc w:val="both"/>
              <w:rPr>
                <w:rFonts w:eastAsia="Calibri"/>
                <w:sz w:val="28"/>
                <w:szCs w:val="28"/>
              </w:rPr>
            </w:pPr>
            <w:r w:rsidRPr="000E1F90">
              <w:rPr>
                <w:rFonts w:eastAsia="Calibri"/>
                <w:sz w:val="28"/>
                <w:szCs w:val="28"/>
              </w:rPr>
              <w:t>Gadījumā, ja finansējums netiks piešķirts, ILR informācijas sistēmas uzturēšana un attīstība tiks būtiski apdraudēta, jo Tiesu administrācija nespēs nodrošināt tās funkcionalitāti kopumā un apkalpot Izpildu lietu reģistra lietotājus Ministru kabineta noteikumos paredzētajā apmērā. Tāpat nebūs iespējams Izpildu lietu reģistrā iestrādāt pieņemtos nozaru normatīvos aktus vai to grozījumus, piemēram, par PVN likmju maiņu, zvērināta tiesu izpildītāja amata atlīdzības taksu maiņu, eiro ieviešanu, tādā veidā apdraudot Izpildu lietu reģistra praktisku izmantojamību un grautu tās pamatmērķi – veikt efektīvu nolēmumu izpildi un citu zvērināta tiesu izpildītāja amata pienākumu izpildi.</w:t>
            </w:r>
          </w:p>
          <w:p w:rsidR="00AE772C" w:rsidRPr="000E1F90" w:rsidRDefault="00AE772C" w:rsidP="009B5E1C">
            <w:pPr>
              <w:ind w:firstLine="376"/>
              <w:jc w:val="both"/>
              <w:rPr>
                <w:rFonts w:eastAsia="Calibri"/>
                <w:sz w:val="28"/>
                <w:szCs w:val="28"/>
              </w:rPr>
            </w:pPr>
            <w:r w:rsidRPr="000E1F90">
              <w:rPr>
                <w:rFonts w:eastAsia="Calibri"/>
                <w:sz w:val="28"/>
                <w:szCs w:val="28"/>
              </w:rPr>
              <w:t>Papildus informēju, ka Saeimas Juridiskās komisijas sēdē pirms 2.lasījuma tika izskatīts likumprojekts „Grozījumi Tiesu izpildītāju likumā”, un atbalstīts priekšlikums par ILR pārziņa funkciju nodošanu Tiesu administrācijai.</w:t>
            </w:r>
          </w:p>
          <w:p w:rsidR="00AE772C" w:rsidRPr="000E1F90" w:rsidRDefault="00AE772C" w:rsidP="009B5E1C">
            <w:pPr>
              <w:jc w:val="both"/>
              <w:rPr>
                <w:rFonts w:eastAsia="Calibri"/>
                <w:sz w:val="28"/>
                <w:szCs w:val="28"/>
              </w:rPr>
            </w:pPr>
          </w:p>
          <w:p w:rsidR="00AE772C" w:rsidRPr="000E1F90" w:rsidRDefault="00AE772C" w:rsidP="009B5E1C">
            <w:pPr>
              <w:jc w:val="both"/>
              <w:rPr>
                <w:rFonts w:eastAsia="Calibri"/>
                <w:sz w:val="28"/>
                <w:szCs w:val="28"/>
              </w:rPr>
            </w:pPr>
          </w:p>
        </w:tc>
      </w:tr>
      <w:tr w:rsidR="00AE772C" w:rsidRPr="000E1F90" w:rsidTr="009B5E1C">
        <w:tc>
          <w:tcPr>
            <w:tcW w:w="2777" w:type="dxa"/>
            <w:hideMark/>
          </w:tcPr>
          <w:p w:rsidR="00AE772C" w:rsidRPr="000E1F90" w:rsidRDefault="00AE772C" w:rsidP="009B5E1C">
            <w:pPr>
              <w:spacing w:before="100" w:beforeAutospacing="1" w:after="100" w:afterAutospacing="1"/>
              <w:rPr>
                <w:sz w:val="28"/>
                <w:szCs w:val="28"/>
              </w:rPr>
            </w:pPr>
            <w:r w:rsidRPr="000E1F90">
              <w:rPr>
                <w:sz w:val="28"/>
                <w:szCs w:val="28"/>
              </w:rPr>
              <w:t> 6.1. detalizēts ieņēmumu aprēķins</w:t>
            </w:r>
          </w:p>
        </w:tc>
        <w:tc>
          <w:tcPr>
            <w:tcW w:w="7005" w:type="dxa"/>
            <w:gridSpan w:val="5"/>
            <w:vMerge/>
            <w:hideMark/>
          </w:tcPr>
          <w:p w:rsidR="00AE772C" w:rsidRPr="000E1F90" w:rsidRDefault="00AE772C" w:rsidP="009B5E1C">
            <w:pPr>
              <w:jc w:val="both"/>
              <w:rPr>
                <w:sz w:val="28"/>
                <w:szCs w:val="28"/>
              </w:rPr>
            </w:pPr>
          </w:p>
        </w:tc>
      </w:tr>
      <w:tr w:rsidR="00AE772C" w:rsidRPr="000E1F90" w:rsidTr="009B5E1C">
        <w:tc>
          <w:tcPr>
            <w:tcW w:w="2777" w:type="dxa"/>
            <w:hideMark/>
          </w:tcPr>
          <w:p w:rsidR="00AE772C" w:rsidRPr="000E1F90" w:rsidRDefault="00AE772C" w:rsidP="009B5E1C">
            <w:pPr>
              <w:spacing w:before="100" w:beforeAutospacing="1" w:after="100" w:afterAutospacing="1"/>
              <w:rPr>
                <w:sz w:val="28"/>
                <w:szCs w:val="28"/>
              </w:rPr>
            </w:pPr>
            <w:r w:rsidRPr="000E1F90">
              <w:rPr>
                <w:sz w:val="28"/>
                <w:szCs w:val="28"/>
              </w:rPr>
              <w:t> 6.2. detalizēts izdevumu aprēķins</w:t>
            </w:r>
          </w:p>
        </w:tc>
        <w:tc>
          <w:tcPr>
            <w:tcW w:w="7005" w:type="dxa"/>
            <w:gridSpan w:val="5"/>
            <w:vMerge/>
            <w:hideMark/>
          </w:tcPr>
          <w:p w:rsidR="00AE772C" w:rsidRPr="000E1F90" w:rsidRDefault="00AE772C" w:rsidP="009B5E1C">
            <w:pPr>
              <w:jc w:val="both"/>
              <w:rPr>
                <w:sz w:val="28"/>
                <w:szCs w:val="28"/>
              </w:rPr>
            </w:pPr>
          </w:p>
        </w:tc>
      </w:tr>
      <w:tr w:rsidR="00AE772C" w:rsidRPr="000E1F90" w:rsidTr="009B5E1C">
        <w:tc>
          <w:tcPr>
            <w:tcW w:w="2777" w:type="dxa"/>
            <w:hideMark/>
          </w:tcPr>
          <w:p w:rsidR="00AE772C" w:rsidRPr="000E1F90" w:rsidRDefault="00AE772C" w:rsidP="009B5E1C">
            <w:pPr>
              <w:rPr>
                <w:sz w:val="28"/>
                <w:szCs w:val="28"/>
              </w:rPr>
            </w:pPr>
            <w:r w:rsidRPr="000E1F90">
              <w:rPr>
                <w:sz w:val="28"/>
                <w:szCs w:val="28"/>
              </w:rPr>
              <w:t> 7. Cita informācija</w:t>
            </w:r>
          </w:p>
        </w:tc>
        <w:tc>
          <w:tcPr>
            <w:tcW w:w="7005" w:type="dxa"/>
            <w:gridSpan w:val="5"/>
            <w:hideMark/>
          </w:tcPr>
          <w:p w:rsidR="00AE772C" w:rsidRPr="000E1F90" w:rsidRDefault="00AE772C" w:rsidP="009B5E1C">
            <w:pPr>
              <w:pStyle w:val="naiskr"/>
              <w:spacing w:before="0" w:after="0"/>
              <w:jc w:val="both"/>
              <w:rPr>
                <w:sz w:val="28"/>
                <w:szCs w:val="28"/>
              </w:rPr>
            </w:pPr>
            <w:r w:rsidRPr="000E1F90">
              <w:rPr>
                <w:sz w:val="28"/>
                <w:szCs w:val="28"/>
              </w:rPr>
              <w:t>Finansējums informācijas tehnoloģiju pakalpojumu apmaksai 2013.gadam, 2014.gadam un 2015.gadam Ls 20 014 apmērā iekļauts Tiesu administrācijas budžeta apakšprogrammas 36.01.00 „Tiesu administrācija” budžeta projekta bāzes izdevumos.</w:t>
            </w:r>
          </w:p>
          <w:p w:rsidR="00AE772C" w:rsidRPr="000E1F90" w:rsidRDefault="00AE772C" w:rsidP="009B5E1C">
            <w:pPr>
              <w:pStyle w:val="naiskr"/>
              <w:spacing w:before="0" w:after="0"/>
              <w:jc w:val="both"/>
              <w:rPr>
                <w:sz w:val="28"/>
                <w:szCs w:val="28"/>
              </w:rPr>
            </w:pPr>
            <w:r w:rsidRPr="000E1F90">
              <w:rPr>
                <w:sz w:val="28"/>
                <w:szCs w:val="28"/>
              </w:rPr>
              <w:t>Priekšlikumus par papildus nepieciešamā finansējuma piešķiršanu noteikumu projekta īstenošanai izskatīt 2014.gada un turpmāko gadu valsts budžeta projekta sagatavošanas un izskatīšanas proce</w:t>
            </w:r>
            <w:bookmarkStart w:id="2" w:name="_GoBack"/>
            <w:bookmarkEnd w:id="2"/>
            <w:r w:rsidRPr="000E1F90">
              <w:rPr>
                <w:sz w:val="28"/>
                <w:szCs w:val="28"/>
              </w:rPr>
              <w:t>sā.</w:t>
            </w:r>
          </w:p>
          <w:p w:rsidR="00AE772C" w:rsidRPr="000E1F90" w:rsidRDefault="00AE772C" w:rsidP="009B5E1C">
            <w:pPr>
              <w:pStyle w:val="naiskr"/>
              <w:spacing w:before="0" w:after="0"/>
              <w:ind w:firstLine="268"/>
              <w:jc w:val="both"/>
              <w:rPr>
                <w:sz w:val="28"/>
                <w:szCs w:val="28"/>
              </w:rPr>
            </w:pPr>
          </w:p>
        </w:tc>
      </w:tr>
    </w:tbl>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10"/>
        <w:gridCol w:w="3379"/>
        <w:gridCol w:w="5835"/>
      </w:tblGrid>
      <w:tr w:rsidR="00AE772C" w:rsidRPr="000E1F90" w:rsidTr="009B5E1C">
        <w:tc>
          <w:tcPr>
            <w:tcW w:w="9924" w:type="dxa"/>
            <w:gridSpan w:val="3"/>
            <w:tcBorders>
              <w:top w:val="single" w:sz="4" w:space="0" w:color="auto"/>
              <w:left w:val="single" w:sz="4" w:space="0" w:color="auto"/>
              <w:bottom w:val="single" w:sz="4" w:space="0" w:color="auto"/>
              <w:right w:val="single" w:sz="4" w:space="0" w:color="auto"/>
            </w:tcBorders>
            <w:hideMark/>
          </w:tcPr>
          <w:p w:rsidR="00AE772C" w:rsidRPr="000E1F90" w:rsidRDefault="00AE772C" w:rsidP="009B5E1C">
            <w:pPr>
              <w:pStyle w:val="naisnod"/>
              <w:spacing w:before="0" w:after="0"/>
              <w:ind w:left="57" w:right="57"/>
              <w:rPr>
                <w:sz w:val="28"/>
                <w:szCs w:val="28"/>
              </w:rPr>
            </w:pPr>
            <w:r w:rsidRPr="000E1F90">
              <w:rPr>
                <w:sz w:val="28"/>
                <w:szCs w:val="28"/>
              </w:rPr>
              <w:t xml:space="preserve">VII. </w:t>
            </w:r>
            <w:r w:rsidRPr="000E1F90">
              <w:rPr>
                <w:bCs w:val="0"/>
                <w:sz w:val="28"/>
                <w:szCs w:val="28"/>
              </w:rPr>
              <w:t>Tiesību akta projekta izpildes nodrošināšana un tās ietekme uz institūcijām</w:t>
            </w:r>
          </w:p>
        </w:tc>
      </w:tr>
      <w:tr w:rsidR="00AE772C" w:rsidRPr="008B4684" w:rsidTr="009B5E1C">
        <w:trPr>
          <w:trHeight w:val="427"/>
        </w:trPr>
        <w:tc>
          <w:tcPr>
            <w:tcW w:w="710" w:type="dxa"/>
            <w:tcBorders>
              <w:top w:val="single" w:sz="4" w:space="0" w:color="auto"/>
              <w:left w:val="single" w:sz="4" w:space="0" w:color="auto"/>
              <w:bottom w:val="single" w:sz="4" w:space="0" w:color="auto"/>
              <w:right w:val="single" w:sz="4" w:space="0" w:color="auto"/>
            </w:tcBorders>
            <w:hideMark/>
          </w:tcPr>
          <w:p w:rsidR="00AE772C" w:rsidRPr="000E1F90" w:rsidRDefault="00AE772C" w:rsidP="009B5E1C">
            <w:pPr>
              <w:pStyle w:val="naisnod"/>
              <w:spacing w:before="0" w:after="0"/>
              <w:ind w:left="57" w:right="57"/>
              <w:jc w:val="left"/>
              <w:rPr>
                <w:b w:val="0"/>
                <w:sz w:val="28"/>
                <w:szCs w:val="28"/>
              </w:rPr>
            </w:pPr>
            <w:r w:rsidRPr="000E1F90">
              <w:rPr>
                <w:b w:val="0"/>
                <w:sz w:val="28"/>
                <w:szCs w:val="28"/>
              </w:rPr>
              <w:t>1.</w:t>
            </w:r>
          </w:p>
        </w:tc>
        <w:tc>
          <w:tcPr>
            <w:tcW w:w="3379" w:type="dxa"/>
            <w:tcBorders>
              <w:top w:val="single" w:sz="4" w:space="0" w:color="auto"/>
              <w:left w:val="single" w:sz="4" w:space="0" w:color="auto"/>
              <w:bottom w:val="single" w:sz="4" w:space="0" w:color="auto"/>
              <w:right w:val="single" w:sz="4" w:space="0" w:color="auto"/>
            </w:tcBorders>
            <w:hideMark/>
          </w:tcPr>
          <w:p w:rsidR="00AE772C" w:rsidRPr="000E1F90" w:rsidRDefault="00AE772C" w:rsidP="009B5E1C">
            <w:pPr>
              <w:pStyle w:val="naisf"/>
              <w:spacing w:before="0" w:after="0"/>
              <w:ind w:left="57" w:right="57" w:firstLine="0"/>
              <w:jc w:val="left"/>
              <w:rPr>
                <w:sz w:val="28"/>
                <w:szCs w:val="28"/>
              </w:rPr>
            </w:pPr>
            <w:r w:rsidRPr="000E1F90">
              <w:rPr>
                <w:sz w:val="28"/>
                <w:szCs w:val="28"/>
              </w:rPr>
              <w:t xml:space="preserve">Projekta izpildē iesaistītās institūcijas </w:t>
            </w:r>
          </w:p>
        </w:tc>
        <w:tc>
          <w:tcPr>
            <w:tcW w:w="5835"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nod"/>
              <w:spacing w:before="0" w:after="0"/>
              <w:ind w:left="57" w:right="57" w:firstLine="341"/>
              <w:jc w:val="both"/>
              <w:rPr>
                <w:b w:val="0"/>
                <w:sz w:val="28"/>
                <w:szCs w:val="28"/>
              </w:rPr>
            </w:pPr>
            <w:r w:rsidRPr="000E1F90">
              <w:rPr>
                <w:b w:val="0"/>
                <w:iCs/>
                <w:sz w:val="28"/>
                <w:szCs w:val="28"/>
              </w:rPr>
              <w:t>Tiesu administrācija, Tieslietu ministrija un Latvijas Zvērinātu tiesu izpildītāju padome.</w:t>
            </w:r>
            <w:r w:rsidRPr="008B4684">
              <w:rPr>
                <w:b w:val="0"/>
                <w:iCs/>
                <w:sz w:val="28"/>
                <w:szCs w:val="28"/>
              </w:rPr>
              <w:t xml:space="preserve"> </w:t>
            </w:r>
          </w:p>
        </w:tc>
      </w:tr>
      <w:tr w:rsidR="00AE772C" w:rsidRPr="008B4684" w:rsidTr="009B5E1C">
        <w:trPr>
          <w:trHeight w:val="463"/>
        </w:trPr>
        <w:tc>
          <w:tcPr>
            <w:tcW w:w="71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nod"/>
              <w:spacing w:before="0" w:after="0"/>
              <w:ind w:left="57" w:right="57"/>
              <w:jc w:val="left"/>
              <w:rPr>
                <w:b w:val="0"/>
                <w:sz w:val="28"/>
                <w:szCs w:val="28"/>
              </w:rPr>
            </w:pPr>
            <w:r w:rsidRPr="008B4684">
              <w:rPr>
                <w:b w:val="0"/>
                <w:sz w:val="28"/>
                <w:szCs w:val="28"/>
              </w:rPr>
              <w:t>2.</w:t>
            </w:r>
          </w:p>
        </w:tc>
        <w:tc>
          <w:tcPr>
            <w:tcW w:w="3379" w:type="dxa"/>
            <w:tcBorders>
              <w:top w:val="single" w:sz="4" w:space="0" w:color="auto"/>
              <w:left w:val="single" w:sz="4" w:space="0" w:color="auto"/>
              <w:bottom w:val="single" w:sz="4" w:space="0" w:color="auto"/>
              <w:right w:val="single" w:sz="4" w:space="0" w:color="auto"/>
            </w:tcBorders>
            <w:hideMark/>
          </w:tcPr>
          <w:p w:rsidR="00AE772C" w:rsidRPr="00A85891" w:rsidRDefault="00AE772C" w:rsidP="009B5E1C">
            <w:pPr>
              <w:pStyle w:val="naisf"/>
              <w:spacing w:before="0" w:after="0"/>
              <w:ind w:left="57" w:right="57" w:firstLine="0"/>
              <w:jc w:val="left"/>
              <w:rPr>
                <w:sz w:val="28"/>
                <w:szCs w:val="28"/>
                <w:highlight w:val="yellow"/>
              </w:rPr>
            </w:pPr>
            <w:r w:rsidRPr="000B1A28">
              <w:rPr>
                <w:sz w:val="28"/>
                <w:szCs w:val="28"/>
              </w:rPr>
              <w:t xml:space="preserve">Projekta izpildes ietekme uz pārvaldes funkcijām </w:t>
            </w:r>
          </w:p>
        </w:tc>
        <w:tc>
          <w:tcPr>
            <w:tcW w:w="5835" w:type="dxa"/>
            <w:tcBorders>
              <w:top w:val="single" w:sz="4" w:space="0" w:color="auto"/>
              <w:left w:val="single" w:sz="4" w:space="0" w:color="auto"/>
              <w:bottom w:val="single" w:sz="4" w:space="0" w:color="auto"/>
              <w:right w:val="single" w:sz="4" w:space="0" w:color="auto"/>
            </w:tcBorders>
            <w:hideMark/>
          </w:tcPr>
          <w:p w:rsidR="00AE772C" w:rsidRPr="00F87BE9" w:rsidRDefault="00184A6F" w:rsidP="009B5E1C">
            <w:pPr>
              <w:pStyle w:val="naisnod"/>
              <w:spacing w:before="0" w:after="0"/>
              <w:ind w:right="57" w:firstLine="420"/>
              <w:jc w:val="both"/>
              <w:rPr>
                <w:b w:val="0"/>
                <w:sz w:val="28"/>
                <w:szCs w:val="28"/>
              </w:rPr>
            </w:pPr>
            <w:r>
              <w:rPr>
                <w:b w:val="0"/>
                <w:sz w:val="28"/>
                <w:szCs w:val="28"/>
              </w:rPr>
              <w:t>Projekts šo jomu neskar</w:t>
            </w:r>
            <w:r w:rsidR="00AE772C">
              <w:rPr>
                <w:b w:val="0"/>
                <w:sz w:val="28"/>
                <w:szCs w:val="28"/>
              </w:rPr>
              <w:t>.</w:t>
            </w:r>
          </w:p>
        </w:tc>
      </w:tr>
      <w:tr w:rsidR="00AE772C" w:rsidRPr="008B4684" w:rsidTr="009B5E1C">
        <w:trPr>
          <w:trHeight w:val="725"/>
        </w:trPr>
        <w:tc>
          <w:tcPr>
            <w:tcW w:w="71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nod"/>
              <w:spacing w:before="0" w:after="0"/>
              <w:ind w:left="57" w:right="57"/>
              <w:jc w:val="left"/>
              <w:rPr>
                <w:b w:val="0"/>
                <w:sz w:val="28"/>
                <w:szCs w:val="28"/>
              </w:rPr>
            </w:pPr>
            <w:r w:rsidRPr="008B4684">
              <w:rPr>
                <w:b w:val="0"/>
                <w:sz w:val="28"/>
                <w:szCs w:val="28"/>
              </w:rPr>
              <w:t>3.</w:t>
            </w:r>
          </w:p>
        </w:tc>
        <w:tc>
          <w:tcPr>
            <w:tcW w:w="3379"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tvhtml"/>
              <w:spacing w:before="0" w:beforeAutospacing="0" w:after="0" w:afterAutospacing="0"/>
              <w:rPr>
                <w:rFonts w:ascii="Times New Roman" w:hAnsi="Times New Roman"/>
                <w:sz w:val="28"/>
                <w:szCs w:val="28"/>
              </w:rPr>
            </w:pPr>
            <w:r w:rsidRPr="008B4684">
              <w:rPr>
                <w:rFonts w:ascii="Times New Roman" w:hAnsi="Times New Roman"/>
                <w:sz w:val="28"/>
                <w:szCs w:val="28"/>
              </w:rPr>
              <w:t>Projekta izpildes ietekme uz pārvaldes institucionālo struktūru.</w:t>
            </w:r>
          </w:p>
          <w:p w:rsidR="00AE772C" w:rsidRPr="008B4684" w:rsidRDefault="00AE772C" w:rsidP="009B5E1C">
            <w:pPr>
              <w:pStyle w:val="tvhtml"/>
              <w:spacing w:before="0" w:beforeAutospacing="0" w:after="0" w:afterAutospacing="0"/>
              <w:rPr>
                <w:sz w:val="28"/>
                <w:szCs w:val="28"/>
              </w:rPr>
            </w:pPr>
            <w:r w:rsidRPr="008B4684">
              <w:rPr>
                <w:rFonts w:ascii="Times New Roman" w:hAnsi="Times New Roman"/>
                <w:sz w:val="28"/>
                <w:szCs w:val="28"/>
              </w:rPr>
              <w:t>Jaunu institūciju izveide</w:t>
            </w:r>
          </w:p>
        </w:tc>
        <w:tc>
          <w:tcPr>
            <w:tcW w:w="5835"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nod"/>
              <w:spacing w:before="0" w:after="0"/>
              <w:ind w:left="57" w:right="57" w:firstLine="341"/>
              <w:jc w:val="both"/>
              <w:rPr>
                <w:b w:val="0"/>
                <w:sz w:val="28"/>
                <w:szCs w:val="28"/>
              </w:rPr>
            </w:pPr>
            <w:r w:rsidRPr="008B4684">
              <w:rPr>
                <w:b w:val="0"/>
                <w:iCs/>
                <w:sz w:val="28"/>
                <w:szCs w:val="28"/>
              </w:rPr>
              <w:t>Nav attiecināms.</w:t>
            </w:r>
            <w:r>
              <w:rPr>
                <w:b w:val="0"/>
                <w:iCs/>
                <w:sz w:val="28"/>
                <w:szCs w:val="28"/>
              </w:rPr>
              <w:t xml:space="preserve"> </w:t>
            </w:r>
            <w:r w:rsidRPr="00226E93">
              <w:rPr>
                <w:b w:val="0"/>
                <w:sz w:val="28"/>
                <w:szCs w:val="28"/>
              </w:rPr>
              <w:t>Tiesību akta izpilde notiks esošo valsts institūciju ietvaros.</w:t>
            </w:r>
          </w:p>
        </w:tc>
      </w:tr>
      <w:tr w:rsidR="00AE772C" w:rsidRPr="008B4684" w:rsidTr="009B5E1C">
        <w:trPr>
          <w:trHeight w:val="780"/>
        </w:trPr>
        <w:tc>
          <w:tcPr>
            <w:tcW w:w="71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nod"/>
              <w:spacing w:before="0" w:after="0"/>
              <w:ind w:left="57" w:right="57"/>
              <w:jc w:val="left"/>
              <w:rPr>
                <w:b w:val="0"/>
                <w:sz w:val="28"/>
                <w:szCs w:val="28"/>
              </w:rPr>
            </w:pPr>
            <w:r w:rsidRPr="008B4684">
              <w:rPr>
                <w:b w:val="0"/>
                <w:sz w:val="28"/>
                <w:szCs w:val="28"/>
              </w:rPr>
              <w:t>4.</w:t>
            </w:r>
          </w:p>
        </w:tc>
        <w:tc>
          <w:tcPr>
            <w:tcW w:w="3379"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tvhtml"/>
              <w:spacing w:before="0" w:beforeAutospacing="0" w:after="0" w:afterAutospacing="0"/>
              <w:rPr>
                <w:rFonts w:ascii="Times New Roman" w:hAnsi="Times New Roman"/>
                <w:sz w:val="28"/>
                <w:szCs w:val="28"/>
              </w:rPr>
            </w:pPr>
            <w:r w:rsidRPr="008B4684">
              <w:rPr>
                <w:rFonts w:ascii="Times New Roman" w:hAnsi="Times New Roman"/>
                <w:sz w:val="28"/>
                <w:szCs w:val="28"/>
              </w:rPr>
              <w:t>Projekta izpildes ietekme uz pārvaldes institucionālo struktūru.</w:t>
            </w:r>
          </w:p>
          <w:p w:rsidR="00AE772C" w:rsidRPr="008B4684" w:rsidRDefault="00AE772C" w:rsidP="009B5E1C">
            <w:pPr>
              <w:pStyle w:val="tvhtml"/>
              <w:spacing w:before="0" w:beforeAutospacing="0" w:after="0" w:afterAutospacing="0"/>
              <w:rPr>
                <w:sz w:val="28"/>
                <w:szCs w:val="28"/>
              </w:rPr>
            </w:pPr>
            <w:r w:rsidRPr="008B4684">
              <w:rPr>
                <w:rFonts w:ascii="Times New Roman" w:hAnsi="Times New Roman"/>
                <w:sz w:val="28"/>
                <w:szCs w:val="28"/>
              </w:rPr>
              <w:t>Esošu institūciju likvidācija</w:t>
            </w:r>
          </w:p>
        </w:tc>
        <w:tc>
          <w:tcPr>
            <w:tcW w:w="5835" w:type="dxa"/>
            <w:tcBorders>
              <w:top w:val="single" w:sz="4" w:space="0" w:color="auto"/>
              <w:left w:val="single" w:sz="4" w:space="0" w:color="auto"/>
              <w:bottom w:val="single" w:sz="4" w:space="0" w:color="auto"/>
              <w:right w:val="single" w:sz="4" w:space="0" w:color="auto"/>
            </w:tcBorders>
            <w:hideMark/>
          </w:tcPr>
          <w:p w:rsidR="00AE772C" w:rsidRPr="008B4684" w:rsidRDefault="00184A6F" w:rsidP="009B5E1C">
            <w:pPr>
              <w:pStyle w:val="naisnod"/>
              <w:spacing w:before="0" w:after="0"/>
              <w:ind w:left="57" w:right="57" w:firstLine="341"/>
              <w:jc w:val="left"/>
              <w:rPr>
                <w:b w:val="0"/>
                <w:sz w:val="28"/>
                <w:szCs w:val="28"/>
              </w:rPr>
            </w:pPr>
            <w:r>
              <w:rPr>
                <w:b w:val="0"/>
                <w:iCs/>
                <w:sz w:val="28"/>
                <w:szCs w:val="28"/>
              </w:rPr>
              <w:t>Projekts šo jomu neskar</w:t>
            </w:r>
            <w:r w:rsidR="00AE772C" w:rsidRPr="008B4684">
              <w:rPr>
                <w:b w:val="0"/>
                <w:iCs/>
                <w:sz w:val="28"/>
                <w:szCs w:val="28"/>
              </w:rPr>
              <w:t>.</w:t>
            </w:r>
          </w:p>
        </w:tc>
      </w:tr>
      <w:tr w:rsidR="00AE772C" w:rsidRPr="008B4684" w:rsidTr="009B5E1C">
        <w:trPr>
          <w:trHeight w:val="703"/>
        </w:trPr>
        <w:tc>
          <w:tcPr>
            <w:tcW w:w="71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nod"/>
              <w:spacing w:before="0" w:after="0"/>
              <w:ind w:left="57" w:right="57"/>
              <w:jc w:val="left"/>
              <w:rPr>
                <w:b w:val="0"/>
                <w:sz w:val="28"/>
                <w:szCs w:val="28"/>
              </w:rPr>
            </w:pPr>
            <w:r w:rsidRPr="008B4684">
              <w:rPr>
                <w:b w:val="0"/>
                <w:sz w:val="28"/>
                <w:szCs w:val="28"/>
              </w:rPr>
              <w:t>5.</w:t>
            </w:r>
          </w:p>
        </w:tc>
        <w:tc>
          <w:tcPr>
            <w:tcW w:w="3379"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tvhtml"/>
              <w:spacing w:before="0" w:beforeAutospacing="0" w:after="0" w:afterAutospacing="0"/>
              <w:rPr>
                <w:rFonts w:ascii="Times New Roman" w:hAnsi="Times New Roman"/>
                <w:sz w:val="28"/>
                <w:szCs w:val="28"/>
              </w:rPr>
            </w:pPr>
            <w:r w:rsidRPr="008B4684">
              <w:rPr>
                <w:rFonts w:ascii="Times New Roman" w:hAnsi="Times New Roman"/>
                <w:sz w:val="28"/>
                <w:szCs w:val="28"/>
              </w:rPr>
              <w:t>Projekta izpildes ietekme uz pārvaldes institucionālo struktūru.</w:t>
            </w:r>
          </w:p>
          <w:p w:rsidR="00AE772C" w:rsidRPr="008B4684" w:rsidRDefault="00AE772C" w:rsidP="009B5E1C">
            <w:pPr>
              <w:pStyle w:val="tvhtml"/>
              <w:spacing w:before="0" w:beforeAutospacing="0" w:after="0" w:afterAutospacing="0"/>
              <w:rPr>
                <w:sz w:val="28"/>
                <w:szCs w:val="28"/>
              </w:rPr>
            </w:pPr>
            <w:r w:rsidRPr="008B4684">
              <w:rPr>
                <w:rFonts w:ascii="Times New Roman" w:hAnsi="Times New Roman"/>
                <w:sz w:val="28"/>
                <w:szCs w:val="28"/>
              </w:rPr>
              <w:t>Esošu institūciju reorganizācija</w:t>
            </w:r>
          </w:p>
        </w:tc>
        <w:tc>
          <w:tcPr>
            <w:tcW w:w="5835" w:type="dxa"/>
            <w:tcBorders>
              <w:top w:val="single" w:sz="4" w:space="0" w:color="auto"/>
              <w:left w:val="single" w:sz="4" w:space="0" w:color="auto"/>
              <w:bottom w:val="single" w:sz="4" w:space="0" w:color="auto"/>
              <w:right w:val="single" w:sz="4" w:space="0" w:color="auto"/>
            </w:tcBorders>
            <w:hideMark/>
          </w:tcPr>
          <w:p w:rsidR="00AE772C" w:rsidRPr="008B4684" w:rsidRDefault="00184A6F" w:rsidP="009B5E1C">
            <w:pPr>
              <w:pStyle w:val="naisnod"/>
              <w:spacing w:before="0" w:after="0"/>
              <w:ind w:left="57" w:right="57" w:firstLine="341"/>
              <w:jc w:val="left"/>
              <w:rPr>
                <w:b w:val="0"/>
                <w:sz w:val="28"/>
                <w:szCs w:val="28"/>
              </w:rPr>
            </w:pPr>
            <w:r>
              <w:rPr>
                <w:b w:val="0"/>
                <w:iCs/>
                <w:sz w:val="28"/>
                <w:szCs w:val="28"/>
              </w:rPr>
              <w:t>Projekts šo jomu neskar</w:t>
            </w:r>
            <w:r w:rsidR="00AE772C" w:rsidRPr="008B4684">
              <w:rPr>
                <w:b w:val="0"/>
                <w:iCs/>
                <w:sz w:val="28"/>
                <w:szCs w:val="28"/>
              </w:rPr>
              <w:t>.</w:t>
            </w:r>
          </w:p>
        </w:tc>
      </w:tr>
      <w:tr w:rsidR="00AE772C" w:rsidRPr="008B4684" w:rsidTr="009B5E1C">
        <w:trPr>
          <w:trHeight w:val="323"/>
        </w:trPr>
        <w:tc>
          <w:tcPr>
            <w:tcW w:w="710"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ind w:left="57" w:right="57"/>
              <w:rPr>
                <w:sz w:val="28"/>
                <w:szCs w:val="28"/>
              </w:rPr>
            </w:pPr>
            <w:r w:rsidRPr="008B4684">
              <w:rPr>
                <w:sz w:val="28"/>
                <w:szCs w:val="28"/>
              </w:rPr>
              <w:t>6.</w:t>
            </w:r>
          </w:p>
        </w:tc>
        <w:tc>
          <w:tcPr>
            <w:tcW w:w="3379"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ind w:left="57" w:right="57"/>
              <w:rPr>
                <w:sz w:val="28"/>
                <w:szCs w:val="28"/>
              </w:rPr>
            </w:pPr>
            <w:r w:rsidRPr="008B4684">
              <w:rPr>
                <w:sz w:val="28"/>
                <w:szCs w:val="28"/>
              </w:rPr>
              <w:t>Cita informācija</w:t>
            </w:r>
          </w:p>
        </w:tc>
        <w:tc>
          <w:tcPr>
            <w:tcW w:w="5835" w:type="dxa"/>
            <w:tcBorders>
              <w:top w:val="single" w:sz="4" w:space="0" w:color="auto"/>
              <w:left w:val="single" w:sz="4" w:space="0" w:color="auto"/>
              <w:bottom w:val="single" w:sz="4" w:space="0" w:color="auto"/>
              <w:right w:val="single" w:sz="4" w:space="0" w:color="auto"/>
            </w:tcBorders>
            <w:hideMark/>
          </w:tcPr>
          <w:p w:rsidR="00AE772C" w:rsidRPr="008B4684" w:rsidRDefault="00AE772C" w:rsidP="009B5E1C">
            <w:pPr>
              <w:pStyle w:val="naiskr"/>
              <w:spacing w:before="0" w:after="0"/>
              <w:ind w:left="57" w:right="57" w:firstLine="341"/>
              <w:rPr>
                <w:sz w:val="28"/>
                <w:szCs w:val="28"/>
              </w:rPr>
            </w:pPr>
            <w:r w:rsidRPr="008B4684">
              <w:rPr>
                <w:iCs/>
                <w:sz w:val="28"/>
                <w:szCs w:val="28"/>
              </w:rPr>
              <w:t>Nav.</w:t>
            </w:r>
          </w:p>
        </w:tc>
      </w:tr>
    </w:tbl>
    <w:p w:rsidR="00AE772C" w:rsidRDefault="00AE772C" w:rsidP="00AE772C">
      <w:pPr>
        <w:pStyle w:val="naisf"/>
        <w:tabs>
          <w:tab w:val="left" w:pos="6804"/>
        </w:tabs>
        <w:spacing w:before="0" w:after="0"/>
        <w:ind w:firstLine="0"/>
        <w:rPr>
          <w:sz w:val="28"/>
          <w:szCs w:val="28"/>
        </w:rPr>
      </w:pPr>
    </w:p>
    <w:p w:rsidR="00AE772C" w:rsidRPr="00FE12A2" w:rsidRDefault="00AE772C" w:rsidP="00AE772C">
      <w:pPr>
        <w:pStyle w:val="naisf"/>
        <w:spacing w:before="0" w:after="0"/>
        <w:rPr>
          <w:sz w:val="28"/>
          <w:szCs w:val="28"/>
        </w:rPr>
      </w:pPr>
      <w:r w:rsidRPr="00FE12A2">
        <w:rPr>
          <w:sz w:val="28"/>
          <w:szCs w:val="28"/>
        </w:rPr>
        <w:t>Anotācijas</w:t>
      </w:r>
      <w:r>
        <w:rPr>
          <w:sz w:val="28"/>
          <w:szCs w:val="28"/>
        </w:rPr>
        <w:t xml:space="preserve"> IV., V. un VI. sadaļa </w:t>
      </w:r>
      <w:r w:rsidRPr="00FE12A2">
        <w:rPr>
          <w:sz w:val="28"/>
          <w:szCs w:val="28"/>
        </w:rPr>
        <w:t xml:space="preserve">– </w:t>
      </w:r>
      <w:r>
        <w:rPr>
          <w:sz w:val="28"/>
          <w:szCs w:val="28"/>
        </w:rPr>
        <w:t>projekts šīs jomas neskar.</w:t>
      </w:r>
    </w:p>
    <w:p w:rsidR="00AE772C" w:rsidRPr="00AD03B9" w:rsidRDefault="00AE772C" w:rsidP="00AE772C">
      <w:pPr>
        <w:rPr>
          <w:sz w:val="28"/>
          <w:szCs w:val="28"/>
        </w:rPr>
      </w:pPr>
    </w:p>
    <w:p w:rsidR="00AE772C" w:rsidRDefault="00AE772C" w:rsidP="00AE772C">
      <w:pPr>
        <w:jc w:val="both"/>
        <w:rPr>
          <w:color w:val="000000"/>
          <w:sz w:val="28"/>
          <w:szCs w:val="28"/>
        </w:rPr>
      </w:pPr>
      <w:r w:rsidRPr="00FC7B3D">
        <w:rPr>
          <w:color w:val="000000"/>
          <w:sz w:val="28"/>
          <w:szCs w:val="28"/>
        </w:rPr>
        <w:t>Tieslietu ministrs</w:t>
      </w:r>
      <w:r w:rsidRPr="00FC7B3D">
        <w:rPr>
          <w:color w:val="000000"/>
          <w:sz w:val="28"/>
          <w:szCs w:val="28"/>
        </w:rPr>
        <w:tab/>
      </w:r>
      <w:r w:rsidRPr="00FC7B3D">
        <w:rPr>
          <w:color w:val="000000"/>
          <w:sz w:val="28"/>
          <w:szCs w:val="28"/>
        </w:rPr>
        <w:tab/>
      </w:r>
      <w:r w:rsidRPr="00FC7B3D">
        <w:rPr>
          <w:color w:val="000000"/>
          <w:sz w:val="28"/>
          <w:szCs w:val="28"/>
        </w:rPr>
        <w:tab/>
      </w:r>
      <w:r w:rsidRPr="00FC7B3D">
        <w:rPr>
          <w:color w:val="000000"/>
          <w:sz w:val="28"/>
          <w:szCs w:val="28"/>
        </w:rPr>
        <w:tab/>
      </w:r>
      <w:r w:rsidRPr="00FC7B3D">
        <w:rPr>
          <w:color w:val="000000"/>
          <w:sz w:val="28"/>
          <w:szCs w:val="28"/>
        </w:rPr>
        <w:tab/>
      </w:r>
      <w:r w:rsidRPr="00FC7B3D">
        <w:rPr>
          <w:color w:val="000000"/>
          <w:sz w:val="28"/>
          <w:szCs w:val="28"/>
        </w:rPr>
        <w:tab/>
      </w:r>
      <w:r w:rsidRPr="00FC7B3D">
        <w:rPr>
          <w:color w:val="000000"/>
          <w:sz w:val="28"/>
          <w:szCs w:val="28"/>
        </w:rPr>
        <w:tab/>
      </w:r>
      <w:r w:rsidRPr="00FC7B3D">
        <w:rPr>
          <w:color w:val="000000"/>
          <w:sz w:val="28"/>
          <w:szCs w:val="28"/>
        </w:rPr>
        <w:tab/>
      </w:r>
      <w:r>
        <w:rPr>
          <w:color w:val="000000"/>
          <w:sz w:val="28"/>
          <w:szCs w:val="28"/>
        </w:rPr>
        <w:t xml:space="preserve">        </w:t>
      </w:r>
      <w:proofErr w:type="spellStart"/>
      <w:r>
        <w:rPr>
          <w:color w:val="000000"/>
          <w:sz w:val="28"/>
          <w:szCs w:val="28"/>
        </w:rPr>
        <w:t>J.</w:t>
      </w:r>
      <w:r w:rsidRPr="00826090">
        <w:rPr>
          <w:color w:val="000000"/>
          <w:sz w:val="28"/>
          <w:szCs w:val="28"/>
        </w:rPr>
        <w:t>Bordān</w:t>
      </w:r>
      <w:r>
        <w:rPr>
          <w:color w:val="000000"/>
          <w:sz w:val="28"/>
          <w:szCs w:val="28"/>
        </w:rPr>
        <w:t>s</w:t>
      </w:r>
      <w:proofErr w:type="spellEnd"/>
    </w:p>
    <w:p w:rsidR="00AE772C" w:rsidRPr="008B4684" w:rsidRDefault="00AE772C" w:rsidP="00AE772C">
      <w:pPr>
        <w:pStyle w:val="naisf"/>
        <w:tabs>
          <w:tab w:val="left" w:pos="6804"/>
        </w:tabs>
        <w:spacing w:before="0" w:after="0"/>
        <w:ind w:firstLine="0"/>
        <w:rPr>
          <w:sz w:val="28"/>
          <w:szCs w:val="28"/>
        </w:rPr>
      </w:pPr>
    </w:p>
    <w:p w:rsidR="00AE772C" w:rsidRDefault="00AE772C" w:rsidP="00AE772C">
      <w:pPr>
        <w:pStyle w:val="naisf"/>
        <w:tabs>
          <w:tab w:val="left" w:pos="6480"/>
        </w:tabs>
        <w:spacing w:before="0" w:after="0"/>
        <w:ind w:firstLine="0"/>
      </w:pPr>
    </w:p>
    <w:p w:rsidR="00AE772C" w:rsidRDefault="00184A6F" w:rsidP="00AE772C">
      <w:pPr>
        <w:rPr>
          <w:sz w:val="20"/>
          <w:szCs w:val="20"/>
        </w:rPr>
      </w:pPr>
      <w:r>
        <w:rPr>
          <w:sz w:val="20"/>
          <w:szCs w:val="20"/>
        </w:rPr>
        <w:t>21</w:t>
      </w:r>
      <w:r w:rsidR="00AE772C">
        <w:rPr>
          <w:sz w:val="20"/>
          <w:szCs w:val="20"/>
        </w:rPr>
        <w:t>.</w:t>
      </w:r>
      <w:r w:rsidR="00A27E44">
        <w:rPr>
          <w:sz w:val="20"/>
          <w:szCs w:val="20"/>
        </w:rPr>
        <w:t>11</w:t>
      </w:r>
      <w:r w:rsidR="00AE772C">
        <w:rPr>
          <w:sz w:val="20"/>
          <w:szCs w:val="20"/>
        </w:rPr>
        <w:t>.2012 1</w:t>
      </w:r>
      <w:r>
        <w:rPr>
          <w:sz w:val="20"/>
          <w:szCs w:val="20"/>
        </w:rPr>
        <w:t>3</w:t>
      </w:r>
      <w:r w:rsidR="00AE772C">
        <w:rPr>
          <w:sz w:val="20"/>
          <w:szCs w:val="20"/>
        </w:rPr>
        <w:t>:</w:t>
      </w:r>
      <w:r>
        <w:rPr>
          <w:sz w:val="20"/>
          <w:szCs w:val="20"/>
        </w:rPr>
        <w:t>14</w:t>
      </w:r>
    </w:p>
    <w:p w:rsidR="00AE772C" w:rsidRDefault="00A27E44" w:rsidP="00AE772C">
      <w:pPr>
        <w:rPr>
          <w:sz w:val="20"/>
          <w:szCs w:val="20"/>
        </w:rPr>
      </w:pPr>
      <w:r>
        <w:rPr>
          <w:sz w:val="20"/>
          <w:szCs w:val="20"/>
        </w:rPr>
        <w:t>52</w:t>
      </w:r>
      <w:r w:rsidR="00184A6F">
        <w:rPr>
          <w:sz w:val="20"/>
          <w:szCs w:val="20"/>
        </w:rPr>
        <w:t>96</w:t>
      </w:r>
    </w:p>
    <w:p w:rsidR="00AE772C" w:rsidRDefault="00AE772C" w:rsidP="00AE772C">
      <w:pPr>
        <w:rPr>
          <w:sz w:val="20"/>
          <w:szCs w:val="20"/>
        </w:rPr>
      </w:pPr>
      <w:r>
        <w:rPr>
          <w:sz w:val="20"/>
          <w:szCs w:val="20"/>
        </w:rPr>
        <w:t>E. Timpare</w:t>
      </w:r>
    </w:p>
    <w:p w:rsidR="00AE772C" w:rsidRDefault="00AE772C" w:rsidP="00AE772C">
      <w:r>
        <w:rPr>
          <w:sz w:val="20"/>
          <w:szCs w:val="20"/>
        </w:rPr>
        <w:t>67036829, evija.timpare@tm.gov.lv</w:t>
      </w:r>
    </w:p>
    <w:p w:rsidR="00946FB8" w:rsidRDefault="00946FB8">
      <w:pPr>
        <w:tabs>
          <w:tab w:val="left" w:pos="6990"/>
        </w:tabs>
      </w:pPr>
    </w:p>
    <w:sectPr w:rsidR="00946FB8" w:rsidSect="00446368">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ED" w:rsidRDefault="00727AED" w:rsidP="009B5E1C">
      <w:r>
        <w:separator/>
      </w:r>
    </w:p>
  </w:endnote>
  <w:endnote w:type="continuationSeparator" w:id="0">
    <w:p w:rsidR="00727AED" w:rsidRDefault="00727AED" w:rsidP="009B5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BB" w:rsidRPr="002D75F0" w:rsidRDefault="007B01BB" w:rsidP="009B5E1C">
    <w:pPr>
      <w:pStyle w:val="Footer"/>
      <w:jc w:val="both"/>
    </w:pPr>
    <w:r w:rsidRPr="002B5EDC">
      <w:rPr>
        <w:sz w:val="20"/>
        <w:szCs w:val="20"/>
      </w:rPr>
      <w:t>TMAnot_</w:t>
    </w:r>
    <w:r w:rsidR="009D39D3">
      <w:rPr>
        <w:sz w:val="20"/>
        <w:szCs w:val="20"/>
      </w:rPr>
      <w:t>2</w:t>
    </w:r>
    <w:r w:rsidR="00184A6F">
      <w:rPr>
        <w:sz w:val="20"/>
        <w:szCs w:val="20"/>
      </w:rPr>
      <w:t>1</w:t>
    </w:r>
    <w:r>
      <w:rPr>
        <w:sz w:val="20"/>
        <w:szCs w:val="20"/>
      </w:rPr>
      <w:t>1112</w:t>
    </w:r>
    <w:r w:rsidRPr="002B5EDC">
      <w:rPr>
        <w:sz w:val="20"/>
        <w:szCs w:val="20"/>
      </w:rPr>
      <w:t>_</w:t>
    </w:r>
    <w:r>
      <w:rPr>
        <w:sz w:val="20"/>
        <w:szCs w:val="20"/>
      </w:rPr>
      <w:t>registrs</w:t>
    </w:r>
    <w:r w:rsidRPr="002B5EDC">
      <w:rPr>
        <w:sz w:val="20"/>
        <w:szCs w:val="20"/>
      </w:rPr>
      <w:t xml:space="preserve">; </w:t>
    </w:r>
    <w:r>
      <w:rPr>
        <w:sz w:val="20"/>
        <w:szCs w:val="20"/>
      </w:rPr>
      <w:t xml:space="preserve">Ministru kabineta noteikumu </w:t>
    </w:r>
    <w:r w:rsidRPr="00AD6A74">
      <w:rPr>
        <w:sz w:val="20"/>
        <w:szCs w:val="20"/>
      </w:rPr>
      <w:t>projekt</w:t>
    </w:r>
    <w:r>
      <w:rPr>
        <w:sz w:val="20"/>
        <w:szCs w:val="20"/>
      </w:rPr>
      <w:t xml:space="preserve">a </w:t>
    </w:r>
    <w:r w:rsidRPr="00AD6A74">
      <w:rPr>
        <w:sz w:val="20"/>
        <w:szCs w:val="20"/>
      </w:rPr>
      <w:t>„</w:t>
    </w:r>
    <w:r>
      <w:rPr>
        <w:bCs/>
        <w:sz w:val="20"/>
        <w:szCs w:val="20"/>
      </w:rPr>
      <w:t>Izpildu lietu reģistra noteikumi</w:t>
    </w:r>
    <w:r w:rsidRPr="00AD6A74">
      <w:rPr>
        <w:sz w:val="20"/>
        <w:szCs w:val="20"/>
      </w:rPr>
      <w:t>”</w:t>
    </w:r>
    <w:r w:rsidRPr="002B5EDC">
      <w:rPr>
        <w:sz w:val="20"/>
        <w:szCs w:val="20"/>
      </w:rPr>
      <w:t xml:space="preserve"> sākotnējās ietekmes novērtējuma </w:t>
    </w:r>
    <w:smartTag w:uri="schemas-tilde-lv/tildestengine" w:element="veidnes">
      <w:smartTagPr>
        <w:attr w:name="text" w:val="ziņojums"/>
        <w:attr w:name="id" w:val="-1"/>
        <w:attr w:name="baseform" w:val="ziņojum|s"/>
      </w:smartTagPr>
      <w:r w:rsidRPr="002B5EDC">
        <w:rPr>
          <w:sz w:val="20"/>
          <w:szCs w:val="20"/>
        </w:rPr>
        <w:t>ziņojums</w:t>
      </w:r>
    </w:smartTag>
    <w:r w:rsidRPr="002B5EDC">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BB" w:rsidRDefault="007B01BB" w:rsidP="009B5E1C">
    <w:pPr>
      <w:pStyle w:val="Footer"/>
      <w:jc w:val="both"/>
    </w:pPr>
    <w:r w:rsidRPr="002B5EDC">
      <w:rPr>
        <w:sz w:val="20"/>
        <w:szCs w:val="20"/>
      </w:rPr>
      <w:t>TMAnot_</w:t>
    </w:r>
    <w:r w:rsidR="00184A6F">
      <w:rPr>
        <w:sz w:val="20"/>
        <w:szCs w:val="20"/>
      </w:rPr>
      <w:t>21</w:t>
    </w:r>
    <w:r>
      <w:rPr>
        <w:sz w:val="20"/>
        <w:szCs w:val="20"/>
      </w:rPr>
      <w:t>1112</w:t>
    </w:r>
    <w:r w:rsidRPr="002B5EDC">
      <w:rPr>
        <w:sz w:val="20"/>
        <w:szCs w:val="20"/>
      </w:rPr>
      <w:t>_</w:t>
    </w:r>
    <w:r>
      <w:rPr>
        <w:sz w:val="20"/>
        <w:szCs w:val="20"/>
      </w:rPr>
      <w:t>registrs</w:t>
    </w:r>
    <w:r w:rsidRPr="002B5EDC">
      <w:rPr>
        <w:sz w:val="20"/>
        <w:szCs w:val="20"/>
      </w:rPr>
      <w:t xml:space="preserve">; </w:t>
    </w:r>
    <w:r>
      <w:rPr>
        <w:sz w:val="20"/>
        <w:szCs w:val="20"/>
      </w:rPr>
      <w:t xml:space="preserve">Ministru kabineta noteikumu </w:t>
    </w:r>
    <w:r w:rsidRPr="00AD6A74">
      <w:rPr>
        <w:sz w:val="20"/>
        <w:szCs w:val="20"/>
      </w:rPr>
      <w:t>projekt</w:t>
    </w:r>
    <w:r>
      <w:rPr>
        <w:sz w:val="20"/>
        <w:szCs w:val="20"/>
      </w:rPr>
      <w:t xml:space="preserve">a </w:t>
    </w:r>
    <w:r w:rsidRPr="00AD6A74">
      <w:rPr>
        <w:sz w:val="20"/>
        <w:szCs w:val="20"/>
      </w:rPr>
      <w:t>„</w:t>
    </w:r>
    <w:r>
      <w:rPr>
        <w:bCs/>
        <w:sz w:val="20"/>
        <w:szCs w:val="20"/>
      </w:rPr>
      <w:t>Izpildu lietu reģistra noteikumi</w:t>
    </w:r>
    <w:r w:rsidRPr="00AD6A74">
      <w:rPr>
        <w:sz w:val="20"/>
        <w:szCs w:val="20"/>
      </w:rPr>
      <w:t>”</w:t>
    </w:r>
    <w:r w:rsidRPr="002B5EDC">
      <w:rPr>
        <w:sz w:val="20"/>
        <w:szCs w:val="20"/>
      </w:rPr>
      <w:t xml:space="preserve"> sākotnējās ietekmes novērtējuma </w:t>
    </w:r>
    <w:smartTag w:uri="schemas-tilde-lv/tildestengine" w:element="veidnes">
      <w:smartTagPr>
        <w:attr w:name="text" w:val="ziņojums"/>
        <w:attr w:name="id" w:val="-1"/>
        <w:attr w:name="baseform" w:val="ziņojum|s"/>
      </w:smartTagPr>
      <w:r w:rsidRPr="002B5EDC">
        <w:rPr>
          <w:sz w:val="20"/>
          <w:szCs w:val="20"/>
        </w:rPr>
        <w:t>ziņojums</w:t>
      </w:r>
    </w:smartTag>
    <w:r w:rsidRPr="002B5EDC">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ED" w:rsidRDefault="00727AED" w:rsidP="009B5E1C">
      <w:r>
        <w:separator/>
      </w:r>
    </w:p>
  </w:footnote>
  <w:footnote w:type="continuationSeparator" w:id="0">
    <w:p w:rsidR="00727AED" w:rsidRDefault="00727AED" w:rsidP="009B5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5751"/>
      <w:docPartObj>
        <w:docPartGallery w:val="Page Numbers (Top of Page)"/>
        <w:docPartUnique/>
      </w:docPartObj>
    </w:sdtPr>
    <w:sdtContent>
      <w:p w:rsidR="007B01BB" w:rsidRDefault="00742E54">
        <w:pPr>
          <w:pStyle w:val="Header"/>
          <w:jc w:val="center"/>
        </w:pPr>
        <w:fldSimple w:instr=" PAGE   \* MERGEFORMAT ">
          <w:r w:rsidR="00184A6F">
            <w:rPr>
              <w:noProof/>
            </w:rPr>
            <w:t>22</w:t>
          </w:r>
        </w:fldSimple>
      </w:p>
    </w:sdtContent>
  </w:sdt>
  <w:p w:rsidR="007B01BB" w:rsidRDefault="007B0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065B"/>
    <w:multiLevelType w:val="hybridMultilevel"/>
    <w:tmpl w:val="8228B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6C211D"/>
    <w:multiLevelType w:val="hybridMultilevel"/>
    <w:tmpl w:val="85601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59331C"/>
    <w:multiLevelType w:val="hybridMultilevel"/>
    <w:tmpl w:val="E8C21FB4"/>
    <w:lvl w:ilvl="0" w:tplc="0426000F">
      <w:start w:val="1"/>
      <w:numFmt w:val="decimal"/>
      <w:lvlText w:val="%1."/>
      <w:lvlJc w:val="left"/>
      <w:pPr>
        <w:ind w:left="692" w:hanging="360"/>
      </w:pPr>
    </w:lvl>
    <w:lvl w:ilvl="1" w:tplc="04260019" w:tentative="1">
      <w:start w:val="1"/>
      <w:numFmt w:val="lowerLetter"/>
      <w:lvlText w:val="%2."/>
      <w:lvlJc w:val="left"/>
      <w:pPr>
        <w:ind w:left="1412" w:hanging="360"/>
      </w:pPr>
    </w:lvl>
    <w:lvl w:ilvl="2" w:tplc="0426001B" w:tentative="1">
      <w:start w:val="1"/>
      <w:numFmt w:val="lowerRoman"/>
      <w:lvlText w:val="%3."/>
      <w:lvlJc w:val="right"/>
      <w:pPr>
        <w:ind w:left="2132" w:hanging="180"/>
      </w:pPr>
    </w:lvl>
    <w:lvl w:ilvl="3" w:tplc="0426000F" w:tentative="1">
      <w:start w:val="1"/>
      <w:numFmt w:val="decimal"/>
      <w:lvlText w:val="%4."/>
      <w:lvlJc w:val="left"/>
      <w:pPr>
        <w:ind w:left="2852" w:hanging="360"/>
      </w:pPr>
    </w:lvl>
    <w:lvl w:ilvl="4" w:tplc="04260019" w:tentative="1">
      <w:start w:val="1"/>
      <w:numFmt w:val="lowerLetter"/>
      <w:lvlText w:val="%5."/>
      <w:lvlJc w:val="left"/>
      <w:pPr>
        <w:ind w:left="3572" w:hanging="360"/>
      </w:pPr>
    </w:lvl>
    <w:lvl w:ilvl="5" w:tplc="0426001B" w:tentative="1">
      <w:start w:val="1"/>
      <w:numFmt w:val="lowerRoman"/>
      <w:lvlText w:val="%6."/>
      <w:lvlJc w:val="right"/>
      <w:pPr>
        <w:ind w:left="4292" w:hanging="180"/>
      </w:pPr>
    </w:lvl>
    <w:lvl w:ilvl="6" w:tplc="0426000F" w:tentative="1">
      <w:start w:val="1"/>
      <w:numFmt w:val="decimal"/>
      <w:lvlText w:val="%7."/>
      <w:lvlJc w:val="left"/>
      <w:pPr>
        <w:ind w:left="5012" w:hanging="360"/>
      </w:pPr>
    </w:lvl>
    <w:lvl w:ilvl="7" w:tplc="04260019" w:tentative="1">
      <w:start w:val="1"/>
      <w:numFmt w:val="lowerLetter"/>
      <w:lvlText w:val="%8."/>
      <w:lvlJc w:val="left"/>
      <w:pPr>
        <w:ind w:left="5732" w:hanging="360"/>
      </w:pPr>
    </w:lvl>
    <w:lvl w:ilvl="8" w:tplc="0426001B" w:tentative="1">
      <w:start w:val="1"/>
      <w:numFmt w:val="lowerRoman"/>
      <w:lvlText w:val="%9."/>
      <w:lvlJc w:val="right"/>
      <w:pPr>
        <w:ind w:left="6452" w:hanging="180"/>
      </w:pPr>
    </w:lvl>
  </w:abstractNum>
  <w:abstractNum w:abstractNumId="3">
    <w:nsid w:val="524C76E4"/>
    <w:multiLevelType w:val="hybridMultilevel"/>
    <w:tmpl w:val="85601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5BA1A29"/>
    <w:multiLevelType w:val="hybridMultilevel"/>
    <w:tmpl w:val="763C4C9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772C"/>
    <w:rsid w:val="00005E89"/>
    <w:rsid w:val="0002073E"/>
    <w:rsid w:val="0006363F"/>
    <w:rsid w:val="0009264B"/>
    <w:rsid w:val="000B0B81"/>
    <w:rsid w:val="000B1E78"/>
    <w:rsid w:val="000B4C2B"/>
    <w:rsid w:val="000C46C4"/>
    <w:rsid w:val="000E59A6"/>
    <w:rsid w:val="00102879"/>
    <w:rsid w:val="00107B91"/>
    <w:rsid w:val="00110AF7"/>
    <w:rsid w:val="00121F76"/>
    <w:rsid w:val="001255FF"/>
    <w:rsid w:val="00133874"/>
    <w:rsid w:val="00163D30"/>
    <w:rsid w:val="001732F0"/>
    <w:rsid w:val="00180B9D"/>
    <w:rsid w:val="00183BFC"/>
    <w:rsid w:val="00184A6F"/>
    <w:rsid w:val="00197180"/>
    <w:rsid w:val="001A2117"/>
    <w:rsid w:val="001F04F7"/>
    <w:rsid w:val="001F17A0"/>
    <w:rsid w:val="00200F84"/>
    <w:rsid w:val="002037C1"/>
    <w:rsid w:val="0021717E"/>
    <w:rsid w:val="002173AE"/>
    <w:rsid w:val="00225D74"/>
    <w:rsid w:val="002374ED"/>
    <w:rsid w:val="00267F81"/>
    <w:rsid w:val="00286447"/>
    <w:rsid w:val="00290EFD"/>
    <w:rsid w:val="00291988"/>
    <w:rsid w:val="002A36E5"/>
    <w:rsid w:val="002C481A"/>
    <w:rsid w:val="002E146E"/>
    <w:rsid w:val="002F0221"/>
    <w:rsid w:val="00305B62"/>
    <w:rsid w:val="00307E0E"/>
    <w:rsid w:val="00313946"/>
    <w:rsid w:val="003149D5"/>
    <w:rsid w:val="003178F5"/>
    <w:rsid w:val="00325772"/>
    <w:rsid w:val="00332F56"/>
    <w:rsid w:val="003457A7"/>
    <w:rsid w:val="0034775C"/>
    <w:rsid w:val="00347F05"/>
    <w:rsid w:val="0035221A"/>
    <w:rsid w:val="003533D7"/>
    <w:rsid w:val="00353596"/>
    <w:rsid w:val="00356B8C"/>
    <w:rsid w:val="00371A4B"/>
    <w:rsid w:val="00375D16"/>
    <w:rsid w:val="003840FD"/>
    <w:rsid w:val="003A582F"/>
    <w:rsid w:val="003B1E97"/>
    <w:rsid w:val="003B259C"/>
    <w:rsid w:val="003B3B44"/>
    <w:rsid w:val="003C533E"/>
    <w:rsid w:val="003C5E0D"/>
    <w:rsid w:val="003E2A79"/>
    <w:rsid w:val="003E37BD"/>
    <w:rsid w:val="00401546"/>
    <w:rsid w:val="00434044"/>
    <w:rsid w:val="004341C7"/>
    <w:rsid w:val="00446368"/>
    <w:rsid w:val="0046300E"/>
    <w:rsid w:val="00465240"/>
    <w:rsid w:val="004674C0"/>
    <w:rsid w:val="00480277"/>
    <w:rsid w:val="00485BC7"/>
    <w:rsid w:val="0048686A"/>
    <w:rsid w:val="00490180"/>
    <w:rsid w:val="00492981"/>
    <w:rsid w:val="00496DC2"/>
    <w:rsid w:val="004A0B6C"/>
    <w:rsid w:val="004A4EE4"/>
    <w:rsid w:val="004B5F21"/>
    <w:rsid w:val="004C1645"/>
    <w:rsid w:val="004C2B0B"/>
    <w:rsid w:val="004C2CF3"/>
    <w:rsid w:val="00501043"/>
    <w:rsid w:val="00506659"/>
    <w:rsid w:val="005069AC"/>
    <w:rsid w:val="0051283B"/>
    <w:rsid w:val="00522D8C"/>
    <w:rsid w:val="00523685"/>
    <w:rsid w:val="00527B31"/>
    <w:rsid w:val="00555075"/>
    <w:rsid w:val="00570254"/>
    <w:rsid w:val="00574243"/>
    <w:rsid w:val="005757F8"/>
    <w:rsid w:val="005900BE"/>
    <w:rsid w:val="005931C0"/>
    <w:rsid w:val="005A63FB"/>
    <w:rsid w:val="005B0367"/>
    <w:rsid w:val="005B6EB6"/>
    <w:rsid w:val="005B715D"/>
    <w:rsid w:val="005C2BB1"/>
    <w:rsid w:val="005D25AD"/>
    <w:rsid w:val="005E1DBD"/>
    <w:rsid w:val="005E73AB"/>
    <w:rsid w:val="00614473"/>
    <w:rsid w:val="00620F5B"/>
    <w:rsid w:val="00631C7A"/>
    <w:rsid w:val="0064111E"/>
    <w:rsid w:val="006506F4"/>
    <w:rsid w:val="006550AC"/>
    <w:rsid w:val="00666FCF"/>
    <w:rsid w:val="00672839"/>
    <w:rsid w:val="00673C8B"/>
    <w:rsid w:val="006757F0"/>
    <w:rsid w:val="006812F9"/>
    <w:rsid w:val="006B034A"/>
    <w:rsid w:val="006E1335"/>
    <w:rsid w:val="006F17CA"/>
    <w:rsid w:val="006F48DF"/>
    <w:rsid w:val="0070371D"/>
    <w:rsid w:val="00722CC2"/>
    <w:rsid w:val="00727AED"/>
    <w:rsid w:val="00742E54"/>
    <w:rsid w:val="00743974"/>
    <w:rsid w:val="007470B3"/>
    <w:rsid w:val="00753257"/>
    <w:rsid w:val="0075742C"/>
    <w:rsid w:val="00757D1D"/>
    <w:rsid w:val="007605A3"/>
    <w:rsid w:val="00761C48"/>
    <w:rsid w:val="00770C79"/>
    <w:rsid w:val="0077534D"/>
    <w:rsid w:val="00782B3E"/>
    <w:rsid w:val="00794816"/>
    <w:rsid w:val="007A0223"/>
    <w:rsid w:val="007A261C"/>
    <w:rsid w:val="007A54CF"/>
    <w:rsid w:val="007B01BB"/>
    <w:rsid w:val="007B35AD"/>
    <w:rsid w:val="007D2BB2"/>
    <w:rsid w:val="007D786D"/>
    <w:rsid w:val="007F45E0"/>
    <w:rsid w:val="0080503A"/>
    <w:rsid w:val="00815992"/>
    <w:rsid w:val="0082595F"/>
    <w:rsid w:val="00825B63"/>
    <w:rsid w:val="00826C95"/>
    <w:rsid w:val="00840156"/>
    <w:rsid w:val="008461D3"/>
    <w:rsid w:val="00852C8E"/>
    <w:rsid w:val="00856EBA"/>
    <w:rsid w:val="00866964"/>
    <w:rsid w:val="008B2B47"/>
    <w:rsid w:val="008B4A8E"/>
    <w:rsid w:val="008B4D66"/>
    <w:rsid w:val="008C5D77"/>
    <w:rsid w:val="00902EEF"/>
    <w:rsid w:val="009137A2"/>
    <w:rsid w:val="009158BD"/>
    <w:rsid w:val="009249CC"/>
    <w:rsid w:val="00933D38"/>
    <w:rsid w:val="0093448B"/>
    <w:rsid w:val="009351AA"/>
    <w:rsid w:val="00942884"/>
    <w:rsid w:val="00946FB8"/>
    <w:rsid w:val="0095052D"/>
    <w:rsid w:val="009611FD"/>
    <w:rsid w:val="00977BD7"/>
    <w:rsid w:val="009822DA"/>
    <w:rsid w:val="00997E04"/>
    <w:rsid w:val="009A1C13"/>
    <w:rsid w:val="009A3269"/>
    <w:rsid w:val="009A4373"/>
    <w:rsid w:val="009A52AD"/>
    <w:rsid w:val="009A774D"/>
    <w:rsid w:val="009B0258"/>
    <w:rsid w:val="009B5E1C"/>
    <w:rsid w:val="009C1D65"/>
    <w:rsid w:val="009D39D3"/>
    <w:rsid w:val="009E0A87"/>
    <w:rsid w:val="009E4FAD"/>
    <w:rsid w:val="009F02F0"/>
    <w:rsid w:val="009F07EA"/>
    <w:rsid w:val="009F709D"/>
    <w:rsid w:val="00A1485A"/>
    <w:rsid w:val="00A20461"/>
    <w:rsid w:val="00A27E44"/>
    <w:rsid w:val="00A3529A"/>
    <w:rsid w:val="00A46DED"/>
    <w:rsid w:val="00A51C39"/>
    <w:rsid w:val="00A53040"/>
    <w:rsid w:val="00A55D77"/>
    <w:rsid w:val="00A55E91"/>
    <w:rsid w:val="00A67188"/>
    <w:rsid w:val="00A86D5E"/>
    <w:rsid w:val="00A9168B"/>
    <w:rsid w:val="00AA1C1C"/>
    <w:rsid w:val="00AB3C08"/>
    <w:rsid w:val="00AB4CD1"/>
    <w:rsid w:val="00AC27C9"/>
    <w:rsid w:val="00AD60C7"/>
    <w:rsid w:val="00AE34B2"/>
    <w:rsid w:val="00AE7413"/>
    <w:rsid w:val="00AE772C"/>
    <w:rsid w:val="00AF575F"/>
    <w:rsid w:val="00AF622A"/>
    <w:rsid w:val="00B07887"/>
    <w:rsid w:val="00B12FFF"/>
    <w:rsid w:val="00B26876"/>
    <w:rsid w:val="00B616F9"/>
    <w:rsid w:val="00B63952"/>
    <w:rsid w:val="00B960BB"/>
    <w:rsid w:val="00BA0A49"/>
    <w:rsid w:val="00BA738B"/>
    <w:rsid w:val="00BA7E38"/>
    <w:rsid w:val="00BB3D77"/>
    <w:rsid w:val="00BC3204"/>
    <w:rsid w:val="00BD1B47"/>
    <w:rsid w:val="00BE1C6A"/>
    <w:rsid w:val="00BF110F"/>
    <w:rsid w:val="00C23A6B"/>
    <w:rsid w:val="00C27732"/>
    <w:rsid w:val="00C3551D"/>
    <w:rsid w:val="00C603D2"/>
    <w:rsid w:val="00C80D33"/>
    <w:rsid w:val="00C90E14"/>
    <w:rsid w:val="00C93A06"/>
    <w:rsid w:val="00CA5F4A"/>
    <w:rsid w:val="00CB1780"/>
    <w:rsid w:val="00CB51E1"/>
    <w:rsid w:val="00CC094E"/>
    <w:rsid w:val="00CC3006"/>
    <w:rsid w:val="00CC35E3"/>
    <w:rsid w:val="00CC4DE1"/>
    <w:rsid w:val="00CD0AC5"/>
    <w:rsid w:val="00CD2C76"/>
    <w:rsid w:val="00CD7D04"/>
    <w:rsid w:val="00CE33A0"/>
    <w:rsid w:val="00CF0DC4"/>
    <w:rsid w:val="00D16476"/>
    <w:rsid w:val="00D22BE7"/>
    <w:rsid w:val="00D23DE6"/>
    <w:rsid w:val="00D313A8"/>
    <w:rsid w:val="00D37E90"/>
    <w:rsid w:val="00D47546"/>
    <w:rsid w:val="00D50338"/>
    <w:rsid w:val="00D651B3"/>
    <w:rsid w:val="00D665D6"/>
    <w:rsid w:val="00D72247"/>
    <w:rsid w:val="00D82450"/>
    <w:rsid w:val="00D94138"/>
    <w:rsid w:val="00DB49E7"/>
    <w:rsid w:val="00DC684E"/>
    <w:rsid w:val="00DC6E28"/>
    <w:rsid w:val="00DD0146"/>
    <w:rsid w:val="00DE4427"/>
    <w:rsid w:val="00E047B3"/>
    <w:rsid w:val="00E12523"/>
    <w:rsid w:val="00E214F9"/>
    <w:rsid w:val="00E3627C"/>
    <w:rsid w:val="00E42A7D"/>
    <w:rsid w:val="00E501E2"/>
    <w:rsid w:val="00E55826"/>
    <w:rsid w:val="00E62757"/>
    <w:rsid w:val="00E70DF1"/>
    <w:rsid w:val="00E76AD7"/>
    <w:rsid w:val="00E86960"/>
    <w:rsid w:val="00EA07CB"/>
    <w:rsid w:val="00EA577F"/>
    <w:rsid w:val="00EA68D1"/>
    <w:rsid w:val="00EB198E"/>
    <w:rsid w:val="00EB474E"/>
    <w:rsid w:val="00EB69E3"/>
    <w:rsid w:val="00EB77B3"/>
    <w:rsid w:val="00EE00E8"/>
    <w:rsid w:val="00EF75CA"/>
    <w:rsid w:val="00F04904"/>
    <w:rsid w:val="00F123D1"/>
    <w:rsid w:val="00F227B0"/>
    <w:rsid w:val="00F236FB"/>
    <w:rsid w:val="00F35B4F"/>
    <w:rsid w:val="00F37286"/>
    <w:rsid w:val="00F5091F"/>
    <w:rsid w:val="00F5181E"/>
    <w:rsid w:val="00F5443E"/>
    <w:rsid w:val="00F546AB"/>
    <w:rsid w:val="00F55AF5"/>
    <w:rsid w:val="00F611BF"/>
    <w:rsid w:val="00F724AE"/>
    <w:rsid w:val="00F77280"/>
    <w:rsid w:val="00FA14D7"/>
    <w:rsid w:val="00FC4064"/>
    <w:rsid w:val="00FC6D7B"/>
    <w:rsid w:val="00FE3466"/>
    <w:rsid w:val="00FF1684"/>
    <w:rsid w:val="00FF2088"/>
    <w:rsid w:val="00FF32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2C"/>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E772C"/>
    <w:rPr>
      <w:sz w:val="20"/>
      <w:szCs w:val="20"/>
    </w:rPr>
  </w:style>
  <w:style w:type="character" w:customStyle="1" w:styleId="FootnoteTextChar">
    <w:name w:val="Footnote Text Char"/>
    <w:basedOn w:val="DefaultParagraphFont"/>
    <w:link w:val="FootnoteText"/>
    <w:rsid w:val="00AE772C"/>
    <w:rPr>
      <w:rFonts w:eastAsia="Times New Roman"/>
      <w:sz w:val="20"/>
      <w:szCs w:val="20"/>
      <w:lang w:eastAsia="lv-LV"/>
    </w:rPr>
  </w:style>
  <w:style w:type="paragraph" w:styleId="BodyText">
    <w:name w:val="Body Text"/>
    <w:basedOn w:val="Normal"/>
    <w:link w:val="BodyTextChar"/>
    <w:unhideWhenUsed/>
    <w:rsid w:val="00AE772C"/>
    <w:pPr>
      <w:spacing w:after="120"/>
    </w:pPr>
  </w:style>
  <w:style w:type="character" w:customStyle="1" w:styleId="BodyTextChar">
    <w:name w:val="Body Text Char"/>
    <w:basedOn w:val="DefaultParagraphFont"/>
    <w:link w:val="BodyText"/>
    <w:rsid w:val="00AE772C"/>
    <w:rPr>
      <w:rFonts w:eastAsia="Times New Roman"/>
      <w:szCs w:val="24"/>
      <w:lang w:eastAsia="lv-LV"/>
    </w:rPr>
  </w:style>
  <w:style w:type="paragraph" w:styleId="PlainText">
    <w:name w:val="Plain Text"/>
    <w:basedOn w:val="Normal"/>
    <w:link w:val="PlainTextChar"/>
    <w:uiPriority w:val="99"/>
    <w:unhideWhenUsed/>
    <w:rsid w:val="00AE772C"/>
    <w:rPr>
      <w:rFonts w:ascii="Calibri" w:eastAsia="Calibri" w:hAnsi="Calibri"/>
      <w:sz w:val="22"/>
      <w:szCs w:val="22"/>
    </w:rPr>
  </w:style>
  <w:style w:type="character" w:customStyle="1" w:styleId="PlainTextChar">
    <w:name w:val="Plain Text Char"/>
    <w:basedOn w:val="DefaultParagraphFont"/>
    <w:link w:val="PlainText"/>
    <w:uiPriority w:val="99"/>
    <w:rsid w:val="00AE772C"/>
    <w:rPr>
      <w:rFonts w:ascii="Calibri" w:eastAsia="Calibri" w:hAnsi="Calibri"/>
      <w:sz w:val="22"/>
      <w:szCs w:val="22"/>
      <w:lang w:eastAsia="lv-LV"/>
    </w:rPr>
  </w:style>
  <w:style w:type="paragraph" w:customStyle="1" w:styleId="naisf">
    <w:name w:val="naisf"/>
    <w:basedOn w:val="Normal"/>
    <w:rsid w:val="00AE772C"/>
    <w:pPr>
      <w:spacing w:before="75" w:after="75"/>
      <w:ind w:firstLine="375"/>
      <w:jc w:val="both"/>
    </w:pPr>
  </w:style>
  <w:style w:type="paragraph" w:customStyle="1" w:styleId="naisnod">
    <w:name w:val="naisnod"/>
    <w:basedOn w:val="Normal"/>
    <w:rsid w:val="00AE772C"/>
    <w:pPr>
      <w:spacing w:before="150" w:after="150"/>
      <w:jc w:val="center"/>
    </w:pPr>
    <w:rPr>
      <w:b/>
      <w:bCs/>
    </w:rPr>
  </w:style>
  <w:style w:type="paragraph" w:customStyle="1" w:styleId="naislab">
    <w:name w:val="naislab"/>
    <w:basedOn w:val="Normal"/>
    <w:rsid w:val="00AE772C"/>
    <w:pPr>
      <w:spacing w:before="75" w:after="75"/>
      <w:jc w:val="right"/>
    </w:pPr>
  </w:style>
  <w:style w:type="paragraph" w:customStyle="1" w:styleId="naiskr">
    <w:name w:val="naiskr"/>
    <w:basedOn w:val="Normal"/>
    <w:rsid w:val="00AE772C"/>
    <w:pPr>
      <w:spacing w:before="75" w:after="75"/>
    </w:pPr>
  </w:style>
  <w:style w:type="paragraph" w:customStyle="1" w:styleId="tvhtml">
    <w:name w:val="tv_html"/>
    <w:basedOn w:val="Normal"/>
    <w:rsid w:val="00AE772C"/>
    <w:pPr>
      <w:spacing w:before="100" w:beforeAutospacing="1" w:after="100" w:afterAutospacing="1"/>
    </w:pPr>
    <w:rPr>
      <w:rFonts w:ascii="Verdana" w:hAnsi="Verdana"/>
      <w:sz w:val="18"/>
      <w:szCs w:val="18"/>
    </w:rPr>
  </w:style>
  <w:style w:type="paragraph" w:styleId="Header">
    <w:name w:val="header"/>
    <w:basedOn w:val="Normal"/>
    <w:link w:val="HeaderChar"/>
    <w:uiPriority w:val="99"/>
    <w:unhideWhenUsed/>
    <w:rsid w:val="00AE772C"/>
    <w:pPr>
      <w:tabs>
        <w:tab w:val="center" w:pos="4153"/>
        <w:tab w:val="right" w:pos="8306"/>
      </w:tabs>
    </w:pPr>
  </w:style>
  <w:style w:type="character" w:customStyle="1" w:styleId="HeaderChar">
    <w:name w:val="Header Char"/>
    <w:basedOn w:val="DefaultParagraphFont"/>
    <w:link w:val="Header"/>
    <w:uiPriority w:val="99"/>
    <w:rsid w:val="00AE772C"/>
    <w:rPr>
      <w:rFonts w:eastAsia="Times New Roman"/>
      <w:szCs w:val="24"/>
      <w:lang w:eastAsia="lv-LV"/>
    </w:rPr>
  </w:style>
  <w:style w:type="paragraph" w:styleId="Footer">
    <w:name w:val="footer"/>
    <w:basedOn w:val="Normal"/>
    <w:link w:val="FooterChar"/>
    <w:uiPriority w:val="99"/>
    <w:unhideWhenUsed/>
    <w:rsid w:val="00AE772C"/>
    <w:pPr>
      <w:tabs>
        <w:tab w:val="center" w:pos="4153"/>
        <w:tab w:val="right" w:pos="8306"/>
      </w:tabs>
    </w:pPr>
  </w:style>
  <w:style w:type="character" w:customStyle="1" w:styleId="FooterChar">
    <w:name w:val="Footer Char"/>
    <w:basedOn w:val="DefaultParagraphFont"/>
    <w:link w:val="Footer"/>
    <w:uiPriority w:val="99"/>
    <w:rsid w:val="00AE772C"/>
    <w:rPr>
      <w:rFonts w:eastAsia="Times New Roman"/>
      <w:szCs w:val="24"/>
      <w:lang w:eastAsia="lv-LV"/>
    </w:rPr>
  </w:style>
  <w:style w:type="paragraph" w:styleId="NormalWeb">
    <w:name w:val="Normal (Web)"/>
    <w:basedOn w:val="Normal"/>
    <w:uiPriority w:val="99"/>
    <w:rsid w:val="00AE772C"/>
    <w:pPr>
      <w:spacing w:before="100" w:beforeAutospacing="1" w:after="100" w:afterAutospacing="1"/>
    </w:pPr>
  </w:style>
  <w:style w:type="paragraph" w:styleId="ListParagraph">
    <w:name w:val="List Paragraph"/>
    <w:basedOn w:val="Normal"/>
    <w:uiPriority w:val="34"/>
    <w:qFormat/>
    <w:rsid w:val="00AE772C"/>
    <w:pPr>
      <w:ind w:left="720"/>
      <w:contextualSpacing/>
    </w:pPr>
  </w:style>
  <w:style w:type="table" w:styleId="TableGrid">
    <w:name w:val="Table Grid"/>
    <w:basedOn w:val="TableNormal"/>
    <w:rsid w:val="00AE7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772C"/>
    <w:rPr>
      <w:color w:val="0000FF" w:themeColor="hyperlink"/>
      <w:u w:val="single"/>
    </w:rPr>
  </w:style>
  <w:style w:type="character" w:styleId="CommentReference">
    <w:name w:val="annotation reference"/>
    <w:basedOn w:val="DefaultParagraphFont"/>
    <w:uiPriority w:val="99"/>
    <w:semiHidden/>
    <w:unhideWhenUsed/>
    <w:rsid w:val="00555075"/>
    <w:rPr>
      <w:sz w:val="16"/>
      <w:szCs w:val="16"/>
    </w:rPr>
  </w:style>
  <w:style w:type="paragraph" w:styleId="CommentText">
    <w:name w:val="annotation text"/>
    <w:basedOn w:val="Normal"/>
    <w:link w:val="CommentTextChar"/>
    <w:uiPriority w:val="99"/>
    <w:semiHidden/>
    <w:unhideWhenUsed/>
    <w:rsid w:val="00555075"/>
    <w:rPr>
      <w:sz w:val="20"/>
      <w:szCs w:val="20"/>
    </w:rPr>
  </w:style>
  <w:style w:type="character" w:customStyle="1" w:styleId="CommentTextChar">
    <w:name w:val="Comment Text Char"/>
    <w:basedOn w:val="DefaultParagraphFont"/>
    <w:link w:val="CommentText"/>
    <w:uiPriority w:val="99"/>
    <w:semiHidden/>
    <w:rsid w:val="00555075"/>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075"/>
    <w:rPr>
      <w:b/>
      <w:bCs/>
    </w:rPr>
  </w:style>
  <w:style w:type="character" w:customStyle="1" w:styleId="CommentSubjectChar">
    <w:name w:val="Comment Subject Char"/>
    <w:basedOn w:val="CommentTextChar"/>
    <w:link w:val="CommentSubject"/>
    <w:uiPriority w:val="99"/>
    <w:semiHidden/>
    <w:rsid w:val="00555075"/>
    <w:rPr>
      <w:b/>
      <w:bCs/>
    </w:rPr>
  </w:style>
  <w:style w:type="paragraph" w:styleId="BalloonText">
    <w:name w:val="Balloon Text"/>
    <w:basedOn w:val="Normal"/>
    <w:link w:val="BalloonTextChar"/>
    <w:uiPriority w:val="99"/>
    <w:semiHidden/>
    <w:unhideWhenUsed/>
    <w:rsid w:val="00555075"/>
    <w:rPr>
      <w:rFonts w:ascii="Tahoma" w:hAnsi="Tahoma" w:cs="Tahoma"/>
      <w:sz w:val="16"/>
      <w:szCs w:val="16"/>
    </w:rPr>
  </w:style>
  <w:style w:type="character" w:customStyle="1" w:styleId="BalloonTextChar">
    <w:name w:val="Balloon Text Char"/>
    <w:basedOn w:val="DefaultParagraphFont"/>
    <w:link w:val="BalloonText"/>
    <w:uiPriority w:val="99"/>
    <w:semiHidden/>
    <w:rsid w:val="00555075"/>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3074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zt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27801</Words>
  <Characters>15848</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43562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Izpildu lietu reģistra noteikumi</dc:title>
  <dc:subject>Anotācija</dc:subject>
  <dc:creator>Tieslietu ministrija</dc:creator>
  <cp:keywords/>
  <dc:description>evija.timpare@tm.gov.lv_x000d_
67036829</dc:description>
  <cp:lastModifiedBy>et1401</cp:lastModifiedBy>
  <cp:revision>4</cp:revision>
  <dcterms:created xsi:type="dcterms:W3CDTF">2012-11-20T12:49:00Z</dcterms:created>
  <dcterms:modified xsi:type="dcterms:W3CDTF">2012-11-21T11:14:00Z</dcterms:modified>
</cp:coreProperties>
</file>