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A2" w:rsidRPr="000E6441" w:rsidRDefault="000427FA" w:rsidP="001D0160">
      <w:pPr>
        <w:ind w:left="426" w:right="565"/>
        <w:jc w:val="center"/>
        <w:rPr>
          <w:b/>
          <w:bCs/>
          <w:sz w:val="28"/>
          <w:szCs w:val="28"/>
        </w:rPr>
      </w:pPr>
      <w:bookmarkStart w:id="0" w:name="OLE_LINK1"/>
      <w:bookmarkStart w:id="1" w:name="OLE_LINK2"/>
      <w:r w:rsidRPr="006C5F71">
        <w:rPr>
          <w:b/>
          <w:bCs/>
          <w:sz w:val="28"/>
          <w:szCs w:val="28"/>
        </w:rPr>
        <w:t>Ministru kabineta noteikumu projekta „</w:t>
      </w:r>
      <w:r w:rsidR="006036F5" w:rsidRPr="006C5F71">
        <w:rPr>
          <w:b/>
          <w:bCs/>
          <w:sz w:val="28"/>
          <w:szCs w:val="28"/>
        </w:rPr>
        <w:t>Noteikumi par Eiropas Trešo valstu valstspiederīgo integrācijas fonda 2009. gada programmas 1.7. aktivitātes „ Izglītojošo un sabiedrības informēšanas kampaņu, īpaši masu medijos, realizēšana par imigrāciju un iespējamiem sabiedrības ieguvumiem” īstenošanu</w:t>
      </w:r>
      <w:r w:rsidR="00BA7BDF" w:rsidRPr="006C5F71">
        <w:rPr>
          <w:b/>
          <w:bCs/>
          <w:sz w:val="28"/>
          <w:szCs w:val="28"/>
        </w:rPr>
        <w:t>”</w:t>
      </w:r>
      <w:r w:rsidR="00E578A2" w:rsidRPr="006C5F71">
        <w:rPr>
          <w:b/>
          <w:sz w:val="28"/>
          <w:szCs w:val="28"/>
        </w:rPr>
        <w:t xml:space="preserve"> sākotnējās ietekmes novērtējuma ziņojums (anotācija)</w:t>
      </w:r>
      <w:bookmarkEnd w:id="0"/>
      <w:bookmarkEnd w:id="1"/>
    </w:p>
    <w:p w:rsidR="00662076" w:rsidRPr="000E6441" w:rsidRDefault="00662076" w:rsidP="000E6441">
      <w:pPr>
        <w:pStyle w:val="naislab"/>
        <w:spacing w:before="0" w:after="0"/>
        <w:jc w:val="center"/>
        <w:outlineLvl w:val="0"/>
        <w:rPr>
          <w:b/>
          <w:sz w:val="28"/>
          <w:szCs w:val="28"/>
        </w:rPr>
      </w:pPr>
    </w:p>
    <w:tbl>
      <w:tblPr>
        <w:tblStyle w:val="Reatabula"/>
        <w:tblpPr w:leftFromText="180" w:rightFromText="180" w:vertAnchor="text" w:tblpX="72" w:tblpY="1"/>
        <w:tblOverlap w:val="never"/>
        <w:tblW w:w="9108" w:type="dxa"/>
        <w:tblLook w:val="01E0"/>
      </w:tblPr>
      <w:tblGrid>
        <w:gridCol w:w="540"/>
        <w:gridCol w:w="2262"/>
        <w:gridCol w:w="6306"/>
      </w:tblGrid>
      <w:tr w:rsidR="00E578A2" w:rsidRPr="00D97244" w:rsidTr="004E31DE">
        <w:tc>
          <w:tcPr>
            <w:tcW w:w="9108" w:type="dxa"/>
            <w:gridSpan w:val="3"/>
          </w:tcPr>
          <w:p w:rsidR="00E578A2" w:rsidRPr="00D97244" w:rsidRDefault="00E578A2" w:rsidP="000E6441">
            <w:pPr>
              <w:pStyle w:val="naislab"/>
              <w:spacing w:before="0" w:after="0"/>
              <w:jc w:val="center"/>
              <w:outlineLvl w:val="0"/>
              <w:rPr>
                <w:b/>
                <w:sz w:val="26"/>
                <w:szCs w:val="26"/>
              </w:rPr>
            </w:pPr>
            <w:r w:rsidRPr="00D97244">
              <w:rPr>
                <w:sz w:val="26"/>
                <w:szCs w:val="26"/>
              </w:rPr>
              <w:t> </w:t>
            </w:r>
            <w:r w:rsidRPr="00D97244">
              <w:rPr>
                <w:b/>
                <w:sz w:val="26"/>
                <w:szCs w:val="26"/>
              </w:rPr>
              <w:t>I Tiesību akta projekta izstrādes nepieciešamība</w:t>
            </w:r>
          </w:p>
        </w:tc>
      </w:tr>
      <w:tr w:rsidR="00E578A2" w:rsidRPr="00D97244" w:rsidTr="006F0332">
        <w:tc>
          <w:tcPr>
            <w:tcW w:w="540" w:type="dxa"/>
          </w:tcPr>
          <w:p w:rsidR="00E578A2" w:rsidRPr="00D97244" w:rsidRDefault="00E578A2" w:rsidP="000E6441">
            <w:pPr>
              <w:pStyle w:val="naislab"/>
              <w:numPr>
                <w:ilvl w:val="0"/>
                <w:numId w:val="3"/>
              </w:numPr>
              <w:tabs>
                <w:tab w:val="clear" w:pos="720"/>
                <w:tab w:val="num" w:pos="72"/>
              </w:tabs>
              <w:spacing w:before="0" w:after="0"/>
              <w:ind w:left="0" w:firstLine="0"/>
              <w:jc w:val="both"/>
              <w:outlineLvl w:val="0"/>
              <w:rPr>
                <w:sz w:val="26"/>
                <w:szCs w:val="26"/>
              </w:rPr>
            </w:pPr>
          </w:p>
        </w:tc>
        <w:tc>
          <w:tcPr>
            <w:tcW w:w="2262" w:type="dxa"/>
          </w:tcPr>
          <w:p w:rsidR="00E578A2" w:rsidRPr="00D97244" w:rsidRDefault="00E578A2" w:rsidP="000E6441">
            <w:pPr>
              <w:pStyle w:val="naislab"/>
              <w:spacing w:before="0" w:after="0"/>
              <w:jc w:val="both"/>
              <w:outlineLvl w:val="0"/>
              <w:rPr>
                <w:b/>
                <w:sz w:val="26"/>
                <w:szCs w:val="26"/>
              </w:rPr>
            </w:pPr>
            <w:r w:rsidRPr="00D97244">
              <w:rPr>
                <w:sz w:val="26"/>
                <w:szCs w:val="26"/>
              </w:rPr>
              <w:t>Pamatojums</w:t>
            </w:r>
          </w:p>
        </w:tc>
        <w:tc>
          <w:tcPr>
            <w:tcW w:w="6306" w:type="dxa"/>
          </w:tcPr>
          <w:p w:rsidR="00992DA6" w:rsidRPr="00D97244" w:rsidRDefault="000643DF" w:rsidP="000E6441">
            <w:pPr>
              <w:pStyle w:val="naiskr"/>
              <w:spacing w:before="0" w:after="0"/>
              <w:ind w:firstLine="586"/>
              <w:jc w:val="both"/>
              <w:rPr>
                <w:sz w:val="26"/>
                <w:szCs w:val="26"/>
              </w:rPr>
            </w:pPr>
            <w:r w:rsidRPr="00D97244">
              <w:rPr>
                <w:sz w:val="26"/>
                <w:szCs w:val="26"/>
              </w:rPr>
              <w:t>Saskaņā ar Eiropas Padomes 2007. gada 25. jūnija lēmuma Nr. 2007/435/EK, ar ko laikposmam no 2007. gada līdz 2013.gadam izveido Eiropas Trešo valstu valstspiederīgo integrācijas fondu kā daļu no Vispārīgās programmas „Solidaritāte un migrācijas plūsmu pārvaldība” 19. pantu Eiropas Komisija ir apstiprinājusi Eiropas Trešo valstu valstsp</w:t>
            </w:r>
            <w:r w:rsidR="00D63946" w:rsidRPr="00D97244">
              <w:rPr>
                <w:sz w:val="26"/>
                <w:szCs w:val="26"/>
              </w:rPr>
              <w:t>iederīgo integrācijas fonda 2009</w:t>
            </w:r>
            <w:r w:rsidRPr="00D97244">
              <w:rPr>
                <w:sz w:val="26"/>
                <w:szCs w:val="26"/>
              </w:rPr>
              <w:t>. gada programmu.</w:t>
            </w:r>
          </w:p>
          <w:p w:rsidR="00992DA6" w:rsidRPr="00D97244" w:rsidRDefault="000643DF" w:rsidP="000E6441">
            <w:pPr>
              <w:pStyle w:val="naiskr"/>
              <w:spacing w:before="0" w:after="0"/>
              <w:ind w:firstLine="586"/>
              <w:jc w:val="both"/>
              <w:rPr>
                <w:sz w:val="26"/>
                <w:szCs w:val="26"/>
              </w:rPr>
            </w:pPr>
            <w:r w:rsidRPr="00D97244">
              <w:rPr>
                <w:sz w:val="26"/>
                <w:szCs w:val="26"/>
              </w:rPr>
              <w:t>Eiropas Komisijas 2008. gada 5. marta lēmuma Nr. 2008/457/EK, kas nosaka kārtību, kādā īstenojams Padomes lēmums 2007/435/EK, ar ko laikposmam no 2007. gada līdz 2013.gadam izveido Eiropas Trešo valstu valstspiederīgo integrācijas fondu kā daļu no Vispārīgās programmas „Solidaritāte un migrācijas plūsmu pārvaldība”, attiecībā uz dalībvalstu pārvaldības un kontroles sistēmām, administratīvās un finanšu pārvaldības noteikumiem un Fonda līdzfinansēto projektu izdevumu atbilstību 9. pantu ir jānosaka atlases un piešķiršanas procedūra.</w:t>
            </w:r>
          </w:p>
          <w:p w:rsidR="00FA6A64" w:rsidRPr="00D97244" w:rsidRDefault="000643DF" w:rsidP="000E6441">
            <w:pPr>
              <w:pStyle w:val="naiskr"/>
              <w:spacing w:before="0" w:after="0"/>
              <w:ind w:firstLine="586"/>
              <w:jc w:val="both"/>
              <w:rPr>
                <w:sz w:val="26"/>
                <w:szCs w:val="26"/>
              </w:rPr>
            </w:pPr>
            <w:r w:rsidRPr="00D97244">
              <w:rPr>
                <w:sz w:val="26"/>
                <w:szCs w:val="26"/>
              </w:rPr>
              <w:t>Noteikumu projekts izstrādāts, pamatojoties uz Vispārējās programmas „Solidaritāte un migrācijas plūsmu pārvaldība” ietvaros izveidoto fondu likuma 14. panta 3. </w:t>
            </w:r>
            <w:r w:rsidR="00202B75" w:rsidRPr="00D97244">
              <w:rPr>
                <w:sz w:val="26"/>
                <w:szCs w:val="26"/>
              </w:rPr>
              <w:t>p</w:t>
            </w:r>
            <w:r w:rsidRPr="00D97244">
              <w:rPr>
                <w:sz w:val="26"/>
                <w:szCs w:val="26"/>
              </w:rPr>
              <w:t>unktu, kā arī ņemot vērā minētos Eiropas Savienības tiesību aktus.</w:t>
            </w:r>
          </w:p>
        </w:tc>
      </w:tr>
      <w:tr w:rsidR="00E578A2" w:rsidRPr="00D97244" w:rsidTr="006F0332">
        <w:tc>
          <w:tcPr>
            <w:tcW w:w="540" w:type="dxa"/>
          </w:tcPr>
          <w:p w:rsidR="00E578A2" w:rsidRPr="00D97244" w:rsidRDefault="00E578A2" w:rsidP="000E6441">
            <w:pPr>
              <w:pStyle w:val="naislab"/>
              <w:numPr>
                <w:ilvl w:val="0"/>
                <w:numId w:val="3"/>
              </w:numPr>
              <w:tabs>
                <w:tab w:val="clear" w:pos="720"/>
                <w:tab w:val="num" w:pos="72"/>
              </w:tabs>
              <w:spacing w:before="0" w:after="0"/>
              <w:ind w:left="0" w:firstLine="0"/>
              <w:jc w:val="both"/>
              <w:outlineLvl w:val="0"/>
              <w:rPr>
                <w:sz w:val="26"/>
                <w:szCs w:val="26"/>
              </w:rPr>
            </w:pPr>
          </w:p>
        </w:tc>
        <w:tc>
          <w:tcPr>
            <w:tcW w:w="2262" w:type="dxa"/>
          </w:tcPr>
          <w:p w:rsidR="00E578A2" w:rsidRPr="00D97244" w:rsidRDefault="00E578A2" w:rsidP="000E6441">
            <w:pPr>
              <w:pStyle w:val="naislab"/>
              <w:spacing w:before="0" w:after="0"/>
              <w:jc w:val="both"/>
              <w:outlineLvl w:val="0"/>
              <w:rPr>
                <w:b/>
                <w:sz w:val="26"/>
                <w:szCs w:val="26"/>
              </w:rPr>
            </w:pPr>
            <w:r w:rsidRPr="00D97244">
              <w:rPr>
                <w:sz w:val="26"/>
                <w:szCs w:val="26"/>
              </w:rPr>
              <w:t>Pašreizējā situācija un problēmas</w:t>
            </w:r>
          </w:p>
        </w:tc>
        <w:tc>
          <w:tcPr>
            <w:tcW w:w="6306" w:type="dxa"/>
          </w:tcPr>
          <w:p w:rsidR="00713830" w:rsidRPr="00D97244" w:rsidRDefault="00713830" w:rsidP="000E6441">
            <w:pPr>
              <w:pStyle w:val="naislab"/>
              <w:spacing w:before="0" w:after="0"/>
              <w:ind w:firstLine="586"/>
              <w:jc w:val="both"/>
              <w:outlineLvl w:val="0"/>
              <w:rPr>
                <w:rStyle w:val="spelle"/>
                <w:sz w:val="26"/>
                <w:szCs w:val="26"/>
              </w:rPr>
            </w:pPr>
            <w:r w:rsidRPr="00D97244">
              <w:rPr>
                <w:sz w:val="26"/>
                <w:szCs w:val="26"/>
              </w:rPr>
              <w:t>Saskaņā ar Ministru kabineta (turpmāk – MK) 2011. gada 22. februāra sēdes protokola Nr.11, 41.§ 9.</w:t>
            </w:r>
            <w:r w:rsidR="00B50A5F" w:rsidRPr="00D97244">
              <w:rPr>
                <w:sz w:val="26"/>
                <w:szCs w:val="26"/>
              </w:rPr>
              <w:t>1.</w:t>
            </w:r>
            <w:r w:rsidRPr="00D97244">
              <w:rPr>
                <w:sz w:val="26"/>
                <w:szCs w:val="26"/>
              </w:rPr>
              <w:t> </w:t>
            </w:r>
            <w:r w:rsidR="00B50A5F" w:rsidRPr="00D97244">
              <w:rPr>
                <w:sz w:val="26"/>
                <w:szCs w:val="26"/>
              </w:rPr>
              <w:t>apakš</w:t>
            </w:r>
            <w:r w:rsidRPr="00D97244">
              <w:rPr>
                <w:sz w:val="26"/>
                <w:szCs w:val="26"/>
              </w:rPr>
              <w:t xml:space="preserve">punktu, Tieslietu ministrijai sadarbībā ar Kultūras ministriju līdz 2011. gada 1. aprīlim bija jāizstrādā un MK noteiktā kārtībā jāiesniedz izskatīšanai MK </w:t>
            </w:r>
            <w:r w:rsidRPr="00D97244">
              <w:rPr>
                <w:rStyle w:val="spelle"/>
                <w:sz w:val="26"/>
                <w:szCs w:val="26"/>
              </w:rPr>
              <w:t>noteikumu projekts par Eiropas Trešo valstu valstspiederīgo integrācijas fonda 2009. gada programmas 1.7. aktivitātes "Izglītojošo un sabiedrības informēšanas kampaņu, īpaši masu medijos, realizēšana par imigrāciju un iespējamiem sabiedrības ieguvumiem" ieviešanu</w:t>
            </w:r>
            <w:r w:rsidR="00AC07B8" w:rsidRPr="00D97244">
              <w:rPr>
                <w:rStyle w:val="spelle"/>
                <w:sz w:val="26"/>
                <w:szCs w:val="26"/>
              </w:rPr>
              <w:t xml:space="preserve"> (turpmāk –noteikumu projekts)</w:t>
            </w:r>
            <w:r w:rsidRPr="00D97244">
              <w:rPr>
                <w:rStyle w:val="spelle"/>
                <w:sz w:val="26"/>
                <w:szCs w:val="26"/>
              </w:rPr>
              <w:t xml:space="preserve">, paredzot projektu konkursa organizēšanas kārtību, prasības fonda finansējuma saņēmējiem, fonda projektu iesniegumu sagatavošanas un iesniegšanas kārtību un to vērtēšanas kritērijus, fonda projektu atlases kārtību un granta līguma </w:t>
            </w:r>
            <w:r w:rsidRPr="00D97244">
              <w:rPr>
                <w:rStyle w:val="spelle"/>
                <w:sz w:val="26"/>
                <w:szCs w:val="26"/>
              </w:rPr>
              <w:lastRenderedPageBreak/>
              <w:t>slēgšanas kārtību</w:t>
            </w:r>
            <w:r w:rsidR="00B50A5F" w:rsidRPr="00D97244">
              <w:rPr>
                <w:rStyle w:val="spelle"/>
                <w:sz w:val="26"/>
                <w:szCs w:val="26"/>
              </w:rPr>
              <w:t xml:space="preserve">. </w:t>
            </w:r>
            <w:r w:rsidR="00AC07B8" w:rsidRPr="00D97244">
              <w:rPr>
                <w:rStyle w:val="spelle"/>
                <w:sz w:val="26"/>
                <w:szCs w:val="26"/>
              </w:rPr>
              <w:t xml:space="preserve">Noteikumu projekts par atsevišķu Eiropas Trešo valstu valstspiederīgo integrācijas fonda 2009. gada programmas aktivitāti nepieciešams, jo Eiropas Komisijā iepriekš tika iesniegti 2009. gada programmas grozījumi, kas paredzēja aktivitāti īstenot kā ierobežotu projektu konkursu. Eiropas Komisijas lēmums par grozījumu apstiprināšanu tika saņemts tikai </w:t>
            </w:r>
            <w:r w:rsidR="00E07412" w:rsidRPr="00D97244">
              <w:rPr>
                <w:rStyle w:val="spelle"/>
                <w:sz w:val="26"/>
                <w:szCs w:val="26"/>
              </w:rPr>
              <w:t>2011. gada janvārī.</w:t>
            </w:r>
          </w:p>
          <w:p w:rsidR="00966B7E" w:rsidRPr="00D97244" w:rsidRDefault="00B50A5F" w:rsidP="000E6441">
            <w:pPr>
              <w:pStyle w:val="naislab"/>
              <w:spacing w:before="0" w:after="0"/>
              <w:ind w:firstLine="586"/>
              <w:jc w:val="both"/>
              <w:outlineLvl w:val="0"/>
              <w:rPr>
                <w:rStyle w:val="spelle"/>
                <w:sz w:val="26"/>
                <w:szCs w:val="26"/>
              </w:rPr>
            </w:pPr>
            <w:r w:rsidRPr="00D97244">
              <w:rPr>
                <w:rStyle w:val="spelle"/>
                <w:sz w:val="26"/>
                <w:szCs w:val="26"/>
              </w:rPr>
              <w:t>N</w:t>
            </w:r>
            <w:r w:rsidR="00966B7E" w:rsidRPr="00D97244">
              <w:rPr>
                <w:rStyle w:val="spelle"/>
                <w:sz w:val="26"/>
                <w:szCs w:val="26"/>
              </w:rPr>
              <w:t>oteikumu</w:t>
            </w:r>
            <w:r w:rsidR="00966B7E" w:rsidRPr="00D97244">
              <w:rPr>
                <w:bCs/>
                <w:sz w:val="26"/>
                <w:szCs w:val="26"/>
              </w:rPr>
              <w:t xml:space="preserve"> projekts atbilstoši Eiropas Komisijas apstiprinātajai 2009.gada programmai definē </w:t>
            </w:r>
            <w:r w:rsidRPr="00D97244">
              <w:rPr>
                <w:bCs/>
                <w:sz w:val="26"/>
                <w:szCs w:val="26"/>
              </w:rPr>
              <w:t>pasākumus</w:t>
            </w:r>
            <w:r w:rsidR="000E6441" w:rsidRPr="00D97244">
              <w:rPr>
                <w:bCs/>
                <w:sz w:val="26"/>
                <w:szCs w:val="26"/>
              </w:rPr>
              <w:t xml:space="preserve">, </w:t>
            </w:r>
            <w:r w:rsidRPr="00D97244">
              <w:rPr>
                <w:bCs/>
                <w:sz w:val="26"/>
                <w:szCs w:val="26"/>
              </w:rPr>
              <w:t>kas ir atbalstāmi</w:t>
            </w:r>
            <w:r w:rsidRPr="00D97244">
              <w:rPr>
                <w:rStyle w:val="spelle"/>
                <w:sz w:val="26"/>
                <w:szCs w:val="26"/>
              </w:rPr>
              <w:t xml:space="preserve"> Eiropas Trešo valstu valstspiederīgo integrācijas fonda 2009. gada programmas 1.7. aktivitātes "Izglītojošo un sabiedrības informēšanas kampaņu, īpaši masu medijos, realizēšana par imigrāciju un iespējamiem sabiedrības ieguvumiem" ietvaros, tajā </w:t>
            </w:r>
            <w:r w:rsidR="00966B7E" w:rsidRPr="00D97244">
              <w:rPr>
                <w:rStyle w:val="spelle"/>
                <w:sz w:val="26"/>
                <w:szCs w:val="26"/>
              </w:rPr>
              <w:t>sasniedzamos uzraudzības rādītājus un projektu vērtēšanas kritērijus, kā arī projektu iesniegumu sagatavošanas un apstiprināšanas kārtību un pras</w:t>
            </w:r>
            <w:r w:rsidRPr="00D97244">
              <w:rPr>
                <w:rStyle w:val="spelle"/>
                <w:sz w:val="26"/>
                <w:szCs w:val="26"/>
              </w:rPr>
              <w:t>ības fonda projektu iesniedzēja</w:t>
            </w:r>
            <w:r w:rsidR="00966B7E" w:rsidRPr="00D97244">
              <w:rPr>
                <w:rStyle w:val="spelle"/>
                <w:sz w:val="26"/>
                <w:szCs w:val="26"/>
              </w:rPr>
              <w:t>m.</w:t>
            </w:r>
          </w:p>
          <w:p w:rsidR="007E6124" w:rsidRPr="00D97244" w:rsidRDefault="00B50A5F" w:rsidP="000E6441">
            <w:pPr>
              <w:pStyle w:val="naislab"/>
              <w:spacing w:before="0" w:after="0"/>
              <w:ind w:firstLine="586"/>
              <w:jc w:val="both"/>
              <w:outlineLvl w:val="0"/>
              <w:rPr>
                <w:sz w:val="26"/>
                <w:szCs w:val="26"/>
              </w:rPr>
            </w:pPr>
            <w:r w:rsidRPr="00D97244">
              <w:rPr>
                <w:rStyle w:val="spelle"/>
                <w:sz w:val="26"/>
                <w:szCs w:val="26"/>
              </w:rPr>
              <w:t xml:space="preserve">Eiropas Trešo valstu valstspiederīgo integrācijas fonda 2009. gada programmas 1.7. aktivitātes "Izglītojošo un sabiedrības informēšanas kampaņu, īpaši masu medijos, realizēšana par imigrāciju un iespējamiem sabiedrības ieguvumiem" </w:t>
            </w:r>
            <w:r w:rsidR="003B1E24" w:rsidRPr="00D97244">
              <w:rPr>
                <w:rStyle w:val="spelle"/>
                <w:sz w:val="26"/>
                <w:szCs w:val="26"/>
              </w:rPr>
              <w:t>ieviešanas termiņš ir 201</w:t>
            </w:r>
            <w:r w:rsidR="00BF5B6C" w:rsidRPr="00D97244">
              <w:rPr>
                <w:rStyle w:val="spelle"/>
                <w:sz w:val="26"/>
                <w:szCs w:val="26"/>
              </w:rPr>
              <w:t>1</w:t>
            </w:r>
            <w:r w:rsidR="003B1E24" w:rsidRPr="00D97244">
              <w:rPr>
                <w:rStyle w:val="spelle"/>
                <w:sz w:val="26"/>
                <w:szCs w:val="26"/>
              </w:rPr>
              <w:t>. gada 30. jūnijs.</w:t>
            </w:r>
            <w:r w:rsidRPr="00D97244">
              <w:rPr>
                <w:rStyle w:val="spelle"/>
                <w:sz w:val="26"/>
                <w:szCs w:val="26"/>
              </w:rPr>
              <w:t xml:space="preserve"> Līdz ar to, lai nodrošinātu paredzēto pasākumu īstenošanu, nepieciešams pieņemt lēmumu steidzamības</w:t>
            </w:r>
            <w:r w:rsidRPr="00D97244">
              <w:rPr>
                <w:bCs/>
                <w:sz w:val="26"/>
                <w:szCs w:val="26"/>
              </w:rPr>
              <w:t xml:space="preserve"> kārtā.</w:t>
            </w:r>
          </w:p>
        </w:tc>
      </w:tr>
      <w:tr w:rsidR="00E578A2" w:rsidRPr="00D97244" w:rsidTr="006F0332">
        <w:tc>
          <w:tcPr>
            <w:tcW w:w="540" w:type="dxa"/>
          </w:tcPr>
          <w:p w:rsidR="00E578A2" w:rsidRPr="00D97244" w:rsidRDefault="00E578A2" w:rsidP="000E6441">
            <w:pPr>
              <w:pStyle w:val="naislab"/>
              <w:numPr>
                <w:ilvl w:val="0"/>
                <w:numId w:val="3"/>
              </w:numPr>
              <w:tabs>
                <w:tab w:val="clear" w:pos="720"/>
                <w:tab w:val="num" w:pos="72"/>
              </w:tabs>
              <w:spacing w:before="0" w:after="0"/>
              <w:ind w:left="0" w:firstLine="0"/>
              <w:jc w:val="both"/>
              <w:outlineLvl w:val="0"/>
              <w:rPr>
                <w:sz w:val="26"/>
                <w:szCs w:val="26"/>
              </w:rPr>
            </w:pPr>
          </w:p>
        </w:tc>
        <w:tc>
          <w:tcPr>
            <w:tcW w:w="2262" w:type="dxa"/>
          </w:tcPr>
          <w:p w:rsidR="00E578A2" w:rsidRPr="00D97244" w:rsidRDefault="00E578A2" w:rsidP="000E6441">
            <w:pPr>
              <w:pStyle w:val="naislab"/>
              <w:spacing w:before="0" w:after="0"/>
              <w:jc w:val="both"/>
              <w:outlineLvl w:val="0"/>
              <w:rPr>
                <w:b/>
                <w:sz w:val="26"/>
                <w:szCs w:val="26"/>
              </w:rPr>
            </w:pPr>
            <w:r w:rsidRPr="00D97244">
              <w:rPr>
                <w:sz w:val="26"/>
                <w:szCs w:val="26"/>
              </w:rPr>
              <w:t>Saistītie politikas ietekmes novērtējumi un pētījumi</w:t>
            </w:r>
          </w:p>
        </w:tc>
        <w:tc>
          <w:tcPr>
            <w:tcW w:w="6306" w:type="dxa"/>
          </w:tcPr>
          <w:p w:rsidR="00E578A2" w:rsidRPr="00D97244" w:rsidRDefault="00802366" w:rsidP="000E6441">
            <w:pPr>
              <w:pStyle w:val="naislab"/>
              <w:spacing w:before="0" w:after="0"/>
              <w:jc w:val="both"/>
              <w:outlineLvl w:val="0"/>
              <w:rPr>
                <w:sz w:val="26"/>
                <w:szCs w:val="26"/>
              </w:rPr>
            </w:pPr>
            <w:r w:rsidRPr="00D97244">
              <w:rPr>
                <w:sz w:val="26"/>
                <w:szCs w:val="26"/>
              </w:rPr>
              <w:t>Nav attiecināms.</w:t>
            </w:r>
          </w:p>
        </w:tc>
      </w:tr>
      <w:tr w:rsidR="003B1E24" w:rsidRPr="00D97244" w:rsidTr="006F0332">
        <w:tc>
          <w:tcPr>
            <w:tcW w:w="540" w:type="dxa"/>
          </w:tcPr>
          <w:p w:rsidR="003B1E24" w:rsidRPr="00D97244" w:rsidRDefault="003B1E24" w:rsidP="000E6441">
            <w:pPr>
              <w:pStyle w:val="naislab"/>
              <w:numPr>
                <w:ilvl w:val="0"/>
                <w:numId w:val="3"/>
              </w:numPr>
              <w:tabs>
                <w:tab w:val="clear" w:pos="720"/>
                <w:tab w:val="num" w:pos="72"/>
              </w:tabs>
              <w:spacing w:before="0" w:after="0"/>
              <w:ind w:left="0" w:firstLine="0"/>
              <w:jc w:val="both"/>
              <w:outlineLvl w:val="0"/>
              <w:rPr>
                <w:sz w:val="26"/>
                <w:szCs w:val="26"/>
              </w:rPr>
            </w:pPr>
          </w:p>
        </w:tc>
        <w:tc>
          <w:tcPr>
            <w:tcW w:w="2262" w:type="dxa"/>
          </w:tcPr>
          <w:p w:rsidR="003B1E24" w:rsidRPr="00D97244" w:rsidRDefault="003B1E24" w:rsidP="000E6441">
            <w:pPr>
              <w:pStyle w:val="naiskr"/>
              <w:spacing w:before="0" w:after="0"/>
              <w:jc w:val="both"/>
              <w:rPr>
                <w:sz w:val="26"/>
                <w:szCs w:val="26"/>
              </w:rPr>
            </w:pPr>
            <w:r w:rsidRPr="00D97244">
              <w:rPr>
                <w:sz w:val="26"/>
                <w:szCs w:val="26"/>
              </w:rPr>
              <w:t>Tiesiskā regulējuma mērķis un būtība</w:t>
            </w:r>
          </w:p>
          <w:p w:rsidR="003B1E24" w:rsidRPr="00D97244" w:rsidRDefault="003B1E24" w:rsidP="000E6441">
            <w:pPr>
              <w:pStyle w:val="naislab"/>
              <w:spacing w:before="0" w:after="0"/>
              <w:jc w:val="both"/>
              <w:outlineLvl w:val="0"/>
              <w:rPr>
                <w:b/>
                <w:sz w:val="26"/>
                <w:szCs w:val="26"/>
              </w:rPr>
            </w:pPr>
          </w:p>
        </w:tc>
        <w:tc>
          <w:tcPr>
            <w:tcW w:w="6306" w:type="dxa"/>
          </w:tcPr>
          <w:p w:rsidR="003B1E24" w:rsidRPr="00D97244" w:rsidRDefault="003B1E24" w:rsidP="000E6441">
            <w:pPr>
              <w:pStyle w:val="naislab"/>
              <w:spacing w:before="0" w:after="0"/>
              <w:ind w:firstLine="600"/>
              <w:jc w:val="both"/>
              <w:outlineLvl w:val="0"/>
              <w:rPr>
                <w:sz w:val="26"/>
                <w:szCs w:val="26"/>
              </w:rPr>
            </w:pPr>
            <w:r w:rsidRPr="00D97244">
              <w:rPr>
                <w:sz w:val="26"/>
                <w:szCs w:val="26"/>
              </w:rPr>
              <w:t>Projektā paredzēts noteikt projekta konkursa organizēšanas kārtību</w:t>
            </w:r>
            <w:r w:rsidRPr="00D97244">
              <w:rPr>
                <w:b/>
                <w:bCs/>
                <w:sz w:val="26"/>
                <w:szCs w:val="26"/>
              </w:rPr>
              <w:t xml:space="preserve"> </w:t>
            </w:r>
            <w:r w:rsidRPr="00D97244">
              <w:rPr>
                <w:bCs/>
                <w:sz w:val="26"/>
                <w:szCs w:val="26"/>
              </w:rPr>
              <w:t>Eiropas Trešo valstu valstspiederīgo integrācijas fonda 200</w:t>
            </w:r>
            <w:r w:rsidR="00BF5B6C" w:rsidRPr="00D97244">
              <w:rPr>
                <w:bCs/>
                <w:sz w:val="26"/>
                <w:szCs w:val="26"/>
              </w:rPr>
              <w:t>9</w:t>
            </w:r>
            <w:r w:rsidRPr="00D97244">
              <w:rPr>
                <w:bCs/>
                <w:sz w:val="26"/>
                <w:szCs w:val="26"/>
              </w:rPr>
              <w:t xml:space="preserve">. gada programmas </w:t>
            </w:r>
            <w:r w:rsidR="00E07412" w:rsidRPr="00D97244">
              <w:rPr>
                <w:bCs/>
                <w:sz w:val="26"/>
                <w:szCs w:val="26"/>
              </w:rPr>
              <w:t xml:space="preserve">1.7. aktivitātes </w:t>
            </w:r>
            <w:r w:rsidR="00E07412" w:rsidRPr="00D97244">
              <w:rPr>
                <w:rStyle w:val="spelle"/>
                <w:sz w:val="26"/>
                <w:szCs w:val="26"/>
              </w:rPr>
              <w:t>"Izglītojošo un sabiedrības informēšanas kampaņu, īpaši masu medijos, realizēšana par imigrāciju un iespējamiem sabiedrības ieguvumiem" ieviešanai.</w:t>
            </w:r>
          </w:p>
        </w:tc>
      </w:tr>
      <w:tr w:rsidR="003B1E24" w:rsidRPr="00D97244" w:rsidTr="006F0332">
        <w:tc>
          <w:tcPr>
            <w:tcW w:w="540" w:type="dxa"/>
          </w:tcPr>
          <w:p w:rsidR="003B1E24" w:rsidRPr="00D97244" w:rsidRDefault="003B1E24" w:rsidP="000E6441">
            <w:pPr>
              <w:pStyle w:val="naislab"/>
              <w:numPr>
                <w:ilvl w:val="0"/>
                <w:numId w:val="3"/>
              </w:numPr>
              <w:tabs>
                <w:tab w:val="clear" w:pos="720"/>
                <w:tab w:val="num" w:pos="72"/>
              </w:tabs>
              <w:spacing w:before="0" w:after="0"/>
              <w:ind w:left="0" w:firstLine="0"/>
              <w:jc w:val="both"/>
              <w:outlineLvl w:val="0"/>
              <w:rPr>
                <w:sz w:val="26"/>
                <w:szCs w:val="26"/>
              </w:rPr>
            </w:pPr>
          </w:p>
        </w:tc>
        <w:tc>
          <w:tcPr>
            <w:tcW w:w="2262" w:type="dxa"/>
          </w:tcPr>
          <w:p w:rsidR="003B1E24" w:rsidRPr="00D97244" w:rsidRDefault="003B1E24" w:rsidP="000E6441">
            <w:pPr>
              <w:pStyle w:val="naislab"/>
              <w:spacing w:before="0" w:after="0"/>
              <w:jc w:val="both"/>
              <w:outlineLvl w:val="0"/>
              <w:rPr>
                <w:b/>
                <w:sz w:val="26"/>
                <w:szCs w:val="26"/>
              </w:rPr>
            </w:pPr>
            <w:r w:rsidRPr="00D97244">
              <w:rPr>
                <w:sz w:val="26"/>
                <w:szCs w:val="26"/>
              </w:rPr>
              <w:t>Projekta izstrādē iesaistītās institūcijas</w:t>
            </w:r>
          </w:p>
        </w:tc>
        <w:tc>
          <w:tcPr>
            <w:tcW w:w="6306" w:type="dxa"/>
          </w:tcPr>
          <w:p w:rsidR="003B1E24" w:rsidRPr="00D97244" w:rsidRDefault="003B1E24" w:rsidP="000E6441">
            <w:pPr>
              <w:pStyle w:val="naislab"/>
              <w:spacing w:before="0" w:after="0"/>
              <w:ind w:firstLine="600"/>
              <w:jc w:val="both"/>
              <w:outlineLvl w:val="0"/>
              <w:rPr>
                <w:b/>
                <w:sz w:val="26"/>
                <w:szCs w:val="26"/>
              </w:rPr>
            </w:pPr>
            <w:r w:rsidRPr="00D97244">
              <w:rPr>
                <w:iCs/>
                <w:sz w:val="26"/>
                <w:szCs w:val="26"/>
              </w:rPr>
              <w:t>Tieslietu ministrija</w:t>
            </w:r>
            <w:r w:rsidR="00E07412" w:rsidRPr="00D97244">
              <w:rPr>
                <w:iCs/>
                <w:sz w:val="26"/>
                <w:szCs w:val="26"/>
              </w:rPr>
              <w:t>, Kultūras ministrija</w:t>
            </w:r>
            <w:r w:rsidR="003C662F" w:rsidRPr="00D97244">
              <w:rPr>
                <w:iCs/>
                <w:sz w:val="26"/>
                <w:szCs w:val="26"/>
              </w:rPr>
              <w:t>.</w:t>
            </w:r>
          </w:p>
        </w:tc>
      </w:tr>
      <w:tr w:rsidR="003B1E24" w:rsidRPr="00D97244" w:rsidTr="006F0332">
        <w:tc>
          <w:tcPr>
            <w:tcW w:w="540" w:type="dxa"/>
          </w:tcPr>
          <w:p w:rsidR="003B1E24" w:rsidRPr="00D97244" w:rsidRDefault="003B1E24" w:rsidP="000E6441">
            <w:pPr>
              <w:pStyle w:val="naislab"/>
              <w:numPr>
                <w:ilvl w:val="0"/>
                <w:numId w:val="3"/>
              </w:numPr>
              <w:tabs>
                <w:tab w:val="clear" w:pos="720"/>
                <w:tab w:val="num" w:pos="72"/>
              </w:tabs>
              <w:spacing w:before="0" w:after="0"/>
              <w:ind w:left="0" w:firstLine="0"/>
              <w:jc w:val="both"/>
              <w:outlineLvl w:val="0"/>
              <w:rPr>
                <w:sz w:val="26"/>
                <w:szCs w:val="26"/>
              </w:rPr>
            </w:pPr>
          </w:p>
        </w:tc>
        <w:tc>
          <w:tcPr>
            <w:tcW w:w="2262" w:type="dxa"/>
          </w:tcPr>
          <w:p w:rsidR="003B1E24" w:rsidRPr="00D97244" w:rsidRDefault="003B1E24" w:rsidP="000E6441">
            <w:pPr>
              <w:pStyle w:val="naislab"/>
              <w:spacing w:before="0" w:after="0"/>
              <w:jc w:val="both"/>
              <w:outlineLvl w:val="0"/>
              <w:rPr>
                <w:b/>
                <w:sz w:val="26"/>
                <w:szCs w:val="26"/>
              </w:rPr>
            </w:pPr>
            <w:r w:rsidRPr="00D97244">
              <w:rPr>
                <w:sz w:val="26"/>
                <w:szCs w:val="26"/>
              </w:rPr>
              <w:t>Iemesli, kādēļ netika nodrošināta sabiedrības līdzdalība</w:t>
            </w:r>
          </w:p>
        </w:tc>
        <w:tc>
          <w:tcPr>
            <w:tcW w:w="6306" w:type="dxa"/>
          </w:tcPr>
          <w:p w:rsidR="003B1E24" w:rsidRPr="00D97244" w:rsidRDefault="00BF5B6C" w:rsidP="000E6441">
            <w:pPr>
              <w:pStyle w:val="naislab"/>
              <w:spacing w:before="0" w:after="0"/>
              <w:ind w:firstLine="600"/>
              <w:jc w:val="both"/>
              <w:outlineLvl w:val="0"/>
              <w:rPr>
                <w:sz w:val="26"/>
                <w:szCs w:val="26"/>
              </w:rPr>
            </w:pPr>
            <w:r w:rsidRPr="00D97244">
              <w:rPr>
                <w:bCs/>
                <w:sz w:val="26"/>
                <w:szCs w:val="26"/>
              </w:rPr>
              <w:t>Sabiedrības</w:t>
            </w:r>
            <w:r w:rsidRPr="00D97244">
              <w:rPr>
                <w:sz w:val="26"/>
                <w:szCs w:val="26"/>
              </w:rPr>
              <w:t xml:space="preserve"> (</w:t>
            </w:r>
            <w:r w:rsidR="00F44E1B" w:rsidRPr="00D97244">
              <w:rPr>
                <w:sz w:val="26"/>
                <w:szCs w:val="26"/>
              </w:rPr>
              <w:t>biedrību un nodibinājumu</w:t>
            </w:r>
            <w:r w:rsidRPr="00D97244">
              <w:rPr>
                <w:sz w:val="26"/>
                <w:szCs w:val="26"/>
              </w:rPr>
              <w:t>) līdzdalība tiek nodrošināta gada programmu izstrādes procesā, definējot atbalstāmās darbības un sasniedzamos rezultātus. Noteikumu projekts tikai nosaka projektu atlases procedūru atbilstoši likumam.</w:t>
            </w:r>
          </w:p>
        </w:tc>
      </w:tr>
      <w:tr w:rsidR="003B1E24" w:rsidRPr="00D97244" w:rsidTr="006F0332">
        <w:tc>
          <w:tcPr>
            <w:tcW w:w="540" w:type="dxa"/>
          </w:tcPr>
          <w:p w:rsidR="003B1E24" w:rsidRPr="00D97244" w:rsidRDefault="003B1E24" w:rsidP="000E6441">
            <w:pPr>
              <w:pStyle w:val="naislab"/>
              <w:numPr>
                <w:ilvl w:val="0"/>
                <w:numId w:val="3"/>
              </w:numPr>
              <w:tabs>
                <w:tab w:val="clear" w:pos="720"/>
                <w:tab w:val="num" w:pos="72"/>
              </w:tabs>
              <w:spacing w:before="0" w:after="0"/>
              <w:ind w:left="0" w:firstLine="0"/>
              <w:jc w:val="both"/>
              <w:outlineLvl w:val="0"/>
              <w:rPr>
                <w:sz w:val="26"/>
                <w:szCs w:val="26"/>
              </w:rPr>
            </w:pPr>
          </w:p>
        </w:tc>
        <w:tc>
          <w:tcPr>
            <w:tcW w:w="2262" w:type="dxa"/>
          </w:tcPr>
          <w:p w:rsidR="003B1E24" w:rsidRPr="00D97244" w:rsidRDefault="003B1E24" w:rsidP="000E6441">
            <w:pPr>
              <w:pStyle w:val="naislab"/>
              <w:spacing w:before="0" w:after="0"/>
              <w:jc w:val="both"/>
              <w:outlineLvl w:val="0"/>
              <w:rPr>
                <w:b/>
                <w:sz w:val="26"/>
                <w:szCs w:val="26"/>
              </w:rPr>
            </w:pPr>
            <w:r w:rsidRPr="00D97244">
              <w:rPr>
                <w:sz w:val="26"/>
                <w:szCs w:val="26"/>
              </w:rPr>
              <w:t>Cita informācija</w:t>
            </w:r>
          </w:p>
        </w:tc>
        <w:tc>
          <w:tcPr>
            <w:tcW w:w="6306" w:type="dxa"/>
          </w:tcPr>
          <w:p w:rsidR="003B1E24" w:rsidRPr="00D97244" w:rsidRDefault="003B1E24" w:rsidP="000E6441">
            <w:pPr>
              <w:pStyle w:val="naislab"/>
              <w:spacing w:before="0" w:after="0"/>
              <w:jc w:val="both"/>
              <w:outlineLvl w:val="0"/>
              <w:rPr>
                <w:b/>
                <w:sz w:val="26"/>
                <w:szCs w:val="26"/>
              </w:rPr>
            </w:pPr>
            <w:r w:rsidRPr="00D97244">
              <w:rPr>
                <w:sz w:val="26"/>
                <w:szCs w:val="26"/>
              </w:rPr>
              <w:t>Nav.</w:t>
            </w:r>
          </w:p>
        </w:tc>
      </w:tr>
    </w:tbl>
    <w:p w:rsidR="009626B9" w:rsidRPr="000E6441" w:rsidRDefault="009626B9" w:rsidP="000E6441">
      <w:pPr>
        <w:pStyle w:val="naisf"/>
        <w:spacing w:before="0" w:after="0"/>
        <w:ind w:firstLine="0"/>
        <w:rPr>
          <w:i/>
          <w:sz w:val="28"/>
          <w:szCs w:val="28"/>
        </w:rPr>
      </w:pPr>
    </w:p>
    <w:p w:rsidR="00251949" w:rsidRPr="009F67F9" w:rsidRDefault="00251949" w:rsidP="00251949">
      <w:pPr>
        <w:pStyle w:val="naisf"/>
        <w:spacing w:before="0" w:after="0"/>
        <w:ind w:firstLine="0"/>
        <w:rPr>
          <w:i/>
        </w:rPr>
      </w:pPr>
      <w:r w:rsidRPr="009F67F9">
        <w:rPr>
          <w:i/>
        </w:rPr>
        <w:lastRenderedPageBreak/>
        <w:t xml:space="preserve">Anotācijas </w:t>
      </w:r>
      <w:r>
        <w:rPr>
          <w:i/>
        </w:rPr>
        <w:t xml:space="preserve">II </w:t>
      </w:r>
      <w:r w:rsidRPr="009F67F9">
        <w:rPr>
          <w:i/>
        </w:rPr>
        <w:t>sadaļa – nav attiecināma.</w:t>
      </w:r>
    </w:p>
    <w:p w:rsidR="00251949" w:rsidRDefault="00251949" w:rsidP="000E6441">
      <w:pPr>
        <w:pStyle w:val="naisf"/>
        <w:spacing w:before="0" w:after="0"/>
        <w:ind w:firstLine="0"/>
        <w:rPr>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1256"/>
        <w:gridCol w:w="1294"/>
        <w:gridCol w:w="1294"/>
        <w:gridCol w:w="1295"/>
        <w:gridCol w:w="1150"/>
      </w:tblGrid>
      <w:tr w:rsidR="00251949" w:rsidRPr="00ED1E6E" w:rsidTr="00251949">
        <w:trPr>
          <w:trHeight w:val="652"/>
        </w:trPr>
        <w:tc>
          <w:tcPr>
            <w:tcW w:w="9180" w:type="dxa"/>
            <w:gridSpan w:val="6"/>
          </w:tcPr>
          <w:p w:rsidR="00251949" w:rsidRPr="004C71B9" w:rsidRDefault="00251949" w:rsidP="00251949">
            <w:pPr>
              <w:pStyle w:val="naisnod"/>
              <w:spacing w:before="0" w:after="0"/>
              <w:rPr>
                <w:i/>
              </w:rPr>
            </w:pPr>
            <w:r w:rsidRPr="004C71B9">
              <w:br w:type="page"/>
              <w:t>III Tiesību akta projekta ietekme uz valsts budžetu un pašvaldību budžetiem</w:t>
            </w:r>
          </w:p>
        </w:tc>
      </w:tr>
      <w:tr w:rsidR="00251949" w:rsidRPr="00ED1E6E" w:rsidTr="00251949">
        <w:tc>
          <w:tcPr>
            <w:tcW w:w="2891" w:type="dxa"/>
            <w:vMerge w:val="restart"/>
            <w:vAlign w:val="center"/>
          </w:tcPr>
          <w:p w:rsidR="00251949" w:rsidRPr="004C71B9" w:rsidRDefault="00251949" w:rsidP="00251949">
            <w:pPr>
              <w:pStyle w:val="naisf"/>
              <w:spacing w:before="0" w:after="0"/>
              <w:ind w:firstLine="0"/>
              <w:jc w:val="center"/>
              <w:rPr>
                <w:b/>
              </w:rPr>
            </w:pPr>
            <w:r w:rsidRPr="004C71B9">
              <w:rPr>
                <w:b/>
              </w:rPr>
              <w:t>Rādītāji</w:t>
            </w:r>
          </w:p>
        </w:tc>
        <w:tc>
          <w:tcPr>
            <w:tcW w:w="2550" w:type="dxa"/>
            <w:gridSpan w:val="2"/>
            <w:vMerge w:val="restart"/>
            <w:vAlign w:val="center"/>
          </w:tcPr>
          <w:p w:rsidR="00251949" w:rsidRPr="004C71B9" w:rsidRDefault="00C22477" w:rsidP="00251949">
            <w:pPr>
              <w:pStyle w:val="naisf"/>
              <w:spacing w:before="0" w:after="0"/>
              <w:ind w:firstLine="0"/>
              <w:jc w:val="center"/>
              <w:rPr>
                <w:b/>
              </w:rPr>
            </w:pPr>
            <w:r w:rsidRPr="004C71B9">
              <w:rPr>
                <w:b/>
              </w:rPr>
              <w:t>2011</w:t>
            </w:r>
          </w:p>
        </w:tc>
        <w:tc>
          <w:tcPr>
            <w:tcW w:w="3739" w:type="dxa"/>
            <w:gridSpan w:val="3"/>
            <w:vAlign w:val="center"/>
          </w:tcPr>
          <w:p w:rsidR="00251949" w:rsidRPr="004C71B9" w:rsidRDefault="00251949" w:rsidP="00251949">
            <w:pPr>
              <w:pStyle w:val="naisf"/>
              <w:spacing w:before="0" w:after="0"/>
              <w:ind w:firstLine="0"/>
              <w:jc w:val="center"/>
              <w:rPr>
                <w:b/>
                <w:i/>
              </w:rPr>
            </w:pPr>
            <w:r w:rsidRPr="004C71B9">
              <w:t>Turpmākie trīs gadi (tūkst</w:t>
            </w:r>
            <w:smartTag w:uri="schemas-tilde-lv/tildestengine" w:element="currency2">
              <w:smartTagPr>
                <w:attr w:name="currency_id" w:val="48"/>
                <w:attr w:name="currency_key" w:val="LVL"/>
                <w:attr w:name="currency_value" w:val="."/>
                <w:attr w:name="currency_text" w:val="latu"/>
              </w:smartTagPr>
              <w:r w:rsidRPr="004C71B9">
                <w:t>. latu</w:t>
              </w:r>
            </w:smartTag>
            <w:r w:rsidRPr="004C71B9">
              <w:t>)</w:t>
            </w:r>
          </w:p>
        </w:tc>
      </w:tr>
      <w:tr w:rsidR="00251949" w:rsidRPr="00ED1E6E" w:rsidTr="00251949">
        <w:tc>
          <w:tcPr>
            <w:tcW w:w="2891" w:type="dxa"/>
            <w:vMerge/>
            <w:vAlign w:val="center"/>
          </w:tcPr>
          <w:p w:rsidR="00251949" w:rsidRPr="004C71B9" w:rsidRDefault="00251949" w:rsidP="00251949">
            <w:pPr>
              <w:pStyle w:val="naisf"/>
              <w:spacing w:before="0" w:after="0"/>
              <w:ind w:firstLine="0"/>
              <w:jc w:val="center"/>
              <w:rPr>
                <w:b/>
                <w:i/>
              </w:rPr>
            </w:pPr>
          </w:p>
        </w:tc>
        <w:tc>
          <w:tcPr>
            <w:tcW w:w="2550" w:type="dxa"/>
            <w:gridSpan w:val="2"/>
            <w:vMerge/>
            <w:vAlign w:val="center"/>
          </w:tcPr>
          <w:p w:rsidR="00251949" w:rsidRPr="004C71B9" w:rsidRDefault="00251949" w:rsidP="00251949">
            <w:pPr>
              <w:pStyle w:val="naisf"/>
              <w:spacing w:before="0" w:after="0"/>
              <w:ind w:firstLine="0"/>
              <w:jc w:val="center"/>
              <w:rPr>
                <w:b/>
                <w:i/>
              </w:rPr>
            </w:pPr>
          </w:p>
        </w:tc>
        <w:tc>
          <w:tcPr>
            <w:tcW w:w="1294" w:type="dxa"/>
            <w:vAlign w:val="center"/>
          </w:tcPr>
          <w:p w:rsidR="00251949" w:rsidRPr="004C71B9" w:rsidRDefault="00C22477" w:rsidP="00C22477">
            <w:pPr>
              <w:pStyle w:val="naisf"/>
              <w:spacing w:before="0" w:after="0"/>
              <w:ind w:firstLine="0"/>
              <w:jc w:val="center"/>
              <w:rPr>
                <w:b/>
                <w:i/>
              </w:rPr>
            </w:pPr>
            <w:r w:rsidRPr="004C71B9">
              <w:rPr>
                <w:b/>
                <w:bCs/>
              </w:rPr>
              <w:t>20</w:t>
            </w:r>
            <w:r w:rsidR="00251949" w:rsidRPr="004C71B9">
              <w:rPr>
                <w:b/>
                <w:bCs/>
              </w:rPr>
              <w:t>1</w:t>
            </w:r>
            <w:r w:rsidRPr="004C71B9">
              <w:rPr>
                <w:b/>
                <w:bCs/>
              </w:rPr>
              <w:t>2</w:t>
            </w:r>
          </w:p>
        </w:tc>
        <w:tc>
          <w:tcPr>
            <w:tcW w:w="1295" w:type="dxa"/>
            <w:vAlign w:val="center"/>
          </w:tcPr>
          <w:p w:rsidR="00251949" w:rsidRPr="004C71B9" w:rsidRDefault="00251949" w:rsidP="00251949">
            <w:pPr>
              <w:pStyle w:val="naisf"/>
              <w:spacing w:before="0" w:after="0"/>
              <w:ind w:firstLine="0"/>
              <w:jc w:val="center"/>
              <w:rPr>
                <w:b/>
                <w:i/>
              </w:rPr>
            </w:pPr>
            <w:r w:rsidRPr="004C71B9">
              <w:rPr>
                <w:b/>
                <w:bCs/>
              </w:rPr>
              <w:t>2</w:t>
            </w:r>
            <w:r w:rsidR="00C22477" w:rsidRPr="004C71B9">
              <w:rPr>
                <w:b/>
                <w:bCs/>
              </w:rPr>
              <w:t>013</w:t>
            </w:r>
          </w:p>
        </w:tc>
        <w:tc>
          <w:tcPr>
            <w:tcW w:w="1150" w:type="dxa"/>
            <w:vAlign w:val="center"/>
          </w:tcPr>
          <w:p w:rsidR="00251949" w:rsidRPr="004C71B9" w:rsidRDefault="00C22477" w:rsidP="00C22477">
            <w:pPr>
              <w:pStyle w:val="naisf"/>
              <w:spacing w:before="0" w:after="0"/>
              <w:ind w:firstLine="0"/>
              <w:jc w:val="center"/>
              <w:rPr>
                <w:b/>
                <w:i/>
              </w:rPr>
            </w:pPr>
            <w:r w:rsidRPr="004C71B9">
              <w:rPr>
                <w:b/>
                <w:bCs/>
              </w:rPr>
              <w:t>2014</w:t>
            </w:r>
          </w:p>
        </w:tc>
      </w:tr>
      <w:tr w:rsidR="00251949" w:rsidRPr="00ED1E6E" w:rsidTr="00251949">
        <w:tc>
          <w:tcPr>
            <w:tcW w:w="2891" w:type="dxa"/>
            <w:vMerge/>
            <w:vAlign w:val="center"/>
          </w:tcPr>
          <w:p w:rsidR="00251949" w:rsidRPr="004C71B9" w:rsidRDefault="00251949" w:rsidP="00251949">
            <w:pPr>
              <w:pStyle w:val="naisf"/>
              <w:spacing w:before="0" w:after="0"/>
              <w:ind w:firstLine="0"/>
              <w:jc w:val="center"/>
              <w:rPr>
                <w:b/>
                <w:i/>
              </w:rPr>
            </w:pPr>
          </w:p>
        </w:tc>
        <w:tc>
          <w:tcPr>
            <w:tcW w:w="1256" w:type="dxa"/>
            <w:vAlign w:val="center"/>
          </w:tcPr>
          <w:p w:rsidR="00251949" w:rsidRPr="004C71B9" w:rsidRDefault="00251949" w:rsidP="00251949">
            <w:pPr>
              <w:pStyle w:val="naisf"/>
              <w:spacing w:before="0" w:after="0"/>
              <w:ind w:firstLine="0"/>
              <w:jc w:val="center"/>
              <w:rPr>
                <w:b/>
                <w:i/>
              </w:rPr>
            </w:pPr>
            <w:r w:rsidRPr="004C71B9">
              <w:t>Saskaņā ar valsts budžetu kārtējam gadam</w:t>
            </w:r>
          </w:p>
        </w:tc>
        <w:tc>
          <w:tcPr>
            <w:tcW w:w="1294" w:type="dxa"/>
            <w:vAlign w:val="center"/>
          </w:tcPr>
          <w:p w:rsidR="00251949" w:rsidRPr="004C71B9" w:rsidRDefault="00251949" w:rsidP="00251949">
            <w:pPr>
              <w:pStyle w:val="naisf"/>
              <w:spacing w:before="0" w:after="0"/>
              <w:ind w:firstLine="0"/>
              <w:jc w:val="center"/>
              <w:rPr>
                <w:b/>
                <w:i/>
              </w:rPr>
            </w:pPr>
            <w:r w:rsidRPr="004C71B9">
              <w:t>Izmaiņas kārtējā gadā, salīdzinot ar budžetu kārtējam gadam</w:t>
            </w:r>
          </w:p>
        </w:tc>
        <w:tc>
          <w:tcPr>
            <w:tcW w:w="1294" w:type="dxa"/>
            <w:vAlign w:val="center"/>
          </w:tcPr>
          <w:p w:rsidR="00251949" w:rsidRPr="004C71B9" w:rsidRDefault="00251949" w:rsidP="00251949">
            <w:pPr>
              <w:pStyle w:val="naisf"/>
              <w:spacing w:before="0" w:after="0"/>
              <w:ind w:firstLine="0"/>
              <w:jc w:val="center"/>
              <w:rPr>
                <w:b/>
                <w:i/>
              </w:rPr>
            </w:pPr>
            <w:r w:rsidRPr="004C71B9">
              <w:t>Izmaiņas, salīdzinot ar kārtējo (n) gadu</w:t>
            </w:r>
          </w:p>
        </w:tc>
        <w:tc>
          <w:tcPr>
            <w:tcW w:w="1295" w:type="dxa"/>
            <w:vAlign w:val="center"/>
          </w:tcPr>
          <w:p w:rsidR="00251949" w:rsidRPr="004C71B9" w:rsidRDefault="00251949" w:rsidP="00251949">
            <w:pPr>
              <w:pStyle w:val="naisf"/>
              <w:spacing w:before="0" w:after="0"/>
              <w:ind w:firstLine="0"/>
              <w:jc w:val="center"/>
              <w:rPr>
                <w:b/>
                <w:i/>
              </w:rPr>
            </w:pPr>
            <w:r w:rsidRPr="004C71B9">
              <w:t>Izmaiņas, salīdzinot ar kārtējo (n) gadu</w:t>
            </w:r>
          </w:p>
        </w:tc>
        <w:tc>
          <w:tcPr>
            <w:tcW w:w="1150" w:type="dxa"/>
            <w:vAlign w:val="center"/>
          </w:tcPr>
          <w:p w:rsidR="00251949" w:rsidRPr="004C71B9" w:rsidRDefault="00251949" w:rsidP="00251949">
            <w:pPr>
              <w:pStyle w:val="naisf"/>
              <w:spacing w:before="0" w:after="0"/>
              <w:ind w:firstLine="0"/>
              <w:jc w:val="center"/>
              <w:rPr>
                <w:b/>
                <w:i/>
              </w:rPr>
            </w:pPr>
            <w:r w:rsidRPr="004C71B9">
              <w:t>Izmaiņas, salīdzinot ar kārtējo (n) gadu</w:t>
            </w:r>
          </w:p>
        </w:tc>
      </w:tr>
      <w:tr w:rsidR="00251949" w:rsidRPr="00ED1E6E" w:rsidTr="00251949">
        <w:tc>
          <w:tcPr>
            <w:tcW w:w="2891" w:type="dxa"/>
            <w:vAlign w:val="center"/>
          </w:tcPr>
          <w:p w:rsidR="00251949" w:rsidRPr="004C71B9" w:rsidRDefault="00251949" w:rsidP="00251949">
            <w:pPr>
              <w:pStyle w:val="naisf"/>
              <w:spacing w:before="0" w:after="0"/>
              <w:ind w:firstLine="0"/>
              <w:jc w:val="center"/>
              <w:rPr>
                <w:bCs/>
              </w:rPr>
            </w:pPr>
            <w:r w:rsidRPr="004C71B9">
              <w:rPr>
                <w:bCs/>
              </w:rPr>
              <w:t>1</w:t>
            </w:r>
          </w:p>
        </w:tc>
        <w:tc>
          <w:tcPr>
            <w:tcW w:w="1256" w:type="dxa"/>
            <w:vAlign w:val="center"/>
          </w:tcPr>
          <w:p w:rsidR="00251949" w:rsidRPr="004C71B9" w:rsidRDefault="00251949" w:rsidP="00251949">
            <w:pPr>
              <w:pStyle w:val="naisf"/>
              <w:spacing w:before="0" w:after="0"/>
              <w:ind w:firstLine="0"/>
              <w:jc w:val="center"/>
              <w:rPr>
                <w:bCs/>
              </w:rPr>
            </w:pPr>
            <w:r w:rsidRPr="004C71B9">
              <w:rPr>
                <w:bCs/>
              </w:rPr>
              <w:t>2</w:t>
            </w:r>
          </w:p>
        </w:tc>
        <w:tc>
          <w:tcPr>
            <w:tcW w:w="1294" w:type="dxa"/>
            <w:vAlign w:val="center"/>
          </w:tcPr>
          <w:p w:rsidR="00251949" w:rsidRPr="004C71B9" w:rsidRDefault="00251949" w:rsidP="00251949">
            <w:pPr>
              <w:pStyle w:val="naisf"/>
              <w:spacing w:before="0" w:after="0"/>
              <w:ind w:firstLine="0"/>
              <w:jc w:val="center"/>
              <w:rPr>
                <w:bCs/>
              </w:rPr>
            </w:pPr>
            <w:r w:rsidRPr="004C71B9">
              <w:rPr>
                <w:bCs/>
              </w:rPr>
              <w:t>3</w:t>
            </w:r>
          </w:p>
        </w:tc>
        <w:tc>
          <w:tcPr>
            <w:tcW w:w="1294" w:type="dxa"/>
            <w:vAlign w:val="center"/>
          </w:tcPr>
          <w:p w:rsidR="00251949" w:rsidRPr="004C71B9" w:rsidRDefault="00251949" w:rsidP="00251949">
            <w:pPr>
              <w:pStyle w:val="naisf"/>
              <w:spacing w:before="0" w:after="0"/>
              <w:ind w:firstLine="0"/>
              <w:jc w:val="center"/>
              <w:rPr>
                <w:bCs/>
              </w:rPr>
            </w:pPr>
            <w:r w:rsidRPr="004C71B9">
              <w:rPr>
                <w:bCs/>
              </w:rPr>
              <w:t>4</w:t>
            </w:r>
          </w:p>
        </w:tc>
        <w:tc>
          <w:tcPr>
            <w:tcW w:w="1295" w:type="dxa"/>
            <w:vAlign w:val="center"/>
          </w:tcPr>
          <w:p w:rsidR="00251949" w:rsidRPr="004C71B9" w:rsidRDefault="00251949" w:rsidP="00251949">
            <w:pPr>
              <w:pStyle w:val="naisf"/>
              <w:spacing w:before="0" w:after="0"/>
              <w:ind w:firstLine="0"/>
              <w:jc w:val="center"/>
              <w:rPr>
                <w:bCs/>
              </w:rPr>
            </w:pPr>
            <w:r w:rsidRPr="004C71B9">
              <w:rPr>
                <w:bCs/>
              </w:rPr>
              <w:t>5</w:t>
            </w:r>
          </w:p>
        </w:tc>
        <w:tc>
          <w:tcPr>
            <w:tcW w:w="1150" w:type="dxa"/>
            <w:vAlign w:val="center"/>
          </w:tcPr>
          <w:p w:rsidR="00251949" w:rsidRPr="004C71B9" w:rsidRDefault="00251949" w:rsidP="00251949">
            <w:pPr>
              <w:pStyle w:val="naisf"/>
              <w:spacing w:before="0" w:after="0"/>
              <w:ind w:firstLine="0"/>
              <w:jc w:val="center"/>
              <w:rPr>
                <w:bCs/>
              </w:rPr>
            </w:pPr>
            <w:r w:rsidRPr="004C71B9">
              <w:rPr>
                <w:bCs/>
              </w:rPr>
              <w:t>6</w:t>
            </w:r>
          </w:p>
        </w:tc>
      </w:tr>
      <w:tr w:rsidR="00251949" w:rsidRPr="00ED1E6E" w:rsidTr="00251949">
        <w:tc>
          <w:tcPr>
            <w:tcW w:w="2891" w:type="dxa"/>
          </w:tcPr>
          <w:p w:rsidR="00251949" w:rsidRPr="004C71B9" w:rsidRDefault="00251949" w:rsidP="00251949">
            <w:pPr>
              <w:pStyle w:val="naisf"/>
              <w:spacing w:before="0" w:after="0"/>
              <w:ind w:firstLine="0"/>
              <w:rPr>
                <w:i/>
              </w:rPr>
            </w:pPr>
            <w:r w:rsidRPr="004C71B9">
              <w:t>1. Budžeta ieņēmumi:</w:t>
            </w:r>
          </w:p>
        </w:tc>
        <w:tc>
          <w:tcPr>
            <w:tcW w:w="1256" w:type="dxa"/>
          </w:tcPr>
          <w:p w:rsidR="00251949" w:rsidRPr="0073594F" w:rsidRDefault="001B654B" w:rsidP="001B654B">
            <w:pPr>
              <w:pStyle w:val="naisf"/>
              <w:spacing w:before="0" w:after="0"/>
              <w:ind w:firstLine="0"/>
              <w:jc w:val="center"/>
            </w:pPr>
            <w:r>
              <w:t>112</w:t>
            </w:r>
            <w:r w:rsidR="0073594F" w:rsidRPr="0073594F">
              <w:t>,</w:t>
            </w:r>
            <w:r>
              <w:t>4</w:t>
            </w:r>
          </w:p>
        </w:tc>
        <w:tc>
          <w:tcPr>
            <w:tcW w:w="1294" w:type="dxa"/>
          </w:tcPr>
          <w:p w:rsidR="00251949" w:rsidRPr="0073594F" w:rsidRDefault="0073594F" w:rsidP="0073594F">
            <w:pPr>
              <w:pStyle w:val="naisf"/>
              <w:spacing w:before="0" w:after="0"/>
              <w:ind w:firstLine="0"/>
              <w:jc w:val="center"/>
            </w:pPr>
            <w:r w:rsidRPr="0073594F">
              <w:t>0</w:t>
            </w:r>
          </w:p>
        </w:tc>
        <w:tc>
          <w:tcPr>
            <w:tcW w:w="1294" w:type="dxa"/>
          </w:tcPr>
          <w:p w:rsidR="00251949" w:rsidRPr="0073594F" w:rsidRDefault="0073594F" w:rsidP="0073594F">
            <w:pPr>
              <w:pStyle w:val="naisf"/>
              <w:spacing w:before="0" w:after="0"/>
              <w:ind w:firstLine="0"/>
              <w:jc w:val="center"/>
            </w:pPr>
            <w:r w:rsidRPr="0073594F">
              <w:t>0</w:t>
            </w:r>
          </w:p>
        </w:tc>
        <w:tc>
          <w:tcPr>
            <w:tcW w:w="1295" w:type="dxa"/>
          </w:tcPr>
          <w:p w:rsidR="00251949" w:rsidRPr="0073594F" w:rsidRDefault="0073594F" w:rsidP="0073594F">
            <w:pPr>
              <w:pStyle w:val="naisf"/>
              <w:spacing w:before="0" w:after="0"/>
              <w:ind w:firstLine="0"/>
              <w:jc w:val="center"/>
            </w:pPr>
            <w:r w:rsidRPr="0073594F">
              <w:t>0</w:t>
            </w:r>
          </w:p>
        </w:tc>
        <w:tc>
          <w:tcPr>
            <w:tcW w:w="1150" w:type="dxa"/>
          </w:tcPr>
          <w:p w:rsidR="00251949" w:rsidRPr="0073594F" w:rsidRDefault="0073594F" w:rsidP="0073594F">
            <w:pPr>
              <w:pStyle w:val="naisf"/>
              <w:spacing w:before="0" w:after="0"/>
              <w:ind w:firstLine="0"/>
              <w:jc w:val="center"/>
            </w:pPr>
            <w:r w:rsidRPr="0073594F">
              <w:t>0</w:t>
            </w:r>
          </w:p>
        </w:tc>
      </w:tr>
      <w:tr w:rsidR="00251949" w:rsidRPr="00ED1E6E" w:rsidTr="00251949">
        <w:tc>
          <w:tcPr>
            <w:tcW w:w="2891" w:type="dxa"/>
          </w:tcPr>
          <w:p w:rsidR="00251949" w:rsidRPr="004C71B9" w:rsidRDefault="00251949" w:rsidP="00251949">
            <w:pPr>
              <w:pStyle w:val="naisf"/>
              <w:spacing w:before="0" w:after="0"/>
              <w:ind w:firstLine="0"/>
              <w:rPr>
                <w:i/>
              </w:rPr>
            </w:pPr>
            <w:r w:rsidRPr="004C71B9">
              <w:t>1.1. valsts pamatbudžets, tai skaitā ieņēmumi no maksas pakalpojumiem un citi pašu ieņēmumi</w:t>
            </w:r>
          </w:p>
        </w:tc>
        <w:tc>
          <w:tcPr>
            <w:tcW w:w="1256" w:type="dxa"/>
          </w:tcPr>
          <w:p w:rsidR="00251949" w:rsidRPr="0073594F" w:rsidRDefault="001B654B" w:rsidP="0073594F">
            <w:pPr>
              <w:pStyle w:val="naisf"/>
              <w:spacing w:before="0" w:after="0"/>
              <w:ind w:firstLine="0"/>
              <w:jc w:val="center"/>
            </w:pPr>
            <w:r>
              <w:t>112</w:t>
            </w:r>
            <w:r w:rsidRPr="0073594F">
              <w:t>,</w:t>
            </w:r>
            <w:r>
              <w:t>4</w:t>
            </w:r>
          </w:p>
        </w:tc>
        <w:tc>
          <w:tcPr>
            <w:tcW w:w="1294" w:type="dxa"/>
          </w:tcPr>
          <w:p w:rsidR="00251949" w:rsidRPr="0073594F" w:rsidRDefault="0073594F" w:rsidP="0073594F">
            <w:pPr>
              <w:pStyle w:val="naisf"/>
              <w:spacing w:before="0" w:after="0"/>
              <w:ind w:firstLine="0"/>
              <w:jc w:val="center"/>
            </w:pPr>
            <w:r w:rsidRPr="0073594F">
              <w:t>0</w:t>
            </w:r>
          </w:p>
        </w:tc>
        <w:tc>
          <w:tcPr>
            <w:tcW w:w="1294" w:type="dxa"/>
          </w:tcPr>
          <w:p w:rsidR="00251949" w:rsidRPr="0073594F" w:rsidRDefault="0073594F" w:rsidP="0073594F">
            <w:pPr>
              <w:pStyle w:val="naisf"/>
              <w:spacing w:before="0" w:after="0"/>
              <w:ind w:firstLine="0"/>
              <w:jc w:val="center"/>
            </w:pPr>
            <w:r w:rsidRPr="0073594F">
              <w:t>0</w:t>
            </w:r>
          </w:p>
        </w:tc>
        <w:tc>
          <w:tcPr>
            <w:tcW w:w="1295" w:type="dxa"/>
          </w:tcPr>
          <w:p w:rsidR="00251949" w:rsidRPr="0073594F" w:rsidRDefault="0073594F" w:rsidP="0073594F">
            <w:pPr>
              <w:pStyle w:val="naisf"/>
              <w:spacing w:before="0" w:after="0"/>
              <w:ind w:firstLine="0"/>
              <w:jc w:val="center"/>
            </w:pPr>
            <w:r w:rsidRPr="0073594F">
              <w:t>0</w:t>
            </w:r>
          </w:p>
        </w:tc>
        <w:tc>
          <w:tcPr>
            <w:tcW w:w="1150" w:type="dxa"/>
          </w:tcPr>
          <w:p w:rsidR="00251949" w:rsidRPr="0073594F" w:rsidRDefault="0073594F" w:rsidP="0073594F">
            <w:pPr>
              <w:pStyle w:val="naisf"/>
              <w:spacing w:before="0" w:after="0"/>
              <w:ind w:firstLine="0"/>
              <w:jc w:val="center"/>
            </w:pPr>
            <w:r w:rsidRPr="0073594F">
              <w:t>0</w:t>
            </w:r>
          </w:p>
        </w:tc>
      </w:tr>
      <w:tr w:rsidR="00251949" w:rsidRPr="00ED1E6E" w:rsidTr="00251949">
        <w:tc>
          <w:tcPr>
            <w:tcW w:w="2891" w:type="dxa"/>
          </w:tcPr>
          <w:p w:rsidR="00251949" w:rsidRPr="004C71B9" w:rsidRDefault="00251949" w:rsidP="00251949">
            <w:pPr>
              <w:pStyle w:val="naisf"/>
              <w:spacing w:before="0" w:after="0"/>
              <w:ind w:firstLine="0"/>
              <w:rPr>
                <w:i/>
              </w:rPr>
            </w:pPr>
            <w:r w:rsidRPr="004C71B9">
              <w:t>1.2. valsts speciālais budžets</w:t>
            </w:r>
          </w:p>
        </w:tc>
        <w:tc>
          <w:tcPr>
            <w:tcW w:w="1256" w:type="dxa"/>
          </w:tcPr>
          <w:p w:rsidR="00251949" w:rsidRPr="0073594F" w:rsidRDefault="00251949" w:rsidP="0073594F">
            <w:pPr>
              <w:pStyle w:val="naisf"/>
              <w:spacing w:before="0" w:after="0"/>
              <w:ind w:firstLine="0"/>
              <w:jc w:val="center"/>
            </w:pPr>
          </w:p>
        </w:tc>
        <w:tc>
          <w:tcPr>
            <w:tcW w:w="1294" w:type="dxa"/>
          </w:tcPr>
          <w:p w:rsidR="00251949" w:rsidRPr="004C71B9" w:rsidRDefault="00251949" w:rsidP="00251949">
            <w:pPr>
              <w:pStyle w:val="naisf"/>
              <w:spacing w:before="0" w:after="0"/>
              <w:ind w:firstLine="0"/>
              <w:rPr>
                <w:b/>
                <w:i/>
              </w:rPr>
            </w:pPr>
          </w:p>
        </w:tc>
        <w:tc>
          <w:tcPr>
            <w:tcW w:w="1294" w:type="dxa"/>
          </w:tcPr>
          <w:p w:rsidR="00251949" w:rsidRPr="004C71B9" w:rsidRDefault="00251949" w:rsidP="00251949">
            <w:pPr>
              <w:pStyle w:val="naisf"/>
              <w:spacing w:before="0" w:after="0"/>
              <w:ind w:firstLine="0"/>
              <w:rPr>
                <w:b/>
                <w:i/>
              </w:rPr>
            </w:pPr>
          </w:p>
        </w:tc>
        <w:tc>
          <w:tcPr>
            <w:tcW w:w="1295" w:type="dxa"/>
          </w:tcPr>
          <w:p w:rsidR="00251949" w:rsidRPr="004C71B9" w:rsidRDefault="00251949" w:rsidP="00251949">
            <w:pPr>
              <w:pStyle w:val="naisf"/>
              <w:spacing w:before="0" w:after="0"/>
              <w:ind w:firstLine="0"/>
              <w:rPr>
                <w:b/>
                <w:i/>
              </w:rPr>
            </w:pPr>
          </w:p>
        </w:tc>
        <w:tc>
          <w:tcPr>
            <w:tcW w:w="1150" w:type="dxa"/>
          </w:tcPr>
          <w:p w:rsidR="00251949" w:rsidRPr="004C71B9" w:rsidRDefault="00251949" w:rsidP="00251949">
            <w:pPr>
              <w:pStyle w:val="naisf"/>
              <w:spacing w:before="0" w:after="0"/>
              <w:ind w:firstLine="0"/>
              <w:rPr>
                <w:b/>
                <w:i/>
              </w:rPr>
            </w:pPr>
          </w:p>
        </w:tc>
      </w:tr>
      <w:tr w:rsidR="00251949" w:rsidRPr="00ED1E6E" w:rsidTr="00251949">
        <w:tc>
          <w:tcPr>
            <w:tcW w:w="2891" w:type="dxa"/>
          </w:tcPr>
          <w:p w:rsidR="00251949" w:rsidRPr="004C71B9" w:rsidRDefault="00251949" w:rsidP="00251949">
            <w:pPr>
              <w:pStyle w:val="naisf"/>
              <w:spacing w:before="0" w:after="0"/>
              <w:ind w:firstLine="0"/>
              <w:rPr>
                <w:i/>
              </w:rPr>
            </w:pPr>
            <w:r w:rsidRPr="004C71B9">
              <w:t>1.3. pašvaldību budžets</w:t>
            </w:r>
          </w:p>
        </w:tc>
        <w:tc>
          <w:tcPr>
            <w:tcW w:w="1256" w:type="dxa"/>
          </w:tcPr>
          <w:p w:rsidR="00251949" w:rsidRPr="0073594F" w:rsidRDefault="00251949" w:rsidP="0073594F">
            <w:pPr>
              <w:pStyle w:val="naisf"/>
              <w:spacing w:before="0" w:after="0"/>
              <w:ind w:firstLine="0"/>
              <w:jc w:val="center"/>
            </w:pPr>
          </w:p>
        </w:tc>
        <w:tc>
          <w:tcPr>
            <w:tcW w:w="1294" w:type="dxa"/>
          </w:tcPr>
          <w:p w:rsidR="00251949" w:rsidRPr="004C71B9" w:rsidRDefault="00251949" w:rsidP="00251949">
            <w:pPr>
              <w:pStyle w:val="naisf"/>
              <w:spacing w:before="0" w:after="0"/>
              <w:ind w:firstLine="0"/>
              <w:rPr>
                <w:b/>
                <w:i/>
              </w:rPr>
            </w:pPr>
          </w:p>
        </w:tc>
        <w:tc>
          <w:tcPr>
            <w:tcW w:w="1294" w:type="dxa"/>
          </w:tcPr>
          <w:p w:rsidR="00251949" w:rsidRPr="004C71B9" w:rsidRDefault="00251949" w:rsidP="00251949">
            <w:pPr>
              <w:pStyle w:val="naisf"/>
              <w:spacing w:before="0" w:after="0"/>
              <w:ind w:firstLine="0"/>
              <w:rPr>
                <w:b/>
                <w:i/>
              </w:rPr>
            </w:pPr>
          </w:p>
        </w:tc>
        <w:tc>
          <w:tcPr>
            <w:tcW w:w="1295" w:type="dxa"/>
          </w:tcPr>
          <w:p w:rsidR="00251949" w:rsidRPr="004C71B9" w:rsidRDefault="00251949" w:rsidP="00251949">
            <w:pPr>
              <w:pStyle w:val="naisf"/>
              <w:spacing w:before="0" w:after="0"/>
              <w:ind w:firstLine="0"/>
              <w:rPr>
                <w:b/>
                <w:i/>
              </w:rPr>
            </w:pPr>
          </w:p>
        </w:tc>
        <w:tc>
          <w:tcPr>
            <w:tcW w:w="1150" w:type="dxa"/>
          </w:tcPr>
          <w:p w:rsidR="00251949" w:rsidRPr="004C71B9" w:rsidRDefault="00251949" w:rsidP="00251949">
            <w:pPr>
              <w:pStyle w:val="naisf"/>
              <w:spacing w:before="0" w:after="0"/>
              <w:ind w:firstLine="0"/>
              <w:rPr>
                <w:b/>
                <w:i/>
              </w:rPr>
            </w:pPr>
          </w:p>
        </w:tc>
      </w:tr>
      <w:tr w:rsidR="0073594F" w:rsidRPr="00ED1E6E" w:rsidTr="00251949">
        <w:tc>
          <w:tcPr>
            <w:tcW w:w="2891" w:type="dxa"/>
          </w:tcPr>
          <w:p w:rsidR="0073594F" w:rsidRPr="004C71B9" w:rsidRDefault="0073594F" w:rsidP="00251949">
            <w:pPr>
              <w:jc w:val="both"/>
            </w:pPr>
            <w:r w:rsidRPr="004C71B9">
              <w:t>2. Budžeta izdevumi:</w:t>
            </w:r>
          </w:p>
        </w:tc>
        <w:tc>
          <w:tcPr>
            <w:tcW w:w="1256" w:type="dxa"/>
          </w:tcPr>
          <w:p w:rsidR="0073594F" w:rsidRPr="0073594F" w:rsidRDefault="001B654B" w:rsidP="0073594F">
            <w:pPr>
              <w:pStyle w:val="naisf"/>
              <w:spacing w:before="0" w:after="0"/>
              <w:ind w:firstLine="0"/>
              <w:jc w:val="center"/>
            </w:pPr>
            <w:r>
              <w:t>112</w:t>
            </w:r>
            <w:r w:rsidRPr="0073594F">
              <w:t>,</w:t>
            </w:r>
            <w:r>
              <w:t>4</w:t>
            </w:r>
          </w:p>
        </w:tc>
        <w:tc>
          <w:tcPr>
            <w:tcW w:w="1294" w:type="dxa"/>
          </w:tcPr>
          <w:p w:rsidR="0073594F" w:rsidRPr="0073594F" w:rsidRDefault="0073594F" w:rsidP="00014850">
            <w:pPr>
              <w:pStyle w:val="naisf"/>
              <w:spacing w:before="0" w:after="0"/>
              <w:ind w:firstLine="0"/>
              <w:jc w:val="center"/>
            </w:pPr>
            <w:r w:rsidRPr="0073594F">
              <w:t>0</w:t>
            </w:r>
          </w:p>
        </w:tc>
        <w:tc>
          <w:tcPr>
            <w:tcW w:w="1294" w:type="dxa"/>
          </w:tcPr>
          <w:p w:rsidR="0073594F" w:rsidRPr="0073594F" w:rsidRDefault="0073594F" w:rsidP="00014850">
            <w:pPr>
              <w:pStyle w:val="naisf"/>
              <w:spacing w:before="0" w:after="0"/>
              <w:ind w:firstLine="0"/>
              <w:jc w:val="center"/>
            </w:pPr>
            <w:r w:rsidRPr="0073594F">
              <w:t>0</w:t>
            </w:r>
          </w:p>
        </w:tc>
        <w:tc>
          <w:tcPr>
            <w:tcW w:w="1295" w:type="dxa"/>
          </w:tcPr>
          <w:p w:rsidR="0073594F" w:rsidRPr="0073594F" w:rsidRDefault="0073594F" w:rsidP="00014850">
            <w:pPr>
              <w:pStyle w:val="naisf"/>
              <w:spacing w:before="0" w:after="0"/>
              <w:ind w:firstLine="0"/>
              <w:jc w:val="center"/>
            </w:pPr>
            <w:r w:rsidRPr="0073594F">
              <w:t>0</w:t>
            </w:r>
          </w:p>
        </w:tc>
        <w:tc>
          <w:tcPr>
            <w:tcW w:w="1150" w:type="dxa"/>
          </w:tcPr>
          <w:p w:rsidR="0073594F" w:rsidRPr="0073594F" w:rsidRDefault="0073594F" w:rsidP="00014850">
            <w:pPr>
              <w:pStyle w:val="naisf"/>
              <w:spacing w:before="0" w:after="0"/>
              <w:ind w:firstLine="0"/>
              <w:jc w:val="center"/>
            </w:pPr>
            <w:r w:rsidRPr="0073594F">
              <w:t>0</w:t>
            </w:r>
          </w:p>
        </w:tc>
      </w:tr>
      <w:tr w:rsidR="0073594F" w:rsidRPr="00ED1E6E" w:rsidTr="00251949">
        <w:tc>
          <w:tcPr>
            <w:tcW w:w="2891" w:type="dxa"/>
          </w:tcPr>
          <w:p w:rsidR="0073594F" w:rsidRPr="004C71B9" w:rsidRDefault="0073594F" w:rsidP="00251949">
            <w:pPr>
              <w:jc w:val="both"/>
            </w:pPr>
            <w:r w:rsidRPr="004C71B9">
              <w:t>2.1. valsts pamatbudžets</w:t>
            </w:r>
          </w:p>
        </w:tc>
        <w:tc>
          <w:tcPr>
            <w:tcW w:w="1256" w:type="dxa"/>
          </w:tcPr>
          <w:p w:rsidR="0073594F" w:rsidRPr="0073594F" w:rsidRDefault="001B654B" w:rsidP="0073594F">
            <w:pPr>
              <w:pStyle w:val="naisf"/>
              <w:spacing w:before="0" w:after="0"/>
              <w:ind w:firstLine="0"/>
              <w:jc w:val="center"/>
            </w:pPr>
            <w:r>
              <w:t>112</w:t>
            </w:r>
            <w:r w:rsidRPr="0073594F">
              <w:t>,</w:t>
            </w:r>
            <w:r>
              <w:t>4</w:t>
            </w:r>
          </w:p>
        </w:tc>
        <w:tc>
          <w:tcPr>
            <w:tcW w:w="1294" w:type="dxa"/>
          </w:tcPr>
          <w:p w:rsidR="0073594F" w:rsidRPr="0073594F" w:rsidRDefault="0073594F" w:rsidP="00014850">
            <w:pPr>
              <w:pStyle w:val="naisf"/>
              <w:spacing w:before="0" w:after="0"/>
              <w:ind w:firstLine="0"/>
              <w:jc w:val="center"/>
            </w:pPr>
            <w:r w:rsidRPr="0073594F">
              <w:t>0</w:t>
            </w:r>
          </w:p>
        </w:tc>
        <w:tc>
          <w:tcPr>
            <w:tcW w:w="1294" w:type="dxa"/>
          </w:tcPr>
          <w:p w:rsidR="0073594F" w:rsidRPr="0073594F" w:rsidRDefault="0073594F" w:rsidP="00014850">
            <w:pPr>
              <w:pStyle w:val="naisf"/>
              <w:spacing w:before="0" w:after="0"/>
              <w:ind w:firstLine="0"/>
              <w:jc w:val="center"/>
            </w:pPr>
            <w:r w:rsidRPr="0073594F">
              <w:t>0</w:t>
            </w:r>
          </w:p>
        </w:tc>
        <w:tc>
          <w:tcPr>
            <w:tcW w:w="1295" w:type="dxa"/>
          </w:tcPr>
          <w:p w:rsidR="0073594F" w:rsidRPr="0073594F" w:rsidRDefault="0073594F" w:rsidP="00014850">
            <w:pPr>
              <w:pStyle w:val="naisf"/>
              <w:spacing w:before="0" w:after="0"/>
              <w:ind w:firstLine="0"/>
              <w:jc w:val="center"/>
            </w:pPr>
            <w:r w:rsidRPr="0073594F">
              <w:t>0</w:t>
            </w:r>
          </w:p>
        </w:tc>
        <w:tc>
          <w:tcPr>
            <w:tcW w:w="1150" w:type="dxa"/>
          </w:tcPr>
          <w:p w:rsidR="0073594F" w:rsidRPr="0073594F" w:rsidRDefault="0073594F" w:rsidP="00014850">
            <w:pPr>
              <w:pStyle w:val="naisf"/>
              <w:spacing w:before="0" w:after="0"/>
              <w:ind w:firstLine="0"/>
              <w:jc w:val="center"/>
            </w:pPr>
            <w:r w:rsidRPr="0073594F">
              <w:t>0</w:t>
            </w:r>
          </w:p>
        </w:tc>
      </w:tr>
      <w:tr w:rsidR="0073594F" w:rsidRPr="00ED1E6E" w:rsidTr="00251949">
        <w:tc>
          <w:tcPr>
            <w:tcW w:w="2891" w:type="dxa"/>
          </w:tcPr>
          <w:p w:rsidR="0073594F" w:rsidRPr="004C71B9" w:rsidRDefault="0073594F" w:rsidP="00251949">
            <w:pPr>
              <w:jc w:val="both"/>
            </w:pPr>
            <w:r w:rsidRPr="004C71B9">
              <w:t>2.2. valsts speciālais budžets</w:t>
            </w:r>
          </w:p>
        </w:tc>
        <w:tc>
          <w:tcPr>
            <w:tcW w:w="1256" w:type="dxa"/>
          </w:tcPr>
          <w:p w:rsidR="0073594F" w:rsidRPr="004C71B9" w:rsidRDefault="0073594F" w:rsidP="00251949">
            <w:pPr>
              <w:pStyle w:val="naisf"/>
              <w:spacing w:before="0" w:after="0"/>
              <w:ind w:firstLine="0"/>
              <w:rPr>
                <w:b/>
                <w:i/>
              </w:rPr>
            </w:pPr>
          </w:p>
        </w:tc>
        <w:tc>
          <w:tcPr>
            <w:tcW w:w="1294" w:type="dxa"/>
          </w:tcPr>
          <w:p w:rsidR="0073594F" w:rsidRPr="004C71B9" w:rsidRDefault="0073594F" w:rsidP="00251949">
            <w:pPr>
              <w:pStyle w:val="naisf"/>
              <w:spacing w:before="0" w:after="0"/>
              <w:ind w:firstLine="0"/>
              <w:rPr>
                <w:b/>
                <w:i/>
              </w:rPr>
            </w:pPr>
          </w:p>
        </w:tc>
        <w:tc>
          <w:tcPr>
            <w:tcW w:w="1294" w:type="dxa"/>
          </w:tcPr>
          <w:p w:rsidR="0073594F" w:rsidRPr="004C71B9" w:rsidRDefault="0073594F" w:rsidP="00251949">
            <w:pPr>
              <w:pStyle w:val="naisf"/>
              <w:spacing w:before="0" w:after="0"/>
              <w:ind w:firstLine="0"/>
              <w:rPr>
                <w:b/>
                <w:i/>
              </w:rPr>
            </w:pPr>
          </w:p>
        </w:tc>
        <w:tc>
          <w:tcPr>
            <w:tcW w:w="1295" w:type="dxa"/>
          </w:tcPr>
          <w:p w:rsidR="0073594F" w:rsidRPr="004C71B9" w:rsidRDefault="0073594F" w:rsidP="00251949">
            <w:pPr>
              <w:pStyle w:val="naisf"/>
              <w:spacing w:before="0" w:after="0"/>
              <w:ind w:firstLine="0"/>
              <w:rPr>
                <w:b/>
                <w:i/>
              </w:rPr>
            </w:pPr>
          </w:p>
        </w:tc>
        <w:tc>
          <w:tcPr>
            <w:tcW w:w="1150" w:type="dxa"/>
          </w:tcPr>
          <w:p w:rsidR="0073594F" w:rsidRPr="004C71B9" w:rsidRDefault="0073594F" w:rsidP="00251949">
            <w:pPr>
              <w:pStyle w:val="naisf"/>
              <w:spacing w:before="0" w:after="0"/>
              <w:ind w:firstLine="0"/>
              <w:rPr>
                <w:b/>
                <w:i/>
              </w:rPr>
            </w:pPr>
          </w:p>
        </w:tc>
      </w:tr>
      <w:tr w:rsidR="0073594F" w:rsidRPr="00ED1E6E" w:rsidTr="00251949">
        <w:tc>
          <w:tcPr>
            <w:tcW w:w="2891" w:type="dxa"/>
          </w:tcPr>
          <w:p w:rsidR="0073594F" w:rsidRPr="004C71B9" w:rsidRDefault="0073594F" w:rsidP="00251949">
            <w:pPr>
              <w:jc w:val="both"/>
            </w:pPr>
            <w:r w:rsidRPr="004C71B9">
              <w:t xml:space="preserve">2.3. pašvaldību budžets </w:t>
            </w:r>
          </w:p>
        </w:tc>
        <w:tc>
          <w:tcPr>
            <w:tcW w:w="1256" w:type="dxa"/>
          </w:tcPr>
          <w:p w:rsidR="0073594F" w:rsidRPr="004C71B9" w:rsidRDefault="0073594F" w:rsidP="00251949">
            <w:pPr>
              <w:pStyle w:val="naisf"/>
              <w:spacing w:before="0" w:after="0"/>
              <w:ind w:firstLine="0"/>
              <w:rPr>
                <w:b/>
                <w:i/>
              </w:rPr>
            </w:pPr>
          </w:p>
        </w:tc>
        <w:tc>
          <w:tcPr>
            <w:tcW w:w="1294" w:type="dxa"/>
          </w:tcPr>
          <w:p w:rsidR="0073594F" w:rsidRPr="004C71B9" w:rsidRDefault="0073594F" w:rsidP="00251949">
            <w:pPr>
              <w:pStyle w:val="naisf"/>
              <w:spacing w:before="0" w:after="0"/>
              <w:ind w:firstLine="0"/>
              <w:rPr>
                <w:b/>
                <w:i/>
              </w:rPr>
            </w:pPr>
          </w:p>
        </w:tc>
        <w:tc>
          <w:tcPr>
            <w:tcW w:w="1294" w:type="dxa"/>
          </w:tcPr>
          <w:p w:rsidR="0073594F" w:rsidRPr="004C71B9" w:rsidRDefault="0073594F" w:rsidP="00251949">
            <w:pPr>
              <w:pStyle w:val="naisf"/>
              <w:spacing w:before="0" w:after="0"/>
              <w:ind w:firstLine="0"/>
              <w:rPr>
                <w:b/>
                <w:i/>
              </w:rPr>
            </w:pPr>
          </w:p>
        </w:tc>
        <w:tc>
          <w:tcPr>
            <w:tcW w:w="1295" w:type="dxa"/>
          </w:tcPr>
          <w:p w:rsidR="0073594F" w:rsidRPr="004C71B9" w:rsidRDefault="0073594F" w:rsidP="00251949">
            <w:pPr>
              <w:pStyle w:val="naisf"/>
              <w:spacing w:before="0" w:after="0"/>
              <w:ind w:firstLine="0"/>
              <w:rPr>
                <w:b/>
                <w:i/>
              </w:rPr>
            </w:pPr>
          </w:p>
        </w:tc>
        <w:tc>
          <w:tcPr>
            <w:tcW w:w="1150" w:type="dxa"/>
          </w:tcPr>
          <w:p w:rsidR="0073594F" w:rsidRPr="004C71B9" w:rsidRDefault="0073594F" w:rsidP="00251949">
            <w:pPr>
              <w:pStyle w:val="naisf"/>
              <w:spacing w:before="0" w:after="0"/>
              <w:ind w:firstLine="0"/>
              <w:rPr>
                <w:b/>
                <w:i/>
              </w:rPr>
            </w:pPr>
          </w:p>
        </w:tc>
      </w:tr>
      <w:tr w:rsidR="0073594F" w:rsidRPr="00ED1E6E" w:rsidTr="00AD0AF6">
        <w:tc>
          <w:tcPr>
            <w:tcW w:w="2891" w:type="dxa"/>
          </w:tcPr>
          <w:p w:rsidR="0073594F" w:rsidRPr="004C71B9" w:rsidRDefault="0073594F" w:rsidP="00251949">
            <w:pPr>
              <w:jc w:val="both"/>
            </w:pPr>
            <w:r w:rsidRPr="004C71B9">
              <w:t>3. Finansiālā ietekme:</w:t>
            </w:r>
          </w:p>
        </w:tc>
        <w:tc>
          <w:tcPr>
            <w:tcW w:w="1256" w:type="dxa"/>
            <w:shd w:val="clear" w:color="auto" w:fill="auto"/>
          </w:tcPr>
          <w:p w:rsidR="0073594F" w:rsidRPr="0073594F" w:rsidRDefault="0073594F" w:rsidP="00014850">
            <w:pPr>
              <w:pStyle w:val="naisf"/>
              <w:spacing w:before="0" w:after="0"/>
              <w:ind w:firstLine="0"/>
              <w:jc w:val="center"/>
            </w:pPr>
            <w:r w:rsidRPr="0073594F">
              <w:t>0</w:t>
            </w:r>
          </w:p>
        </w:tc>
        <w:tc>
          <w:tcPr>
            <w:tcW w:w="1294" w:type="dxa"/>
          </w:tcPr>
          <w:p w:rsidR="0073594F" w:rsidRPr="0073594F" w:rsidRDefault="0073594F" w:rsidP="00014850">
            <w:pPr>
              <w:pStyle w:val="naisf"/>
              <w:spacing w:before="0" w:after="0"/>
              <w:ind w:firstLine="0"/>
              <w:jc w:val="center"/>
            </w:pPr>
            <w:r w:rsidRPr="0073594F">
              <w:t>0</w:t>
            </w:r>
          </w:p>
        </w:tc>
        <w:tc>
          <w:tcPr>
            <w:tcW w:w="1294" w:type="dxa"/>
          </w:tcPr>
          <w:p w:rsidR="0073594F" w:rsidRPr="0073594F" w:rsidRDefault="0073594F" w:rsidP="00014850">
            <w:pPr>
              <w:pStyle w:val="naisf"/>
              <w:spacing w:before="0" w:after="0"/>
              <w:ind w:firstLine="0"/>
              <w:jc w:val="center"/>
            </w:pPr>
            <w:r w:rsidRPr="0073594F">
              <w:t>0</w:t>
            </w:r>
          </w:p>
        </w:tc>
        <w:tc>
          <w:tcPr>
            <w:tcW w:w="1295" w:type="dxa"/>
          </w:tcPr>
          <w:p w:rsidR="0073594F" w:rsidRPr="0073594F" w:rsidRDefault="0073594F" w:rsidP="00014850">
            <w:pPr>
              <w:pStyle w:val="naisf"/>
              <w:spacing w:before="0" w:after="0"/>
              <w:ind w:firstLine="0"/>
              <w:jc w:val="center"/>
            </w:pPr>
            <w:r w:rsidRPr="0073594F">
              <w:t>0</w:t>
            </w:r>
          </w:p>
        </w:tc>
        <w:tc>
          <w:tcPr>
            <w:tcW w:w="1150" w:type="dxa"/>
          </w:tcPr>
          <w:p w:rsidR="0073594F" w:rsidRPr="0073594F" w:rsidRDefault="0073594F" w:rsidP="00014850">
            <w:pPr>
              <w:pStyle w:val="naisf"/>
              <w:spacing w:before="0" w:after="0"/>
              <w:ind w:firstLine="0"/>
              <w:jc w:val="center"/>
            </w:pPr>
            <w:r w:rsidRPr="0073594F">
              <w:t>0</w:t>
            </w:r>
          </w:p>
        </w:tc>
      </w:tr>
      <w:tr w:rsidR="0073594F" w:rsidRPr="00ED1E6E" w:rsidTr="00251949">
        <w:tc>
          <w:tcPr>
            <w:tcW w:w="2891" w:type="dxa"/>
          </w:tcPr>
          <w:p w:rsidR="0073594F" w:rsidRPr="004C71B9" w:rsidRDefault="0073594F" w:rsidP="00251949">
            <w:pPr>
              <w:jc w:val="both"/>
            </w:pPr>
            <w:r w:rsidRPr="004C71B9">
              <w:t>3.1. valsts pamatbudžets</w:t>
            </w:r>
          </w:p>
        </w:tc>
        <w:tc>
          <w:tcPr>
            <w:tcW w:w="1256" w:type="dxa"/>
            <w:shd w:val="clear" w:color="auto" w:fill="auto"/>
          </w:tcPr>
          <w:p w:rsidR="0073594F" w:rsidRPr="0073594F" w:rsidRDefault="0073594F" w:rsidP="00014850">
            <w:pPr>
              <w:pStyle w:val="naisf"/>
              <w:spacing w:before="0" w:after="0"/>
              <w:ind w:firstLine="0"/>
              <w:jc w:val="center"/>
            </w:pPr>
            <w:r w:rsidRPr="0073594F">
              <w:t>0</w:t>
            </w:r>
          </w:p>
        </w:tc>
        <w:tc>
          <w:tcPr>
            <w:tcW w:w="1294" w:type="dxa"/>
          </w:tcPr>
          <w:p w:rsidR="0073594F" w:rsidRPr="0073594F" w:rsidRDefault="0073594F" w:rsidP="00014850">
            <w:pPr>
              <w:pStyle w:val="naisf"/>
              <w:spacing w:before="0" w:after="0"/>
              <w:ind w:firstLine="0"/>
              <w:jc w:val="center"/>
            </w:pPr>
            <w:r w:rsidRPr="0073594F">
              <w:t>0</w:t>
            </w:r>
          </w:p>
        </w:tc>
        <w:tc>
          <w:tcPr>
            <w:tcW w:w="1294" w:type="dxa"/>
          </w:tcPr>
          <w:p w:rsidR="0073594F" w:rsidRPr="0073594F" w:rsidRDefault="0073594F" w:rsidP="00014850">
            <w:pPr>
              <w:pStyle w:val="naisf"/>
              <w:spacing w:before="0" w:after="0"/>
              <w:ind w:firstLine="0"/>
              <w:jc w:val="center"/>
            </w:pPr>
            <w:r w:rsidRPr="0073594F">
              <w:t>0</w:t>
            </w:r>
          </w:p>
        </w:tc>
        <w:tc>
          <w:tcPr>
            <w:tcW w:w="1295" w:type="dxa"/>
          </w:tcPr>
          <w:p w:rsidR="0073594F" w:rsidRPr="0073594F" w:rsidRDefault="0073594F" w:rsidP="00014850">
            <w:pPr>
              <w:pStyle w:val="naisf"/>
              <w:spacing w:before="0" w:after="0"/>
              <w:ind w:firstLine="0"/>
              <w:jc w:val="center"/>
            </w:pPr>
            <w:r w:rsidRPr="0073594F">
              <w:t>0</w:t>
            </w:r>
          </w:p>
        </w:tc>
        <w:tc>
          <w:tcPr>
            <w:tcW w:w="1150" w:type="dxa"/>
          </w:tcPr>
          <w:p w:rsidR="0073594F" w:rsidRPr="0073594F" w:rsidRDefault="0073594F" w:rsidP="00014850">
            <w:pPr>
              <w:pStyle w:val="naisf"/>
              <w:spacing w:before="0" w:after="0"/>
              <w:ind w:firstLine="0"/>
              <w:jc w:val="center"/>
            </w:pPr>
            <w:r w:rsidRPr="0073594F">
              <w:t>0</w:t>
            </w:r>
          </w:p>
        </w:tc>
      </w:tr>
      <w:tr w:rsidR="0073594F" w:rsidRPr="00ED1E6E" w:rsidTr="00251949">
        <w:tc>
          <w:tcPr>
            <w:tcW w:w="2891" w:type="dxa"/>
          </w:tcPr>
          <w:p w:rsidR="0073594F" w:rsidRPr="004C71B9" w:rsidRDefault="0073594F" w:rsidP="00251949">
            <w:pPr>
              <w:jc w:val="both"/>
            </w:pPr>
            <w:r w:rsidRPr="004C71B9">
              <w:t>3.2. speciālais budžets</w:t>
            </w:r>
          </w:p>
        </w:tc>
        <w:tc>
          <w:tcPr>
            <w:tcW w:w="1256" w:type="dxa"/>
            <w:shd w:val="clear" w:color="auto" w:fill="auto"/>
          </w:tcPr>
          <w:p w:rsidR="0073594F" w:rsidRPr="004C71B9" w:rsidRDefault="0073594F" w:rsidP="00251949">
            <w:pPr>
              <w:pStyle w:val="naisf"/>
              <w:spacing w:before="0" w:after="0"/>
              <w:ind w:firstLine="0"/>
              <w:rPr>
                <w:i/>
              </w:rPr>
            </w:pPr>
          </w:p>
        </w:tc>
        <w:tc>
          <w:tcPr>
            <w:tcW w:w="1294" w:type="dxa"/>
          </w:tcPr>
          <w:p w:rsidR="0073594F" w:rsidRPr="004C71B9" w:rsidRDefault="0073594F" w:rsidP="00251949">
            <w:pPr>
              <w:pStyle w:val="naisf"/>
              <w:spacing w:before="0" w:after="0"/>
              <w:ind w:firstLine="0"/>
              <w:rPr>
                <w:b/>
                <w:i/>
              </w:rPr>
            </w:pPr>
          </w:p>
        </w:tc>
        <w:tc>
          <w:tcPr>
            <w:tcW w:w="1294" w:type="dxa"/>
          </w:tcPr>
          <w:p w:rsidR="0073594F" w:rsidRPr="004C71B9" w:rsidRDefault="0073594F" w:rsidP="00251949">
            <w:pPr>
              <w:pStyle w:val="naisf"/>
              <w:spacing w:before="0" w:after="0"/>
              <w:ind w:firstLine="0"/>
              <w:rPr>
                <w:b/>
                <w:i/>
              </w:rPr>
            </w:pPr>
          </w:p>
        </w:tc>
        <w:tc>
          <w:tcPr>
            <w:tcW w:w="1295" w:type="dxa"/>
          </w:tcPr>
          <w:p w:rsidR="0073594F" w:rsidRPr="004C71B9" w:rsidRDefault="0073594F" w:rsidP="00251949">
            <w:pPr>
              <w:pStyle w:val="naisf"/>
              <w:spacing w:before="0" w:after="0"/>
              <w:ind w:firstLine="0"/>
              <w:rPr>
                <w:b/>
                <w:i/>
              </w:rPr>
            </w:pPr>
          </w:p>
        </w:tc>
        <w:tc>
          <w:tcPr>
            <w:tcW w:w="1150" w:type="dxa"/>
          </w:tcPr>
          <w:p w:rsidR="0073594F" w:rsidRPr="004C71B9" w:rsidRDefault="0073594F" w:rsidP="00251949">
            <w:pPr>
              <w:pStyle w:val="naisf"/>
              <w:spacing w:before="0" w:after="0"/>
              <w:ind w:firstLine="0"/>
              <w:rPr>
                <w:b/>
                <w:i/>
              </w:rPr>
            </w:pPr>
          </w:p>
        </w:tc>
      </w:tr>
      <w:tr w:rsidR="0073594F" w:rsidRPr="00ED1E6E" w:rsidTr="00251949">
        <w:tc>
          <w:tcPr>
            <w:tcW w:w="2891" w:type="dxa"/>
          </w:tcPr>
          <w:p w:rsidR="0073594F" w:rsidRPr="004C71B9" w:rsidRDefault="0073594F" w:rsidP="00251949">
            <w:pPr>
              <w:jc w:val="both"/>
            </w:pPr>
            <w:r w:rsidRPr="004C71B9">
              <w:t xml:space="preserve">3.3. pašvaldību budžets </w:t>
            </w:r>
          </w:p>
        </w:tc>
        <w:tc>
          <w:tcPr>
            <w:tcW w:w="1256" w:type="dxa"/>
            <w:shd w:val="clear" w:color="auto" w:fill="auto"/>
          </w:tcPr>
          <w:p w:rsidR="0073594F" w:rsidRPr="004C71B9" w:rsidRDefault="0073594F" w:rsidP="00251949">
            <w:pPr>
              <w:pStyle w:val="naisf"/>
              <w:spacing w:before="0" w:after="0"/>
              <w:ind w:firstLine="0"/>
              <w:rPr>
                <w:i/>
              </w:rPr>
            </w:pPr>
          </w:p>
        </w:tc>
        <w:tc>
          <w:tcPr>
            <w:tcW w:w="1294" w:type="dxa"/>
          </w:tcPr>
          <w:p w:rsidR="0073594F" w:rsidRPr="004C71B9" w:rsidRDefault="0073594F" w:rsidP="00251949">
            <w:pPr>
              <w:pStyle w:val="naisf"/>
              <w:spacing w:before="0" w:after="0"/>
              <w:ind w:firstLine="0"/>
              <w:rPr>
                <w:b/>
                <w:i/>
              </w:rPr>
            </w:pPr>
          </w:p>
        </w:tc>
        <w:tc>
          <w:tcPr>
            <w:tcW w:w="1294" w:type="dxa"/>
          </w:tcPr>
          <w:p w:rsidR="0073594F" w:rsidRPr="004C71B9" w:rsidRDefault="0073594F" w:rsidP="00251949">
            <w:pPr>
              <w:pStyle w:val="naisf"/>
              <w:spacing w:before="0" w:after="0"/>
              <w:ind w:firstLine="0"/>
              <w:rPr>
                <w:b/>
                <w:i/>
              </w:rPr>
            </w:pPr>
          </w:p>
        </w:tc>
        <w:tc>
          <w:tcPr>
            <w:tcW w:w="1295" w:type="dxa"/>
          </w:tcPr>
          <w:p w:rsidR="0073594F" w:rsidRPr="004C71B9" w:rsidRDefault="0073594F" w:rsidP="00251949">
            <w:pPr>
              <w:pStyle w:val="naisf"/>
              <w:spacing w:before="0" w:after="0"/>
              <w:ind w:firstLine="0"/>
              <w:rPr>
                <w:b/>
                <w:i/>
              </w:rPr>
            </w:pPr>
          </w:p>
        </w:tc>
        <w:tc>
          <w:tcPr>
            <w:tcW w:w="1150" w:type="dxa"/>
          </w:tcPr>
          <w:p w:rsidR="0073594F" w:rsidRPr="004C71B9" w:rsidRDefault="0073594F" w:rsidP="00251949">
            <w:pPr>
              <w:pStyle w:val="naisf"/>
              <w:spacing w:before="0" w:after="0"/>
              <w:ind w:firstLine="0"/>
              <w:rPr>
                <w:b/>
                <w:i/>
              </w:rPr>
            </w:pPr>
          </w:p>
        </w:tc>
      </w:tr>
      <w:tr w:rsidR="0073594F" w:rsidRPr="00ED1E6E" w:rsidTr="00251949">
        <w:tc>
          <w:tcPr>
            <w:tcW w:w="2891" w:type="dxa"/>
            <w:vMerge w:val="restart"/>
          </w:tcPr>
          <w:p w:rsidR="0073594F" w:rsidRPr="004C71B9" w:rsidRDefault="0073594F" w:rsidP="00251949">
            <w:pPr>
              <w:jc w:val="both"/>
            </w:pPr>
            <w:r w:rsidRPr="004C71B9">
              <w:t>4. Finanšu līdzekļi papildu izde</w:t>
            </w:r>
            <w:r w:rsidRPr="004C71B9">
              <w:softHyphen/>
              <w:t>vumu finansēšanai (kompensējošu izdevumu samazinājumu norāda ar "+" zīmi)</w:t>
            </w:r>
          </w:p>
        </w:tc>
        <w:tc>
          <w:tcPr>
            <w:tcW w:w="1256" w:type="dxa"/>
            <w:vMerge w:val="restart"/>
          </w:tcPr>
          <w:p w:rsidR="0073594F" w:rsidRPr="004C71B9" w:rsidRDefault="0073594F" w:rsidP="00251949">
            <w:pPr>
              <w:pStyle w:val="naisf"/>
              <w:spacing w:before="0" w:after="0"/>
              <w:ind w:firstLine="0"/>
              <w:jc w:val="center"/>
              <w:rPr>
                <w:i/>
              </w:rPr>
            </w:pPr>
            <w:r w:rsidRPr="004C71B9">
              <w:t>X</w:t>
            </w:r>
          </w:p>
        </w:tc>
        <w:tc>
          <w:tcPr>
            <w:tcW w:w="1294" w:type="dxa"/>
          </w:tcPr>
          <w:p w:rsidR="0073594F" w:rsidRPr="0073594F" w:rsidRDefault="0073594F" w:rsidP="00014850">
            <w:pPr>
              <w:pStyle w:val="naisf"/>
              <w:spacing w:before="0" w:after="0"/>
              <w:ind w:firstLine="0"/>
              <w:jc w:val="center"/>
            </w:pPr>
            <w:r w:rsidRPr="0073594F">
              <w:t>0</w:t>
            </w:r>
          </w:p>
        </w:tc>
        <w:tc>
          <w:tcPr>
            <w:tcW w:w="1294" w:type="dxa"/>
          </w:tcPr>
          <w:p w:rsidR="0073594F" w:rsidRPr="0073594F" w:rsidRDefault="0073594F" w:rsidP="00014850">
            <w:pPr>
              <w:pStyle w:val="naisf"/>
              <w:spacing w:before="0" w:after="0"/>
              <w:ind w:firstLine="0"/>
              <w:jc w:val="center"/>
            </w:pPr>
            <w:r w:rsidRPr="0073594F">
              <w:t>0</w:t>
            </w:r>
          </w:p>
        </w:tc>
        <w:tc>
          <w:tcPr>
            <w:tcW w:w="1295" w:type="dxa"/>
          </w:tcPr>
          <w:p w:rsidR="0073594F" w:rsidRPr="0073594F" w:rsidRDefault="0073594F" w:rsidP="00014850">
            <w:pPr>
              <w:pStyle w:val="naisf"/>
              <w:spacing w:before="0" w:after="0"/>
              <w:ind w:firstLine="0"/>
              <w:jc w:val="center"/>
            </w:pPr>
            <w:r w:rsidRPr="0073594F">
              <w:t>0</w:t>
            </w:r>
          </w:p>
        </w:tc>
        <w:tc>
          <w:tcPr>
            <w:tcW w:w="1150" w:type="dxa"/>
          </w:tcPr>
          <w:p w:rsidR="0073594F" w:rsidRPr="0073594F" w:rsidRDefault="0073594F" w:rsidP="00014850">
            <w:pPr>
              <w:pStyle w:val="naisf"/>
              <w:spacing w:before="0" w:after="0"/>
              <w:ind w:firstLine="0"/>
              <w:jc w:val="center"/>
            </w:pPr>
            <w:r w:rsidRPr="0073594F">
              <w:t>0</w:t>
            </w:r>
          </w:p>
        </w:tc>
      </w:tr>
      <w:tr w:rsidR="0073594F" w:rsidRPr="00ED1E6E" w:rsidTr="00251949">
        <w:tc>
          <w:tcPr>
            <w:tcW w:w="2891" w:type="dxa"/>
            <w:vMerge/>
          </w:tcPr>
          <w:p w:rsidR="0073594F" w:rsidRPr="004C71B9" w:rsidRDefault="0073594F" w:rsidP="00251949">
            <w:pPr>
              <w:jc w:val="both"/>
            </w:pPr>
          </w:p>
        </w:tc>
        <w:tc>
          <w:tcPr>
            <w:tcW w:w="1256" w:type="dxa"/>
            <w:vMerge/>
          </w:tcPr>
          <w:p w:rsidR="0073594F" w:rsidRPr="004C71B9" w:rsidRDefault="0073594F" w:rsidP="00251949">
            <w:pPr>
              <w:pStyle w:val="naisf"/>
              <w:spacing w:before="0" w:after="0"/>
              <w:ind w:firstLine="0"/>
              <w:jc w:val="center"/>
              <w:rPr>
                <w:i/>
              </w:rPr>
            </w:pPr>
          </w:p>
        </w:tc>
        <w:tc>
          <w:tcPr>
            <w:tcW w:w="1294" w:type="dxa"/>
          </w:tcPr>
          <w:p w:rsidR="0073594F" w:rsidRPr="004C71B9" w:rsidRDefault="0073594F" w:rsidP="00251949">
            <w:pPr>
              <w:pStyle w:val="naisf"/>
              <w:spacing w:before="0" w:after="0"/>
              <w:ind w:firstLine="0"/>
              <w:jc w:val="left"/>
              <w:rPr>
                <w:b/>
                <w:i/>
              </w:rPr>
            </w:pPr>
          </w:p>
        </w:tc>
        <w:tc>
          <w:tcPr>
            <w:tcW w:w="1294" w:type="dxa"/>
          </w:tcPr>
          <w:p w:rsidR="0073594F" w:rsidRPr="004C71B9" w:rsidRDefault="0073594F" w:rsidP="00251949">
            <w:pPr>
              <w:pStyle w:val="naisf"/>
              <w:spacing w:before="0" w:after="0"/>
              <w:ind w:firstLine="0"/>
              <w:jc w:val="left"/>
              <w:rPr>
                <w:b/>
                <w:i/>
              </w:rPr>
            </w:pPr>
          </w:p>
        </w:tc>
        <w:tc>
          <w:tcPr>
            <w:tcW w:w="1295" w:type="dxa"/>
          </w:tcPr>
          <w:p w:rsidR="0073594F" w:rsidRPr="004C71B9" w:rsidRDefault="0073594F" w:rsidP="00251949">
            <w:pPr>
              <w:pStyle w:val="naisf"/>
              <w:spacing w:before="0" w:after="0"/>
              <w:ind w:firstLine="0"/>
              <w:jc w:val="left"/>
              <w:rPr>
                <w:b/>
                <w:i/>
              </w:rPr>
            </w:pPr>
          </w:p>
        </w:tc>
        <w:tc>
          <w:tcPr>
            <w:tcW w:w="1150" w:type="dxa"/>
          </w:tcPr>
          <w:p w:rsidR="0073594F" w:rsidRPr="004C71B9" w:rsidRDefault="0073594F" w:rsidP="00251949">
            <w:pPr>
              <w:pStyle w:val="naisf"/>
              <w:spacing w:before="0" w:after="0"/>
              <w:ind w:firstLine="0"/>
              <w:jc w:val="left"/>
              <w:rPr>
                <w:b/>
                <w:i/>
              </w:rPr>
            </w:pPr>
          </w:p>
        </w:tc>
      </w:tr>
      <w:tr w:rsidR="0073594F" w:rsidRPr="00ED1E6E" w:rsidTr="00251949">
        <w:tc>
          <w:tcPr>
            <w:tcW w:w="2891" w:type="dxa"/>
            <w:vMerge/>
          </w:tcPr>
          <w:p w:rsidR="0073594F" w:rsidRPr="004C71B9" w:rsidRDefault="0073594F" w:rsidP="00251949">
            <w:pPr>
              <w:jc w:val="both"/>
            </w:pPr>
          </w:p>
        </w:tc>
        <w:tc>
          <w:tcPr>
            <w:tcW w:w="1256" w:type="dxa"/>
            <w:vMerge/>
          </w:tcPr>
          <w:p w:rsidR="0073594F" w:rsidRPr="004C71B9" w:rsidRDefault="0073594F" w:rsidP="00251949">
            <w:pPr>
              <w:pStyle w:val="naisf"/>
              <w:spacing w:before="0" w:after="0"/>
              <w:ind w:firstLine="0"/>
              <w:jc w:val="center"/>
              <w:rPr>
                <w:i/>
              </w:rPr>
            </w:pPr>
          </w:p>
        </w:tc>
        <w:tc>
          <w:tcPr>
            <w:tcW w:w="1294" w:type="dxa"/>
          </w:tcPr>
          <w:p w:rsidR="0073594F" w:rsidRPr="004C71B9" w:rsidRDefault="0073594F" w:rsidP="00251949">
            <w:pPr>
              <w:pStyle w:val="naisf"/>
              <w:spacing w:before="0" w:after="0"/>
              <w:ind w:firstLine="0"/>
              <w:jc w:val="left"/>
              <w:rPr>
                <w:b/>
                <w:i/>
              </w:rPr>
            </w:pPr>
          </w:p>
        </w:tc>
        <w:tc>
          <w:tcPr>
            <w:tcW w:w="1294" w:type="dxa"/>
          </w:tcPr>
          <w:p w:rsidR="0073594F" w:rsidRPr="004C71B9" w:rsidRDefault="0073594F" w:rsidP="00251949">
            <w:pPr>
              <w:pStyle w:val="naisf"/>
              <w:spacing w:before="0" w:after="0"/>
              <w:ind w:firstLine="0"/>
              <w:jc w:val="left"/>
              <w:rPr>
                <w:b/>
                <w:i/>
              </w:rPr>
            </w:pPr>
          </w:p>
        </w:tc>
        <w:tc>
          <w:tcPr>
            <w:tcW w:w="1295" w:type="dxa"/>
          </w:tcPr>
          <w:p w:rsidR="0073594F" w:rsidRPr="004C71B9" w:rsidRDefault="0073594F" w:rsidP="00251949">
            <w:pPr>
              <w:pStyle w:val="naisf"/>
              <w:spacing w:before="0" w:after="0"/>
              <w:ind w:firstLine="0"/>
              <w:jc w:val="left"/>
              <w:rPr>
                <w:b/>
                <w:i/>
              </w:rPr>
            </w:pPr>
          </w:p>
        </w:tc>
        <w:tc>
          <w:tcPr>
            <w:tcW w:w="1150" w:type="dxa"/>
          </w:tcPr>
          <w:p w:rsidR="0073594F" w:rsidRPr="004C71B9" w:rsidRDefault="0073594F" w:rsidP="00251949">
            <w:pPr>
              <w:pStyle w:val="naisf"/>
              <w:spacing w:before="0" w:after="0"/>
              <w:ind w:firstLine="0"/>
              <w:jc w:val="left"/>
              <w:rPr>
                <w:b/>
                <w:i/>
              </w:rPr>
            </w:pPr>
          </w:p>
        </w:tc>
      </w:tr>
      <w:tr w:rsidR="0073594F" w:rsidRPr="00ED1E6E" w:rsidTr="00251949">
        <w:tc>
          <w:tcPr>
            <w:tcW w:w="2891" w:type="dxa"/>
          </w:tcPr>
          <w:p w:rsidR="0073594F" w:rsidRPr="004C71B9" w:rsidRDefault="0073594F" w:rsidP="00251949">
            <w:pPr>
              <w:jc w:val="both"/>
            </w:pPr>
            <w:r w:rsidRPr="004C71B9">
              <w:t>5. Precizēta finansiālā ietekme:</w:t>
            </w:r>
          </w:p>
        </w:tc>
        <w:tc>
          <w:tcPr>
            <w:tcW w:w="1256" w:type="dxa"/>
            <w:vMerge w:val="restart"/>
          </w:tcPr>
          <w:p w:rsidR="0073594F" w:rsidRPr="004C71B9" w:rsidRDefault="0073594F" w:rsidP="00251949">
            <w:pPr>
              <w:pStyle w:val="naisf"/>
              <w:spacing w:before="0" w:after="0"/>
              <w:ind w:firstLine="0"/>
              <w:jc w:val="center"/>
              <w:rPr>
                <w:i/>
              </w:rPr>
            </w:pPr>
            <w:r w:rsidRPr="004C71B9">
              <w:t>X</w:t>
            </w:r>
          </w:p>
        </w:tc>
        <w:tc>
          <w:tcPr>
            <w:tcW w:w="1294" w:type="dxa"/>
          </w:tcPr>
          <w:p w:rsidR="0073594F" w:rsidRPr="0073594F" w:rsidRDefault="0073594F" w:rsidP="00014850">
            <w:pPr>
              <w:pStyle w:val="naisf"/>
              <w:spacing w:before="0" w:after="0"/>
              <w:ind w:firstLine="0"/>
              <w:jc w:val="center"/>
            </w:pPr>
            <w:r w:rsidRPr="0073594F">
              <w:t>0</w:t>
            </w:r>
          </w:p>
        </w:tc>
        <w:tc>
          <w:tcPr>
            <w:tcW w:w="1294" w:type="dxa"/>
          </w:tcPr>
          <w:p w:rsidR="0073594F" w:rsidRPr="0073594F" w:rsidRDefault="0073594F" w:rsidP="00014850">
            <w:pPr>
              <w:pStyle w:val="naisf"/>
              <w:spacing w:before="0" w:after="0"/>
              <w:ind w:firstLine="0"/>
              <w:jc w:val="center"/>
            </w:pPr>
            <w:r w:rsidRPr="0073594F">
              <w:t>0</w:t>
            </w:r>
          </w:p>
        </w:tc>
        <w:tc>
          <w:tcPr>
            <w:tcW w:w="1295" w:type="dxa"/>
          </w:tcPr>
          <w:p w:rsidR="0073594F" w:rsidRPr="0073594F" w:rsidRDefault="0073594F" w:rsidP="00014850">
            <w:pPr>
              <w:pStyle w:val="naisf"/>
              <w:spacing w:before="0" w:after="0"/>
              <w:ind w:firstLine="0"/>
              <w:jc w:val="center"/>
            </w:pPr>
            <w:r w:rsidRPr="0073594F">
              <w:t>0</w:t>
            </w:r>
          </w:p>
        </w:tc>
        <w:tc>
          <w:tcPr>
            <w:tcW w:w="1150" w:type="dxa"/>
          </w:tcPr>
          <w:p w:rsidR="0073594F" w:rsidRPr="0073594F" w:rsidRDefault="0073594F" w:rsidP="00014850">
            <w:pPr>
              <w:pStyle w:val="naisf"/>
              <w:spacing w:before="0" w:after="0"/>
              <w:ind w:firstLine="0"/>
              <w:jc w:val="center"/>
            </w:pPr>
            <w:r w:rsidRPr="0073594F">
              <w:t>0</w:t>
            </w:r>
          </w:p>
        </w:tc>
      </w:tr>
      <w:tr w:rsidR="0073594F" w:rsidRPr="00ED1E6E" w:rsidTr="00251949">
        <w:tc>
          <w:tcPr>
            <w:tcW w:w="2891" w:type="dxa"/>
          </w:tcPr>
          <w:p w:rsidR="0073594F" w:rsidRPr="004C71B9" w:rsidRDefault="0073594F" w:rsidP="00251949">
            <w:pPr>
              <w:jc w:val="both"/>
            </w:pPr>
            <w:r w:rsidRPr="004C71B9">
              <w:t>5.1. valsts pamatbudžets</w:t>
            </w:r>
          </w:p>
        </w:tc>
        <w:tc>
          <w:tcPr>
            <w:tcW w:w="1256" w:type="dxa"/>
            <w:vMerge/>
            <w:vAlign w:val="center"/>
          </w:tcPr>
          <w:p w:rsidR="0073594F" w:rsidRPr="004C71B9" w:rsidRDefault="0073594F" w:rsidP="00251949">
            <w:pPr>
              <w:pStyle w:val="naisf"/>
              <w:spacing w:before="0" w:after="0"/>
              <w:ind w:firstLine="0"/>
              <w:jc w:val="center"/>
              <w:rPr>
                <w:i/>
              </w:rPr>
            </w:pPr>
          </w:p>
        </w:tc>
        <w:tc>
          <w:tcPr>
            <w:tcW w:w="1294" w:type="dxa"/>
          </w:tcPr>
          <w:p w:rsidR="0073594F" w:rsidRPr="0073594F" w:rsidRDefault="0073594F" w:rsidP="00014850">
            <w:pPr>
              <w:pStyle w:val="naisf"/>
              <w:spacing w:before="0" w:after="0"/>
              <w:ind w:firstLine="0"/>
              <w:jc w:val="center"/>
            </w:pPr>
            <w:r w:rsidRPr="0073594F">
              <w:t>0</w:t>
            </w:r>
          </w:p>
        </w:tc>
        <w:tc>
          <w:tcPr>
            <w:tcW w:w="1294" w:type="dxa"/>
          </w:tcPr>
          <w:p w:rsidR="0073594F" w:rsidRPr="0073594F" w:rsidRDefault="0073594F" w:rsidP="00014850">
            <w:pPr>
              <w:pStyle w:val="naisf"/>
              <w:spacing w:before="0" w:after="0"/>
              <w:ind w:firstLine="0"/>
              <w:jc w:val="center"/>
            </w:pPr>
            <w:r w:rsidRPr="0073594F">
              <w:t>0</w:t>
            </w:r>
          </w:p>
        </w:tc>
        <w:tc>
          <w:tcPr>
            <w:tcW w:w="1295" w:type="dxa"/>
          </w:tcPr>
          <w:p w:rsidR="0073594F" w:rsidRPr="0073594F" w:rsidRDefault="0073594F" w:rsidP="00014850">
            <w:pPr>
              <w:pStyle w:val="naisf"/>
              <w:spacing w:before="0" w:after="0"/>
              <w:ind w:firstLine="0"/>
              <w:jc w:val="center"/>
            </w:pPr>
            <w:r w:rsidRPr="0073594F">
              <w:t>0</w:t>
            </w:r>
          </w:p>
        </w:tc>
        <w:tc>
          <w:tcPr>
            <w:tcW w:w="1150" w:type="dxa"/>
          </w:tcPr>
          <w:p w:rsidR="0073594F" w:rsidRPr="0073594F" w:rsidRDefault="0073594F" w:rsidP="00014850">
            <w:pPr>
              <w:pStyle w:val="naisf"/>
              <w:spacing w:before="0" w:after="0"/>
              <w:ind w:firstLine="0"/>
              <w:jc w:val="center"/>
            </w:pPr>
            <w:r w:rsidRPr="0073594F">
              <w:t>0</w:t>
            </w:r>
          </w:p>
        </w:tc>
      </w:tr>
      <w:tr w:rsidR="0073594F" w:rsidRPr="00ED1E6E" w:rsidTr="00251949">
        <w:tc>
          <w:tcPr>
            <w:tcW w:w="2891" w:type="dxa"/>
          </w:tcPr>
          <w:p w:rsidR="0073594F" w:rsidRPr="004C71B9" w:rsidRDefault="0073594F" w:rsidP="00251949">
            <w:pPr>
              <w:jc w:val="both"/>
            </w:pPr>
            <w:r w:rsidRPr="004C71B9">
              <w:t>5.2. speciālais budžets</w:t>
            </w:r>
          </w:p>
        </w:tc>
        <w:tc>
          <w:tcPr>
            <w:tcW w:w="1256" w:type="dxa"/>
            <w:vMerge/>
            <w:vAlign w:val="center"/>
          </w:tcPr>
          <w:p w:rsidR="0073594F" w:rsidRPr="004C71B9" w:rsidRDefault="0073594F" w:rsidP="00251949">
            <w:pPr>
              <w:pStyle w:val="naisf"/>
              <w:spacing w:before="0" w:after="0"/>
              <w:ind w:firstLine="0"/>
              <w:jc w:val="center"/>
              <w:rPr>
                <w:i/>
              </w:rPr>
            </w:pPr>
          </w:p>
        </w:tc>
        <w:tc>
          <w:tcPr>
            <w:tcW w:w="1294" w:type="dxa"/>
          </w:tcPr>
          <w:p w:rsidR="0073594F" w:rsidRPr="004C71B9" w:rsidRDefault="0073594F" w:rsidP="00251949">
            <w:pPr>
              <w:pStyle w:val="naisf"/>
              <w:spacing w:before="0" w:after="0"/>
              <w:ind w:firstLine="0"/>
              <w:rPr>
                <w:b/>
                <w:i/>
              </w:rPr>
            </w:pPr>
          </w:p>
        </w:tc>
        <w:tc>
          <w:tcPr>
            <w:tcW w:w="1294" w:type="dxa"/>
          </w:tcPr>
          <w:p w:rsidR="0073594F" w:rsidRPr="004C71B9" w:rsidRDefault="0073594F" w:rsidP="00251949">
            <w:pPr>
              <w:pStyle w:val="naisf"/>
              <w:spacing w:before="0" w:after="0"/>
              <w:ind w:firstLine="0"/>
              <w:rPr>
                <w:b/>
                <w:i/>
              </w:rPr>
            </w:pPr>
          </w:p>
        </w:tc>
        <w:tc>
          <w:tcPr>
            <w:tcW w:w="1295" w:type="dxa"/>
          </w:tcPr>
          <w:p w:rsidR="0073594F" w:rsidRPr="004C71B9" w:rsidRDefault="0073594F" w:rsidP="00251949">
            <w:pPr>
              <w:pStyle w:val="naisf"/>
              <w:spacing w:before="0" w:after="0"/>
              <w:ind w:firstLine="0"/>
              <w:rPr>
                <w:b/>
                <w:i/>
              </w:rPr>
            </w:pPr>
          </w:p>
        </w:tc>
        <w:tc>
          <w:tcPr>
            <w:tcW w:w="1150" w:type="dxa"/>
          </w:tcPr>
          <w:p w:rsidR="0073594F" w:rsidRPr="004C71B9" w:rsidRDefault="0073594F" w:rsidP="00251949">
            <w:pPr>
              <w:pStyle w:val="naisf"/>
              <w:spacing w:before="0" w:after="0"/>
              <w:ind w:firstLine="0"/>
              <w:rPr>
                <w:b/>
                <w:i/>
              </w:rPr>
            </w:pPr>
          </w:p>
        </w:tc>
      </w:tr>
      <w:tr w:rsidR="0073594F" w:rsidRPr="00ED1E6E" w:rsidTr="00251949">
        <w:tc>
          <w:tcPr>
            <w:tcW w:w="2891" w:type="dxa"/>
          </w:tcPr>
          <w:p w:rsidR="0073594F" w:rsidRPr="004C71B9" w:rsidRDefault="0073594F" w:rsidP="00251949">
            <w:pPr>
              <w:jc w:val="both"/>
            </w:pPr>
            <w:r w:rsidRPr="004C71B9">
              <w:t xml:space="preserve">5.3. pašvaldību budžets </w:t>
            </w:r>
          </w:p>
        </w:tc>
        <w:tc>
          <w:tcPr>
            <w:tcW w:w="1256" w:type="dxa"/>
            <w:vMerge/>
            <w:vAlign w:val="center"/>
          </w:tcPr>
          <w:p w:rsidR="0073594F" w:rsidRPr="004C71B9" w:rsidRDefault="0073594F" w:rsidP="00251949">
            <w:pPr>
              <w:pStyle w:val="naisf"/>
              <w:spacing w:before="0" w:after="0"/>
              <w:ind w:firstLine="0"/>
              <w:jc w:val="center"/>
              <w:rPr>
                <w:i/>
              </w:rPr>
            </w:pPr>
          </w:p>
        </w:tc>
        <w:tc>
          <w:tcPr>
            <w:tcW w:w="1294" w:type="dxa"/>
          </w:tcPr>
          <w:p w:rsidR="0073594F" w:rsidRPr="004C71B9" w:rsidRDefault="0073594F" w:rsidP="00251949">
            <w:pPr>
              <w:pStyle w:val="naisf"/>
              <w:spacing w:before="0" w:after="0"/>
              <w:ind w:firstLine="0"/>
              <w:rPr>
                <w:b/>
                <w:i/>
              </w:rPr>
            </w:pPr>
          </w:p>
        </w:tc>
        <w:tc>
          <w:tcPr>
            <w:tcW w:w="1294" w:type="dxa"/>
          </w:tcPr>
          <w:p w:rsidR="0073594F" w:rsidRPr="004C71B9" w:rsidRDefault="0073594F" w:rsidP="00251949">
            <w:pPr>
              <w:pStyle w:val="naisf"/>
              <w:spacing w:before="0" w:after="0"/>
              <w:ind w:firstLine="0"/>
              <w:rPr>
                <w:b/>
                <w:i/>
              </w:rPr>
            </w:pPr>
          </w:p>
        </w:tc>
        <w:tc>
          <w:tcPr>
            <w:tcW w:w="1295" w:type="dxa"/>
          </w:tcPr>
          <w:p w:rsidR="0073594F" w:rsidRPr="004C71B9" w:rsidRDefault="0073594F" w:rsidP="00251949">
            <w:pPr>
              <w:pStyle w:val="naisf"/>
              <w:spacing w:before="0" w:after="0"/>
              <w:ind w:firstLine="0"/>
              <w:rPr>
                <w:b/>
                <w:i/>
              </w:rPr>
            </w:pPr>
          </w:p>
        </w:tc>
        <w:tc>
          <w:tcPr>
            <w:tcW w:w="1150" w:type="dxa"/>
          </w:tcPr>
          <w:p w:rsidR="0073594F" w:rsidRPr="004C71B9" w:rsidRDefault="0073594F" w:rsidP="00251949">
            <w:pPr>
              <w:pStyle w:val="naisf"/>
              <w:spacing w:before="0" w:after="0"/>
              <w:ind w:firstLine="0"/>
              <w:rPr>
                <w:b/>
                <w:i/>
              </w:rPr>
            </w:pPr>
          </w:p>
        </w:tc>
      </w:tr>
      <w:tr w:rsidR="0073594F" w:rsidRPr="00ED1E6E" w:rsidTr="00251949">
        <w:tc>
          <w:tcPr>
            <w:tcW w:w="2891" w:type="dxa"/>
          </w:tcPr>
          <w:p w:rsidR="0073594F" w:rsidRPr="004C71B9" w:rsidRDefault="0073594F" w:rsidP="00251949">
            <w:pPr>
              <w:jc w:val="both"/>
            </w:pPr>
            <w:r w:rsidRPr="004C71B9">
              <w:t>6. Detalizēts ieņēmumu un izdevu</w:t>
            </w:r>
            <w:r w:rsidRPr="004C71B9">
              <w:softHyphen/>
              <w:t>mu aprēķins (ja nepieciešams, detalizētu ieņēmumu un izdevumu aprēķinu var pievienot anotācijas pielikumā):</w:t>
            </w:r>
          </w:p>
        </w:tc>
        <w:tc>
          <w:tcPr>
            <w:tcW w:w="6289" w:type="dxa"/>
            <w:gridSpan w:val="5"/>
            <w:vMerge w:val="restart"/>
            <w:vAlign w:val="center"/>
          </w:tcPr>
          <w:p w:rsidR="0073594F" w:rsidRPr="004C71B9" w:rsidRDefault="0073594F" w:rsidP="004C71B9">
            <w:pPr>
              <w:pStyle w:val="naisf"/>
              <w:spacing w:before="0" w:after="0"/>
              <w:ind w:firstLine="0"/>
            </w:pPr>
            <w:r w:rsidRPr="004C71B9">
              <w:t>Finansējums (ieņēmumi) noteikts atbilstoši Eiropas Komisijas apstiprinātajai Eiropas Trešo valstu valstspiederīgo integrācijas fonda 200</w:t>
            </w:r>
            <w:r>
              <w:t>9</w:t>
            </w:r>
            <w:r w:rsidRPr="004C71B9">
              <w:t xml:space="preserve">. gada programmai. </w:t>
            </w:r>
          </w:p>
          <w:p w:rsidR="0073594F" w:rsidRPr="004C71B9" w:rsidRDefault="0073594F" w:rsidP="004C71B9">
            <w:pPr>
              <w:pStyle w:val="naisf"/>
              <w:spacing w:before="0" w:after="0"/>
              <w:ind w:firstLine="0"/>
            </w:pPr>
            <w:r w:rsidRPr="004C71B9">
              <w:t>Ministru kabineta noteikumu projekts paredz nosacījumus fonda projekta atlasei un apstiprināšanai Eiropas Trešo valstu valstspiederīgo integrācijas fonda 200</w:t>
            </w:r>
            <w:r>
              <w:t>9</w:t>
            </w:r>
            <w:r w:rsidRPr="004C71B9">
              <w:t>. gada programmas 1.</w:t>
            </w:r>
            <w:r>
              <w:t>7</w:t>
            </w:r>
            <w:r w:rsidRPr="004C71B9">
              <w:t xml:space="preserve">.  aktivitātes </w:t>
            </w:r>
            <w:r w:rsidRPr="0073594F">
              <w:t xml:space="preserve">„Izglītojošo un sabiedrības informēšanas kampaņu, īpaši masu medijos, realizēšana par imigrāciju un </w:t>
            </w:r>
            <w:r w:rsidRPr="0073594F">
              <w:lastRenderedPageBreak/>
              <w:t>iespējamiem sabiedrības ieguvumiem”</w:t>
            </w:r>
            <w:r>
              <w:t xml:space="preserve"> </w:t>
            </w:r>
            <w:r w:rsidRPr="004C71B9">
              <w:t>ietvaros, tādēļ faktiskie izdevumi radīsies saskaņā ar noteikumu projektu apstiprināta fonda projekta iesnieguma ietvaros</w:t>
            </w:r>
            <w:r w:rsidR="00B62E9C">
              <w:t>. K</w:t>
            </w:r>
            <w:r w:rsidR="00B62E9C" w:rsidRPr="0073594F">
              <w:t>opējais aktivitātē pieejamais finansējums ir 112</w:t>
            </w:r>
            <w:r w:rsidR="00B62E9C">
              <w:t> </w:t>
            </w:r>
            <w:r w:rsidR="00B62E9C" w:rsidRPr="0073594F">
              <w:t>448 lati, tai skaitā fonda finansējums 84</w:t>
            </w:r>
            <w:r w:rsidR="00B62E9C">
              <w:t> </w:t>
            </w:r>
            <w:r w:rsidR="00B62E9C" w:rsidRPr="0073594F">
              <w:t xml:space="preserve">336 lati un valsts budžeta </w:t>
            </w:r>
            <w:r w:rsidR="00B62E9C">
              <w:t>līdz</w:t>
            </w:r>
            <w:r w:rsidR="00B62E9C" w:rsidRPr="0073594F">
              <w:t>finansējums 28</w:t>
            </w:r>
            <w:r w:rsidR="00B62E9C">
              <w:t> </w:t>
            </w:r>
            <w:r w:rsidR="00B62E9C" w:rsidRPr="0073594F">
              <w:t>112 lati.</w:t>
            </w:r>
          </w:p>
          <w:p w:rsidR="0073594F" w:rsidRPr="004C71B9" w:rsidRDefault="0073594F" w:rsidP="004C71B9">
            <w:pPr>
              <w:pStyle w:val="naisf"/>
              <w:spacing w:before="0" w:after="0"/>
              <w:ind w:firstLine="0"/>
              <w:rPr>
                <w:bCs/>
              </w:rPr>
            </w:pPr>
            <w:r w:rsidRPr="004C71B9">
              <w:t xml:space="preserve">Finansējums jau šobrīd ir plānots </w:t>
            </w:r>
            <w:r>
              <w:t>Kultūras</w:t>
            </w:r>
            <w:r w:rsidRPr="004C71B9">
              <w:t xml:space="preserve"> ministrijas budžetā - valsts budžeta apakšprogrammā 70.0</w:t>
            </w:r>
            <w:r>
              <w:t>8</w:t>
            </w:r>
            <w:r w:rsidRPr="004C71B9">
              <w:t>.00 „</w:t>
            </w:r>
            <w:r w:rsidRPr="004C71B9">
              <w:rPr>
                <w:bCs/>
              </w:rPr>
              <w:t>Eiropas Komisijas programmas "Solidaritātes un migrācijas plūsmu pārvaldīšanas pamatprogrammas 2007.-2013.gadam" īstenošana</w:t>
            </w:r>
            <w:r w:rsidRPr="0073594F">
              <w:rPr>
                <w:bCs/>
              </w:rPr>
              <w:t>”</w:t>
            </w:r>
            <w:r w:rsidR="00B62E9C">
              <w:t>.</w:t>
            </w:r>
          </w:p>
          <w:p w:rsidR="0073594F" w:rsidRPr="004C71B9" w:rsidRDefault="0073594F" w:rsidP="004C71B9">
            <w:pPr>
              <w:pStyle w:val="naisf"/>
              <w:spacing w:before="0" w:after="0"/>
              <w:ind w:firstLine="0"/>
              <w:rPr>
                <w:b/>
                <w:i/>
              </w:rPr>
            </w:pPr>
            <w:r w:rsidRPr="004C71B9">
              <w:rPr>
                <w:bCs/>
              </w:rPr>
              <w:t>Ministru kabineta noteikumu projekts neradīs jaunus, iepriekš neplānotus izdevumus valsts budžetā.</w:t>
            </w:r>
          </w:p>
        </w:tc>
      </w:tr>
      <w:tr w:rsidR="0073594F" w:rsidRPr="00ED1E6E" w:rsidTr="00251949">
        <w:tc>
          <w:tcPr>
            <w:tcW w:w="2891" w:type="dxa"/>
          </w:tcPr>
          <w:p w:rsidR="0073594F" w:rsidRPr="004C71B9" w:rsidRDefault="0073594F" w:rsidP="00251949">
            <w:pPr>
              <w:jc w:val="both"/>
            </w:pPr>
            <w:r w:rsidRPr="004C71B9">
              <w:t>6.1. detalizēts ieņēmumu aprēķins</w:t>
            </w:r>
          </w:p>
        </w:tc>
        <w:tc>
          <w:tcPr>
            <w:tcW w:w="6289" w:type="dxa"/>
            <w:gridSpan w:val="5"/>
            <w:vMerge/>
          </w:tcPr>
          <w:p w:rsidR="0073594F" w:rsidRPr="004C71B9" w:rsidRDefault="0073594F" w:rsidP="00251949">
            <w:pPr>
              <w:pStyle w:val="naisf"/>
              <w:spacing w:before="0" w:after="0"/>
              <w:ind w:firstLine="0"/>
              <w:rPr>
                <w:b/>
                <w:i/>
              </w:rPr>
            </w:pPr>
          </w:p>
        </w:tc>
      </w:tr>
      <w:tr w:rsidR="0073594F" w:rsidRPr="00ED1E6E" w:rsidTr="00251949">
        <w:tc>
          <w:tcPr>
            <w:tcW w:w="2891" w:type="dxa"/>
          </w:tcPr>
          <w:p w:rsidR="0073594F" w:rsidRPr="004C71B9" w:rsidRDefault="0073594F" w:rsidP="00251949">
            <w:pPr>
              <w:jc w:val="both"/>
            </w:pPr>
            <w:r w:rsidRPr="004C71B9">
              <w:lastRenderedPageBreak/>
              <w:t>6.2. detalizēts izdevumu aprēķins</w:t>
            </w:r>
          </w:p>
        </w:tc>
        <w:tc>
          <w:tcPr>
            <w:tcW w:w="6289" w:type="dxa"/>
            <w:gridSpan w:val="5"/>
            <w:vMerge/>
          </w:tcPr>
          <w:p w:rsidR="0073594F" w:rsidRPr="004C71B9" w:rsidRDefault="0073594F" w:rsidP="00251949">
            <w:pPr>
              <w:pStyle w:val="naisf"/>
              <w:spacing w:before="0" w:after="0"/>
              <w:ind w:firstLine="0"/>
              <w:rPr>
                <w:b/>
                <w:i/>
              </w:rPr>
            </w:pPr>
          </w:p>
        </w:tc>
      </w:tr>
      <w:tr w:rsidR="0073594F" w:rsidRPr="00251949" w:rsidTr="00251949">
        <w:tc>
          <w:tcPr>
            <w:tcW w:w="2891" w:type="dxa"/>
          </w:tcPr>
          <w:p w:rsidR="0073594F" w:rsidRPr="004C71B9" w:rsidRDefault="0073594F" w:rsidP="00251949">
            <w:pPr>
              <w:jc w:val="both"/>
            </w:pPr>
            <w:r w:rsidRPr="004C71B9">
              <w:lastRenderedPageBreak/>
              <w:t>7. Cita informācija</w:t>
            </w:r>
          </w:p>
        </w:tc>
        <w:tc>
          <w:tcPr>
            <w:tcW w:w="6289" w:type="dxa"/>
            <w:gridSpan w:val="5"/>
          </w:tcPr>
          <w:p w:rsidR="0073594F" w:rsidRPr="004C71B9" w:rsidRDefault="0073594F" w:rsidP="00251949">
            <w:pPr>
              <w:pStyle w:val="naisf"/>
              <w:tabs>
                <w:tab w:val="left" w:pos="4644"/>
              </w:tabs>
              <w:spacing w:before="0" w:after="0"/>
              <w:ind w:firstLine="0"/>
              <w:rPr>
                <w:b/>
                <w:i/>
              </w:rPr>
            </w:pPr>
          </w:p>
        </w:tc>
      </w:tr>
    </w:tbl>
    <w:p w:rsidR="00251949" w:rsidRDefault="00251949" w:rsidP="000E6441">
      <w:pPr>
        <w:pStyle w:val="naisf"/>
        <w:spacing w:before="0" w:after="0"/>
        <w:ind w:firstLine="0"/>
        <w:rPr>
          <w:i/>
        </w:rPr>
      </w:pPr>
    </w:p>
    <w:p w:rsidR="00251949" w:rsidRPr="009F67F9" w:rsidRDefault="00251949" w:rsidP="00251949">
      <w:pPr>
        <w:pStyle w:val="naisf"/>
        <w:spacing w:before="0" w:after="0"/>
        <w:ind w:firstLine="0"/>
        <w:rPr>
          <w:i/>
        </w:rPr>
      </w:pPr>
      <w:r w:rsidRPr="009F67F9">
        <w:rPr>
          <w:i/>
        </w:rPr>
        <w:t xml:space="preserve">Anotācijas </w:t>
      </w:r>
      <w:r>
        <w:rPr>
          <w:i/>
        </w:rPr>
        <w:t>IV</w:t>
      </w:r>
      <w:r w:rsidRPr="009F67F9">
        <w:rPr>
          <w:i/>
        </w:rPr>
        <w:t xml:space="preserve"> sadaļa – nav attiecināma.</w:t>
      </w:r>
    </w:p>
    <w:p w:rsidR="0046389D" w:rsidRDefault="0046389D" w:rsidP="000E6441">
      <w:pPr>
        <w:pStyle w:val="naisf"/>
        <w:spacing w:before="0" w:after="0"/>
        <w:ind w:firstLine="0"/>
        <w:rPr>
          <w:i/>
          <w:sz w:val="28"/>
          <w:szCs w:val="28"/>
        </w:rPr>
      </w:pPr>
    </w:p>
    <w:tbl>
      <w:tblPr>
        <w:tblStyle w:val="Reatabula"/>
        <w:tblW w:w="0" w:type="auto"/>
        <w:tblInd w:w="108" w:type="dxa"/>
        <w:tblLook w:val="04A0"/>
      </w:tblPr>
      <w:tblGrid>
        <w:gridCol w:w="426"/>
        <w:gridCol w:w="2409"/>
        <w:gridCol w:w="6237"/>
      </w:tblGrid>
      <w:tr w:rsidR="009626B9" w:rsidRPr="009F67F9" w:rsidTr="000570C3">
        <w:tc>
          <w:tcPr>
            <w:tcW w:w="9072" w:type="dxa"/>
            <w:gridSpan w:val="3"/>
          </w:tcPr>
          <w:p w:rsidR="009626B9" w:rsidRPr="009F67F9" w:rsidRDefault="009626B9" w:rsidP="000E6441">
            <w:pPr>
              <w:pStyle w:val="naisf"/>
              <w:spacing w:before="0" w:after="0"/>
              <w:ind w:firstLine="0"/>
              <w:rPr>
                <w:i/>
              </w:rPr>
            </w:pPr>
            <w:r w:rsidRPr="009F67F9">
              <w:rPr>
                <w:b/>
              </w:rPr>
              <w:t>V Tiesību akta projekta atbilstība Latvijas Republikas starptautiskajām saistībām</w:t>
            </w:r>
          </w:p>
        </w:tc>
      </w:tr>
      <w:tr w:rsidR="009626B9" w:rsidRPr="009F67F9" w:rsidTr="000570C3">
        <w:tc>
          <w:tcPr>
            <w:tcW w:w="426" w:type="dxa"/>
          </w:tcPr>
          <w:p w:rsidR="009626B9" w:rsidRPr="009F67F9" w:rsidRDefault="009626B9" w:rsidP="000E6441">
            <w:pPr>
              <w:pStyle w:val="naisf"/>
              <w:spacing w:before="0" w:after="0"/>
              <w:ind w:firstLine="0"/>
            </w:pPr>
            <w:r w:rsidRPr="009F67F9">
              <w:t>1.</w:t>
            </w:r>
          </w:p>
        </w:tc>
        <w:tc>
          <w:tcPr>
            <w:tcW w:w="2409" w:type="dxa"/>
          </w:tcPr>
          <w:p w:rsidR="009626B9" w:rsidRPr="009F67F9" w:rsidRDefault="009626B9" w:rsidP="000E6441">
            <w:pPr>
              <w:pStyle w:val="naisf"/>
              <w:spacing w:before="0" w:after="0"/>
              <w:ind w:firstLine="0"/>
            </w:pPr>
            <w:r w:rsidRPr="009F67F9">
              <w:t>Saistības pret Eiropas Savienību</w:t>
            </w:r>
          </w:p>
        </w:tc>
        <w:tc>
          <w:tcPr>
            <w:tcW w:w="6237" w:type="dxa"/>
          </w:tcPr>
          <w:p w:rsidR="005B3606" w:rsidRPr="009F67F9" w:rsidRDefault="005B3606" w:rsidP="000E6441">
            <w:pPr>
              <w:pStyle w:val="naislab"/>
              <w:spacing w:before="0" w:after="0"/>
              <w:ind w:firstLine="600"/>
              <w:jc w:val="both"/>
              <w:outlineLvl w:val="0"/>
            </w:pPr>
            <w:r w:rsidRPr="009F67F9">
              <w:t xml:space="preserve">Tiesību akta projekts nepieciešams šādu Eiropas Savienības tiesību aktu īstenošanai:   </w:t>
            </w:r>
          </w:p>
          <w:p w:rsidR="00F44E1B" w:rsidRPr="009F67F9" w:rsidRDefault="00F44E1B" w:rsidP="000E6441">
            <w:pPr>
              <w:pStyle w:val="naislab"/>
              <w:spacing w:before="0" w:after="0"/>
              <w:ind w:firstLine="600"/>
              <w:jc w:val="both"/>
              <w:outlineLvl w:val="0"/>
            </w:pPr>
            <w:r w:rsidRPr="009F67F9">
              <w:t>Padomes 2007.gada 25.jūnija lēmums 2007/435/EK, ar ko laikposmam no 2007. gada līdz 2013.gadam izveido Eiropas Trešo valstu valstspiederīgo integrācijas fondu kā daļu no Vispārīgās programmas „Solidaritāte un migrācijas plūsmu pārvaldība”</w:t>
            </w:r>
          </w:p>
          <w:p w:rsidR="00F44E1B" w:rsidRPr="009F67F9" w:rsidRDefault="00F44E1B" w:rsidP="000E6441">
            <w:pPr>
              <w:jc w:val="both"/>
            </w:pPr>
          </w:p>
          <w:p w:rsidR="009626B9" w:rsidRPr="009F67F9" w:rsidRDefault="005B3606" w:rsidP="000E6441">
            <w:pPr>
              <w:pStyle w:val="naislab"/>
              <w:spacing w:before="0" w:after="0"/>
              <w:ind w:firstLine="600"/>
              <w:jc w:val="both"/>
              <w:outlineLvl w:val="0"/>
              <w:rPr>
                <w:i/>
              </w:rPr>
            </w:pPr>
            <w:r w:rsidRPr="009F67F9">
              <w:t>Eiropas Komisijas 2008. gada 5. marta lēmums Nr. 2008/457/EK, kas nosaka kārtību, kādā īstenojams Padomes lēmums 2007/435/EK, ar ko laikposmam no 2007. gada līdz 2013.gadam izveido Eiropas Trešo valstu valstspiederīgo integrācijas fondu kā daļu no Vispārīgās programmas „Solidaritāte un migrācijas plūsmu pārvaldība”, attiecībā uz dalībvalstu pārvaldības un kontroles sistēmām, administratīvās un finanšu pārvaldības noteikumiem un Fonda līdzfinansēto projektu izdevumu atbilstību (turpmāk – Komisijas lēmums Nr. 2008/457/EK).</w:t>
            </w:r>
          </w:p>
        </w:tc>
      </w:tr>
      <w:tr w:rsidR="009626B9" w:rsidRPr="009F67F9" w:rsidTr="000570C3">
        <w:tc>
          <w:tcPr>
            <w:tcW w:w="426" w:type="dxa"/>
          </w:tcPr>
          <w:p w:rsidR="009626B9" w:rsidRPr="009F67F9" w:rsidRDefault="009626B9" w:rsidP="000E6441">
            <w:pPr>
              <w:pStyle w:val="naisf"/>
              <w:spacing w:before="0" w:after="0"/>
              <w:ind w:firstLine="0"/>
            </w:pPr>
            <w:r w:rsidRPr="009F67F9">
              <w:t>2.</w:t>
            </w:r>
          </w:p>
        </w:tc>
        <w:tc>
          <w:tcPr>
            <w:tcW w:w="2409" w:type="dxa"/>
          </w:tcPr>
          <w:p w:rsidR="009626B9" w:rsidRPr="009F67F9" w:rsidRDefault="009626B9" w:rsidP="000E6441">
            <w:pPr>
              <w:pStyle w:val="naisf"/>
              <w:spacing w:before="0" w:after="0"/>
              <w:ind w:firstLine="0"/>
            </w:pPr>
            <w:r w:rsidRPr="009F67F9">
              <w:t>Citas starptautiskās saistības</w:t>
            </w:r>
          </w:p>
        </w:tc>
        <w:tc>
          <w:tcPr>
            <w:tcW w:w="6237" w:type="dxa"/>
          </w:tcPr>
          <w:p w:rsidR="009626B9" w:rsidRPr="009F67F9" w:rsidRDefault="005B3606" w:rsidP="000E6441">
            <w:pPr>
              <w:pStyle w:val="naisf"/>
              <w:spacing w:before="0" w:after="0"/>
              <w:ind w:firstLine="0"/>
            </w:pPr>
            <w:r w:rsidRPr="009F67F9">
              <w:t>Nav attiecināms</w:t>
            </w:r>
            <w:r w:rsidR="003C662F" w:rsidRPr="009F67F9">
              <w:t>.</w:t>
            </w:r>
          </w:p>
        </w:tc>
      </w:tr>
      <w:tr w:rsidR="009626B9" w:rsidRPr="009F67F9" w:rsidTr="000570C3">
        <w:tc>
          <w:tcPr>
            <w:tcW w:w="426" w:type="dxa"/>
          </w:tcPr>
          <w:p w:rsidR="009626B9" w:rsidRPr="009F67F9" w:rsidRDefault="009626B9" w:rsidP="000E6441">
            <w:pPr>
              <w:pStyle w:val="naisf"/>
              <w:spacing w:before="0" w:after="0"/>
              <w:ind w:firstLine="0"/>
            </w:pPr>
            <w:r w:rsidRPr="009F67F9">
              <w:t>3.</w:t>
            </w:r>
          </w:p>
        </w:tc>
        <w:tc>
          <w:tcPr>
            <w:tcW w:w="2409" w:type="dxa"/>
          </w:tcPr>
          <w:p w:rsidR="009626B9" w:rsidRPr="009F67F9" w:rsidRDefault="009626B9" w:rsidP="000E6441">
            <w:pPr>
              <w:pStyle w:val="naisf"/>
              <w:spacing w:before="0" w:after="0"/>
              <w:ind w:firstLine="0"/>
            </w:pPr>
            <w:r w:rsidRPr="009F67F9">
              <w:t>Cita informācija</w:t>
            </w:r>
          </w:p>
        </w:tc>
        <w:tc>
          <w:tcPr>
            <w:tcW w:w="6237" w:type="dxa"/>
          </w:tcPr>
          <w:p w:rsidR="009626B9" w:rsidRPr="009F67F9" w:rsidRDefault="00286EC4" w:rsidP="000E6441">
            <w:pPr>
              <w:pStyle w:val="naisf"/>
              <w:spacing w:before="0" w:after="0"/>
              <w:ind w:firstLine="601"/>
            </w:pPr>
            <w:r w:rsidRPr="009F67F9">
              <w:t>Ar noteikumu projektu tiek pārņemtas vai īstenotas tikai tās normas, kas attiecas uz privātpersonām. Lēmuma Nr.2008/457/EK normas, kas attiecas uz fonda vadībā iesaistītajām valsts iestādēm, ir piemērojamas tieši un tās nav nepieciešams pārņemt.</w:t>
            </w:r>
          </w:p>
        </w:tc>
      </w:tr>
    </w:tbl>
    <w:p w:rsidR="009626B9" w:rsidRPr="000E6441" w:rsidRDefault="009626B9" w:rsidP="000E6441">
      <w:pPr>
        <w:pStyle w:val="naisf"/>
        <w:spacing w:before="0" w:after="0"/>
        <w:ind w:firstLine="0"/>
        <w:rPr>
          <w:i/>
          <w:sz w:val="28"/>
          <w:szCs w:val="28"/>
        </w:rPr>
      </w:pPr>
    </w:p>
    <w:tbl>
      <w:tblPr>
        <w:tblStyle w:val="Reatabula"/>
        <w:tblW w:w="0" w:type="auto"/>
        <w:tblInd w:w="108" w:type="dxa"/>
        <w:tblLook w:val="04A0"/>
      </w:tblPr>
      <w:tblGrid>
        <w:gridCol w:w="2213"/>
        <w:gridCol w:w="2322"/>
        <w:gridCol w:w="2322"/>
        <w:gridCol w:w="2215"/>
      </w:tblGrid>
      <w:tr w:rsidR="0095730F" w:rsidRPr="009F67F9" w:rsidTr="0046389D">
        <w:tc>
          <w:tcPr>
            <w:tcW w:w="9072" w:type="dxa"/>
            <w:gridSpan w:val="4"/>
          </w:tcPr>
          <w:p w:rsidR="0046389D" w:rsidRPr="009F67F9" w:rsidRDefault="0095730F" w:rsidP="000E6441">
            <w:pPr>
              <w:pStyle w:val="naisf"/>
              <w:numPr>
                <w:ilvl w:val="0"/>
                <w:numId w:val="6"/>
              </w:numPr>
              <w:spacing w:before="0" w:after="0"/>
              <w:jc w:val="center"/>
              <w:rPr>
                <w:b/>
              </w:rPr>
            </w:pPr>
            <w:r w:rsidRPr="009F67F9">
              <w:rPr>
                <w:b/>
              </w:rPr>
              <w:t xml:space="preserve">tabula </w:t>
            </w:r>
          </w:p>
          <w:p w:rsidR="0095730F" w:rsidRPr="009F67F9" w:rsidRDefault="0046389D" w:rsidP="0046389D">
            <w:pPr>
              <w:pStyle w:val="naisf"/>
              <w:spacing w:before="0" w:after="0"/>
              <w:ind w:left="720" w:firstLine="0"/>
              <w:jc w:val="center"/>
              <w:rPr>
                <w:b/>
              </w:rPr>
            </w:pPr>
            <w:r w:rsidRPr="009F67F9">
              <w:rPr>
                <w:b/>
              </w:rPr>
              <w:t>Tiesību akta projekta atbilstība ES tiesību aktiem</w:t>
            </w:r>
          </w:p>
        </w:tc>
      </w:tr>
      <w:tr w:rsidR="0095730F" w:rsidRPr="009F67F9" w:rsidTr="0046389D">
        <w:tc>
          <w:tcPr>
            <w:tcW w:w="2213" w:type="dxa"/>
          </w:tcPr>
          <w:p w:rsidR="0095730F" w:rsidRPr="009F67F9" w:rsidRDefault="00BB026F" w:rsidP="000E6441">
            <w:pPr>
              <w:pStyle w:val="naisf"/>
              <w:spacing w:before="0" w:after="0"/>
              <w:ind w:firstLine="0"/>
              <w:jc w:val="center"/>
            </w:pPr>
            <w:r w:rsidRPr="009F67F9">
              <w:t>A</w:t>
            </w:r>
          </w:p>
        </w:tc>
        <w:tc>
          <w:tcPr>
            <w:tcW w:w="2322" w:type="dxa"/>
          </w:tcPr>
          <w:p w:rsidR="0095730F" w:rsidRPr="009F67F9" w:rsidRDefault="00BB026F" w:rsidP="000E6441">
            <w:pPr>
              <w:pStyle w:val="naisf"/>
              <w:spacing w:before="0" w:after="0"/>
              <w:ind w:firstLine="0"/>
              <w:jc w:val="center"/>
            </w:pPr>
            <w:r w:rsidRPr="009F67F9">
              <w:t>B</w:t>
            </w:r>
          </w:p>
        </w:tc>
        <w:tc>
          <w:tcPr>
            <w:tcW w:w="2322" w:type="dxa"/>
          </w:tcPr>
          <w:p w:rsidR="0095730F" w:rsidRPr="009F67F9" w:rsidRDefault="00BB026F" w:rsidP="000E6441">
            <w:pPr>
              <w:pStyle w:val="naisf"/>
              <w:spacing w:before="0" w:after="0"/>
              <w:ind w:firstLine="0"/>
              <w:jc w:val="center"/>
            </w:pPr>
            <w:r w:rsidRPr="009F67F9">
              <w:t>C</w:t>
            </w:r>
          </w:p>
        </w:tc>
        <w:tc>
          <w:tcPr>
            <w:tcW w:w="2215" w:type="dxa"/>
          </w:tcPr>
          <w:p w:rsidR="0095730F" w:rsidRPr="009F67F9" w:rsidRDefault="00BB026F" w:rsidP="000E6441">
            <w:pPr>
              <w:pStyle w:val="naisf"/>
              <w:spacing w:before="0" w:after="0"/>
              <w:ind w:firstLine="0"/>
              <w:jc w:val="center"/>
            </w:pPr>
            <w:r w:rsidRPr="009F67F9">
              <w:t>D</w:t>
            </w:r>
          </w:p>
        </w:tc>
      </w:tr>
      <w:tr w:rsidR="0095730F" w:rsidRPr="009F67F9" w:rsidTr="0046389D">
        <w:tc>
          <w:tcPr>
            <w:tcW w:w="2213" w:type="dxa"/>
          </w:tcPr>
          <w:p w:rsidR="0095730F" w:rsidRPr="009F67F9" w:rsidRDefault="00BB026F" w:rsidP="000E6441">
            <w:pPr>
              <w:pStyle w:val="naisf"/>
              <w:spacing w:before="0" w:after="0"/>
              <w:ind w:firstLine="0"/>
            </w:pPr>
            <w:r w:rsidRPr="009F67F9">
              <w:rPr>
                <w:spacing w:val="-3"/>
              </w:rPr>
              <w:t xml:space="preserve">Attiecīgā ES tiesību akta panta Nr. (uzskaitot katru </w:t>
            </w:r>
            <w:r w:rsidRPr="009F67F9">
              <w:rPr>
                <w:spacing w:val="-3"/>
              </w:rPr>
              <w:lastRenderedPageBreak/>
              <w:t>tiesību akta vienību – pantu, daļu, punktu, apakšpunktu)</w:t>
            </w:r>
          </w:p>
        </w:tc>
        <w:tc>
          <w:tcPr>
            <w:tcW w:w="2322" w:type="dxa"/>
          </w:tcPr>
          <w:p w:rsidR="0095730F" w:rsidRPr="009F67F9" w:rsidRDefault="0046389D" w:rsidP="000E6441">
            <w:pPr>
              <w:pStyle w:val="naisf"/>
              <w:spacing w:before="0" w:after="0"/>
              <w:ind w:firstLine="0"/>
            </w:pPr>
            <w:r w:rsidRPr="009F67F9">
              <w:rPr>
                <w:spacing w:val="-3"/>
              </w:rPr>
              <w:lastRenderedPageBreak/>
              <w:t xml:space="preserve">Projekta vienība, kas pārņem vai ievieš katru šīs tabulas A </w:t>
            </w:r>
            <w:r w:rsidRPr="009F67F9">
              <w:rPr>
                <w:spacing w:val="-3"/>
              </w:rPr>
              <w:lastRenderedPageBreak/>
              <w:t xml:space="preserve">ailē minēto ES tiesību akta vienību, vai tiesību </w:t>
            </w:r>
            <w:smartTag w:uri="urn:schemas-microsoft-com:office:smarttags" w:element="place">
              <w:smartTagPr>
                <w:attr w:name="id" w:val="-1"/>
                <w:attr w:name="baseform" w:val="akts"/>
                <w:attr w:name="text" w:val="akts"/>
              </w:smartTagPr>
              <w:r w:rsidRPr="009F67F9">
                <w:rPr>
                  <w:spacing w:val="-3"/>
                </w:rPr>
                <w:t>akts</w:t>
              </w:r>
            </w:smartTag>
            <w:r w:rsidRPr="009F67F9">
              <w:rPr>
                <w:spacing w:val="-3"/>
              </w:rPr>
              <w:t>, kur attiecīgā ES tiesību akta vienība pārņemta vai ieviesta</w:t>
            </w:r>
          </w:p>
        </w:tc>
        <w:tc>
          <w:tcPr>
            <w:tcW w:w="2322" w:type="dxa"/>
          </w:tcPr>
          <w:p w:rsidR="0046389D" w:rsidRPr="009F67F9" w:rsidRDefault="0046389D" w:rsidP="0046389D">
            <w:pPr>
              <w:spacing w:after="120"/>
              <w:ind w:left="57"/>
              <w:rPr>
                <w:spacing w:val="-3"/>
              </w:rPr>
            </w:pPr>
            <w:r w:rsidRPr="009F67F9">
              <w:rPr>
                <w:spacing w:val="-3"/>
              </w:rPr>
              <w:lastRenderedPageBreak/>
              <w:t xml:space="preserve">Informācija par to, vai šīs tabulas A ailē minētās ES tiesību </w:t>
            </w:r>
            <w:r w:rsidRPr="009F67F9">
              <w:rPr>
                <w:spacing w:val="-3"/>
              </w:rPr>
              <w:lastRenderedPageBreak/>
              <w:t>akta vienības tiek pārņemtas vai ieviestas pilnībā vai daļēji.</w:t>
            </w:r>
          </w:p>
          <w:p w:rsidR="0046389D" w:rsidRPr="009F67F9" w:rsidRDefault="0046389D" w:rsidP="0046389D">
            <w:pPr>
              <w:spacing w:after="120"/>
              <w:ind w:left="57"/>
              <w:rPr>
                <w:spacing w:val="-3"/>
              </w:rPr>
            </w:pPr>
            <w:r w:rsidRPr="009F67F9">
              <w:rPr>
                <w:spacing w:val="-3"/>
              </w:rPr>
              <w:t>Ja attiecīgā ES tiesību akta vienība tiek pārņemta vai ieviesta daļēji, sniedz attiecīgu skaidrojumu, kā arī precīzi norāda, kad un kādā veidā ES tiesību akta vienība tiks pārņemta vai ieviesta pilnībā.</w:t>
            </w:r>
          </w:p>
          <w:p w:rsidR="0095730F" w:rsidRPr="009F67F9" w:rsidRDefault="0046389D" w:rsidP="0046389D">
            <w:pPr>
              <w:pStyle w:val="naisf"/>
              <w:spacing w:before="0" w:after="0"/>
              <w:ind w:firstLine="0"/>
            </w:pPr>
            <w:r w:rsidRPr="009F67F9">
              <w:rPr>
                <w:spacing w:val="-3"/>
              </w:rPr>
              <w:t>Norāda institūciju, kas ir atbildīga par šo saistību izpildi pilnībā</w:t>
            </w:r>
          </w:p>
        </w:tc>
        <w:tc>
          <w:tcPr>
            <w:tcW w:w="2215" w:type="dxa"/>
          </w:tcPr>
          <w:p w:rsidR="0046389D" w:rsidRPr="009F67F9" w:rsidRDefault="0046389D" w:rsidP="0046389D">
            <w:pPr>
              <w:spacing w:after="120"/>
              <w:ind w:left="57"/>
            </w:pPr>
            <w:r w:rsidRPr="009F67F9">
              <w:rPr>
                <w:spacing w:val="-3"/>
              </w:rPr>
              <w:lastRenderedPageBreak/>
              <w:t xml:space="preserve">Informācija par to, vai šīs </w:t>
            </w:r>
            <w:r w:rsidRPr="009F67F9">
              <w:t xml:space="preserve">tabulas B ailē minētās </w:t>
            </w:r>
            <w:r w:rsidRPr="009F67F9">
              <w:lastRenderedPageBreak/>
              <w:t>projekta vienības paredz stingrākas prasības nekā šīs tabulas A ailē minētās ES tiesību akta vienības.</w:t>
            </w:r>
          </w:p>
          <w:p w:rsidR="0046389D" w:rsidRPr="009F67F9" w:rsidRDefault="0046389D" w:rsidP="0046389D">
            <w:pPr>
              <w:spacing w:after="120"/>
              <w:ind w:left="57"/>
            </w:pPr>
            <w:r w:rsidRPr="009F67F9">
              <w:t>Ja projekts satur stingrākas prasības nekā attiecīgais ES tiesību akts, norāda pamatojumu un samērīgumu.</w:t>
            </w:r>
          </w:p>
          <w:p w:rsidR="0095730F" w:rsidRPr="009F67F9" w:rsidRDefault="0046389D" w:rsidP="0046389D">
            <w:pPr>
              <w:pStyle w:val="naisf"/>
              <w:spacing w:before="0" w:after="0"/>
              <w:ind w:firstLine="0"/>
            </w:pPr>
            <w:r w:rsidRPr="009F67F9">
              <w:t>Norāda iespējamās alternatīvas (t.sk. alternatīvas, kas neparedz tiesiskā regulējuma izstrādi) – kādos gadījumos būtu iespējams izvairīties no stingrāku prasību</w:t>
            </w:r>
            <w:r w:rsidRPr="009F67F9">
              <w:rPr>
                <w:spacing w:val="-3"/>
              </w:rPr>
              <w:t xml:space="preserve"> noteikšanas, nekā paredzēts attiecīgajos ES tiesību aktos</w:t>
            </w:r>
          </w:p>
        </w:tc>
      </w:tr>
      <w:tr w:rsidR="00C012E5" w:rsidRPr="009F67F9" w:rsidTr="0046389D">
        <w:tc>
          <w:tcPr>
            <w:tcW w:w="2213" w:type="dxa"/>
          </w:tcPr>
          <w:p w:rsidR="00F313B1" w:rsidRPr="009F67F9" w:rsidRDefault="007820DA" w:rsidP="000E6441">
            <w:r w:rsidRPr="009F67F9">
              <w:lastRenderedPageBreak/>
              <w:t>Padomes 2007.gada 25.jūnija lēmums Nr. 2007/435/EK 4. panta (j) apakšpunkts</w:t>
            </w:r>
          </w:p>
        </w:tc>
        <w:tc>
          <w:tcPr>
            <w:tcW w:w="2322" w:type="dxa"/>
          </w:tcPr>
          <w:p w:rsidR="00C012E5" w:rsidRPr="009F67F9" w:rsidRDefault="00C012E5" w:rsidP="000E6441">
            <w:r w:rsidRPr="009F67F9">
              <w:t xml:space="preserve">Noteikumu projekta </w:t>
            </w:r>
            <w:r w:rsidR="007820DA" w:rsidRPr="009F67F9">
              <w:t>2</w:t>
            </w:r>
            <w:r w:rsidR="00F313B1" w:rsidRPr="009F67F9">
              <w:t>.punkts</w:t>
            </w:r>
          </w:p>
        </w:tc>
        <w:tc>
          <w:tcPr>
            <w:tcW w:w="2322" w:type="dxa"/>
          </w:tcPr>
          <w:p w:rsidR="00C012E5" w:rsidRPr="009F67F9" w:rsidRDefault="00C012E5" w:rsidP="000E6441">
            <w:pPr>
              <w:pStyle w:val="naisf"/>
              <w:spacing w:before="0" w:after="0"/>
              <w:ind w:firstLine="0"/>
            </w:pPr>
            <w:r w:rsidRPr="009F67F9">
              <w:t>Pilnībā</w:t>
            </w:r>
          </w:p>
        </w:tc>
        <w:tc>
          <w:tcPr>
            <w:tcW w:w="2215" w:type="dxa"/>
          </w:tcPr>
          <w:p w:rsidR="00C012E5" w:rsidRPr="009F67F9" w:rsidRDefault="00C012E5" w:rsidP="000E6441">
            <w:pPr>
              <w:pStyle w:val="naisf"/>
              <w:spacing w:before="0" w:after="0"/>
              <w:ind w:firstLine="0"/>
            </w:pPr>
            <w:r w:rsidRPr="009F67F9">
              <w:t>Nav attiecināms</w:t>
            </w:r>
          </w:p>
        </w:tc>
      </w:tr>
      <w:tr w:rsidR="00C012E5" w:rsidRPr="009F67F9" w:rsidTr="0046389D">
        <w:tc>
          <w:tcPr>
            <w:tcW w:w="2213" w:type="dxa"/>
          </w:tcPr>
          <w:p w:rsidR="00C012E5" w:rsidRPr="009F67F9" w:rsidRDefault="00C012E5" w:rsidP="000E6441">
            <w:r w:rsidRPr="009F67F9">
              <w:t xml:space="preserve">Komisijas lēmuma Nr. 2008/457/EK </w:t>
            </w:r>
            <w:r w:rsidR="007820DA" w:rsidRPr="009F67F9">
              <w:t>11</w:t>
            </w:r>
            <w:r w:rsidRPr="009F67F9">
              <w:t>. pants</w:t>
            </w:r>
          </w:p>
        </w:tc>
        <w:tc>
          <w:tcPr>
            <w:tcW w:w="2322" w:type="dxa"/>
          </w:tcPr>
          <w:p w:rsidR="00C012E5" w:rsidRPr="009F67F9" w:rsidRDefault="00C012E5" w:rsidP="000E6441">
            <w:r w:rsidRPr="009F67F9">
              <w:t xml:space="preserve">Noteikumu projekta </w:t>
            </w:r>
            <w:r w:rsidR="007820DA" w:rsidRPr="009F67F9">
              <w:t>21</w:t>
            </w:r>
            <w:r w:rsidR="00FB01E5" w:rsidRPr="009F67F9">
              <w:t>.punkts</w:t>
            </w:r>
          </w:p>
        </w:tc>
        <w:tc>
          <w:tcPr>
            <w:tcW w:w="2322" w:type="dxa"/>
          </w:tcPr>
          <w:p w:rsidR="00C012E5" w:rsidRPr="009F67F9" w:rsidRDefault="00C012E5" w:rsidP="000E6441">
            <w:pPr>
              <w:pStyle w:val="naisf"/>
              <w:spacing w:before="0" w:after="0"/>
              <w:ind w:firstLine="0"/>
            </w:pPr>
            <w:r w:rsidRPr="009F67F9">
              <w:t>Pilnībā</w:t>
            </w:r>
          </w:p>
        </w:tc>
        <w:tc>
          <w:tcPr>
            <w:tcW w:w="2215" w:type="dxa"/>
          </w:tcPr>
          <w:p w:rsidR="00C012E5" w:rsidRPr="009F67F9" w:rsidRDefault="00C012E5" w:rsidP="000E6441">
            <w:pPr>
              <w:pStyle w:val="naisf"/>
              <w:spacing w:before="0" w:after="0"/>
              <w:ind w:firstLine="0"/>
            </w:pPr>
            <w:r w:rsidRPr="009F67F9">
              <w:t>Nav attiecināms</w:t>
            </w:r>
          </w:p>
        </w:tc>
      </w:tr>
      <w:tr w:rsidR="00C012E5" w:rsidRPr="009F67F9" w:rsidTr="0046389D">
        <w:tc>
          <w:tcPr>
            <w:tcW w:w="2213" w:type="dxa"/>
          </w:tcPr>
          <w:p w:rsidR="00C012E5" w:rsidRPr="009F67F9" w:rsidRDefault="00C012E5" w:rsidP="000E6441">
            <w:r w:rsidRPr="009F67F9">
              <w:t>Komisijas lēmuma Nr. 2008/457/EK XI pielikums</w:t>
            </w:r>
          </w:p>
        </w:tc>
        <w:tc>
          <w:tcPr>
            <w:tcW w:w="2322" w:type="dxa"/>
          </w:tcPr>
          <w:p w:rsidR="00C012E5" w:rsidRPr="009F67F9" w:rsidRDefault="00C012E5" w:rsidP="000E6441">
            <w:r w:rsidRPr="009F67F9">
              <w:t xml:space="preserve">Noteikumu projekta </w:t>
            </w:r>
            <w:r w:rsidR="009E00D9" w:rsidRPr="009F67F9">
              <w:t>5.,</w:t>
            </w:r>
            <w:r w:rsidR="0084753C" w:rsidRPr="009F67F9">
              <w:t>16., 17., 18., 19., 20</w:t>
            </w:r>
            <w:r w:rsidR="009E00D9" w:rsidRPr="009F67F9">
              <w:t>., 22</w:t>
            </w:r>
            <w:r w:rsidR="00FB01E5" w:rsidRPr="009F67F9">
              <w:t xml:space="preserve">., 27., </w:t>
            </w:r>
            <w:r w:rsidR="009E00D9" w:rsidRPr="009F67F9">
              <w:t>50., 51</w:t>
            </w:r>
            <w:r w:rsidR="00FB01E5" w:rsidRPr="009F67F9">
              <w:t xml:space="preserve">., </w:t>
            </w:r>
            <w:r w:rsidR="009E00D9" w:rsidRPr="009F67F9">
              <w:t>31. punkts,</w:t>
            </w:r>
            <w:r w:rsidR="00767C25" w:rsidRPr="009F67F9">
              <w:t xml:space="preserve"> </w:t>
            </w:r>
            <w:r w:rsidR="00096D67" w:rsidRPr="009F67F9">
              <w:t>2., 3., 4.</w:t>
            </w:r>
            <w:r w:rsidRPr="009F67F9">
              <w:t> pielikums</w:t>
            </w:r>
          </w:p>
        </w:tc>
        <w:tc>
          <w:tcPr>
            <w:tcW w:w="2322" w:type="dxa"/>
          </w:tcPr>
          <w:p w:rsidR="00C012E5" w:rsidRPr="009F67F9" w:rsidRDefault="00C012E5" w:rsidP="000E6441">
            <w:pPr>
              <w:pStyle w:val="naisf"/>
              <w:spacing w:before="0" w:after="0"/>
              <w:ind w:firstLine="0"/>
            </w:pPr>
            <w:r w:rsidRPr="009F67F9">
              <w:t>Pilnībā</w:t>
            </w:r>
            <w:r w:rsidR="00C73852" w:rsidRPr="009F67F9">
              <w:t>, ņemot vērā arī Eiropas Komisijas sagatavoto rokasgrāmatu par izdevumu atzīšanu, kas sīkāk skaidro atsevišķas prasības</w:t>
            </w:r>
          </w:p>
        </w:tc>
        <w:tc>
          <w:tcPr>
            <w:tcW w:w="2215" w:type="dxa"/>
          </w:tcPr>
          <w:p w:rsidR="00C012E5" w:rsidRPr="009F67F9" w:rsidRDefault="00C012E5" w:rsidP="000E6441">
            <w:pPr>
              <w:pStyle w:val="naisf"/>
              <w:spacing w:before="0" w:after="0"/>
              <w:ind w:firstLine="0"/>
            </w:pPr>
            <w:r w:rsidRPr="009F67F9">
              <w:t>Nav attiecināms</w:t>
            </w:r>
          </w:p>
        </w:tc>
      </w:tr>
    </w:tbl>
    <w:p w:rsidR="009626B9" w:rsidRDefault="009626B9" w:rsidP="000E6441">
      <w:pPr>
        <w:pStyle w:val="naisf"/>
        <w:spacing w:before="0" w:after="0"/>
        <w:ind w:firstLine="0"/>
        <w:rPr>
          <w:sz w:val="28"/>
          <w:szCs w:val="28"/>
        </w:rPr>
      </w:pPr>
    </w:p>
    <w:tbl>
      <w:tblPr>
        <w:tblW w:w="9072"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045"/>
        <w:gridCol w:w="3102"/>
        <w:gridCol w:w="3925"/>
      </w:tblGrid>
      <w:tr w:rsidR="0046389D" w:rsidRPr="009F67F9" w:rsidTr="009F67F9">
        <w:trPr>
          <w:trHeight w:val="20"/>
        </w:trPr>
        <w:tc>
          <w:tcPr>
            <w:tcW w:w="9072" w:type="dxa"/>
            <w:gridSpan w:val="3"/>
            <w:tcBorders>
              <w:top w:val="outset" w:sz="6" w:space="0" w:color="auto"/>
              <w:left w:val="outset" w:sz="6" w:space="0" w:color="auto"/>
              <w:bottom w:val="outset" w:sz="6" w:space="0" w:color="auto"/>
              <w:right w:val="outset" w:sz="6" w:space="0" w:color="auto"/>
            </w:tcBorders>
            <w:vAlign w:val="center"/>
          </w:tcPr>
          <w:p w:rsidR="0046389D" w:rsidRPr="009F67F9" w:rsidRDefault="0046389D" w:rsidP="0046389D">
            <w:pPr>
              <w:ind w:left="57"/>
              <w:jc w:val="center"/>
              <w:rPr>
                <w:b/>
              </w:rPr>
            </w:pPr>
            <w:r w:rsidRPr="009F67F9">
              <w:rPr>
                <w:b/>
              </w:rPr>
              <w:t>2. tabula</w:t>
            </w:r>
          </w:p>
          <w:p w:rsidR="0046389D" w:rsidRPr="009F67F9" w:rsidRDefault="0046389D" w:rsidP="0046389D">
            <w:pPr>
              <w:ind w:left="57"/>
              <w:jc w:val="center"/>
              <w:rPr>
                <w:b/>
              </w:rPr>
            </w:pPr>
            <w:r w:rsidRPr="009F67F9">
              <w:rPr>
                <w:b/>
              </w:rPr>
              <w:t>Ar tiesību akta projektu izpildītās vai uzņemtās saistības, kas izriet no starptautiskajiem tiesību aktiem vai starptautiskas institūcijas vai organizācijas dokumentiem.</w:t>
            </w:r>
          </w:p>
          <w:p w:rsidR="0046389D" w:rsidRPr="009F67F9" w:rsidRDefault="0046389D" w:rsidP="0046389D">
            <w:pPr>
              <w:ind w:left="57"/>
              <w:jc w:val="center"/>
              <w:rPr>
                <w:b/>
              </w:rPr>
            </w:pPr>
            <w:r w:rsidRPr="009F67F9">
              <w:rPr>
                <w:b/>
              </w:rPr>
              <w:t>Pasākumi šo saistību izpildei</w:t>
            </w:r>
          </w:p>
        </w:tc>
      </w:tr>
      <w:tr w:rsidR="0046389D" w:rsidRPr="009F67F9" w:rsidTr="009F67F9">
        <w:trPr>
          <w:trHeight w:val="20"/>
        </w:trPr>
        <w:tc>
          <w:tcPr>
            <w:tcW w:w="2045" w:type="dxa"/>
            <w:tcBorders>
              <w:top w:val="outset" w:sz="6" w:space="0" w:color="auto"/>
              <w:left w:val="outset" w:sz="6" w:space="0" w:color="auto"/>
              <w:bottom w:val="outset" w:sz="6" w:space="0" w:color="auto"/>
              <w:right w:val="outset" w:sz="6" w:space="0" w:color="auto"/>
            </w:tcBorders>
            <w:vAlign w:val="center"/>
          </w:tcPr>
          <w:p w:rsidR="0046389D" w:rsidRPr="009F67F9" w:rsidRDefault="0046389D" w:rsidP="0046389D">
            <w:pPr>
              <w:ind w:left="57"/>
            </w:pPr>
            <w:r w:rsidRPr="009F67F9">
              <w:t xml:space="preserve">Attiecīgā starptautiskā tiesību akta vai </w:t>
            </w:r>
            <w:r w:rsidRPr="009F67F9">
              <w:lastRenderedPageBreak/>
              <w:t>starptautiskas institūcijas vai organizācijas dokumenta (turpmāk – starptautiskais dokuments) datums, numurs un nosaukums</w:t>
            </w:r>
          </w:p>
        </w:tc>
        <w:tc>
          <w:tcPr>
            <w:tcW w:w="7027" w:type="dxa"/>
            <w:gridSpan w:val="2"/>
            <w:tcBorders>
              <w:top w:val="outset" w:sz="6" w:space="0" w:color="auto"/>
              <w:left w:val="outset" w:sz="6" w:space="0" w:color="auto"/>
              <w:bottom w:val="outset" w:sz="6" w:space="0" w:color="auto"/>
              <w:right w:val="outset" w:sz="6" w:space="0" w:color="auto"/>
            </w:tcBorders>
          </w:tcPr>
          <w:p w:rsidR="0046389D" w:rsidRPr="009F67F9" w:rsidRDefault="009F67F9" w:rsidP="0046389D">
            <w:pPr>
              <w:ind w:left="57"/>
            </w:pPr>
            <w:r w:rsidRPr="009F67F9">
              <w:lastRenderedPageBreak/>
              <w:t>Nav</w:t>
            </w:r>
          </w:p>
        </w:tc>
      </w:tr>
      <w:tr w:rsidR="0046389D" w:rsidRPr="009F67F9" w:rsidTr="009F67F9">
        <w:trPr>
          <w:trHeight w:val="20"/>
        </w:trPr>
        <w:tc>
          <w:tcPr>
            <w:tcW w:w="2045" w:type="dxa"/>
            <w:tcBorders>
              <w:top w:val="outset" w:sz="6" w:space="0" w:color="auto"/>
              <w:left w:val="outset" w:sz="6" w:space="0" w:color="auto"/>
              <w:bottom w:val="outset" w:sz="6" w:space="0" w:color="auto"/>
              <w:right w:val="outset" w:sz="6" w:space="0" w:color="auto"/>
            </w:tcBorders>
            <w:vAlign w:val="center"/>
          </w:tcPr>
          <w:p w:rsidR="0046389D" w:rsidRPr="009F67F9" w:rsidRDefault="0046389D" w:rsidP="0046389D">
            <w:pPr>
              <w:ind w:left="57"/>
              <w:jc w:val="center"/>
            </w:pPr>
            <w:r w:rsidRPr="009F67F9">
              <w:lastRenderedPageBreak/>
              <w:t>A</w:t>
            </w:r>
          </w:p>
        </w:tc>
        <w:tc>
          <w:tcPr>
            <w:tcW w:w="3102" w:type="dxa"/>
            <w:tcBorders>
              <w:top w:val="outset" w:sz="6" w:space="0" w:color="auto"/>
              <w:left w:val="outset" w:sz="6" w:space="0" w:color="auto"/>
              <w:bottom w:val="outset" w:sz="6" w:space="0" w:color="auto"/>
              <w:right w:val="outset" w:sz="6" w:space="0" w:color="auto"/>
            </w:tcBorders>
            <w:vAlign w:val="center"/>
          </w:tcPr>
          <w:p w:rsidR="0046389D" w:rsidRPr="009F67F9" w:rsidRDefault="0046389D" w:rsidP="0046389D">
            <w:pPr>
              <w:ind w:left="57"/>
              <w:jc w:val="center"/>
            </w:pPr>
            <w:r w:rsidRPr="009F67F9">
              <w:t>B</w:t>
            </w:r>
          </w:p>
        </w:tc>
        <w:tc>
          <w:tcPr>
            <w:tcW w:w="3925" w:type="dxa"/>
            <w:tcBorders>
              <w:top w:val="outset" w:sz="6" w:space="0" w:color="auto"/>
              <w:left w:val="outset" w:sz="6" w:space="0" w:color="auto"/>
              <w:bottom w:val="outset" w:sz="6" w:space="0" w:color="auto"/>
              <w:right w:val="outset" w:sz="6" w:space="0" w:color="auto"/>
            </w:tcBorders>
            <w:vAlign w:val="center"/>
          </w:tcPr>
          <w:p w:rsidR="0046389D" w:rsidRPr="009F67F9" w:rsidRDefault="0046389D" w:rsidP="0046389D">
            <w:pPr>
              <w:ind w:left="57"/>
              <w:jc w:val="center"/>
            </w:pPr>
            <w:r w:rsidRPr="009F67F9">
              <w:t>C</w:t>
            </w:r>
          </w:p>
        </w:tc>
      </w:tr>
      <w:tr w:rsidR="0046389D" w:rsidRPr="009F67F9" w:rsidTr="009F67F9">
        <w:trPr>
          <w:trHeight w:val="20"/>
        </w:trPr>
        <w:tc>
          <w:tcPr>
            <w:tcW w:w="2045" w:type="dxa"/>
            <w:tcBorders>
              <w:top w:val="outset" w:sz="6" w:space="0" w:color="auto"/>
              <w:left w:val="outset" w:sz="6" w:space="0" w:color="auto"/>
              <w:bottom w:val="outset" w:sz="6" w:space="0" w:color="auto"/>
              <w:right w:val="outset" w:sz="6" w:space="0" w:color="auto"/>
            </w:tcBorders>
          </w:tcPr>
          <w:p w:rsidR="0046389D" w:rsidRPr="009F67F9" w:rsidRDefault="0046389D" w:rsidP="0046389D">
            <w:pPr>
              <w:spacing w:after="120"/>
              <w:ind w:left="57"/>
            </w:pPr>
            <w:r w:rsidRPr="009F67F9">
              <w:t>Starptautiskās saistības (pēc būtības), kas izriet no norādītā starptautiskā dokumenta.</w:t>
            </w:r>
          </w:p>
          <w:p w:rsidR="0046389D" w:rsidRPr="009F67F9" w:rsidRDefault="0046389D" w:rsidP="0046389D">
            <w:pPr>
              <w:ind w:left="57"/>
            </w:pPr>
            <w:r w:rsidRPr="009F67F9">
              <w:t>Konkrēti veicamie pasākumi vai uzdevumi, kas nepieciešami šo starptautisko saistību izpildei</w:t>
            </w:r>
          </w:p>
        </w:tc>
        <w:tc>
          <w:tcPr>
            <w:tcW w:w="3102" w:type="dxa"/>
            <w:tcBorders>
              <w:top w:val="outset" w:sz="6" w:space="0" w:color="auto"/>
              <w:left w:val="outset" w:sz="6" w:space="0" w:color="auto"/>
              <w:bottom w:val="outset" w:sz="6" w:space="0" w:color="auto"/>
              <w:right w:val="outset" w:sz="6" w:space="0" w:color="auto"/>
            </w:tcBorders>
          </w:tcPr>
          <w:p w:rsidR="0046389D" w:rsidRPr="009F67F9" w:rsidRDefault="0046389D" w:rsidP="0046389D">
            <w:pPr>
              <w:ind w:left="57"/>
            </w:pPr>
            <w:r w:rsidRPr="009F67F9">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25" w:type="dxa"/>
            <w:tcBorders>
              <w:top w:val="outset" w:sz="6" w:space="0" w:color="auto"/>
              <w:left w:val="outset" w:sz="6" w:space="0" w:color="auto"/>
              <w:bottom w:val="outset" w:sz="6" w:space="0" w:color="auto"/>
              <w:right w:val="outset" w:sz="6" w:space="0" w:color="auto"/>
            </w:tcBorders>
          </w:tcPr>
          <w:p w:rsidR="0046389D" w:rsidRPr="009F67F9" w:rsidRDefault="0046389D" w:rsidP="0046389D">
            <w:pPr>
              <w:spacing w:after="120"/>
              <w:ind w:left="57"/>
            </w:pPr>
            <w:r w:rsidRPr="009F67F9">
              <w:t>Informācija par to, vai starptautiskās saistības, kas minētas šīs tabulas A ailē, tiek izpildītas pilnībā vai daļēji.</w:t>
            </w:r>
          </w:p>
          <w:p w:rsidR="0046389D" w:rsidRPr="009F67F9" w:rsidRDefault="0046389D" w:rsidP="0046389D">
            <w:pPr>
              <w:spacing w:after="120"/>
              <w:ind w:left="57"/>
            </w:pPr>
            <w:r w:rsidRPr="009F67F9">
              <w:t>Ja attiecīgās starptautiskās saistības tiek izpildītas daļēji, sniedz attiecīgu skaidrojumu, kā arī precīzi norāda, kad un kādā veidā starptautiskās saistības tiks izpildītas pilnībā.</w:t>
            </w:r>
          </w:p>
          <w:p w:rsidR="0046389D" w:rsidRPr="009F67F9" w:rsidRDefault="0046389D" w:rsidP="0046389D">
            <w:pPr>
              <w:ind w:left="57" w:right="57"/>
            </w:pPr>
            <w:r w:rsidRPr="009F67F9">
              <w:t>Norāda institūciju, kas ir atbildīga par šo saistību izpildi pilnībā</w:t>
            </w:r>
          </w:p>
        </w:tc>
      </w:tr>
      <w:tr w:rsidR="0046389D" w:rsidRPr="009F67F9" w:rsidTr="009F67F9">
        <w:trPr>
          <w:trHeight w:val="20"/>
        </w:trPr>
        <w:tc>
          <w:tcPr>
            <w:tcW w:w="2045" w:type="dxa"/>
            <w:tcBorders>
              <w:top w:val="outset" w:sz="6" w:space="0" w:color="auto"/>
              <w:left w:val="outset" w:sz="6" w:space="0" w:color="auto"/>
              <w:bottom w:val="outset" w:sz="6" w:space="0" w:color="auto"/>
              <w:right w:val="outset" w:sz="6" w:space="0" w:color="auto"/>
            </w:tcBorders>
          </w:tcPr>
          <w:p w:rsidR="0046389D" w:rsidRPr="009F67F9" w:rsidRDefault="0046389D" w:rsidP="0046389D">
            <w:pPr>
              <w:ind w:left="57"/>
            </w:pPr>
            <w:r w:rsidRPr="009F67F9">
              <w:t>Iekļauj informāciju atbilstoši instrukcijas 58.1.apakšpunktā noteiktajam</w:t>
            </w:r>
          </w:p>
        </w:tc>
        <w:tc>
          <w:tcPr>
            <w:tcW w:w="3102" w:type="dxa"/>
            <w:tcBorders>
              <w:top w:val="outset" w:sz="6" w:space="0" w:color="auto"/>
              <w:left w:val="outset" w:sz="6" w:space="0" w:color="auto"/>
              <w:bottom w:val="outset" w:sz="6" w:space="0" w:color="auto"/>
              <w:right w:val="outset" w:sz="6" w:space="0" w:color="auto"/>
            </w:tcBorders>
          </w:tcPr>
          <w:p w:rsidR="0046389D" w:rsidRPr="009F67F9" w:rsidRDefault="009F67F9" w:rsidP="0046389D">
            <w:pPr>
              <w:ind w:left="57"/>
            </w:pPr>
            <w:r w:rsidRPr="009F67F9">
              <w:t>Nav</w:t>
            </w:r>
          </w:p>
        </w:tc>
        <w:tc>
          <w:tcPr>
            <w:tcW w:w="3925" w:type="dxa"/>
            <w:tcBorders>
              <w:top w:val="outset" w:sz="6" w:space="0" w:color="auto"/>
              <w:left w:val="outset" w:sz="6" w:space="0" w:color="auto"/>
              <w:bottom w:val="outset" w:sz="6" w:space="0" w:color="auto"/>
              <w:right w:val="outset" w:sz="6" w:space="0" w:color="auto"/>
            </w:tcBorders>
          </w:tcPr>
          <w:p w:rsidR="0046389D" w:rsidRPr="009F67F9" w:rsidRDefault="009F67F9" w:rsidP="0046389D">
            <w:pPr>
              <w:ind w:left="57"/>
            </w:pPr>
            <w:r w:rsidRPr="009F67F9">
              <w:t>Nav</w:t>
            </w:r>
          </w:p>
        </w:tc>
      </w:tr>
      <w:tr w:rsidR="0046389D" w:rsidRPr="009F67F9" w:rsidTr="009F67F9">
        <w:trPr>
          <w:trHeight w:val="20"/>
        </w:trPr>
        <w:tc>
          <w:tcPr>
            <w:tcW w:w="2045" w:type="dxa"/>
            <w:tcBorders>
              <w:top w:val="outset" w:sz="6" w:space="0" w:color="auto"/>
              <w:left w:val="outset" w:sz="6" w:space="0" w:color="auto"/>
              <w:bottom w:val="outset" w:sz="6" w:space="0" w:color="auto"/>
              <w:right w:val="outset" w:sz="6" w:space="0" w:color="auto"/>
            </w:tcBorders>
          </w:tcPr>
          <w:p w:rsidR="0046389D" w:rsidRPr="009F67F9" w:rsidRDefault="0046389D" w:rsidP="0046389D">
            <w:pPr>
              <w:ind w:left="57"/>
            </w:pPr>
            <w:r w:rsidRPr="009F67F9">
              <w:t>Vai starptautiskajā dokumentā paredzētās saistības nav pretrunā ar jau esošajām Latvijas Republikas starptautiskajām saistībām</w:t>
            </w:r>
          </w:p>
        </w:tc>
        <w:tc>
          <w:tcPr>
            <w:tcW w:w="7027" w:type="dxa"/>
            <w:gridSpan w:val="2"/>
            <w:tcBorders>
              <w:top w:val="outset" w:sz="6" w:space="0" w:color="auto"/>
              <w:left w:val="outset" w:sz="6" w:space="0" w:color="auto"/>
              <w:bottom w:val="outset" w:sz="6" w:space="0" w:color="auto"/>
              <w:right w:val="outset" w:sz="6" w:space="0" w:color="auto"/>
            </w:tcBorders>
          </w:tcPr>
          <w:p w:rsidR="0046389D" w:rsidRPr="009F67F9" w:rsidRDefault="009F67F9" w:rsidP="0046389D">
            <w:pPr>
              <w:ind w:left="57"/>
            </w:pPr>
            <w:r w:rsidRPr="009F67F9">
              <w:t>Nav</w:t>
            </w:r>
          </w:p>
        </w:tc>
      </w:tr>
      <w:tr w:rsidR="0046389D" w:rsidRPr="009F67F9" w:rsidTr="009F67F9">
        <w:trPr>
          <w:trHeight w:val="20"/>
        </w:trPr>
        <w:tc>
          <w:tcPr>
            <w:tcW w:w="2045" w:type="dxa"/>
            <w:tcBorders>
              <w:top w:val="outset" w:sz="6" w:space="0" w:color="auto"/>
              <w:left w:val="outset" w:sz="6" w:space="0" w:color="auto"/>
              <w:bottom w:val="outset" w:sz="6" w:space="0" w:color="auto"/>
              <w:right w:val="outset" w:sz="6" w:space="0" w:color="auto"/>
            </w:tcBorders>
          </w:tcPr>
          <w:p w:rsidR="0046389D" w:rsidRPr="009F67F9" w:rsidRDefault="0046389D" w:rsidP="0046389D">
            <w:pPr>
              <w:ind w:left="57"/>
            </w:pPr>
            <w:r w:rsidRPr="009F67F9">
              <w:t>Cita informācija</w:t>
            </w:r>
          </w:p>
        </w:tc>
        <w:tc>
          <w:tcPr>
            <w:tcW w:w="7027" w:type="dxa"/>
            <w:gridSpan w:val="2"/>
            <w:tcBorders>
              <w:top w:val="outset" w:sz="6" w:space="0" w:color="auto"/>
              <w:left w:val="outset" w:sz="6" w:space="0" w:color="auto"/>
              <w:bottom w:val="outset" w:sz="6" w:space="0" w:color="auto"/>
              <w:right w:val="outset" w:sz="6" w:space="0" w:color="auto"/>
            </w:tcBorders>
          </w:tcPr>
          <w:p w:rsidR="0046389D" w:rsidRPr="009F67F9" w:rsidRDefault="009F67F9" w:rsidP="0046389D">
            <w:pPr>
              <w:ind w:left="57"/>
            </w:pPr>
            <w:r w:rsidRPr="009F67F9">
              <w:t>Nav</w:t>
            </w:r>
          </w:p>
        </w:tc>
      </w:tr>
    </w:tbl>
    <w:p w:rsidR="0046389D" w:rsidRPr="000E6441" w:rsidRDefault="0046389D" w:rsidP="000E6441">
      <w:pPr>
        <w:pStyle w:val="naisf"/>
        <w:spacing w:before="0" w:after="0"/>
        <w:ind w:firstLine="0"/>
        <w:rPr>
          <w:sz w:val="28"/>
          <w:szCs w:val="28"/>
        </w:rPr>
      </w:pPr>
    </w:p>
    <w:p w:rsidR="003D6E9C" w:rsidRPr="009F67F9" w:rsidRDefault="003D6E9C" w:rsidP="000E6441">
      <w:pPr>
        <w:pStyle w:val="naisf"/>
        <w:spacing w:before="0" w:after="0"/>
        <w:ind w:firstLine="0"/>
        <w:rPr>
          <w:i/>
        </w:rPr>
      </w:pPr>
      <w:r w:rsidRPr="009F67F9">
        <w:rPr>
          <w:i/>
        </w:rPr>
        <w:t>Anotācijas VI sadaļa – nav attiecinām</w:t>
      </w:r>
      <w:r w:rsidR="00A330ED" w:rsidRPr="009F67F9">
        <w:rPr>
          <w:i/>
        </w:rPr>
        <w:t>a</w:t>
      </w:r>
      <w:r w:rsidRPr="009F67F9">
        <w:rPr>
          <w:i/>
        </w:rPr>
        <w:t>.</w:t>
      </w:r>
    </w:p>
    <w:p w:rsidR="00814A6B" w:rsidRPr="000E6441" w:rsidRDefault="00814A6B" w:rsidP="000E6441">
      <w:pPr>
        <w:pStyle w:val="naisf"/>
        <w:tabs>
          <w:tab w:val="left" w:pos="5760"/>
        </w:tabs>
        <w:spacing w:before="0" w:after="0"/>
        <w:ind w:firstLine="0"/>
        <w:rPr>
          <w:sz w:val="28"/>
          <w:szCs w:val="28"/>
        </w:rPr>
      </w:pPr>
    </w:p>
    <w:tbl>
      <w:tblPr>
        <w:tblStyle w:val="Reatabula"/>
        <w:tblpPr w:leftFromText="180" w:rightFromText="180" w:vertAnchor="text" w:tblpX="36" w:tblpY="1"/>
        <w:tblOverlap w:val="never"/>
        <w:tblW w:w="9180" w:type="dxa"/>
        <w:tblLayout w:type="fixed"/>
        <w:tblLook w:val="01E0"/>
      </w:tblPr>
      <w:tblGrid>
        <w:gridCol w:w="468"/>
        <w:gridCol w:w="3207"/>
        <w:gridCol w:w="5505"/>
      </w:tblGrid>
      <w:tr w:rsidR="007B4D60" w:rsidRPr="009F67F9" w:rsidTr="002400B5">
        <w:tc>
          <w:tcPr>
            <w:tcW w:w="9180" w:type="dxa"/>
            <w:gridSpan w:val="3"/>
          </w:tcPr>
          <w:p w:rsidR="007B4D60" w:rsidRPr="009F67F9" w:rsidRDefault="007B4D60" w:rsidP="000E6441">
            <w:pPr>
              <w:pStyle w:val="naisf"/>
              <w:spacing w:before="0" w:after="0"/>
              <w:ind w:firstLine="0"/>
              <w:jc w:val="center"/>
              <w:rPr>
                <w:b/>
              </w:rPr>
            </w:pPr>
            <w:r w:rsidRPr="009F67F9">
              <w:rPr>
                <w:b/>
              </w:rPr>
              <w:t>VII Tiesību akta projekta izpildes nodrošināšana un tās ietekme uz institūcijām</w:t>
            </w:r>
          </w:p>
        </w:tc>
      </w:tr>
      <w:tr w:rsidR="007B4D60" w:rsidRPr="009F67F9" w:rsidTr="002400B5">
        <w:tc>
          <w:tcPr>
            <w:tcW w:w="468" w:type="dxa"/>
          </w:tcPr>
          <w:p w:rsidR="007B4D60" w:rsidRPr="009F67F9" w:rsidRDefault="002400B5" w:rsidP="000E6441">
            <w:pPr>
              <w:pStyle w:val="naisf"/>
              <w:numPr>
                <w:ilvl w:val="0"/>
                <w:numId w:val="4"/>
              </w:numPr>
              <w:tabs>
                <w:tab w:val="clear" w:pos="720"/>
                <w:tab w:val="num" w:pos="0"/>
              </w:tabs>
              <w:spacing w:before="0" w:after="0"/>
              <w:ind w:left="0" w:hanging="568"/>
            </w:pPr>
            <w:r w:rsidRPr="009F67F9">
              <w:t>1.</w:t>
            </w:r>
          </w:p>
        </w:tc>
        <w:tc>
          <w:tcPr>
            <w:tcW w:w="3207" w:type="dxa"/>
          </w:tcPr>
          <w:p w:rsidR="00CF06D3" w:rsidRPr="009F67F9" w:rsidRDefault="007B4D60" w:rsidP="000E6441">
            <w:pPr>
              <w:jc w:val="both"/>
            </w:pPr>
            <w:r w:rsidRPr="009F67F9">
              <w:t xml:space="preserve">Projekta izpildē iesaistītās institūcijas </w:t>
            </w:r>
          </w:p>
        </w:tc>
        <w:tc>
          <w:tcPr>
            <w:tcW w:w="5505" w:type="dxa"/>
          </w:tcPr>
          <w:p w:rsidR="007B4D60" w:rsidRPr="009F67F9" w:rsidRDefault="00AC07B8" w:rsidP="000E6441">
            <w:pPr>
              <w:pStyle w:val="naisf"/>
              <w:spacing w:before="0" w:after="0"/>
              <w:ind w:firstLine="0"/>
            </w:pPr>
            <w:r w:rsidRPr="009F67F9">
              <w:rPr>
                <w:iCs/>
              </w:rPr>
              <w:t>Kultūras</w:t>
            </w:r>
            <w:r w:rsidR="00B10E56" w:rsidRPr="009F67F9">
              <w:rPr>
                <w:iCs/>
              </w:rPr>
              <w:t xml:space="preserve"> ministrija</w:t>
            </w:r>
            <w:r w:rsidR="009E4817" w:rsidRPr="009F67F9">
              <w:rPr>
                <w:iCs/>
              </w:rPr>
              <w:t>.</w:t>
            </w:r>
          </w:p>
        </w:tc>
      </w:tr>
      <w:tr w:rsidR="007B4D60" w:rsidRPr="009F67F9" w:rsidTr="002400B5">
        <w:tc>
          <w:tcPr>
            <w:tcW w:w="468" w:type="dxa"/>
          </w:tcPr>
          <w:p w:rsidR="002400B5" w:rsidRPr="009F67F9" w:rsidRDefault="002400B5" w:rsidP="000E6441">
            <w:pPr>
              <w:pStyle w:val="naisf"/>
              <w:numPr>
                <w:ilvl w:val="0"/>
                <w:numId w:val="4"/>
              </w:numPr>
              <w:spacing w:before="0" w:after="0"/>
              <w:ind w:left="0" w:hanging="720"/>
            </w:pPr>
          </w:p>
          <w:p w:rsidR="007B4D60" w:rsidRPr="009F67F9" w:rsidRDefault="002400B5" w:rsidP="000E6441">
            <w:r w:rsidRPr="009F67F9">
              <w:t>2.</w:t>
            </w:r>
          </w:p>
        </w:tc>
        <w:tc>
          <w:tcPr>
            <w:tcW w:w="3207" w:type="dxa"/>
          </w:tcPr>
          <w:p w:rsidR="00CF06D3" w:rsidRPr="009F67F9" w:rsidRDefault="007B4D60" w:rsidP="000E6441">
            <w:pPr>
              <w:jc w:val="both"/>
            </w:pPr>
            <w:r w:rsidRPr="009F67F9">
              <w:t xml:space="preserve">Projekta izpildes ietekme uz pārvaldes funkcijām </w:t>
            </w:r>
          </w:p>
        </w:tc>
        <w:tc>
          <w:tcPr>
            <w:tcW w:w="5505" w:type="dxa"/>
          </w:tcPr>
          <w:p w:rsidR="00B474F7" w:rsidRPr="009F67F9" w:rsidRDefault="00B474F7" w:rsidP="000E6441">
            <w:pPr>
              <w:jc w:val="both"/>
            </w:pPr>
            <w:r w:rsidRPr="009F67F9">
              <w:t>Projekts neietekmē valsts pārvaldes funkcijas.</w:t>
            </w:r>
          </w:p>
          <w:p w:rsidR="007B4D60" w:rsidRPr="009F67F9" w:rsidRDefault="007B4D60" w:rsidP="000E6441">
            <w:pPr>
              <w:jc w:val="both"/>
            </w:pPr>
          </w:p>
        </w:tc>
      </w:tr>
      <w:tr w:rsidR="007B4D60" w:rsidRPr="009F67F9" w:rsidTr="002400B5">
        <w:tc>
          <w:tcPr>
            <w:tcW w:w="468" w:type="dxa"/>
          </w:tcPr>
          <w:p w:rsidR="002400B5" w:rsidRPr="009F67F9" w:rsidRDefault="002400B5" w:rsidP="000E6441">
            <w:pPr>
              <w:pStyle w:val="naisf"/>
              <w:numPr>
                <w:ilvl w:val="0"/>
                <w:numId w:val="4"/>
              </w:numPr>
              <w:spacing w:before="0" w:after="0"/>
              <w:ind w:left="0" w:hanging="720"/>
            </w:pPr>
          </w:p>
          <w:p w:rsidR="007B4D60" w:rsidRPr="009F67F9" w:rsidRDefault="002400B5" w:rsidP="000E6441">
            <w:r w:rsidRPr="009F67F9">
              <w:t>3.</w:t>
            </w:r>
          </w:p>
        </w:tc>
        <w:tc>
          <w:tcPr>
            <w:tcW w:w="3207" w:type="dxa"/>
          </w:tcPr>
          <w:p w:rsidR="00CF06D3" w:rsidRPr="009F67F9" w:rsidRDefault="007B4D60" w:rsidP="000E6441">
            <w:pPr>
              <w:pStyle w:val="naisf"/>
              <w:spacing w:before="0" w:after="0"/>
              <w:ind w:firstLine="0"/>
            </w:pPr>
            <w:r w:rsidRPr="009F67F9">
              <w:t xml:space="preserve">Projekta izpildes ietekme uz pārvaldes institucionālo struktūru. Jaunu institūciju </w:t>
            </w:r>
            <w:r w:rsidRPr="009F67F9">
              <w:lastRenderedPageBreak/>
              <w:t>izveide.</w:t>
            </w:r>
          </w:p>
        </w:tc>
        <w:tc>
          <w:tcPr>
            <w:tcW w:w="5505" w:type="dxa"/>
          </w:tcPr>
          <w:p w:rsidR="007B4D60" w:rsidRPr="009F67F9" w:rsidRDefault="007B4D60" w:rsidP="000E6441">
            <w:pPr>
              <w:jc w:val="both"/>
            </w:pPr>
            <w:r w:rsidRPr="009F67F9">
              <w:rPr>
                <w:iCs/>
              </w:rPr>
              <w:lastRenderedPageBreak/>
              <w:t>Jaunas institūcijas netiek izveidotas.</w:t>
            </w:r>
          </w:p>
        </w:tc>
      </w:tr>
      <w:tr w:rsidR="007B4D60" w:rsidRPr="009F67F9" w:rsidTr="002400B5">
        <w:tc>
          <w:tcPr>
            <w:tcW w:w="468" w:type="dxa"/>
          </w:tcPr>
          <w:p w:rsidR="008D4B40" w:rsidRPr="009F67F9" w:rsidRDefault="008D4B40" w:rsidP="000E6441">
            <w:pPr>
              <w:pStyle w:val="naisf"/>
              <w:numPr>
                <w:ilvl w:val="0"/>
                <w:numId w:val="4"/>
              </w:numPr>
              <w:spacing w:before="0" w:after="0"/>
              <w:ind w:left="0" w:hanging="720"/>
            </w:pPr>
          </w:p>
          <w:p w:rsidR="008D4B40" w:rsidRPr="009F67F9" w:rsidRDefault="008D4B40" w:rsidP="000E6441"/>
          <w:p w:rsidR="007B4D60" w:rsidRPr="009F67F9" w:rsidRDefault="008D4B40" w:rsidP="000E6441">
            <w:r w:rsidRPr="009F67F9">
              <w:t>4.</w:t>
            </w:r>
          </w:p>
        </w:tc>
        <w:tc>
          <w:tcPr>
            <w:tcW w:w="3207" w:type="dxa"/>
          </w:tcPr>
          <w:p w:rsidR="007B4D60" w:rsidRPr="009F67F9" w:rsidRDefault="007B4D60" w:rsidP="000E6441">
            <w:pPr>
              <w:pStyle w:val="naisf"/>
              <w:spacing w:before="0" w:after="0"/>
              <w:ind w:firstLine="0"/>
            </w:pPr>
            <w:r w:rsidRPr="009F67F9">
              <w:t>Projekta izpildes ietekme uz pārvaldes institucionālo struktūru. Esošu institūciju likvidācija</w:t>
            </w:r>
          </w:p>
          <w:p w:rsidR="00CF06D3" w:rsidRPr="009F67F9" w:rsidRDefault="00CF06D3" w:rsidP="000E6441">
            <w:pPr>
              <w:pStyle w:val="naisf"/>
              <w:spacing w:before="0" w:after="0"/>
              <w:ind w:firstLine="0"/>
            </w:pPr>
          </w:p>
        </w:tc>
        <w:tc>
          <w:tcPr>
            <w:tcW w:w="5505" w:type="dxa"/>
          </w:tcPr>
          <w:p w:rsidR="007B4D60" w:rsidRPr="009F67F9" w:rsidRDefault="006D6A31" w:rsidP="000E6441">
            <w:pPr>
              <w:pStyle w:val="naisf"/>
              <w:spacing w:before="0" w:after="0"/>
              <w:ind w:firstLine="0"/>
            </w:pPr>
            <w:r w:rsidRPr="009F67F9">
              <w:t>Nav attiecināms</w:t>
            </w:r>
          </w:p>
        </w:tc>
      </w:tr>
      <w:tr w:rsidR="007B4D60" w:rsidRPr="009F67F9" w:rsidTr="002400B5">
        <w:tc>
          <w:tcPr>
            <w:tcW w:w="468" w:type="dxa"/>
          </w:tcPr>
          <w:p w:rsidR="006C0AC7" w:rsidRPr="009F67F9" w:rsidRDefault="006C0AC7" w:rsidP="000E6441">
            <w:pPr>
              <w:pStyle w:val="naisf"/>
              <w:numPr>
                <w:ilvl w:val="0"/>
                <w:numId w:val="4"/>
              </w:numPr>
              <w:spacing w:before="0" w:after="0"/>
              <w:ind w:left="0" w:hanging="720"/>
            </w:pPr>
          </w:p>
          <w:p w:rsidR="006C0AC7" w:rsidRPr="009F67F9" w:rsidRDefault="006C0AC7" w:rsidP="000E6441"/>
          <w:p w:rsidR="006C0AC7" w:rsidRPr="009F67F9" w:rsidRDefault="006C0AC7" w:rsidP="000E6441"/>
          <w:p w:rsidR="006C0AC7" w:rsidRPr="009F67F9" w:rsidRDefault="006C0AC7" w:rsidP="000E6441"/>
          <w:p w:rsidR="007B4D60" w:rsidRPr="009F67F9" w:rsidRDefault="006C0AC7" w:rsidP="000E6441">
            <w:r w:rsidRPr="009F67F9">
              <w:t>5.</w:t>
            </w:r>
          </w:p>
        </w:tc>
        <w:tc>
          <w:tcPr>
            <w:tcW w:w="3207" w:type="dxa"/>
          </w:tcPr>
          <w:p w:rsidR="007B4D60" w:rsidRPr="009F67F9" w:rsidRDefault="007B4D60" w:rsidP="000E6441">
            <w:pPr>
              <w:pStyle w:val="naisf"/>
              <w:spacing w:before="0" w:after="0"/>
              <w:ind w:firstLine="0"/>
            </w:pPr>
            <w:r w:rsidRPr="009F67F9">
              <w:t>Projekta izpildes ietekme uz pārvaldes institucionālo struktūru.</w:t>
            </w:r>
          </w:p>
          <w:p w:rsidR="00CF06D3" w:rsidRPr="009F67F9" w:rsidRDefault="007B4D60" w:rsidP="000E6441">
            <w:pPr>
              <w:pStyle w:val="naisf"/>
              <w:spacing w:before="0" w:after="0"/>
              <w:ind w:firstLine="0"/>
            </w:pPr>
            <w:r w:rsidRPr="009F67F9">
              <w:t>Esošu institūciju reorganizācija.</w:t>
            </w:r>
          </w:p>
        </w:tc>
        <w:tc>
          <w:tcPr>
            <w:tcW w:w="5505" w:type="dxa"/>
          </w:tcPr>
          <w:p w:rsidR="007B4D60" w:rsidRPr="009F67F9" w:rsidRDefault="00B10E56" w:rsidP="000E6441">
            <w:pPr>
              <w:pStyle w:val="naisf"/>
              <w:spacing w:before="0" w:after="0"/>
              <w:ind w:firstLine="0"/>
            </w:pPr>
            <w:r w:rsidRPr="009F67F9">
              <w:t>Nav attiecināms</w:t>
            </w:r>
          </w:p>
        </w:tc>
      </w:tr>
      <w:tr w:rsidR="007B4D60" w:rsidRPr="009F67F9" w:rsidTr="00741069">
        <w:tc>
          <w:tcPr>
            <w:tcW w:w="468" w:type="dxa"/>
          </w:tcPr>
          <w:p w:rsidR="007B4D60" w:rsidRPr="009F67F9" w:rsidRDefault="00B10E56" w:rsidP="000E6441">
            <w:pPr>
              <w:pStyle w:val="naisf"/>
              <w:numPr>
                <w:ilvl w:val="0"/>
                <w:numId w:val="4"/>
              </w:numPr>
              <w:spacing w:before="0" w:after="0"/>
              <w:ind w:left="0" w:hanging="720"/>
              <w:jc w:val="left"/>
            </w:pPr>
            <w:r w:rsidRPr="009F67F9">
              <w:t>6</w:t>
            </w:r>
            <w:r w:rsidR="00741069" w:rsidRPr="009F67F9">
              <w:t>.</w:t>
            </w:r>
          </w:p>
          <w:p w:rsidR="00741069" w:rsidRPr="009F67F9" w:rsidRDefault="00741069" w:rsidP="000E6441">
            <w:pPr>
              <w:pStyle w:val="naisf"/>
              <w:numPr>
                <w:ilvl w:val="0"/>
                <w:numId w:val="4"/>
              </w:numPr>
              <w:spacing w:before="0" w:after="0"/>
              <w:ind w:left="0" w:hanging="720"/>
              <w:jc w:val="left"/>
            </w:pPr>
          </w:p>
        </w:tc>
        <w:tc>
          <w:tcPr>
            <w:tcW w:w="3207" w:type="dxa"/>
          </w:tcPr>
          <w:p w:rsidR="007B4D60" w:rsidRPr="009F67F9" w:rsidRDefault="007B4D60" w:rsidP="000E6441">
            <w:pPr>
              <w:pStyle w:val="naisf"/>
              <w:spacing w:before="0" w:after="0"/>
              <w:ind w:firstLine="0"/>
            </w:pPr>
            <w:r w:rsidRPr="009F67F9">
              <w:t>Cita informācija.</w:t>
            </w:r>
          </w:p>
        </w:tc>
        <w:tc>
          <w:tcPr>
            <w:tcW w:w="5505" w:type="dxa"/>
          </w:tcPr>
          <w:p w:rsidR="007B4D60" w:rsidRPr="009F67F9" w:rsidRDefault="007B4D60" w:rsidP="000E6441">
            <w:pPr>
              <w:pStyle w:val="naisf"/>
              <w:spacing w:before="0" w:after="0"/>
              <w:ind w:firstLine="0"/>
            </w:pPr>
            <w:r w:rsidRPr="009F67F9">
              <w:t>Nav.</w:t>
            </w:r>
          </w:p>
        </w:tc>
      </w:tr>
    </w:tbl>
    <w:p w:rsidR="006F0332" w:rsidRDefault="006F0332" w:rsidP="000E6441">
      <w:pPr>
        <w:pStyle w:val="naisf"/>
        <w:tabs>
          <w:tab w:val="left" w:pos="5760"/>
        </w:tabs>
        <w:spacing w:before="0" w:after="0"/>
        <w:ind w:firstLine="0"/>
        <w:rPr>
          <w:sz w:val="28"/>
          <w:szCs w:val="28"/>
        </w:rPr>
      </w:pPr>
    </w:p>
    <w:p w:rsidR="00A36847" w:rsidRPr="000E6441" w:rsidRDefault="00A36847" w:rsidP="000E6441">
      <w:pPr>
        <w:pStyle w:val="naisf"/>
        <w:tabs>
          <w:tab w:val="left" w:pos="5760"/>
        </w:tabs>
        <w:spacing w:before="0" w:after="0"/>
        <w:ind w:firstLine="0"/>
        <w:rPr>
          <w:sz w:val="28"/>
          <w:szCs w:val="28"/>
        </w:rPr>
      </w:pPr>
    </w:p>
    <w:p w:rsidR="006F0332" w:rsidRPr="009F67F9" w:rsidRDefault="00DA530F" w:rsidP="00A36847">
      <w:pPr>
        <w:pStyle w:val="naisf"/>
        <w:tabs>
          <w:tab w:val="left" w:pos="5760"/>
        </w:tabs>
        <w:spacing w:before="0" w:after="0"/>
        <w:ind w:firstLine="0"/>
        <w:rPr>
          <w:sz w:val="28"/>
          <w:szCs w:val="28"/>
        </w:rPr>
      </w:pPr>
      <w:r w:rsidRPr="009F67F9">
        <w:rPr>
          <w:sz w:val="28"/>
          <w:szCs w:val="28"/>
        </w:rPr>
        <w:t>T</w:t>
      </w:r>
      <w:r w:rsidR="00B10E56" w:rsidRPr="009F67F9">
        <w:rPr>
          <w:sz w:val="28"/>
          <w:szCs w:val="28"/>
        </w:rPr>
        <w:t>ieslietu</w:t>
      </w:r>
      <w:r w:rsidR="00E578A2" w:rsidRPr="009F67F9">
        <w:rPr>
          <w:sz w:val="28"/>
          <w:szCs w:val="28"/>
        </w:rPr>
        <w:t xml:space="preserve"> ministr</w:t>
      </w:r>
      <w:r w:rsidR="00120E1A" w:rsidRPr="009F67F9">
        <w:rPr>
          <w:sz w:val="28"/>
          <w:szCs w:val="28"/>
        </w:rPr>
        <w:t>s</w:t>
      </w:r>
      <w:r w:rsidR="003D6E9C" w:rsidRPr="009F67F9">
        <w:rPr>
          <w:sz w:val="28"/>
          <w:szCs w:val="28"/>
        </w:rPr>
        <w:tab/>
      </w:r>
      <w:r w:rsidR="003D6E9C" w:rsidRPr="009F67F9">
        <w:rPr>
          <w:sz w:val="28"/>
          <w:szCs w:val="28"/>
        </w:rPr>
        <w:tab/>
      </w:r>
      <w:r w:rsidR="003D6E9C" w:rsidRPr="009F67F9">
        <w:rPr>
          <w:sz w:val="28"/>
          <w:szCs w:val="28"/>
        </w:rPr>
        <w:tab/>
      </w:r>
      <w:proofErr w:type="gramStart"/>
      <w:r w:rsidR="009F67F9" w:rsidRPr="009F67F9">
        <w:rPr>
          <w:sz w:val="28"/>
          <w:szCs w:val="28"/>
        </w:rPr>
        <w:t xml:space="preserve">       </w:t>
      </w:r>
      <w:proofErr w:type="gramEnd"/>
      <w:r w:rsidR="00A36847" w:rsidRPr="009F67F9">
        <w:rPr>
          <w:sz w:val="28"/>
          <w:szCs w:val="28"/>
        </w:rPr>
        <w:t>A.Štokenbergs</w:t>
      </w:r>
    </w:p>
    <w:p w:rsidR="006F0332" w:rsidRDefault="006F0332" w:rsidP="000E6441">
      <w:pPr>
        <w:rPr>
          <w:sz w:val="28"/>
          <w:szCs w:val="28"/>
        </w:rPr>
      </w:pPr>
    </w:p>
    <w:p w:rsidR="00A36847" w:rsidRDefault="00A36847" w:rsidP="000E6441">
      <w:pPr>
        <w:rPr>
          <w:sz w:val="28"/>
          <w:szCs w:val="28"/>
        </w:rPr>
      </w:pPr>
    </w:p>
    <w:p w:rsidR="006C5F71" w:rsidRPr="000E6441" w:rsidRDefault="006C5F71" w:rsidP="000E6441">
      <w:pPr>
        <w:rPr>
          <w:sz w:val="28"/>
          <w:szCs w:val="28"/>
        </w:rPr>
      </w:pPr>
    </w:p>
    <w:p w:rsidR="008C1BF2" w:rsidRPr="000E6441" w:rsidRDefault="00992DA6" w:rsidP="000E6441">
      <w:pPr>
        <w:rPr>
          <w:sz w:val="20"/>
          <w:szCs w:val="20"/>
        </w:rPr>
      </w:pPr>
      <w:r w:rsidRPr="000E6441">
        <w:rPr>
          <w:sz w:val="20"/>
          <w:szCs w:val="20"/>
        </w:rPr>
        <w:t>2</w:t>
      </w:r>
      <w:r w:rsidR="00B8297F">
        <w:rPr>
          <w:sz w:val="20"/>
          <w:szCs w:val="20"/>
        </w:rPr>
        <w:t>7</w:t>
      </w:r>
      <w:r w:rsidR="006F0332" w:rsidRPr="000E6441">
        <w:rPr>
          <w:sz w:val="20"/>
          <w:szCs w:val="20"/>
        </w:rPr>
        <w:t>.04.2011</w:t>
      </w:r>
      <w:r w:rsidR="008C1BF2" w:rsidRPr="000E6441">
        <w:rPr>
          <w:sz w:val="20"/>
          <w:szCs w:val="20"/>
        </w:rPr>
        <w:t xml:space="preserve">. </w:t>
      </w:r>
      <w:r w:rsidR="003E306C" w:rsidRPr="000E6441">
        <w:rPr>
          <w:sz w:val="20"/>
          <w:szCs w:val="20"/>
        </w:rPr>
        <w:t>10:</w:t>
      </w:r>
      <w:r w:rsidR="003A6F57" w:rsidRPr="000E6441">
        <w:rPr>
          <w:sz w:val="20"/>
          <w:szCs w:val="20"/>
        </w:rPr>
        <w:t>40</w:t>
      </w:r>
    </w:p>
    <w:p w:rsidR="008C1BF2" w:rsidRPr="000E6441" w:rsidRDefault="006C5F71" w:rsidP="000E6441">
      <w:pPr>
        <w:rPr>
          <w:sz w:val="20"/>
          <w:szCs w:val="20"/>
        </w:rPr>
      </w:pPr>
      <w:r>
        <w:rPr>
          <w:sz w:val="20"/>
          <w:szCs w:val="20"/>
        </w:rPr>
        <w:t>1</w:t>
      </w:r>
      <w:r w:rsidR="00BA35B4">
        <w:rPr>
          <w:sz w:val="20"/>
          <w:szCs w:val="20"/>
        </w:rPr>
        <w:t>567</w:t>
      </w:r>
    </w:p>
    <w:p w:rsidR="000F1448" w:rsidRPr="00131EBA" w:rsidRDefault="000F1448" w:rsidP="000F1448">
      <w:pPr>
        <w:jc w:val="both"/>
        <w:rPr>
          <w:noProof/>
          <w:sz w:val="20"/>
          <w:szCs w:val="20"/>
        </w:rPr>
      </w:pPr>
      <w:r w:rsidRPr="00131EBA">
        <w:rPr>
          <w:sz w:val="20"/>
          <w:szCs w:val="20"/>
        </w:rPr>
        <w:t>E. Vimba</w:t>
      </w:r>
    </w:p>
    <w:p w:rsidR="000F1448" w:rsidRPr="00131EBA" w:rsidRDefault="001D49C4" w:rsidP="000F1448">
      <w:pPr>
        <w:jc w:val="both"/>
        <w:rPr>
          <w:sz w:val="20"/>
          <w:szCs w:val="20"/>
        </w:rPr>
      </w:pPr>
      <w:hyperlink r:id="rId8" w:history="1">
        <w:r w:rsidR="000F1448" w:rsidRPr="00131EBA">
          <w:rPr>
            <w:rStyle w:val="Hipersaite"/>
            <w:sz w:val="20"/>
            <w:szCs w:val="20"/>
          </w:rPr>
          <w:t>egija.vimba@tm.gov.lv</w:t>
        </w:r>
      </w:hyperlink>
      <w:r w:rsidR="000F1448" w:rsidRPr="00131EBA">
        <w:rPr>
          <w:sz w:val="20"/>
          <w:szCs w:val="20"/>
        </w:rPr>
        <w:t>, tālr. 67036849</w:t>
      </w:r>
    </w:p>
    <w:p w:rsidR="00E32DB0" w:rsidRPr="000E6441" w:rsidRDefault="00E32DB0" w:rsidP="000E6441">
      <w:pPr>
        <w:rPr>
          <w:sz w:val="28"/>
          <w:szCs w:val="28"/>
        </w:rPr>
      </w:pPr>
    </w:p>
    <w:sectPr w:rsidR="00E32DB0" w:rsidRPr="000E6441" w:rsidSect="006F0332">
      <w:headerReference w:type="even" r:id="rId9"/>
      <w:headerReference w:type="default" r:id="rId10"/>
      <w:footerReference w:type="default" r:id="rId11"/>
      <w:footerReference w:type="first" r:id="rId12"/>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2C8" w:rsidRDefault="000472C8">
      <w:r>
        <w:separator/>
      </w:r>
    </w:p>
  </w:endnote>
  <w:endnote w:type="continuationSeparator" w:id="0">
    <w:p w:rsidR="000472C8" w:rsidRDefault="00047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49" w:rsidRPr="00E65C7A" w:rsidRDefault="00251949" w:rsidP="00D62453">
    <w:pPr>
      <w:tabs>
        <w:tab w:val="left" w:pos="7560"/>
      </w:tabs>
      <w:jc w:val="both"/>
      <w:rPr>
        <w:sz w:val="20"/>
        <w:szCs w:val="20"/>
      </w:rPr>
    </w:pPr>
    <w:r w:rsidRPr="00E65C7A">
      <w:rPr>
        <w:sz w:val="20"/>
        <w:szCs w:val="20"/>
      </w:rPr>
      <w:t>TManot_</w:t>
    </w:r>
    <w:r>
      <w:rPr>
        <w:sz w:val="20"/>
        <w:szCs w:val="20"/>
      </w:rPr>
      <w:t>2</w:t>
    </w:r>
    <w:r w:rsidR="00B8297F">
      <w:rPr>
        <w:sz w:val="20"/>
        <w:szCs w:val="20"/>
      </w:rPr>
      <w:t>7</w:t>
    </w:r>
    <w:r>
      <w:rPr>
        <w:sz w:val="20"/>
        <w:szCs w:val="20"/>
      </w:rPr>
      <w:t>0411</w:t>
    </w:r>
    <w:r w:rsidRPr="00E65C7A">
      <w:rPr>
        <w:sz w:val="20"/>
        <w:szCs w:val="20"/>
      </w:rPr>
      <w:t>_</w:t>
    </w:r>
    <w:r>
      <w:rPr>
        <w:sz w:val="20"/>
        <w:szCs w:val="20"/>
      </w:rPr>
      <w:t>ierobezotais</w:t>
    </w:r>
    <w:r w:rsidRPr="00E65C7A">
      <w:rPr>
        <w:sz w:val="20"/>
        <w:szCs w:val="20"/>
      </w:rPr>
      <w:t xml:space="preserve">; </w:t>
    </w:r>
    <w:bookmarkStart w:id="2" w:name="OLE_LINK3"/>
    <w:bookmarkStart w:id="3" w:name="OLE_LINK4"/>
    <w:bookmarkStart w:id="4" w:name="OLE_LINK5"/>
    <w:r w:rsidRPr="00E65C7A">
      <w:rPr>
        <w:bCs/>
        <w:sz w:val="20"/>
        <w:szCs w:val="20"/>
      </w:rPr>
      <w:t xml:space="preserve">Ministru kabineta noteikumu projekta </w:t>
    </w:r>
    <w:r w:rsidRPr="006036F5">
      <w:rPr>
        <w:bCs/>
        <w:sz w:val="20"/>
        <w:szCs w:val="20"/>
      </w:rPr>
      <w:t xml:space="preserve">„Noteikumi par Eiropas Trešo valstu valstspiederīgo integrācijas fonda 2009. gada programmas 1.7. aktivitātes „ Izglītojošo un sabiedrības informēšanas kampaņu, īpaši masu medijos, realizēšana par imigrāciju un iespējamiem sabiedrības ieguvumiem” īstenošanu” </w:t>
    </w:r>
    <w:r w:rsidRPr="006036F5">
      <w:rPr>
        <w:sz w:val="20"/>
        <w:szCs w:val="20"/>
      </w:rPr>
      <w:t>sākotnējā</w:t>
    </w:r>
    <w:r w:rsidRPr="00E65C7A">
      <w:rPr>
        <w:sz w:val="20"/>
        <w:szCs w:val="20"/>
      </w:rPr>
      <w:t>s ietekmes novērtējuma ziņojums</w:t>
    </w:r>
    <w:r>
      <w:rPr>
        <w:sz w:val="20"/>
        <w:szCs w:val="20"/>
      </w:rPr>
      <w:t xml:space="preserve"> (anotācija)</w:t>
    </w:r>
    <w:bookmarkEnd w:id="2"/>
    <w:bookmarkEnd w:id="3"/>
    <w:bookmarkEnd w:id="4"/>
  </w:p>
  <w:p w:rsidR="00251949" w:rsidRPr="00D62453" w:rsidRDefault="00251949" w:rsidP="00D62453">
    <w:pPr>
      <w:pStyle w:val="Kjene"/>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49" w:rsidRPr="00E65C7A" w:rsidRDefault="00251949" w:rsidP="008D4A95">
    <w:pPr>
      <w:jc w:val="both"/>
      <w:rPr>
        <w:sz w:val="20"/>
        <w:szCs w:val="20"/>
      </w:rPr>
    </w:pPr>
    <w:r w:rsidRPr="00E65C7A">
      <w:rPr>
        <w:sz w:val="20"/>
        <w:szCs w:val="20"/>
      </w:rPr>
      <w:t>TManot_</w:t>
    </w:r>
    <w:r>
      <w:rPr>
        <w:sz w:val="20"/>
        <w:szCs w:val="20"/>
      </w:rPr>
      <w:t>2</w:t>
    </w:r>
    <w:r w:rsidR="00B8297F">
      <w:rPr>
        <w:sz w:val="20"/>
        <w:szCs w:val="20"/>
      </w:rPr>
      <w:t>7</w:t>
    </w:r>
    <w:r>
      <w:rPr>
        <w:sz w:val="20"/>
        <w:szCs w:val="20"/>
      </w:rPr>
      <w:t>0411</w:t>
    </w:r>
    <w:r w:rsidRPr="00E65C7A">
      <w:rPr>
        <w:sz w:val="20"/>
        <w:szCs w:val="20"/>
      </w:rPr>
      <w:t>_</w:t>
    </w:r>
    <w:r>
      <w:rPr>
        <w:sz w:val="20"/>
        <w:szCs w:val="20"/>
      </w:rPr>
      <w:t>ierobezotais</w:t>
    </w:r>
    <w:r w:rsidRPr="00E65C7A">
      <w:rPr>
        <w:sz w:val="20"/>
        <w:szCs w:val="20"/>
      </w:rPr>
      <w:t xml:space="preserve">; </w:t>
    </w:r>
    <w:r w:rsidRPr="00E65C7A">
      <w:rPr>
        <w:bCs/>
        <w:sz w:val="20"/>
        <w:szCs w:val="20"/>
      </w:rPr>
      <w:t xml:space="preserve">Ministru kabineta noteikumu projekta </w:t>
    </w:r>
    <w:r w:rsidRPr="006036F5">
      <w:rPr>
        <w:bCs/>
        <w:sz w:val="20"/>
        <w:szCs w:val="20"/>
      </w:rPr>
      <w:t xml:space="preserve">„Noteikumi par Eiropas Trešo valstu valstspiederīgo integrācijas fonda 2009. gada programmas 1.7. aktivitātes „ Izglītojošo un sabiedrības informēšanas kampaņu, īpaši masu medijos, realizēšana par imigrāciju un iespējamiem sabiedrības ieguvumiem” īstenošanu” </w:t>
    </w:r>
    <w:r w:rsidRPr="006036F5">
      <w:rPr>
        <w:sz w:val="20"/>
        <w:szCs w:val="20"/>
      </w:rPr>
      <w:t>sākotnējā</w:t>
    </w:r>
    <w:r w:rsidRPr="00E65C7A">
      <w:rPr>
        <w:sz w:val="20"/>
        <w:szCs w:val="20"/>
      </w:rPr>
      <w:t>s ietekmes novērtējuma ziņojums</w:t>
    </w:r>
    <w:r>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2C8" w:rsidRDefault="000472C8">
      <w:r>
        <w:separator/>
      </w:r>
    </w:p>
  </w:footnote>
  <w:footnote w:type="continuationSeparator" w:id="0">
    <w:p w:rsidR="000472C8" w:rsidRDefault="00047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49" w:rsidRDefault="001D49C4" w:rsidP="009A0416">
    <w:pPr>
      <w:pStyle w:val="Galvene"/>
      <w:framePr w:wrap="around" w:vAnchor="text" w:hAnchor="margin" w:xAlign="center" w:y="1"/>
      <w:rPr>
        <w:rStyle w:val="Lappusesnumurs"/>
      </w:rPr>
    </w:pPr>
    <w:r>
      <w:rPr>
        <w:rStyle w:val="Lappusesnumurs"/>
      </w:rPr>
      <w:fldChar w:fldCharType="begin"/>
    </w:r>
    <w:r w:rsidR="00251949">
      <w:rPr>
        <w:rStyle w:val="Lappusesnumurs"/>
      </w:rPr>
      <w:instrText xml:space="preserve">PAGE  </w:instrText>
    </w:r>
    <w:r>
      <w:rPr>
        <w:rStyle w:val="Lappusesnumurs"/>
      </w:rPr>
      <w:fldChar w:fldCharType="end"/>
    </w:r>
  </w:p>
  <w:p w:rsidR="00251949" w:rsidRDefault="0025194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49" w:rsidRPr="00DB073B" w:rsidRDefault="001D49C4" w:rsidP="009A0416">
    <w:pPr>
      <w:pStyle w:val="Galvene"/>
      <w:framePr w:wrap="around" w:vAnchor="text" w:hAnchor="margin" w:xAlign="center" w:y="1"/>
      <w:rPr>
        <w:rStyle w:val="Lappusesnumurs"/>
        <w:sz w:val="20"/>
        <w:szCs w:val="20"/>
      </w:rPr>
    </w:pPr>
    <w:r w:rsidRPr="00DB073B">
      <w:rPr>
        <w:rStyle w:val="Lappusesnumurs"/>
        <w:sz w:val="20"/>
        <w:szCs w:val="20"/>
      </w:rPr>
      <w:fldChar w:fldCharType="begin"/>
    </w:r>
    <w:r w:rsidR="00251949" w:rsidRPr="00DB073B">
      <w:rPr>
        <w:rStyle w:val="Lappusesnumurs"/>
        <w:sz w:val="20"/>
        <w:szCs w:val="20"/>
      </w:rPr>
      <w:instrText xml:space="preserve">PAGE  </w:instrText>
    </w:r>
    <w:r w:rsidRPr="00DB073B">
      <w:rPr>
        <w:rStyle w:val="Lappusesnumurs"/>
        <w:sz w:val="20"/>
        <w:szCs w:val="20"/>
      </w:rPr>
      <w:fldChar w:fldCharType="separate"/>
    </w:r>
    <w:r w:rsidR="00B8297F">
      <w:rPr>
        <w:rStyle w:val="Lappusesnumurs"/>
        <w:noProof/>
        <w:sz w:val="20"/>
        <w:szCs w:val="20"/>
      </w:rPr>
      <w:t>7</w:t>
    </w:r>
    <w:r w:rsidRPr="00DB073B">
      <w:rPr>
        <w:rStyle w:val="Lappusesnumurs"/>
        <w:sz w:val="20"/>
        <w:szCs w:val="20"/>
      </w:rPr>
      <w:fldChar w:fldCharType="end"/>
    </w:r>
  </w:p>
  <w:p w:rsidR="00251949" w:rsidRDefault="0025194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A1D65"/>
    <w:multiLevelType w:val="multilevel"/>
    <w:tmpl w:val="E5D47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4E1C00"/>
    <w:multiLevelType w:val="hybridMultilevel"/>
    <w:tmpl w:val="4866E94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C712DF9"/>
    <w:multiLevelType w:val="hybridMultilevel"/>
    <w:tmpl w:val="BCF0B57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34560AF4"/>
    <w:multiLevelType w:val="hybridMultilevel"/>
    <w:tmpl w:val="02584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6BF065E"/>
    <w:multiLevelType w:val="multilevel"/>
    <w:tmpl w:val="0426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B4F774A"/>
    <w:multiLevelType w:val="hybridMultilevel"/>
    <w:tmpl w:val="334C75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3C750BDE"/>
    <w:multiLevelType w:val="hybridMultilevel"/>
    <w:tmpl w:val="A454AB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19116AC"/>
    <w:multiLevelType w:val="multilevel"/>
    <w:tmpl w:val="039E1B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74B16934"/>
    <w:multiLevelType w:val="multilevel"/>
    <w:tmpl w:val="866C6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E578A2"/>
    <w:rsid w:val="00013A33"/>
    <w:rsid w:val="00016508"/>
    <w:rsid w:val="00020109"/>
    <w:rsid w:val="00020D81"/>
    <w:rsid w:val="00033C0D"/>
    <w:rsid w:val="000427FA"/>
    <w:rsid w:val="000438C4"/>
    <w:rsid w:val="000472C8"/>
    <w:rsid w:val="000570C3"/>
    <w:rsid w:val="000643DF"/>
    <w:rsid w:val="000771CB"/>
    <w:rsid w:val="00096D67"/>
    <w:rsid w:val="000A4F72"/>
    <w:rsid w:val="000B5DD2"/>
    <w:rsid w:val="000D58CC"/>
    <w:rsid w:val="000E2AD6"/>
    <w:rsid w:val="000E6441"/>
    <w:rsid w:val="000F02A1"/>
    <w:rsid w:val="000F1448"/>
    <w:rsid w:val="00120E1A"/>
    <w:rsid w:val="001301FF"/>
    <w:rsid w:val="00133447"/>
    <w:rsid w:val="001917EC"/>
    <w:rsid w:val="00192950"/>
    <w:rsid w:val="001A2E99"/>
    <w:rsid w:val="001A4A7E"/>
    <w:rsid w:val="001B654B"/>
    <w:rsid w:val="001D0160"/>
    <w:rsid w:val="001D49C4"/>
    <w:rsid w:val="001D7C06"/>
    <w:rsid w:val="001E4E14"/>
    <w:rsid w:val="001F52EE"/>
    <w:rsid w:val="00202B75"/>
    <w:rsid w:val="00216E78"/>
    <w:rsid w:val="00221EF1"/>
    <w:rsid w:val="00226672"/>
    <w:rsid w:val="002400B5"/>
    <w:rsid w:val="00250B22"/>
    <w:rsid w:val="00251949"/>
    <w:rsid w:val="002674C3"/>
    <w:rsid w:val="00286EC4"/>
    <w:rsid w:val="00292BCB"/>
    <w:rsid w:val="002A1419"/>
    <w:rsid w:val="002A55BD"/>
    <w:rsid w:val="002B7950"/>
    <w:rsid w:val="002C68A8"/>
    <w:rsid w:val="002D7BCB"/>
    <w:rsid w:val="002F0E15"/>
    <w:rsid w:val="002F144D"/>
    <w:rsid w:val="002F2C39"/>
    <w:rsid w:val="002F62AA"/>
    <w:rsid w:val="002F6DA9"/>
    <w:rsid w:val="002F7AC8"/>
    <w:rsid w:val="00304C16"/>
    <w:rsid w:val="00311EC5"/>
    <w:rsid w:val="00320597"/>
    <w:rsid w:val="00352DA1"/>
    <w:rsid w:val="00363E7D"/>
    <w:rsid w:val="003649B4"/>
    <w:rsid w:val="00385AC3"/>
    <w:rsid w:val="00396C98"/>
    <w:rsid w:val="003A667C"/>
    <w:rsid w:val="003A6F57"/>
    <w:rsid w:val="003B1E24"/>
    <w:rsid w:val="003B6286"/>
    <w:rsid w:val="003C1E3E"/>
    <w:rsid w:val="003C662F"/>
    <w:rsid w:val="003D6E9C"/>
    <w:rsid w:val="003E2158"/>
    <w:rsid w:val="003E306C"/>
    <w:rsid w:val="003E38EE"/>
    <w:rsid w:val="0040153A"/>
    <w:rsid w:val="00406078"/>
    <w:rsid w:val="00420FF9"/>
    <w:rsid w:val="004322CC"/>
    <w:rsid w:val="00437828"/>
    <w:rsid w:val="0046389D"/>
    <w:rsid w:val="00491203"/>
    <w:rsid w:val="004A232B"/>
    <w:rsid w:val="004B6AFC"/>
    <w:rsid w:val="004C71B9"/>
    <w:rsid w:val="004E31DE"/>
    <w:rsid w:val="004E60BF"/>
    <w:rsid w:val="004F2064"/>
    <w:rsid w:val="00511BA3"/>
    <w:rsid w:val="0051772A"/>
    <w:rsid w:val="00520197"/>
    <w:rsid w:val="005708C0"/>
    <w:rsid w:val="0059509A"/>
    <w:rsid w:val="005A0A9E"/>
    <w:rsid w:val="005A248E"/>
    <w:rsid w:val="005A5426"/>
    <w:rsid w:val="005B3606"/>
    <w:rsid w:val="005D5CB3"/>
    <w:rsid w:val="005E2B9F"/>
    <w:rsid w:val="005E7A49"/>
    <w:rsid w:val="006036F5"/>
    <w:rsid w:val="00612CD7"/>
    <w:rsid w:val="0063238D"/>
    <w:rsid w:val="00635187"/>
    <w:rsid w:val="006420E2"/>
    <w:rsid w:val="00643C1D"/>
    <w:rsid w:val="0064700B"/>
    <w:rsid w:val="00654ABB"/>
    <w:rsid w:val="00662076"/>
    <w:rsid w:val="00663FC7"/>
    <w:rsid w:val="006664B2"/>
    <w:rsid w:val="0069200A"/>
    <w:rsid w:val="006971A9"/>
    <w:rsid w:val="006972C0"/>
    <w:rsid w:val="006C0AC7"/>
    <w:rsid w:val="006C2536"/>
    <w:rsid w:val="006C5F71"/>
    <w:rsid w:val="006D0F45"/>
    <w:rsid w:val="006D2E87"/>
    <w:rsid w:val="006D6A31"/>
    <w:rsid w:val="006F0332"/>
    <w:rsid w:val="00700E0A"/>
    <w:rsid w:val="00704AAC"/>
    <w:rsid w:val="00713830"/>
    <w:rsid w:val="00717AA2"/>
    <w:rsid w:val="0073594F"/>
    <w:rsid w:val="00741069"/>
    <w:rsid w:val="00756B83"/>
    <w:rsid w:val="00760821"/>
    <w:rsid w:val="00767C25"/>
    <w:rsid w:val="00777DC5"/>
    <w:rsid w:val="007820DA"/>
    <w:rsid w:val="00784F05"/>
    <w:rsid w:val="007921D3"/>
    <w:rsid w:val="00794157"/>
    <w:rsid w:val="007A588F"/>
    <w:rsid w:val="007B2E74"/>
    <w:rsid w:val="007B4D60"/>
    <w:rsid w:val="007C3430"/>
    <w:rsid w:val="007D3559"/>
    <w:rsid w:val="007E3F87"/>
    <w:rsid w:val="007E6124"/>
    <w:rsid w:val="007F3560"/>
    <w:rsid w:val="00802366"/>
    <w:rsid w:val="00813120"/>
    <w:rsid w:val="0081344F"/>
    <w:rsid w:val="00814A6B"/>
    <w:rsid w:val="00832B26"/>
    <w:rsid w:val="0084753C"/>
    <w:rsid w:val="008573F4"/>
    <w:rsid w:val="00864BBE"/>
    <w:rsid w:val="00887CD0"/>
    <w:rsid w:val="008B4A40"/>
    <w:rsid w:val="008B696F"/>
    <w:rsid w:val="008C1BF2"/>
    <w:rsid w:val="008C3932"/>
    <w:rsid w:val="008D4A95"/>
    <w:rsid w:val="008D4B40"/>
    <w:rsid w:val="008E1A37"/>
    <w:rsid w:val="008E5C7F"/>
    <w:rsid w:val="008E675D"/>
    <w:rsid w:val="008F2796"/>
    <w:rsid w:val="008F5A36"/>
    <w:rsid w:val="00911C50"/>
    <w:rsid w:val="00926A2B"/>
    <w:rsid w:val="0093705B"/>
    <w:rsid w:val="00946C37"/>
    <w:rsid w:val="0095730F"/>
    <w:rsid w:val="009626B9"/>
    <w:rsid w:val="00966B7E"/>
    <w:rsid w:val="00992DA6"/>
    <w:rsid w:val="00993F9F"/>
    <w:rsid w:val="00995419"/>
    <w:rsid w:val="009A0416"/>
    <w:rsid w:val="009A131C"/>
    <w:rsid w:val="009D0F74"/>
    <w:rsid w:val="009E00D9"/>
    <w:rsid w:val="009E032D"/>
    <w:rsid w:val="009E4817"/>
    <w:rsid w:val="009F4973"/>
    <w:rsid w:val="009F6423"/>
    <w:rsid w:val="009F67F9"/>
    <w:rsid w:val="009F795E"/>
    <w:rsid w:val="00A25F62"/>
    <w:rsid w:val="00A330ED"/>
    <w:rsid w:val="00A36847"/>
    <w:rsid w:val="00A52B6D"/>
    <w:rsid w:val="00A56532"/>
    <w:rsid w:val="00A567B2"/>
    <w:rsid w:val="00A73C41"/>
    <w:rsid w:val="00A7403F"/>
    <w:rsid w:val="00A773AF"/>
    <w:rsid w:val="00A80B79"/>
    <w:rsid w:val="00AC07B8"/>
    <w:rsid w:val="00AC2D20"/>
    <w:rsid w:val="00AD019E"/>
    <w:rsid w:val="00AE5962"/>
    <w:rsid w:val="00AF47EC"/>
    <w:rsid w:val="00B103FF"/>
    <w:rsid w:val="00B10E56"/>
    <w:rsid w:val="00B11E40"/>
    <w:rsid w:val="00B13BF5"/>
    <w:rsid w:val="00B154B9"/>
    <w:rsid w:val="00B2029C"/>
    <w:rsid w:val="00B35F61"/>
    <w:rsid w:val="00B474F7"/>
    <w:rsid w:val="00B50A5F"/>
    <w:rsid w:val="00B62E9C"/>
    <w:rsid w:val="00B8297F"/>
    <w:rsid w:val="00BA35B4"/>
    <w:rsid w:val="00BA7BDF"/>
    <w:rsid w:val="00BB026F"/>
    <w:rsid w:val="00BB7327"/>
    <w:rsid w:val="00BD1C49"/>
    <w:rsid w:val="00BF1E58"/>
    <w:rsid w:val="00BF20D8"/>
    <w:rsid w:val="00BF3CD6"/>
    <w:rsid w:val="00BF53F5"/>
    <w:rsid w:val="00BF5B6C"/>
    <w:rsid w:val="00C012E5"/>
    <w:rsid w:val="00C12EB4"/>
    <w:rsid w:val="00C22477"/>
    <w:rsid w:val="00C467C7"/>
    <w:rsid w:val="00C61091"/>
    <w:rsid w:val="00C73852"/>
    <w:rsid w:val="00C81EEF"/>
    <w:rsid w:val="00C87829"/>
    <w:rsid w:val="00C945CC"/>
    <w:rsid w:val="00CA5870"/>
    <w:rsid w:val="00CC666F"/>
    <w:rsid w:val="00CF06D3"/>
    <w:rsid w:val="00CF5C22"/>
    <w:rsid w:val="00D14F0C"/>
    <w:rsid w:val="00D62453"/>
    <w:rsid w:val="00D63946"/>
    <w:rsid w:val="00D70A2F"/>
    <w:rsid w:val="00D97244"/>
    <w:rsid w:val="00DA530F"/>
    <w:rsid w:val="00DA6612"/>
    <w:rsid w:val="00DD0B9A"/>
    <w:rsid w:val="00DD4F32"/>
    <w:rsid w:val="00DD7074"/>
    <w:rsid w:val="00DE7B2E"/>
    <w:rsid w:val="00DF7839"/>
    <w:rsid w:val="00E00E66"/>
    <w:rsid w:val="00E07412"/>
    <w:rsid w:val="00E32DB0"/>
    <w:rsid w:val="00E33F93"/>
    <w:rsid w:val="00E578A2"/>
    <w:rsid w:val="00E65C7A"/>
    <w:rsid w:val="00E83F89"/>
    <w:rsid w:val="00E84A16"/>
    <w:rsid w:val="00EA30DF"/>
    <w:rsid w:val="00EB52F0"/>
    <w:rsid w:val="00EC4778"/>
    <w:rsid w:val="00ED1E6E"/>
    <w:rsid w:val="00EF03E4"/>
    <w:rsid w:val="00EF146F"/>
    <w:rsid w:val="00EF4848"/>
    <w:rsid w:val="00F04365"/>
    <w:rsid w:val="00F10487"/>
    <w:rsid w:val="00F166F1"/>
    <w:rsid w:val="00F238BB"/>
    <w:rsid w:val="00F3051D"/>
    <w:rsid w:val="00F313B1"/>
    <w:rsid w:val="00F33F32"/>
    <w:rsid w:val="00F44E1B"/>
    <w:rsid w:val="00F61287"/>
    <w:rsid w:val="00FA6579"/>
    <w:rsid w:val="00FA6A64"/>
    <w:rsid w:val="00FB01E5"/>
    <w:rsid w:val="00FD7145"/>
    <w:rsid w:val="00FE0DC9"/>
    <w:rsid w:val="00FF043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E578A2"/>
    <w:rPr>
      <w:sz w:val="24"/>
      <w:szCs w:val="24"/>
    </w:rPr>
  </w:style>
  <w:style w:type="paragraph" w:styleId="Virsraksts4">
    <w:name w:val="heading 4"/>
    <w:basedOn w:val="Parastais"/>
    <w:next w:val="Parastais"/>
    <w:qFormat/>
    <w:rsid w:val="001A4A7E"/>
    <w:pPr>
      <w:keepNext/>
      <w:ind w:left="7200"/>
      <w:jc w:val="both"/>
      <w:outlineLvl w:val="3"/>
    </w:pPr>
    <w:rPr>
      <w:sz w:val="28"/>
      <w:szCs w:val="20"/>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E578A2"/>
    <w:pPr>
      <w:tabs>
        <w:tab w:val="center" w:pos="4153"/>
        <w:tab w:val="right" w:pos="8306"/>
      </w:tabs>
    </w:pPr>
  </w:style>
  <w:style w:type="character" w:styleId="Lappusesnumurs">
    <w:name w:val="page number"/>
    <w:basedOn w:val="Noklusjumarindkopasfonts"/>
    <w:rsid w:val="00E578A2"/>
  </w:style>
  <w:style w:type="paragraph" w:customStyle="1" w:styleId="naisf">
    <w:name w:val="naisf"/>
    <w:basedOn w:val="Parastais"/>
    <w:rsid w:val="00E578A2"/>
    <w:pPr>
      <w:spacing w:before="75" w:after="75"/>
      <w:ind w:firstLine="375"/>
      <w:jc w:val="both"/>
    </w:pPr>
  </w:style>
  <w:style w:type="paragraph" w:customStyle="1" w:styleId="naisnod">
    <w:name w:val="naisnod"/>
    <w:basedOn w:val="Parastais"/>
    <w:rsid w:val="00E578A2"/>
    <w:pPr>
      <w:spacing w:before="150" w:after="150"/>
      <w:jc w:val="center"/>
    </w:pPr>
    <w:rPr>
      <w:b/>
      <w:bCs/>
    </w:rPr>
  </w:style>
  <w:style w:type="paragraph" w:customStyle="1" w:styleId="naislab">
    <w:name w:val="naislab"/>
    <w:basedOn w:val="Parastais"/>
    <w:rsid w:val="00E578A2"/>
    <w:pPr>
      <w:spacing w:before="75" w:after="75"/>
      <w:jc w:val="right"/>
    </w:pPr>
  </w:style>
  <w:style w:type="paragraph" w:customStyle="1" w:styleId="naiskr">
    <w:name w:val="naiskr"/>
    <w:basedOn w:val="Parastais"/>
    <w:rsid w:val="00E578A2"/>
    <w:pPr>
      <w:spacing w:before="75" w:after="75"/>
    </w:pPr>
  </w:style>
  <w:style w:type="table" w:styleId="Reatabula">
    <w:name w:val="Table Grid"/>
    <w:basedOn w:val="Parastatabula"/>
    <w:rsid w:val="00E57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E578A2"/>
    <w:rPr>
      <w:sz w:val="20"/>
      <w:szCs w:val="20"/>
    </w:rPr>
  </w:style>
  <w:style w:type="paragraph" w:styleId="Kjene">
    <w:name w:val="footer"/>
    <w:basedOn w:val="Parastais"/>
    <w:link w:val="KjeneRakstz"/>
    <w:rsid w:val="00E578A2"/>
    <w:pPr>
      <w:tabs>
        <w:tab w:val="center" w:pos="4153"/>
        <w:tab w:val="right" w:pos="8306"/>
      </w:tabs>
    </w:pPr>
  </w:style>
  <w:style w:type="character" w:customStyle="1" w:styleId="KjeneRakstz">
    <w:name w:val="Kājene Rakstz."/>
    <w:basedOn w:val="Noklusjumarindkopasfonts"/>
    <w:link w:val="Kjene"/>
    <w:semiHidden/>
    <w:rsid w:val="00E578A2"/>
    <w:rPr>
      <w:sz w:val="24"/>
      <w:szCs w:val="24"/>
      <w:lang w:val="lv-LV" w:eastAsia="lv-LV" w:bidi="ar-SA"/>
    </w:rPr>
  </w:style>
  <w:style w:type="paragraph" w:customStyle="1" w:styleId="Sarakstarindkopa1">
    <w:name w:val="Saraksta rindkopa1"/>
    <w:basedOn w:val="Parastais"/>
    <w:qFormat/>
    <w:rsid w:val="00E578A2"/>
    <w:pPr>
      <w:ind w:left="720"/>
      <w:contextualSpacing/>
    </w:pPr>
  </w:style>
  <w:style w:type="character" w:styleId="Hipersaite">
    <w:name w:val="Hyperlink"/>
    <w:basedOn w:val="Noklusjumarindkopasfonts"/>
    <w:rsid w:val="00AC2D20"/>
    <w:rPr>
      <w:color w:val="0000FF"/>
      <w:u w:val="single"/>
    </w:rPr>
  </w:style>
  <w:style w:type="paragraph" w:styleId="Pamatteksts">
    <w:name w:val="Body Text"/>
    <w:basedOn w:val="Parastais"/>
    <w:link w:val="PamattekstsRakstz"/>
    <w:rsid w:val="001A4A7E"/>
    <w:pPr>
      <w:jc w:val="right"/>
    </w:pPr>
    <w:rPr>
      <w:b/>
      <w:sz w:val="28"/>
      <w:szCs w:val="20"/>
      <w:lang w:eastAsia="en-US"/>
    </w:rPr>
  </w:style>
  <w:style w:type="character" w:customStyle="1" w:styleId="PamattekstsRakstz">
    <w:name w:val="Pamatteksts Rakstz."/>
    <w:basedOn w:val="Noklusjumarindkopasfonts"/>
    <w:link w:val="Pamatteksts"/>
    <w:rsid w:val="001A4A7E"/>
    <w:rPr>
      <w:b/>
      <w:sz w:val="28"/>
      <w:lang w:val="lv-LV" w:eastAsia="en-US" w:bidi="ar-SA"/>
    </w:rPr>
  </w:style>
  <w:style w:type="paragraph" w:customStyle="1" w:styleId="Rakstz">
    <w:name w:val="Rakstz."/>
    <w:basedOn w:val="Parastais"/>
    <w:semiHidden/>
    <w:rsid w:val="003B6286"/>
    <w:pPr>
      <w:spacing w:after="160" w:line="240" w:lineRule="exact"/>
    </w:pPr>
    <w:rPr>
      <w:rFonts w:ascii="Verdana" w:hAnsi="Verdana"/>
      <w:sz w:val="20"/>
      <w:szCs w:val="20"/>
    </w:rPr>
  </w:style>
  <w:style w:type="character" w:styleId="Izteiksmgs">
    <w:name w:val="Strong"/>
    <w:basedOn w:val="Noklusjumarindkopasfonts"/>
    <w:uiPriority w:val="22"/>
    <w:qFormat/>
    <w:rsid w:val="003B1E24"/>
    <w:rPr>
      <w:b/>
      <w:bCs/>
    </w:rPr>
  </w:style>
  <w:style w:type="paragraph" w:styleId="Sarakstarindkopa">
    <w:name w:val="List Paragraph"/>
    <w:basedOn w:val="Parastais"/>
    <w:uiPriority w:val="34"/>
    <w:qFormat/>
    <w:rsid w:val="005B3606"/>
    <w:pPr>
      <w:ind w:left="720"/>
      <w:contextualSpacing/>
    </w:pPr>
  </w:style>
  <w:style w:type="paragraph" w:styleId="Balonteksts">
    <w:name w:val="Balloon Text"/>
    <w:basedOn w:val="Parastais"/>
    <w:link w:val="BalontekstsRakstz"/>
    <w:rsid w:val="0051772A"/>
    <w:rPr>
      <w:rFonts w:ascii="Tahoma" w:hAnsi="Tahoma" w:cs="Tahoma"/>
      <w:sz w:val="16"/>
      <w:szCs w:val="16"/>
    </w:rPr>
  </w:style>
  <w:style w:type="character" w:customStyle="1" w:styleId="BalontekstsRakstz">
    <w:name w:val="Balonteksts Rakstz."/>
    <w:basedOn w:val="Noklusjumarindkopasfonts"/>
    <w:link w:val="Balonteksts"/>
    <w:rsid w:val="0051772A"/>
    <w:rPr>
      <w:rFonts w:ascii="Tahoma" w:hAnsi="Tahoma" w:cs="Tahoma"/>
      <w:sz w:val="16"/>
      <w:szCs w:val="16"/>
    </w:rPr>
  </w:style>
  <w:style w:type="character" w:customStyle="1" w:styleId="spelle">
    <w:name w:val="spelle"/>
    <w:basedOn w:val="Noklusjumarindkopasfonts"/>
    <w:rsid w:val="00713830"/>
  </w:style>
  <w:style w:type="paragraph" w:customStyle="1" w:styleId="tvhtml">
    <w:name w:val="tv_html"/>
    <w:basedOn w:val="Parastais"/>
    <w:rsid w:val="000570C3"/>
    <w:pPr>
      <w:spacing w:before="100" w:beforeAutospacing="1" w:after="100" w:afterAutospacing="1"/>
    </w:pPr>
    <w:rPr>
      <w:rFonts w:ascii="Verdana" w:hAnsi="Verdana"/>
      <w:sz w:val="16"/>
      <w:szCs w:val="16"/>
    </w:rPr>
  </w:style>
</w:styles>
</file>

<file path=word/webSettings.xml><?xml version="1.0" encoding="utf-8"?>
<w:webSettings xmlns:r="http://schemas.openxmlformats.org/officeDocument/2006/relationships" xmlns:w="http://schemas.openxmlformats.org/wordprocessingml/2006/main">
  <w:divs>
    <w:div w:id="1187059715">
      <w:bodyDiv w:val="1"/>
      <w:marLeft w:val="41"/>
      <w:marRight w:val="41"/>
      <w:marTop w:val="82"/>
      <w:marBottom w:val="82"/>
      <w:divBdr>
        <w:top w:val="none" w:sz="0" w:space="0" w:color="auto"/>
        <w:left w:val="none" w:sz="0" w:space="0" w:color="auto"/>
        <w:bottom w:val="none" w:sz="0" w:space="0" w:color="auto"/>
        <w:right w:val="none" w:sz="0" w:space="0" w:color="auto"/>
      </w:divBdr>
      <w:divsChild>
        <w:div w:id="2833510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ja.vimba@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6CCC-43CF-4768-AB30-6F8764B0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1567</Words>
  <Characters>10849</Characters>
  <Application>Microsoft Office Word</Application>
  <DocSecurity>0</DocSecurity>
  <Lines>90</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Eiropas Trešo valstu valstspiederīgo integrācijas fonda 2009. gada programmas 1.7. aktivitātes „ Izglītojošo un sabiedrības informēšanas kampaņu, īpaši masu medijos, realizēšana par imigrāciju un iespēja</vt:lpstr>
      <vt:lpstr>Ministru kabineta noteikumu projekta „Noteikumi par Eiropas Trešo valstu valstspiederīgo integrācijas fonda 2009. gada programmas 1.7. aktivitātes „ Izglītojošo un sabiedrības informēšanas kampaņu, īpaši masu medijos, realizēšana par imigrāciju un iespēja</vt:lpstr>
    </vt:vector>
  </TitlesOfParts>
  <Company>LM</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Eiropas Trešo valstu valstspiederīgo integrācijas fonda 2009. gada programmas 1.7. aktivitātes „ Izglītojošo un sabiedrības informēšanas kampaņu, īpaši masu medijos, realizēšana par imigrāciju un iespējamiem sabiedrības ieguvumiem” īstenošanu” sākotnējās ietekmes novērtējuma ziņojums (anotācija)</dc:title>
  <dc:subject>Ietekmes novērtējuma ziņojums (anotācija)</dc:subject>
  <dc:creator>Egija Vimba</dc:creator>
  <dc:description>67036849, egija.vimba@tm.gov.lv</dc:description>
  <cp:lastModifiedBy>ev1202</cp:lastModifiedBy>
  <cp:revision>7</cp:revision>
  <cp:lastPrinted>2011-04-21T07:03:00Z</cp:lastPrinted>
  <dcterms:created xsi:type="dcterms:W3CDTF">2011-04-21T08:07:00Z</dcterms:created>
  <dcterms:modified xsi:type="dcterms:W3CDTF">2011-04-27T08:10:00Z</dcterms:modified>
</cp:coreProperties>
</file>