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A" w:rsidRPr="00EF571E" w:rsidRDefault="003554CA" w:rsidP="00355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71E">
        <w:rPr>
          <w:rFonts w:ascii="Times New Roman" w:hAnsi="Times New Roman" w:cs="Times New Roman"/>
          <w:sz w:val="28"/>
          <w:szCs w:val="28"/>
        </w:rPr>
        <w:t>Likumprojekts</w:t>
      </w:r>
    </w:p>
    <w:p w:rsidR="003554CA" w:rsidRPr="00EF571E" w:rsidRDefault="003554CA" w:rsidP="00355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4CA" w:rsidRPr="00EF571E" w:rsidRDefault="003554CA" w:rsidP="003554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54CA" w:rsidRPr="00EF571E" w:rsidRDefault="003554CA" w:rsidP="00AD5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Grozījums</w:t>
      </w:r>
      <w:r w:rsidRPr="00EF57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Paziņošanas likumā</w:t>
      </w:r>
    </w:p>
    <w:p w:rsidR="003554CA" w:rsidRPr="00EF571E" w:rsidRDefault="003554CA" w:rsidP="00AD5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4CA" w:rsidRPr="00EF571E" w:rsidRDefault="003554CA" w:rsidP="00AD5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4CA" w:rsidRDefault="003554CA" w:rsidP="00AD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71E">
        <w:rPr>
          <w:rFonts w:ascii="Times New Roman" w:hAnsi="Times New Roman" w:cs="Times New Roman"/>
          <w:sz w:val="28"/>
          <w:szCs w:val="28"/>
        </w:rPr>
        <w:t xml:space="preserve">Izdarīt </w:t>
      </w:r>
      <w:r>
        <w:rPr>
          <w:rFonts w:ascii="Times New Roman" w:hAnsi="Times New Roman" w:cs="Times New Roman"/>
          <w:sz w:val="28"/>
          <w:szCs w:val="28"/>
        </w:rPr>
        <w:t xml:space="preserve">Paziņošanas likumā </w:t>
      </w:r>
      <w:r w:rsidR="00BB3248" w:rsidRPr="00BB3248">
        <w:rPr>
          <w:rFonts w:ascii="Times New Roman" w:hAnsi="Times New Roman" w:cs="Times New Roman"/>
          <w:sz w:val="28"/>
          <w:szCs w:val="28"/>
        </w:rPr>
        <w:t>(</w:t>
      </w:r>
      <w:r w:rsidR="00BB3248">
        <w:rPr>
          <w:rFonts w:ascii="Times New Roman" w:hAnsi="Times New Roman" w:cs="Times New Roman"/>
          <w:sz w:val="28"/>
          <w:szCs w:val="28"/>
        </w:rPr>
        <w:t>Latvijas Vēstnesis, 2010, 102 (4294)</w:t>
      </w:r>
      <w:r w:rsidR="00742555">
        <w:rPr>
          <w:rFonts w:ascii="Times New Roman" w:hAnsi="Times New Roman" w:cs="Times New Roman"/>
          <w:sz w:val="28"/>
          <w:szCs w:val="28"/>
        </w:rPr>
        <w:t xml:space="preserve"> </w:t>
      </w:r>
      <w:r w:rsidR="00BB3248" w:rsidRPr="00BB3248">
        <w:rPr>
          <w:rFonts w:ascii="Times New Roman" w:hAnsi="Times New Roman" w:cs="Times New Roman"/>
          <w:sz w:val="28"/>
          <w:szCs w:val="28"/>
        </w:rPr>
        <w:t>nr.)</w:t>
      </w:r>
      <w:r w:rsidR="00742555">
        <w:t xml:space="preserve"> </w:t>
      </w:r>
      <w:r>
        <w:rPr>
          <w:rFonts w:ascii="Times New Roman" w:hAnsi="Times New Roman" w:cs="Times New Roman"/>
          <w:sz w:val="28"/>
          <w:szCs w:val="28"/>
        </w:rPr>
        <w:t>šādu grozījumu</w:t>
      </w:r>
      <w:r w:rsidRPr="00EF571E">
        <w:rPr>
          <w:rFonts w:ascii="Times New Roman" w:hAnsi="Times New Roman" w:cs="Times New Roman"/>
          <w:sz w:val="28"/>
          <w:szCs w:val="28"/>
        </w:rPr>
        <w:t>:</w:t>
      </w:r>
    </w:p>
    <w:p w:rsidR="003554CA" w:rsidRDefault="0032125B" w:rsidP="00AD5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Izteikt 1. panta otro daļu šādā redakcijā:</w:t>
      </w:r>
    </w:p>
    <w:p w:rsidR="0032125B" w:rsidRPr="0032125B" w:rsidRDefault="0032125B" w:rsidP="00AD5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2125B">
        <w:rPr>
          <w:rFonts w:ascii="Times New Roman" w:hAnsi="Times New Roman" w:cs="Times New Roman"/>
          <w:sz w:val="28"/>
          <w:szCs w:val="28"/>
        </w:rPr>
        <w:t>„</w:t>
      </w:r>
      <w:r w:rsidRPr="00A220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(2) Par iestādi šā likumā izpratnē uzskata arī tiesu administratīvajā </w:t>
      </w:r>
      <w:r w:rsidRPr="00573228">
        <w:rPr>
          <w:rFonts w:ascii="Times New Roman" w:eastAsia="Times New Roman" w:hAnsi="Times New Roman" w:cs="Times New Roman"/>
          <w:sz w:val="28"/>
          <w:szCs w:val="28"/>
          <w:lang w:eastAsia="lv-LV"/>
        </w:rPr>
        <w:t>procesā</w:t>
      </w:r>
      <w:r w:rsidR="00A9620F" w:rsidRPr="00573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tiesu </w:t>
      </w:r>
      <w:r w:rsidR="00441646" w:rsidRPr="00573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(tiesnesi) </w:t>
      </w:r>
      <w:r w:rsidR="00A9620F" w:rsidRPr="00573228">
        <w:rPr>
          <w:rFonts w:ascii="Times New Roman" w:eastAsia="Times New Roman" w:hAnsi="Times New Roman" w:cs="Times New Roman"/>
          <w:sz w:val="28"/>
          <w:szCs w:val="28"/>
          <w:lang w:eastAsia="lv-LV"/>
        </w:rPr>
        <w:t>administratīvā pārkāpuma</w:t>
      </w:r>
      <w:r w:rsidRPr="00573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liet</w:t>
      </w:r>
      <w:r w:rsidR="00A9620F" w:rsidRPr="0057322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573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Satversmes tiesu. Par adresātu šā likuma izpratnē uzskata privātpersonu, kurai paziņo dokumentu, citu administratīvā procesa </w:t>
      </w:r>
      <w:r w:rsidR="00A9620F" w:rsidRPr="005732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administratīvā pārkāpuma lietas </w:t>
      </w:r>
      <w:r w:rsidRPr="00573228">
        <w:rPr>
          <w:rFonts w:ascii="Times New Roman" w:eastAsia="Times New Roman" w:hAnsi="Times New Roman" w:cs="Times New Roman"/>
          <w:sz w:val="28"/>
          <w:szCs w:val="28"/>
          <w:lang w:eastAsia="lv-LV"/>
        </w:rPr>
        <w:t>dalībnieku, kas nav privātpersona</w:t>
      </w:r>
      <w:r w:rsidRPr="00A220C4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Satversmes tiesas procesā iesaistītu privātpersonu vai institūciju.</w:t>
      </w:r>
      <w:r w:rsidRPr="0032125B">
        <w:rPr>
          <w:rFonts w:ascii="Times New Roman" w:hAnsi="Times New Roman" w:cs="Times New Roman"/>
          <w:sz w:val="28"/>
          <w:szCs w:val="28"/>
        </w:rPr>
        <w:t>”</w:t>
      </w:r>
    </w:p>
    <w:p w:rsidR="00800D7E" w:rsidRDefault="00E578D3" w:rsidP="00AD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</w:t>
      </w:r>
      <w:r w:rsidR="001F445A">
        <w:rPr>
          <w:rFonts w:ascii="Times New Roman" w:hAnsi="Times New Roman" w:cs="Times New Roman"/>
          <w:sz w:val="28"/>
          <w:szCs w:val="28"/>
        </w:rPr>
        <w:t>jas spēkā 2012. gada 1. jūlijā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D7E" w:rsidRDefault="00800D7E" w:rsidP="00AD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0D7E" w:rsidRDefault="00800D7E" w:rsidP="00AD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4CA" w:rsidRPr="00EF571E" w:rsidRDefault="003554CA" w:rsidP="00AD5B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4CA" w:rsidRPr="00EF571E" w:rsidRDefault="00573228" w:rsidP="003554C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Tieslietu ministrs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554CA" w:rsidRPr="00EF571E">
        <w:rPr>
          <w:rFonts w:ascii="Times New Roman" w:hAnsi="Times New Roman" w:cs="Times New Roman"/>
          <w:bCs/>
          <w:sz w:val="28"/>
          <w:szCs w:val="28"/>
        </w:rPr>
        <w:t>A. Štokenbergs</w:t>
      </w:r>
    </w:p>
    <w:p w:rsidR="003554CA" w:rsidRPr="00EF571E" w:rsidRDefault="003554CA" w:rsidP="003554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71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554CA" w:rsidRPr="00EF571E" w:rsidRDefault="003554CA" w:rsidP="003554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54CA" w:rsidRPr="00EF571E" w:rsidRDefault="003554CA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554CA" w:rsidRPr="00EF571E" w:rsidRDefault="003554CA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554CA" w:rsidRDefault="003554CA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554CA" w:rsidRDefault="003554CA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554CA" w:rsidRDefault="003554CA" w:rsidP="00E0602E">
      <w:pPr>
        <w:pStyle w:val="naispant"/>
        <w:spacing w:before="0" w:beforeAutospacing="0" w:after="0" w:afterAutospacing="0"/>
        <w:jc w:val="both"/>
        <w:rPr>
          <w:sz w:val="28"/>
          <w:szCs w:val="28"/>
        </w:rPr>
      </w:pPr>
    </w:p>
    <w:p w:rsidR="003554CA" w:rsidRDefault="003554CA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554CA" w:rsidRDefault="003554CA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5B51" w:rsidRDefault="00AD5B51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5B51" w:rsidRDefault="00AD5B51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5B51" w:rsidRDefault="00AD5B51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5B51" w:rsidRDefault="00AD5B51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5B51" w:rsidRDefault="00AD5B51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D5B51" w:rsidRDefault="00AD5B51" w:rsidP="003554CA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554CA" w:rsidRPr="00EF571E" w:rsidRDefault="003554CA" w:rsidP="003554CA">
      <w:pPr>
        <w:pStyle w:val="naispant"/>
        <w:spacing w:before="0" w:beforeAutospacing="0" w:after="0" w:afterAutospacing="0"/>
        <w:jc w:val="both"/>
        <w:rPr>
          <w:sz w:val="28"/>
          <w:szCs w:val="28"/>
        </w:rPr>
      </w:pPr>
    </w:p>
    <w:p w:rsidR="003554CA" w:rsidRPr="00573228" w:rsidRDefault="00D61F07" w:rsidP="003554CA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16.09</w:t>
      </w:r>
      <w:r w:rsidR="003554CA" w:rsidRPr="00573228">
        <w:rPr>
          <w:rFonts w:ascii="Times New Roman" w:hAnsi="Times New Roman" w:cs="Times New Roman"/>
        </w:rPr>
        <w:t>.2011. 11:00</w:t>
      </w:r>
    </w:p>
    <w:p w:rsidR="003554CA" w:rsidRPr="00573228" w:rsidRDefault="00F7594D" w:rsidP="003554CA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</w:t>
      </w:r>
    </w:p>
    <w:p w:rsidR="003554CA" w:rsidRPr="00573228" w:rsidRDefault="003554CA" w:rsidP="003554CA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5"/>
      <w:bookmarkStart w:id="3" w:name="OLE_LINK6"/>
      <w:r w:rsidRPr="00573228">
        <w:rPr>
          <w:rFonts w:ascii="Times New Roman" w:hAnsi="Times New Roman" w:cs="Times New Roman"/>
        </w:rPr>
        <w:t>J.Gaijsa</w:t>
      </w:r>
    </w:p>
    <w:p w:rsidR="003554CA" w:rsidRPr="00573228" w:rsidRDefault="003554CA" w:rsidP="003554CA">
      <w:pPr>
        <w:pStyle w:val="Footer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bookmarkStart w:id="4" w:name="OLE_LINK3"/>
      <w:bookmarkStart w:id="5" w:name="OLE_LINK4"/>
      <w:bookmarkEnd w:id="0"/>
      <w:bookmarkEnd w:id="1"/>
      <w:r w:rsidRPr="00573228">
        <w:rPr>
          <w:rFonts w:ascii="Times New Roman" w:hAnsi="Times New Roman" w:cs="Times New Roman"/>
        </w:rPr>
        <w:t xml:space="preserve">67036909, </w:t>
      </w:r>
      <w:hyperlink r:id="rId6" w:history="1">
        <w:r w:rsidRPr="00573228">
          <w:rPr>
            <w:rStyle w:val="Hyperlink"/>
            <w:rFonts w:ascii="Times New Roman" w:hAnsi="Times New Roman" w:cs="Times New Roman"/>
          </w:rPr>
          <w:t>jolanta.gaijsa@tm.gov.lv</w:t>
        </w:r>
      </w:hyperlink>
      <w:bookmarkEnd w:id="4"/>
      <w:bookmarkEnd w:id="5"/>
    </w:p>
    <w:bookmarkEnd w:id="2"/>
    <w:bookmarkEnd w:id="3"/>
    <w:p w:rsidR="009416E7" w:rsidRDefault="009416E7"/>
    <w:sectPr w:rsidR="009416E7" w:rsidSect="003554CA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5B" w:rsidRDefault="0032125B" w:rsidP="00800D7E">
      <w:pPr>
        <w:spacing w:after="0" w:line="240" w:lineRule="auto"/>
      </w:pPr>
      <w:r>
        <w:separator/>
      </w:r>
    </w:p>
  </w:endnote>
  <w:endnote w:type="continuationSeparator" w:id="0">
    <w:p w:rsidR="0032125B" w:rsidRDefault="0032125B" w:rsidP="0080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5B" w:rsidRPr="00800D7E" w:rsidRDefault="00D61F07" w:rsidP="00800D7E">
    <w:pPr>
      <w:pStyle w:val="Footer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TMLik_1609</w:t>
    </w:r>
    <w:r w:rsidR="0032125B" w:rsidRPr="00800D7E">
      <w:rPr>
        <w:rFonts w:ascii="Times New Roman" w:hAnsi="Times New Roman" w:cs="Times New Roman"/>
      </w:rPr>
      <w:t>11_pazin; Likumprojekts „Grozījums Paziņošanas likumā”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5B" w:rsidRDefault="0032125B" w:rsidP="00800D7E">
      <w:pPr>
        <w:spacing w:after="0" w:line="240" w:lineRule="auto"/>
      </w:pPr>
      <w:r>
        <w:separator/>
      </w:r>
    </w:p>
  </w:footnote>
  <w:footnote w:type="continuationSeparator" w:id="0">
    <w:p w:rsidR="0032125B" w:rsidRDefault="0032125B" w:rsidP="0080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4CA"/>
    <w:rsid w:val="001F445A"/>
    <w:rsid w:val="002B3515"/>
    <w:rsid w:val="0032125B"/>
    <w:rsid w:val="0034050E"/>
    <w:rsid w:val="003554CA"/>
    <w:rsid w:val="0037032A"/>
    <w:rsid w:val="00384720"/>
    <w:rsid w:val="00397B39"/>
    <w:rsid w:val="003A005D"/>
    <w:rsid w:val="003D14C3"/>
    <w:rsid w:val="003F0EC8"/>
    <w:rsid w:val="00406EC9"/>
    <w:rsid w:val="00413F68"/>
    <w:rsid w:val="00441646"/>
    <w:rsid w:val="00503157"/>
    <w:rsid w:val="005324CF"/>
    <w:rsid w:val="00533F79"/>
    <w:rsid w:val="00573228"/>
    <w:rsid w:val="006248D0"/>
    <w:rsid w:val="006818F4"/>
    <w:rsid w:val="00742555"/>
    <w:rsid w:val="007A3976"/>
    <w:rsid w:val="007D3FEF"/>
    <w:rsid w:val="00800D7E"/>
    <w:rsid w:val="008872F8"/>
    <w:rsid w:val="009416E7"/>
    <w:rsid w:val="00942CA4"/>
    <w:rsid w:val="00A601FE"/>
    <w:rsid w:val="00A8565F"/>
    <w:rsid w:val="00A9620F"/>
    <w:rsid w:val="00AD5B51"/>
    <w:rsid w:val="00B00935"/>
    <w:rsid w:val="00B25034"/>
    <w:rsid w:val="00BB3248"/>
    <w:rsid w:val="00CA708F"/>
    <w:rsid w:val="00D61F07"/>
    <w:rsid w:val="00D91454"/>
    <w:rsid w:val="00E0602E"/>
    <w:rsid w:val="00E578D3"/>
    <w:rsid w:val="00EC7F51"/>
    <w:rsid w:val="00F7216D"/>
    <w:rsid w:val="00F7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35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3554CA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355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554CA"/>
  </w:style>
  <w:style w:type="paragraph" w:styleId="Header">
    <w:name w:val="header"/>
    <w:basedOn w:val="Normal"/>
    <w:link w:val="HeaderChar"/>
    <w:uiPriority w:val="99"/>
    <w:semiHidden/>
    <w:unhideWhenUsed/>
    <w:rsid w:val="00800D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anta.gaijsa@t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Paziņošanas likumā"</dc:title>
  <dc:subject>Likumprojekts</dc:subject>
  <dc:creator>Jolanta Gaijsa; TM</dc:creator>
  <cp:keywords/>
  <dc:description>jolanta.gaijsa@tm.gov.lv; 67036909</dc:description>
  <cp:lastModifiedBy>jg1501</cp:lastModifiedBy>
  <cp:revision>16</cp:revision>
  <dcterms:created xsi:type="dcterms:W3CDTF">2011-04-06T08:03:00Z</dcterms:created>
  <dcterms:modified xsi:type="dcterms:W3CDTF">2011-09-19T12:45:00Z</dcterms:modified>
</cp:coreProperties>
</file>