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E25" w:rsidRPr="005B78B3" w:rsidRDefault="00120E25" w:rsidP="00A159ED">
      <w:pPr>
        <w:pStyle w:val="naisvisr"/>
        <w:spacing w:before="0" w:after="0"/>
        <w:jc w:val="right"/>
        <w:rPr>
          <w:b w:val="0"/>
        </w:rPr>
      </w:pPr>
      <w:r w:rsidRPr="005B78B3">
        <w:rPr>
          <w:b w:val="0"/>
        </w:rPr>
        <w:t>Likumprojekts</w:t>
      </w:r>
    </w:p>
    <w:p w:rsidR="00120E25" w:rsidRPr="00A159ED" w:rsidRDefault="00120E25" w:rsidP="00A159ED">
      <w:pPr>
        <w:pStyle w:val="naisvisr"/>
        <w:spacing w:before="0" w:after="0"/>
        <w:jc w:val="right"/>
        <w:rPr>
          <w:b w:val="0"/>
          <w:i/>
        </w:rPr>
      </w:pPr>
    </w:p>
    <w:p w:rsidR="00120E25" w:rsidRPr="00A159ED" w:rsidRDefault="00120E25" w:rsidP="00A159ED">
      <w:pPr>
        <w:pStyle w:val="naiskr"/>
        <w:spacing w:before="0" w:after="0"/>
        <w:jc w:val="center"/>
        <w:rPr>
          <w:b/>
          <w:sz w:val="28"/>
          <w:szCs w:val="28"/>
        </w:rPr>
      </w:pPr>
      <w:r w:rsidRPr="00A159ED">
        <w:rPr>
          <w:b/>
          <w:sz w:val="28"/>
          <w:szCs w:val="28"/>
        </w:rPr>
        <w:t>Par 1950.gada 4.novembra Eiropas Cilvēka tiesību un pamatbrīvību aizsardzības konvencijas 13.protokolu par nāves soda pilnīgu atcelšanu</w:t>
      </w:r>
    </w:p>
    <w:p w:rsidR="00120E25" w:rsidRPr="00A159ED" w:rsidRDefault="00120E25" w:rsidP="00A159ED">
      <w:pPr>
        <w:pStyle w:val="naiskr"/>
        <w:spacing w:before="0" w:after="0"/>
        <w:jc w:val="center"/>
        <w:rPr>
          <w:b/>
          <w:sz w:val="28"/>
          <w:szCs w:val="28"/>
        </w:rPr>
      </w:pPr>
    </w:p>
    <w:p w:rsidR="00120E25" w:rsidRPr="00A159ED" w:rsidRDefault="00120E25" w:rsidP="00A159ED">
      <w:pPr>
        <w:pStyle w:val="naisf"/>
        <w:spacing w:before="0" w:after="0"/>
        <w:ind w:firstLine="709"/>
        <w:rPr>
          <w:sz w:val="28"/>
          <w:szCs w:val="28"/>
        </w:rPr>
      </w:pPr>
      <w:r w:rsidRPr="00A159ED">
        <w:rPr>
          <w:b/>
          <w:sz w:val="28"/>
          <w:szCs w:val="28"/>
        </w:rPr>
        <w:t>1.pants.</w:t>
      </w:r>
      <w:r w:rsidRPr="00A159ED">
        <w:rPr>
          <w:sz w:val="28"/>
          <w:szCs w:val="28"/>
        </w:rPr>
        <w:t xml:space="preserve"> 1950.gada 4.novembra</w:t>
      </w:r>
      <w:r w:rsidRPr="00A159ED">
        <w:rPr>
          <w:b/>
          <w:sz w:val="28"/>
          <w:szCs w:val="28"/>
        </w:rPr>
        <w:t xml:space="preserve"> </w:t>
      </w:r>
      <w:r w:rsidRPr="00A159ED">
        <w:rPr>
          <w:sz w:val="28"/>
          <w:szCs w:val="28"/>
        </w:rPr>
        <w:t>Eiropas Cilvēka tiesību un pamatbrīvību aizsardzības konvencijas 13.protokols par nāves soda pilnīgu atcelšanu (turpmāk</w:t>
      </w:r>
      <w:r>
        <w:rPr>
          <w:sz w:val="28"/>
          <w:szCs w:val="28"/>
        </w:rPr>
        <w:t> </w:t>
      </w:r>
      <w:r w:rsidRPr="00A159ED">
        <w:rPr>
          <w:sz w:val="28"/>
          <w:szCs w:val="28"/>
        </w:rPr>
        <w:t>– Protokols) ar šo likumu tiek pieņemts un apstiprināts.</w:t>
      </w:r>
    </w:p>
    <w:p w:rsidR="00120E25" w:rsidRPr="00A159ED" w:rsidRDefault="00120E25" w:rsidP="00A159ED">
      <w:pPr>
        <w:pStyle w:val="naisf"/>
        <w:spacing w:before="0" w:after="0"/>
        <w:ind w:firstLine="709"/>
        <w:rPr>
          <w:sz w:val="28"/>
          <w:szCs w:val="28"/>
        </w:rPr>
      </w:pPr>
    </w:p>
    <w:p w:rsidR="00120E25" w:rsidRPr="00A159ED" w:rsidRDefault="00120E25" w:rsidP="00A159ED">
      <w:pPr>
        <w:pStyle w:val="naisf"/>
        <w:spacing w:before="0" w:after="0"/>
        <w:ind w:firstLine="709"/>
        <w:rPr>
          <w:sz w:val="28"/>
          <w:szCs w:val="28"/>
        </w:rPr>
      </w:pPr>
      <w:r w:rsidRPr="00A159ED">
        <w:rPr>
          <w:b/>
          <w:sz w:val="28"/>
          <w:szCs w:val="28"/>
        </w:rPr>
        <w:t>2.pants.</w:t>
      </w:r>
      <w:r w:rsidRPr="00A159ED">
        <w:rPr>
          <w:sz w:val="28"/>
          <w:szCs w:val="28"/>
        </w:rPr>
        <w:t xml:space="preserve"> Protokols stājas spēkā tā 7.panta noteiktajā kārtībā, un Ārlietu ministrija par to paziņo </w:t>
      </w:r>
      <w:r>
        <w:rPr>
          <w:sz w:val="28"/>
          <w:szCs w:val="28"/>
        </w:rPr>
        <w:t>laikrakstā "Latvijas Vēstnesis"</w:t>
      </w:r>
      <w:r w:rsidRPr="00A159ED">
        <w:rPr>
          <w:sz w:val="28"/>
          <w:szCs w:val="28"/>
        </w:rPr>
        <w:t>.</w:t>
      </w:r>
    </w:p>
    <w:p w:rsidR="00120E25" w:rsidRPr="00A159ED" w:rsidRDefault="00120E25" w:rsidP="00A159ED">
      <w:pPr>
        <w:pStyle w:val="naisf"/>
        <w:spacing w:before="0" w:after="0"/>
        <w:ind w:firstLine="709"/>
        <w:rPr>
          <w:sz w:val="28"/>
          <w:szCs w:val="28"/>
        </w:rPr>
      </w:pPr>
    </w:p>
    <w:p w:rsidR="00120E25" w:rsidRPr="00A159ED" w:rsidRDefault="00120E25" w:rsidP="00A159ED">
      <w:pPr>
        <w:pStyle w:val="naisf"/>
        <w:spacing w:before="0" w:after="0"/>
        <w:ind w:firstLine="709"/>
        <w:rPr>
          <w:sz w:val="28"/>
          <w:szCs w:val="28"/>
        </w:rPr>
      </w:pPr>
      <w:r w:rsidRPr="00A159ED">
        <w:rPr>
          <w:b/>
          <w:sz w:val="28"/>
          <w:szCs w:val="28"/>
        </w:rPr>
        <w:t>3.pants.</w:t>
      </w:r>
      <w:r w:rsidRPr="00A159ED">
        <w:rPr>
          <w:sz w:val="28"/>
          <w:szCs w:val="28"/>
        </w:rPr>
        <w:t xml:space="preserve"> Tieslietu ministrija koordinē Protokolā paredzēto saistību izpildi.</w:t>
      </w:r>
    </w:p>
    <w:p w:rsidR="00120E25" w:rsidRPr="00A159ED" w:rsidRDefault="00120E25" w:rsidP="00A159ED">
      <w:pPr>
        <w:pStyle w:val="naisf"/>
        <w:spacing w:before="0" w:after="0"/>
        <w:ind w:firstLine="709"/>
        <w:rPr>
          <w:sz w:val="28"/>
          <w:szCs w:val="28"/>
        </w:rPr>
      </w:pPr>
    </w:p>
    <w:p w:rsidR="00120E25" w:rsidRPr="00A159ED" w:rsidRDefault="00120E25" w:rsidP="00A159ED">
      <w:pPr>
        <w:pStyle w:val="naisf"/>
        <w:spacing w:before="0" w:after="0"/>
        <w:ind w:firstLine="709"/>
        <w:rPr>
          <w:sz w:val="28"/>
          <w:szCs w:val="28"/>
        </w:rPr>
      </w:pPr>
      <w:r w:rsidRPr="00A159ED">
        <w:rPr>
          <w:b/>
          <w:sz w:val="28"/>
          <w:szCs w:val="28"/>
        </w:rPr>
        <w:t>4.pants</w:t>
      </w:r>
      <w:r>
        <w:rPr>
          <w:b/>
          <w:sz w:val="28"/>
          <w:szCs w:val="28"/>
        </w:rPr>
        <w:t>.</w:t>
      </w:r>
      <w:r w:rsidRPr="00A159ED">
        <w:rPr>
          <w:sz w:val="28"/>
          <w:szCs w:val="28"/>
        </w:rPr>
        <w:t xml:space="preserve"> Likums stājas spēkā vienlaikus ar atbilstošiem grozījumiem Krimināllikumā, Apžēlošanas likumā, Latvijas S</w:t>
      </w:r>
      <w:r>
        <w:rPr>
          <w:sz w:val="28"/>
          <w:szCs w:val="28"/>
        </w:rPr>
        <w:t>odu izpildes kodeksā un likumā "</w:t>
      </w:r>
      <w:r w:rsidRPr="00A159ED">
        <w:rPr>
          <w:sz w:val="28"/>
          <w:szCs w:val="28"/>
        </w:rPr>
        <w:t>Par Krimināllikuma spēkā stāšanās un piemērošanas</w:t>
      </w:r>
      <w:r>
        <w:rPr>
          <w:sz w:val="28"/>
          <w:szCs w:val="28"/>
        </w:rPr>
        <w:t xml:space="preserve"> kārtību"</w:t>
      </w:r>
      <w:r w:rsidRPr="00A159ED">
        <w:rPr>
          <w:sz w:val="28"/>
          <w:szCs w:val="28"/>
        </w:rPr>
        <w:t>. Līdz ar likumu izsludināms Protokols angļu valodā un tā tulkojums latviešu valodā.</w:t>
      </w:r>
    </w:p>
    <w:p w:rsidR="00120E25" w:rsidRPr="00A159ED" w:rsidRDefault="00120E25" w:rsidP="00A159ED">
      <w:pPr>
        <w:pStyle w:val="naisf"/>
        <w:spacing w:before="0" w:after="0"/>
        <w:ind w:firstLine="709"/>
        <w:rPr>
          <w:sz w:val="28"/>
          <w:szCs w:val="28"/>
        </w:rPr>
      </w:pPr>
    </w:p>
    <w:p w:rsidR="00120E25" w:rsidRDefault="00120E25" w:rsidP="00A159ED">
      <w:pPr>
        <w:pStyle w:val="naisf"/>
        <w:spacing w:before="0" w:after="0"/>
        <w:ind w:firstLine="709"/>
        <w:rPr>
          <w:sz w:val="28"/>
          <w:szCs w:val="28"/>
        </w:rPr>
      </w:pPr>
    </w:p>
    <w:p w:rsidR="00120E25" w:rsidRDefault="00120E25" w:rsidP="00A159ED">
      <w:pPr>
        <w:pStyle w:val="naisf"/>
        <w:spacing w:before="0" w:after="0"/>
        <w:ind w:firstLine="709"/>
        <w:rPr>
          <w:sz w:val="28"/>
          <w:szCs w:val="28"/>
        </w:rPr>
      </w:pPr>
    </w:p>
    <w:p w:rsidR="00120E25" w:rsidRDefault="00120E25" w:rsidP="00A159ED">
      <w:pPr>
        <w:pStyle w:val="naisf"/>
        <w:spacing w:before="0" w:after="0"/>
        <w:ind w:firstLine="709"/>
        <w:rPr>
          <w:sz w:val="28"/>
          <w:szCs w:val="28"/>
        </w:rPr>
      </w:pPr>
    </w:p>
    <w:p w:rsidR="00120E25" w:rsidRDefault="00120E25" w:rsidP="00A159ED">
      <w:pPr>
        <w:pStyle w:val="naisf"/>
        <w:spacing w:before="0" w:after="0"/>
        <w:ind w:firstLine="709"/>
        <w:rPr>
          <w:sz w:val="28"/>
          <w:szCs w:val="28"/>
        </w:rPr>
      </w:pPr>
    </w:p>
    <w:p w:rsidR="00120E25" w:rsidRDefault="00120E25" w:rsidP="00A159ED">
      <w:pPr>
        <w:pStyle w:val="naisf"/>
        <w:spacing w:before="0" w:after="0"/>
        <w:ind w:firstLine="709"/>
        <w:rPr>
          <w:sz w:val="28"/>
          <w:szCs w:val="28"/>
        </w:rPr>
      </w:pPr>
    </w:p>
    <w:p w:rsidR="00120E25" w:rsidRDefault="00120E25" w:rsidP="00A159ED">
      <w:pPr>
        <w:pStyle w:val="naisf"/>
        <w:spacing w:before="0" w:after="0"/>
        <w:ind w:firstLine="709"/>
        <w:rPr>
          <w:sz w:val="28"/>
          <w:szCs w:val="28"/>
        </w:rPr>
      </w:pPr>
    </w:p>
    <w:p w:rsidR="00120E25" w:rsidRDefault="00120E25" w:rsidP="00A159ED">
      <w:pPr>
        <w:pStyle w:val="naisf"/>
        <w:spacing w:before="0" w:after="0"/>
        <w:ind w:firstLine="709"/>
        <w:rPr>
          <w:sz w:val="28"/>
          <w:szCs w:val="28"/>
        </w:rPr>
      </w:pPr>
    </w:p>
    <w:p w:rsidR="00120E25" w:rsidRDefault="00120E25" w:rsidP="00A159ED">
      <w:pPr>
        <w:pStyle w:val="naisf"/>
        <w:spacing w:before="0" w:after="0"/>
        <w:ind w:firstLine="709"/>
        <w:rPr>
          <w:sz w:val="28"/>
          <w:szCs w:val="28"/>
        </w:rPr>
      </w:pPr>
    </w:p>
    <w:p w:rsidR="00120E25" w:rsidRDefault="00120E25" w:rsidP="00A159ED">
      <w:pPr>
        <w:pStyle w:val="naisf"/>
        <w:spacing w:before="0" w:after="0"/>
        <w:ind w:firstLine="709"/>
        <w:rPr>
          <w:sz w:val="28"/>
          <w:szCs w:val="28"/>
        </w:rPr>
      </w:pPr>
    </w:p>
    <w:p w:rsidR="00120E25" w:rsidRDefault="00120E25" w:rsidP="00A159ED">
      <w:pPr>
        <w:pStyle w:val="naisf"/>
        <w:spacing w:before="0" w:after="0"/>
        <w:ind w:firstLine="709"/>
        <w:rPr>
          <w:sz w:val="28"/>
          <w:szCs w:val="28"/>
        </w:rPr>
      </w:pPr>
    </w:p>
    <w:p w:rsidR="00120E25" w:rsidRDefault="00120E25" w:rsidP="00A159ED">
      <w:pPr>
        <w:pStyle w:val="naisf"/>
        <w:spacing w:before="0" w:after="0"/>
        <w:ind w:firstLine="709"/>
        <w:rPr>
          <w:sz w:val="28"/>
          <w:szCs w:val="28"/>
        </w:rPr>
      </w:pPr>
    </w:p>
    <w:p w:rsidR="00120E25" w:rsidRDefault="00120E25" w:rsidP="00A159ED">
      <w:pPr>
        <w:pStyle w:val="naisf"/>
        <w:spacing w:before="0" w:after="0"/>
        <w:ind w:firstLine="709"/>
        <w:rPr>
          <w:sz w:val="28"/>
          <w:szCs w:val="28"/>
        </w:rPr>
      </w:pPr>
    </w:p>
    <w:p w:rsidR="00120E25" w:rsidRPr="00A159ED" w:rsidRDefault="00120E25" w:rsidP="00A159ED">
      <w:pPr>
        <w:pStyle w:val="naisf"/>
        <w:spacing w:before="0" w:after="0"/>
        <w:ind w:firstLine="709"/>
        <w:rPr>
          <w:sz w:val="28"/>
          <w:szCs w:val="28"/>
        </w:rPr>
      </w:pPr>
    </w:p>
    <w:p w:rsidR="00120E25" w:rsidRDefault="00120E25" w:rsidP="00A159ED">
      <w:pPr>
        <w:ind w:firstLine="709"/>
        <w:rPr>
          <w:sz w:val="28"/>
          <w:szCs w:val="28"/>
        </w:rPr>
      </w:pPr>
    </w:p>
    <w:p w:rsidR="00120E25" w:rsidRDefault="00120E25" w:rsidP="00A159ED">
      <w:pPr>
        <w:ind w:firstLine="709"/>
        <w:rPr>
          <w:sz w:val="28"/>
          <w:szCs w:val="28"/>
        </w:rPr>
      </w:pPr>
    </w:p>
    <w:p w:rsidR="00120E25" w:rsidRDefault="00120E25" w:rsidP="00A159ED">
      <w:pPr>
        <w:ind w:firstLine="709"/>
        <w:rPr>
          <w:sz w:val="28"/>
          <w:szCs w:val="28"/>
        </w:rPr>
      </w:pPr>
    </w:p>
    <w:p w:rsidR="00120E25" w:rsidRDefault="00120E25" w:rsidP="00A159ED">
      <w:pPr>
        <w:ind w:firstLine="709"/>
        <w:rPr>
          <w:sz w:val="28"/>
          <w:szCs w:val="28"/>
        </w:rPr>
      </w:pPr>
    </w:p>
    <w:p w:rsidR="00120E25" w:rsidRDefault="00120E25" w:rsidP="00A159ED">
      <w:pPr>
        <w:ind w:firstLine="709"/>
        <w:rPr>
          <w:sz w:val="28"/>
          <w:szCs w:val="28"/>
        </w:rPr>
      </w:pPr>
      <w:r>
        <w:rPr>
          <w:sz w:val="28"/>
          <w:szCs w:val="28"/>
        </w:rPr>
        <w:t>Tieslietu ministrs,</w:t>
      </w:r>
    </w:p>
    <w:p w:rsidR="00120E25" w:rsidRDefault="00120E25" w:rsidP="00A159ED">
      <w:pPr>
        <w:ind w:firstLine="709"/>
        <w:rPr>
          <w:sz w:val="28"/>
          <w:szCs w:val="28"/>
        </w:rPr>
      </w:pPr>
      <w:r>
        <w:rPr>
          <w:sz w:val="28"/>
          <w:szCs w:val="28"/>
        </w:rPr>
        <w:t>iekšlietu ministra</w:t>
      </w:r>
    </w:p>
    <w:p w:rsidR="00120E25" w:rsidRDefault="00120E25" w:rsidP="00A159ED">
      <w:pPr>
        <w:ind w:firstLine="709"/>
        <w:rPr>
          <w:sz w:val="28"/>
          <w:szCs w:val="28"/>
        </w:rPr>
      </w:pPr>
      <w:r>
        <w:rPr>
          <w:sz w:val="28"/>
          <w:szCs w:val="28"/>
        </w:rPr>
        <w:t>pienākumu izpildītājs</w:t>
      </w:r>
    </w:p>
    <w:p w:rsidR="00120E25" w:rsidRPr="00A159ED" w:rsidRDefault="00120E25" w:rsidP="00A159ED">
      <w:pPr>
        <w:ind w:firstLine="709"/>
        <w:rPr>
          <w:sz w:val="28"/>
          <w:szCs w:val="28"/>
        </w:rPr>
      </w:pPr>
      <w:r w:rsidRPr="00A159ED">
        <w:rPr>
          <w:sz w:val="28"/>
          <w:szCs w:val="28"/>
        </w:rPr>
        <w:t>A.Štokenbergs</w:t>
      </w:r>
    </w:p>
    <w:sectPr w:rsidR="00120E25" w:rsidRPr="00A159ED" w:rsidSect="00917AEC">
      <w:footerReference w:type="default" r:id="rId6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0E25" w:rsidRDefault="00120E25">
      <w:r>
        <w:separator/>
      </w:r>
    </w:p>
  </w:endnote>
  <w:endnote w:type="continuationSeparator" w:id="0">
    <w:p w:rsidR="00120E25" w:rsidRDefault="00120E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E25" w:rsidRPr="005B78B3" w:rsidRDefault="00120E25">
    <w:pPr>
      <w:pStyle w:val="Footer"/>
      <w:rPr>
        <w:sz w:val="16"/>
        <w:szCs w:val="16"/>
      </w:rPr>
    </w:pPr>
    <w:r w:rsidRPr="005B78B3">
      <w:rPr>
        <w:sz w:val="16"/>
        <w:szCs w:val="16"/>
      </w:rPr>
      <w:t>L1372_1</w:t>
    </w:r>
    <w:r>
      <w:rPr>
        <w:sz w:val="16"/>
        <w:szCs w:val="16"/>
      </w:rPr>
      <w:t xml:space="preserve"> v_sk. = </w:t>
    </w:r>
    <w:fldSimple w:instr=" NUMWORDS  \* MERGEFORMAT ">
      <w:r w:rsidRPr="002F7423">
        <w:rPr>
          <w:noProof/>
          <w:sz w:val="16"/>
          <w:szCs w:val="16"/>
        </w:rPr>
        <w:t>110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0E25" w:rsidRDefault="00120E25">
      <w:r>
        <w:separator/>
      </w:r>
    </w:p>
  </w:footnote>
  <w:footnote w:type="continuationSeparator" w:id="0">
    <w:p w:rsidR="00120E25" w:rsidRDefault="00120E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2931"/>
    <w:rsid w:val="000134AC"/>
    <w:rsid w:val="0002467D"/>
    <w:rsid w:val="00027515"/>
    <w:rsid w:val="0004762A"/>
    <w:rsid w:val="000B1948"/>
    <w:rsid w:val="000C0EAC"/>
    <w:rsid w:val="00100508"/>
    <w:rsid w:val="00107FDE"/>
    <w:rsid w:val="00120E25"/>
    <w:rsid w:val="00121967"/>
    <w:rsid w:val="00135A21"/>
    <w:rsid w:val="00140228"/>
    <w:rsid w:val="00142714"/>
    <w:rsid w:val="00170BF0"/>
    <w:rsid w:val="00185D38"/>
    <w:rsid w:val="00190694"/>
    <w:rsid w:val="00195298"/>
    <w:rsid w:val="001A487C"/>
    <w:rsid w:val="001B50EC"/>
    <w:rsid w:val="002030D4"/>
    <w:rsid w:val="00234103"/>
    <w:rsid w:val="00243380"/>
    <w:rsid w:val="002509BA"/>
    <w:rsid w:val="00254A09"/>
    <w:rsid w:val="002558D8"/>
    <w:rsid w:val="00283959"/>
    <w:rsid w:val="002850F3"/>
    <w:rsid w:val="00291997"/>
    <w:rsid w:val="002A4BF5"/>
    <w:rsid w:val="002E07AE"/>
    <w:rsid w:val="002F7423"/>
    <w:rsid w:val="00312B4B"/>
    <w:rsid w:val="00363318"/>
    <w:rsid w:val="00375647"/>
    <w:rsid w:val="003A1002"/>
    <w:rsid w:val="003C3145"/>
    <w:rsid w:val="003D0FFC"/>
    <w:rsid w:val="003F3906"/>
    <w:rsid w:val="00417B74"/>
    <w:rsid w:val="00426DDF"/>
    <w:rsid w:val="00427B17"/>
    <w:rsid w:val="00431F55"/>
    <w:rsid w:val="00441677"/>
    <w:rsid w:val="00444D35"/>
    <w:rsid w:val="0046216E"/>
    <w:rsid w:val="004967A6"/>
    <w:rsid w:val="004E4952"/>
    <w:rsid w:val="00504B41"/>
    <w:rsid w:val="00542931"/>
    <w:rsid w:val="00563163"/>
    <w:rsid w:val="005644A2"/>
    <w:rsid w:val="00584436"/>
    <w:rsid w:val="005856CC"/>
    <w:rsid w:val="00590A90"/>
    <w:rsid w:val="005A1254"/>
    <w:rsid w:val="005B4348"/>
    <w:rsid w:val="005B78B3"/>
    <w:rsid w:val="005F19E2"/>
    <w:rsid w:val="00622305"/>
    <w:rsid w:val="0068046C"/>
    <w:rsid w:val="00686AEF"/>
    <w:rsid w:val="006B354E"/>
    <w:rsid w:val="006B4D9B"/>
    <w:rsid w:val="006C6B9B"/>
    <w:rsid w:val="006D52B6"/>
    <w:rsid w:val="006E2C49"/>
    <w:rsid w:val="00734E58"/>
    <w:rsid w:val="007359A1"/>
    <w:rsid w:val="0074071E"/>
    <w:rsid w:val="0074245C"/>
    <w:rsid w:val="007467B7"/>
    <w:rsid w:val="00776A6F"/>
    <w:rsid w:val="007B6DB0"/>
    <w:rsid w:val="007C42EA"/>
    <w:rsid w:val="007E32CF"/>
    <w:rsid w:val="007F726E"/>
    <w:rsid w:val="00812EAF"/>
    <w:rsid w:val="008226F3"/>
    <w:rsid w:val="008245C1"/>
    <w:rsid w:val="00876735"/>
    <w:rsid w:val="00890D5A"/>
    <w:rsid w:val="00896034"/>
    <w:rsid w:val="008A6CF1"/>
    <w:rsid w:val="009027E3"/>
    <w:rsid w:val="009176D7"/>
    <w:rsid w:val="00917AEC"/>
    <w:rsid w:val="009224DE"/>
    <w:rsid w:val="0092491C"/>
    <w:rsid w:val="00A00BB8"/>
    <w:rsid w:val="00A101FA"/>
    <w:rsid w:val="00A1458B"/>
    <w:rsid w:val="00A148F1"/>
    <w:rsid w:val="00A159ED"/>
    <w:rsid w:val="00A54C6D"/>
    <w:rsid w:val="00A834A2"/>
    <w:rsid w:val="00AD4C66"/>
    <w:rsid w:val="00AD4FD2"/>
    <w:rsid w:val="00AF0CF7"/>
    <w:rsid w:val="00B154A2"/>
    <w:rsid w:val="00B2006B"/>
    <w:rsid w:val="00B30D54"/>
    <w:rsid w:val="00B362AE"/>
    <w:rsid w:val="00B44A06"/>
    <w:rsid w:val="00B66F40"/>
    <w:rsid w:val="00B71451"/>
    <w:rsid w:val="00B723D2"/>
    <w:rsid w:val="00B878F2"/>
    <w:rsid w:val="00BC0850"/>
    <w:rsid w:val="00BC6351"/>
    <w:rsid w:val="00BC79CA"/>
    <w:rsid w:val="00BD5329"/>
    <w:rsid w:val="00BF4D8E"/>
    <w:rsid w:val="00BF755D"/>
    <w:rsid w:val="00C15DE8"/>
    <w:rsid w:val="00C34F2C"/>
    <w:rsid w:val="00C45D78"/>
    <w:rsid w:val="00C5374F"/>
    <w:rsid w:val="00C82FFF"/>
    <w:rsid w:val="00C85CB4"/>
    <w:rsid w:val="00CB0495"/>
    <w:rsid w:val="00CC7DF0"/>
    <w:rsid w:val="00CE7B8F"/>
    <w:rsid w:val="00D12D90"/>
    <w:rsid w:val="00D71BA9"/>
    <w:rsid w:val="00D77F99"/>
    <w:rsid w:val="00D83832"/>
    <w:rsid w:val="00D86799"/>
    <w:rsid w:val="00DC247E"/>
    <w:rsid w:val="00DD54A9"/>
    <w:rsid w:val="00DE3240"/>
    <w:rsid w:val="00DE6459"/>
    <w:rsid w:val="00E0231D"/>
    <w:rsid w:val="00E02412"/>
    <w:rsid w:val="00E245D7"/>
    <w:rsid w:val="00E25CAD"/>
    <w:rsid w:val="00E26638"/>
    <w:rsid w:val="00E3287D"/>
    <w:rsid w:val="00E40C38"/>
    <w:rsid w:val="00E66F31"/>
    <w:rsid w:val="00E7700C"/>
    <w:rsid w:val="00EA3C06"/>
    <w:rsid w:val="00EC6CDE"/>
    <w:rsid w:val="00F30FDA"/>
    <w:rsid w:val="00F4270B"/>
    <w:rsid w:val="00F45BC9"/>
    <w:rsid w:val="00F93E19"/>
    <w:rsid w:val="00FA4E59"/>
    <w:rsid w:val="00FA7288"/>
    <w:rsid w:val="00FC3EF5"/>
    <w:rsid w:val="00FD2E45"/>
    <w:rsid w:val="00FD7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2CF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C85CB4"/>
    <w:pPr>
      <w:jc w:val="both"/>
    </w:pPr>
    <w:rPr>
      <w:color w:val="008000"/>
      <w:lang w:eastAsia="en-GB"/>
    </w:rPr>
  </w:style>
  <w:style w:type="paragraph" w:customStyle="1" w:styleId="naisf">
    <w:name w:val="naisf"/>
    <w:basedOn w:val="Normal"/>
    <w:uiPriority w:val="99"/>
    <w:rsid w:val="00542931"/>
    <w:pPr>
      <w:spacing w:before="75" w:after="75"/>
      <w:ind w:firstLine="375"/>
      <w:jc w:val="both"/>
    </w:pPr>
  </w:style>
  <w:style w:type="paragraph" w:customStyle="1" w:styleId="naisvisr">
    <w:name w:val="naisvisr"/>
    <w:basedOn w:val="Normal"/>
    <w:uiPriority w:val="99"/>
    <w:rsid w:val="00542931"/>
    <w:pPr>
      <w:spacing w:before="150" w:after="150"/>
      <w:jc w:val="center"/>
    </w:pPr>
    <w:rPr>
      <w:b/>
      <w:bCs/>
      <w:sz w:val="28"/>
      <w:szCs w:val="28"/>
    </w:rPr>
  </w:style>
  <w:style w:type="paragraph" w:customStyle="1" w:styleId="naiskr">
    <w:name w:val="naiskr"/>
    <w:basedOn w:val="Normal"/>
    <w:uiPriority w:val="99"/>
    <w:rsid w:val="00542931"/>
    <w:pPr>
      <w:spacing w:before="75" w:after="75"/>
    </w:pPr>
  </w:style>
  <w:style w:type="paragraph" w:styleId="BodyText2">
    <w:name w:val="Body Text 2"/>
    <w:basedOn w:val="Normal"/>
    <w:link w:val="BodyText2Char"/>
    <w:uiPriority w:val="99"/>
    <w:rsid w:val="00D8679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A4BF5"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B66F4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A4BF5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66F4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A4BF5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B66F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A4BF5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1</Pages>
  <Words>112</Words>
  <Characters>841</Characters>
  <Application>Microsoft Office Outlook</Application>
  <DocSecurity>0</DocSecurity>
  <Lines>0</Lines>
  <Paragraphs>0</Paragraphs>
  <ScaleCrop>false</ScaleCrop>
  <Company>Tieslietu Ministrija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1950.gada 4.novembra Eiropas Cilvēka tiesību un pamatbrīvību aizsardzības konvencijas 13.protokolu par nāves soda pilnīgu atcelšanu</dc:title>
  <dc:subject>Likumprojekts</dc:subject>
  <dc:creator>Rūta Rācene-Bērtule</dc:creator>
  <cp:keywords/>
  <dc:description>Ruta.Racene.Bertule@tm.gov.lv, 67036924</dc:description>
  <cp:lastModifiedBy>Aija Antenišķe</cp:lastModifiedBy>
  <cp:revision>10</cp:revision>
  <cp:lastPrinted>2011-06-30T06:42:00Z</cp:lastPrinted>
  <dcterms:created xsi:type="dcterms:W3CDTF">2011-05-19T07:31:00Z</dcterms:created>
  <dcterms:modified xsi:type="dcterms:W3CDTF">2011-06-30T06:43:00Z</dcterms:modified>
</cp:coreProperties>
</file>