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0B" w:rsidRPr="00D03D98" w:rsidRDefault="000C7B0B" w:rsidP="00AF3C65">
      <w:pPr>
        <w:pStyle w:val="Vienkrsteksts"/>
        <w:tabs>
          <w:tab w:val="left" w:pos="6946"/>
        </w:tabs>
        <w:jc w:val="center"/>
        <w:rPr>
          <w:rFonts w:ascii="Times New Roman" w:hAnsi="Times New Roman" w:cs="Times New Roman"/>
          <w:b/>
          <w:sz w:val="24"/>
          <w:szCs w:val="24"/>
        </w:rPr>
      </w:pPr>
      <w:r w:rsidRPr="00D03D98">
        <w:rPr>
          <w:rFonts w:ascii="Times New Roman" w:hAnsi="Times New Roman" w:cs="Times New Roman"/>
          <w:b/>
          <w:sz w:val="24"/>
          <w:szCs w:val="24"/>
        </w:rPr>
        <w:t>Convention on Combating Bribery of Foreign Public Officials</w:t>
      </w:r>
    </w:p>
    <w:p w:rsidR="000C7B0B" w:rsidRPr="00D03D98" w:rsidRDefault="000C7B0B" w:rsidP="00D03D98">
      <w:pPr>
        <w:pStyle w:val="Vienkrsteksts"/>
        <w:jc w:val="center"/>
        <w:rPr>
          <w:rFonts w:ascii="Times New Roman" w:hAnsi="Times New Roman" w:cs="Times New Roman"/>
          <w:b/>
          <w:sz w:val="24"/>
          <w:szCs w:val="24"/>
        </w:rPr>
      </w:pPr>
      <w:r w:rsidRPr="00D03D98">
        <w:rPr>
          <w:rFonts w:ascii="Times New Roman" w:hAnsi="Times New Roman" w:cs="Times New Roman"/>
          <w:b/>
          <w:sz w:val="24"/>
          <w:szCs w:val="24"/>
        </w:rPr>
        <w:t>in International Business Transactions</w:t>
      </w:r>
    </w:p>
    <w:p w:rsidR="000C7B0B" w:rsidRPr="00D03D98" w:rsidRDefault="000C7B0B" w:rsidP="004A148B">
      <w:pPr>
        <w:pStyle w:val="Vienkrsteksts"/>
        <w:jc w:val="both"/>
        <w:rPr>
          <w:rFonts w:ascii="Times New Roman" w:hAnsi="Times New Roman" w:cs="Times New Roman"/>
          <w:b/>
          <w:sz w:val="24"/>
          <w:szCs w:val="24"/>
        </w:rPr>
      </w:pPr>
    </w:p>
    <w:p w:rsidR="000C7B0B" w:rsidRPr="00D03D98" w:rsidRDefault="000C7B0B" w:rsidP="00D03D98">
      <w:pPr>
        <w:pStyle w:val="Vienkrsteksts"/>
        <w:jc w:val="center"/>
        <w:rPr>
          <w:rFonts w:ascii="Times New Roman" w:hAnsi="Times New Roman" w:cs="Times New Roman"/>
          <w:sz w:val="22"/>
          <w:szCs w:val="22"/>
        </w:rPr>
      </w:pPr>
      <w:r w:rsidRPr="00D03D98">
        <w:rPr>
          <w:rFonts w:ascii="Times New Roman" w:hAnsi="Times New Roman" w:cs="Times New Roman"/>
          <w:sz w:val="22"/>
          <w:szCs w:val="22"/>
        </w:rPr>
        <w:t>Adopted by the Negotiating Conference on 21 November 1997</w:t>
      </w:r>
    </w:p>
    <w:p w:rsidR="000C7B0B" w:rsidRPr="004A148B" w:rsidRDefault="000C7B0B" w:rsidP="004A148B">
      <w:pPr>
        <w:pStyle w:val="Vienkrsteksts"/>
        <w:jc w:val="both"/>
        <w:rPr>
          <w:rFonts w:ascii="Times New Roman" w:hAnsi="Times New Roman" w:cs="Times New Roman"/>
          <w:sz w:val="24"/>
          <w:szCs w:val="24"/>
        </w:rPr>
      </w:pPr>
    </w:p>
    <w:p w:rsidR="000C7B0B" w:rsidRPr="00D03D98" w:rsidRDefault="000C7B0B" w:rsidP="00D03D98">
      <w:pPr>
        <w:pStyle w:val="Vienkrsteksts"/>
        <w:jc w:val="center"/>
        <w:rPr>
          <w:rFonts w:ascii="Times New Roman" w:hAnsi="Times New Roman" w:cs="Times New Roman"/>
          <w:b/>
          <w:sz w:val="24"/>
          <w:szCs w:val="24"/>
        </w:rPr>
      </w:pPr>
      <w:r w:rsidRPr="00D03D98">
        <w:rPr>
          <w:rFonts w:ascii="Times New Roman" w:hAnsi="Times New Roman" w:cs="Times New Roman"/>
          <w:b/>
          <w:sz w:val="24"/>
          <w:szCs w:val="24"/>
        </w:rPr>
        <w:t>Preamble</w:t>
      </w:r>
    </w:p>
    <w:p w:rsidR="000C7B0B" w:rsidRPr="004A148B" w:rsidRDefault="000C7B0B" w:rsidP="004A148B">
      <w:pPr>
        <w:pStyle w:val="Vienkrsteksts"/>
        <w:jc w:val="both"/>
        <w:rPr>
          <w:rFonts w:ascii="Times New Roman" w:hAnsi="Times New Roman" w:cs="Times New Roman"/>
          <w:sz w:val="24"/>
          <w:szCs w:val="24"/>
        </w:rPr>
      </w:pPr>
    </w:p>
    <w:p w:rsidR="000C7B0B" w:rsidRPr="00D03D98" w:rsidRDefault="000C7B0B" w:rsidP="00AF3C65">
      <w:pPr>
        <w:pStyle w:val="Vienkrsteksts"/>
        <w:ind w:firstLine="720"/>
        <w:jc w:val="both"/>
        <w:rPr>
          <w:rFonts w:ascii="Times New Roman" w:hAnsi="Times New Roman" w:cs="Times New Roman"/>
          <w:b/>
          <w:i/>
          <w:sz w:val="24"/>
          <w:szCs w:val="24"/>
        </w:rPr>
      </w:pPr>
      <w:r w:rsidRPr="00D03D98">
        <w:rPr>
          <w:rFonts w:ascii="Times New Roman" w:hAnsi="Times New Roman" w:cs="Times New Roman"/>
          <w:b/>
          <w:i/>
          <w:sz w:val="24"/>
          <w:szCs w:val="24"/>
        </w:rPr>
        <w:t xml:space="preserve">The Parties,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Considering</w:t>
      </w:r>
      <w:r w:rsidRPr="004A148B">
        <w:rPr>
          <w:rFonts w:ascii="Times New Roman" w:hAnsi="Times New Roman" w:cs="Times New Roman"/>
          <w:sz w:val="24"/>
          <w:szCs w:val="24"/>
        </w:rPr>
        <w:t xml:space="preserve"> that bribery is a widespread phenomenon in international business transactions, including trade and investment, which raises serious moral and political concerns, undermines good governance and economic development, and distorts international competitive conditions;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Considering</w:t>
      </w:r>
      <w:r w:rsidRPr="004A148B">
        <w:rPr>
          <w:rFonts w:ascii="Times New Roman" w:hAnsi="Times New Roman" w:cs="Times New Roman"/>
          <w:sz w:val="24"/>
          <w:szCs w:val="24"/>
        </w:rPr>
        <w:t xml:space="preserve"> that all countries share a responsibility to combat bribery in international business transactions; </w:t>
      </w:r>
    </w:p>
    <w:p w:rsidR="000C7B0B" w:rsidRPr="00D03D98" w:rsidRDefault="000C7B0B" w:rsidP="00AF3C65">
      <w:pPr>
        <w:pStyle w:val="Vienkrsteksts"/>
        <w:ind w:firstLine="720"/>
        <w:jc w:val="both"/>
        <w:rPr>
          <w:rFonts w:ascii="Times New Roman" w:hAnsi="Times New Roman" w:cs="Times New Roman"/>
          <w:b/>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Having</w:t>
      </w:r>
      <w:r w:rsidRPr="004A148B">
        <w:rPr>
          <w:rFonts w:ascii="Times New Roman" w:hAnsi="Times New Roman" w:cs="Times New Roman"/>
          <w:sz w:val="24"/>
          <w:szCs w:val="24"/>
        </w:rPr>
        <w:t xml:space="preserve">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Welcoming</w:t>
      </w:r>
      <w:r w:rsidRPr="004A148B">
        <w:rPr>
          <w:rFonts w:ascii="Times New Roman" w:hAnsi="Times New Roman" w:cs="Times New Roman"/>
          <w:sz w:val="24"/>
          <w:szCs w:val="24"/>
        </w:rPr>
        <w:t xml:space="preserve">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Welcoming</w:t>
      </w:r>
      <w:r w:rsidRPr="004A148B">
        <w:rPr>
          <w:rFonts w:ascii="Times New Roman" w:hAnsi="Times New Roman" w:cs="Times New Roman"/>
          <w:sz w:val="24"/>
          <w:szCs w:val="24"/>
        </w:rPr>
        <w:t xml:space="preserve"> the efforts of companies, business organisations and trade unions as well as other non-governmental organisations to combat bribery;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Recognising</w:t>
      </w:r>
      <w:r w:rsidRPr="004A148B">
        <w:rPr>
          <w:rFonts w:ascii="Times New Roman" w:hAnsi="Times New Roman" w:cs="Times New Roman"/>
          <w:sz w:val="24"/>
          <w:szCs w:val="24"/>
        </w:rPr>
        <w:t xml:space="preserve"> the role of governments in the prevention of solicitation of bribes from individuals and enterprises in international business transactions;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Recognising</w:t>
      </w:r>
      <w:r w:rsidRPr="004A148B">
        <w:rPr>
          <w:rFonts w:ascii="Times New Roman" w:hAnsi="Times New Roman" w:cs="Times New Roman"/>
          <w:sz w:val="24"/>
          <w:szCs w:val="24"/>
        </w:rPr>
        <w:t xml:space="preserve"> that achieving progress in this field requires not only efforts on a national level but also multilateral co-operation, monitoring and follow-up;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D03D98">
        <w:rPr>
          <w:rFonts w:ascii="Times New Roman" w:hAnsi="Times New Roman" w:cs="Times New Roman"/>
          <w:b/>
          <w:sz w:val="24"/>
          <w:szCs w:val="24"/>
        </w:rPr>
        <w:t>Recognising</w:t>
      </w:r>
      <w:r w:rsidRPr="004A148B">
        <w:rPr>
          <w:rFonts w:ascii="Times New Roman" w:hAnsi="Times New Roman" w:cs="Times New Roman"/>
          <w:sz w:val="24"/>
          <w:szCs w:val="24"/>
        </w:rPr>
        <w:t xml:space="preserve"> that achieving equivalence among the measures to be taken by the Parties is an essential object and purpose of the Convention, which requires that the Convention be ratified without derogations affecting this equivalence;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both"/>
        <w:rPr>
          <w:rFonts w:ascii="Times New Roman" w:hAnsi="Times New Roman" w:cs="Times New Roman"/>
          <w:b/>
          <w:sz w:val="24"/>
          <w:szCs w:val="24"/>
        </w:rPr>
      </w:pPr>
      <w:r w:rsidRPr="00D03D98">
        <w:rPr>
          <w:rFonts w:ascii="Times New Roman" w:hAnsi="Times New Roman" w:cs="Times New Roman"/>
          <w:b/>
          <w:sz w:val="24"/>
          <w:szCs w:val="24"/>
        </w:rPr>
        <w:lastRenderedPageBreak/>
        <w:t xml:space="preserve">HAVE AGREED AS FOLLOWS: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The Offence of Bribery of Foreign Public Officials</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3. The offences set out in paragraphs 1 and 2 above are hereinafter referred to as “bribery of a foreign public official”.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4. For the purpose of this Convention: </w:t>
      </w: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 </w:t>
      </w: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b) “foreign country” includes all levels and subdivisions of government, from national to local; </w:t>
      </w: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c) “act or refrain from acting in relation to the performance of official duties” includes any use of the public official.s position, whether or not within the official.s authorised competence.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2</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Responsibility of Legal Persons</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Each Party shall take such measures as may be necessary, in accordance with its legal principles, to establish the liability of legal persons for the bribery of a foreign public official.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lastRenderedPageBreak/>
        <w:t>Article 3</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Sanctions</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4. Each Party shall consider the imposition of additional civil or administrative sanctions upon a person subject to sanctions for the bribery of a foreign public official.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4</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Jurisdiction</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Each Party shall take such measures as may be necessary to establish its jurisdiction over the bribery of a foreign public official when the offence is committed in whole or in part in its territory.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Each Party which has jurisdiction to prosecute its nationals for offences committed abroad shall take such measures as may be necessary to establish its jurisdiction to do so in respect of the bribery of a foreign public official, according to the same principles.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3. When more than one Party has jurisdiction over an alleged offence described in this Convention, the Parties involved shall, at the request of one of them, consult with a view to determining the most appropriate jurisdiction for prosecution.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4. Each Party shall review whether its current basis for jurisdiction is effective in the fight against the bribery of foreign public officials and, if it is not, shall take remedial steps.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lastRenderedPageBreak/>
        <w:t>Article 5</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Enforcement</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6</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Statute of Limitations</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Any statute of limitations applicable to the offence of bribery of a foreign public official shall allow an adequate period of time for the investigation and prosecution of this offence.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7</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Money Laundering</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8</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Accounting</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w:t>
      </w: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companies subject to those laws and regulations, for the purpose of bribing foreign public officials or of hiding such bribery.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Each Party shall provide effective, proportionate and dissuasive civil, administrative or criminal penalties for such omissions and falsifications in respect of the books, records, accounts and financial statements of such companies.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lastRenderedPageBreak/>
        <w:t>Article 9</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Mutual Legal Assistance</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Where a Party makes mutual legal assistance conditional upon the existence of dual criminality, dual criminality shall be deemed to exist if the offence for which the assistance is sought is within the scope of this Convention.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3. A Party shall not decline to render mutual legal assistance for criminal matters within the scope of this Convention on the ground of bank secrecy.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10</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Extradition</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Bribery of a foreign public official shall be deemed to be included as an extraditable offence under the laws of the Parties and the extradition treaties between them.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lastRenderedPageBreak/>
        <w:t>Article 11</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Responsible Authorities</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12</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Monitoring and Follow-up</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13</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Signature and Accession</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Until its entry into force, this Convention shall be open for signature by OECD Members and by Non-Members which have been invited to become full participants in its Working Group on Bribery in International Business Transactions.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14</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Ratification and Depositary</w:t>
      </w:r>
    </w:p>
    <w:p w:rsidR="000C7B0B" w:rsidRPr="004A148B" w:rsidRDefault="000C7B0B" w:rsidP="00AF3C65">
      <w:pPr>
        <w:pStyle w:val="Vienkrsteksts"/>
        <w:ind w:firstLine="720"/>
        <w:jc w:val="both"/>
        <w:rPr>
          <w:rFonts w:ascii="Times New Roman" w:hAnsi="Times New Roman" w:cs="Times New Roman"/>
          <w:sz w:val="24"/>
          <w:szCs w:val="24"/>
        </w:rPr>
      </w:pPr>
    </w:p>
    <w:p w:rsidR="00D03D98"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This Convention is subject to acceptance, approval or ratification by the Signatories, in accordance with their respective laws.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Instruments of acceptance, approval, ratification or accession shall be deposited with the Secretary-General of the OECD, who shall serve as Depositary of this Convention.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br w:type="page"/>
      </w: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lastRenderedPageBreak/>
        <w:t>Article 15</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Entry into Force</w:t>
      </w:r>
    </w:p>
    <w:p w:rsidR="000C7B0B" w:rsidRPr="00D03D98" w:rsidRDefault="000C7B0B" w:rsidP="00AF3C65">
      <w:pPr>
        <w:pStyle w:val="Vienkrsteksts"/>
        <w:ind w:firstLine="720"/>
        <w:jc w:val="center"/>
        <w:rPr>
          <w:rFonts w:ascii="Times New Roman" w:hAnsi="Times New Roman" w:cs="Times New Roman"/>
          <w:b/>
          <w:sz w:val="24"/>
          <w:szCs w:val="24"/>
        </w:rPr>
      </w:pPr>
    </w:p>
    <w:p w:rsidR="00D03D98"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1. This Convention shall enter into force on the sixtieth day following the date upon which five of the ten countries which have the ten largest export shares set out in DAFFE/IME/BR(97)18/FINAL (annexed),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 </w:t>
      </w:r>
    </w:p>
    <w:p w:rsidR="00D03D98" w:rsidRDefault="00D03D98"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16</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Amendment</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w:t>
      </w:r>
      <w:r w:rsidR="00D03D98">
        <w:rPr>
          <w:rFonts w:ascii="Times New Roman" w:hAnsi="Times New Roman" w:cs="Times New Roman"/>
          <w:sz w:val="24"/>
          <w:szCs w:val="24"/>
        </w:rPr>
        <w:t xml:space="preserve"> </w:t>
      </w:r>
      <w:r w:rsidRPr="004A148B">
        <w:rPr>
          <w:rFonts w:ascii="Times New Roman" w:hAnsi="Times New Roman" w:cs="Times New Roman"/>
          <w:sz w:val="24"/>
          <w:szCs w:val="24"/>
        </w:rPr>
        <w:t xml:space="preserve">acceptance or approval by all of the Parties, or in such other circumstances as may be specified by the Parties at the time of adoption of the amendment. </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Article 17</w:t>
      </w:r>
    </w:p>
    <w:p w:rsidR="000C7B0B" w:rsidRPr="00D03D98" w:rsidRDefault="000C7B0B" w:rsidP="00AF3C65">
      <w:pPr>
        <w:pStyle w:val="Vienkrsteksts"/>
        <w:ind w:firstLine="720"/>
        <w:jc w:val="center"/>
        <w:rPr>
          <w:rFonts w:ascii="Times New Roman" w:hAnsi="Times New Roman" w:cs="Times New Roman"/>
          <w:b/>
          <w:sz w:val="24"/>
          <w:szCs w:val="24"/>
        </w:rPr>
      </w:pPr>
    </w:p>
    <w:p w:rsidR="000C7B0B" w:rsidRPr="00D03D98" w:rsidRDefault="000C7B0B" w:rsidP="00AF3C65">
      <w:pPr>
        <w:pStyle w:val="Vienkrsteksts"/>
        <w:ind w:firstLine="720"/>
        <w:jc w:val="center"/>
        <w:rPr>
          <w:rFonts w:ascii="Times New Roman" w:hAnsi="Times New Roman" w:cs="Times New Roman"/>
          <w:b/>
          <w:sz w:val="24"/>
          <w:szCs w:val="24"/>
        </w:rPr>
      </w:pPr>
      <w:r w:rsidRPr="00D03D98">
        <w:rPr>
          <w:rFonts w:ascii="Times New Roman" w:hAnsi="Times New Roman" w:cs="Times New Roman"/>
          <w:b/>
          <w:sz w:val="24"/>
          <w:szCs w:val="24"/>
        </w:rPr>
        <w:t>Withdrawal</w:t>
      </w:r>
    </w:p>
    <w:p w:rsidR="000C7B0B" w:rsidRPr="004A148B" w:rsidRDefault="000C7B0B" w:rsidP="00AF3C65">
      <w:pPr>
        <w:pStyle w:val="Vienkrsteksts"/>
        <w:ind w:firstLine="720"/>
        <w:jc w:val="both"/>
        <w:rPr>
          <w:rFonts w:ascii="Times New Roman" w:hAnsi="Times New Roman" w:cs="Times New Roman"/>
          <w:sz w:val="24"/>
          <w:szCs w:val="24"/>
        </w:rPr>
      </w:pPr>
    </w:p>
    <w:p w:rsidR="000C7B0B" w:rsidRPr="004A148B" w:rsidRDefault="000C7B0B" w:rsidP="00AF3C65">
      <w:pPr>
        <w:pStyle w:val="Vienkrsteksts"/>
        <w:ind w:firstLine="720"/>
        <w:jc w:val="both"/>
        <w:rPr>
          <w:rFonts w:ascii="Times New Roman" w:hAnsi="Times New Roman" w:cs="Times New Roman"/>
          <w:sz w:val="24"/>
          <w:szCs w:val="24"/>
        </w:rPr>
      </w:pPr>
      <w:r w:rsidRPr="004A148B">
        <w:rPr>
          <w:rFonts w:ascii="Times New Roman" w:hAnsi="Times New Roman" w:cs="Times New Roman"/>
          <w:sz w:val="24"/>
          <w:szCs w:val="24"/>
        </w:rPr>
        <w:t xml:space="preserve">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 </w:t>
      </w:r>
    </w:p>
    <w:p w:rsidR="000C7B0B" w:rsidRPr="004A148B" w:rsidRDefault="000C7B0B" w:rsidP="00D03D98">
      <w:pPr>
        <w:pStyle w:val="Vienkrsteksts"/>
        <w:jc w:val="both"/>
        <w:rPr>
          <w:rFonts w:ascii="Times New Roman" w:hAnsi="Times New Roman" w:cs="Times New Roman"/>
          <w:sz w:val="24"/>
          <w:szCs w:val="24"/>
        </w:rPr>
      </w:pPr>
    </w:p>
    <w:p w:rsidR="00AF3C65" w:rsidRPr="00AF3C65" w:rsidRDefault="000C7B0B" w:rsidP="00AF3C65">
      <w:pPr>
        <w:pStyle w:val="Vienkrsteksts"/>
        <w:jc w:val="both"/>
        <w:rPr>
          <w:rFonts w:ascii="Times New Roman" w:hAnsi="Times New Roman" w:cs="Times New Roman"/>
          <w:sz w:val="24"/>
          <w:szCs w:val="24"/>
        </w:rPr>
      </w:pPr>
      <w:r w:rsidRPr="004A148B">
        <w:rPr>
          <w:rFonts w:ascii="Times New Roman" w:hAnsi="Times New Roman" w:cs="Times New Roman"/>
          <w:sz w:val="24"/>
          <w:szCs w:val="24"/>
        </w:rPr>
        <w:t xml:space="preserve"> </w:t>
      </w:r>
      <w:r w:rsidR="00AF3C65" w:rsidRPr="00AF3C65">
        <w:rPr>
          <w:rFonts w:ascii="Times New Roman" w:hAnsi="Times New Roman" w:cs="Times New Roman"/>
          <w:sz w:val="24"/>
          <w:szCs w:val="24"/>
        </w:rPr>
        <w:t xml:space="preserve">Tieslietu ministrs                       </w:t>
      </w:r>
      <w:r w:rsidR="00AF3C65" w:rsidRPr="00AF3C65">
        <w:rPr>
          <w:rFonts w:ascii="Times New Roman" w:hAnsi="Times New Roman" w:cs="Times New Roman"/>
          <w:sz w:val="24"/>
          <w:szCs w:val="24"/>
        </w:rPr>
        <w:tab/>
      </w:r>
      <w:r w:rsidR="00AF3C65" w:rsidRPr="00AF3C65">
        <w:rPr>
          <w:rFonts w:ascii="Times New Roman" w:hAnsi="Times New Roman" w:cs="Times New Roman"/>
          <w:sz w:val="24"/>
          <w:szCs w:val="24"/>
        </w:rPr>
        <w:tab/>
      </w:r>
      <w:r w:rsidR="00AF3C65" w:rsidRPr="00AF3C65">
        <w:rPr>
          <w:rFonts w:ascii="Times New Roman" w:hAnsi="Times New Roman" w:cs="Times New Roman"/>
          <w:sz w:val="24"/>
          <w:szCs w:val="24"/>
        </w:rPr>
        <w:tab/>
        <w:t xml:space="preserve">                                J. Bordāns</w:t>
      </w:r>
    </w:p>
    <w:p w:rsidR="00AF3C65" w:rsidRPr="00AF3C65" w:rsidRDefault="00AF3C65" w:rsidP="00AF3C65">
      <w:pPr>
        <w:pStyle w:val="Vienkrsteksts"/>
        <w:jc w:val="both"/>
        <w:rPr>
          <w:rFonts w:ascii="Times New Roman" w:hAnsi="Times New Roman" w:cs="Times New Roman"/>
          <w:sz w:val="24"/>
          <w:szCs w:val="24"/>
        </w:rPr>
      </w:pPr>
      <w:r w:rsidRPr="00AF3C65">
        <w:rPr>
          <w:rFonts w:ascii="Times New Roman" w:hAnsi="Times New Roman" w:cs="Times New Roman"/>
          <w:sz w:val="24"/>
          <w:szCs w:val="24"/>
        </w:rPr>
        <w:t xml:space="preserve">                                                                   </w:t>
      </w:r>
    </w:p>
    <w:p w:rsidR="00AF3C65" w:rsidRPr="00AF3C65" w:rsidRDefault="00AF3C65" w:rsidP="00AF3C65">
      <w:pPr>
        <w:pStyle w:val="Vienkrsteksts"/>
        <w:jc w:val="both"/>
        <w:rPr>
          <w:rFonts w:ascii="Times New Roman" w:hAnsi="Times New Roman" w:cs="Times New Roman"/>
          <w:sz w:val="24"/>
          <w:szCs w:val="24"/>
        </w:rPr>
      </w:pPr>
      <w:r w:rsidRPr="00AF3C65">
        <w:rPr>
          <w:rFonts w:ascii="Times New Roman" w:hAnsi="Times New Roman" w:cs="Times New Roman"/>
          <w:sz w:val="24"/>
          <w:szCs w:val="24"/>
        </w:rPr>
        <w:t xml:space="preserve">                                                            </w:t>
      </w:r>
      <w:bookmarkStart w:id="0" w:name="_GoBack"/>
      <w:bookmarkEnd w:id="0"/>
      <w:r w:rsidRPr="00AF3C65">
        <w:rPr>
          <w:rFonts w:ascii="Times New Roman" w:hAnsi="Times New Roman" w:cs="Times New Roman"/>
          <w:sz w:val="24"/>
          <w:szCs w:val="24"/>
        </w:rPr>
        <w:t xml:space="preserve"> </w:t>
      </w:r>
    </w:p>
    <w:p w:rsidR="00AF3C65" w:rsidRPr="00AF3C65" w:rsidRDefault="00AF3C65" w:rsidP="00AF3C65">
      <w:pPr>
        <w:pStyle w:val="Vienkrsteksts"/>
        <w:jc w:val="both"/>
        <w:rPr>
          <w:rFonts w:ascii="Times New Roman" w:hAnsi="Times New Roman" w:cs="Times New Roman"/>
          <w:sz w:val="20"/>
          <w:szCs w:val="20"/>
        </w:rPr>
      </w:pPr>
      <w:r w:rsidRPr="00AF3C65">
        <w:rPr>
          <w:rFonts w:ascii="Times New Roman" w:hAnsi="Times New Roman" w:cs="Times New Roman"/>
          <w:sz w:val="20"/>
          <w:szCs w:val="20"/>
        </w:rPr>
        <w:t>27</w:t>
      </w:r>
      <w:r w:rsidRPr="00AF3C65">
        <w:rPr>
          <w:rFonts w:ascii="Times New Roman" w:hAnsi="Times New Roman" w:cs="Times New Roman"/>
          <w:sz w:val="20"/>
          <w:szCs w:val="20"/>
        </w:rPr>
        <w:t>.</w:t>
      </w:r>
      <w:r w:rsidRPr="00AF3C65">
        <w:rPr>
          <w:rFonts w:ascii="Times New Roman" w:hAnsi="Times New Roman" w:cs="Times New Roman"/>
          <w:sz w:val="20"/>
          <w:szCs w:val="20"/>
        </w:rPr>
        <w:t>12</w:t>
      </w:r>
      <w:r w:rsidRPr="00AF3C65">
        <w:rPr>
          <w:rFonts w:ascii="Times New Roman" w:hAnsi="Times New Roman" w:cs="Times New Roman"/>
          <w:sz w:val="20"/>
          <w:szCs w:val="20"/>
        </w:rPr>
        <w:t xml:space="preserve">.2013. </w:t>
      </w:r>
      <w:r w:rsidR="00405C6D">
        <w:rPr>
          <w:rFonts w:ascii="Times New Roman" w:hAnsi="Times New Roman" w:cs="Times New Roman"/>
          <w:sz w:val="20"/>
          <w:szCs w:val="20"/>
        </w:rPr>
        <w:t>9:25</w:t>
      </w:r>
    </w:p>
    <w:p w:rsidR="00AF3C65" w:rsidRPr="00AF3C65" w:rsidRDefault="00AF3C65" w:rsidP="00AF3C65">
      <w:pPr>
        <w:pStyle w:val="Vienkrsteksts"/>
        <w:jc w:val="both"/>
        <w:rPr>
          <w:rFonts w:ascii="Times New Roman" w:hAnsi="Times New Roman" w:cs="Times New Roman"/>
          <w:sz w:val="20"/>
          <w:szCs w:val="20"/>
        </w:rPr>
      </w:pPr>
      <w:r w:rsidRPr="00AF3C65">
        <w:rPr>
          <w:rFonts w:ascii="Times New Roman" w:hAnsi="Times New Roman" w:cs="Times New Roman"/>
          <w:sz w:val="20"/>
          <w:szCs w:val="20"/>
        </w:rPr>
        <w:t>2</w:t>
      </w:r>
      <w:r w:rsidRPr="00AF3C65">
        <w:rPr>
          <w:rFonts w:ascii="Times New Roman" w:hAnsi="Times New Roman" w:cs="Times New Roman"/>
          <w:sz w:val="20"/>
          <w:szCs w:val="20"/>
        </w:rPr>
        <w:t>628</w:t>
      </w:r>
    </w:p>
    <w:p w:rsidR="00AF3C65" w:rsidRPr="00AF3C65" w:rsidRDefault="00AF3C65" w:rsidP="00AF3C65">
      <w:pPr>
        <w:pStyle w:val="Vienkrsteksts"/>
        <w:jc w:val="both"/>
        <w:rPr>
          <w:rFonts w:ascii="Times New Roman" w:hAnsi="Times New Roman" w:cs="Times New Roman"/>
          <w:sz w:val="20"/>
          <w:szCs w:val="20"/>
        </w:rPr>
      </w:pPr>
      <w:r w:rsidRPr="00AF3C65">
        <w:rPr>
          <w:rFonts w:ascii="Times New Roman" w:hAnsi="Times New Roman" w:cs="Times New Roman"/>
          <w:sz w:val="20"/>
          <w:szCs w:val="20"/>
        </w:rPr>
        <w:t>Spūle</w:t>
      </w:r>
      <w:r w:rsidRPr="00AF3C65">
        <w:rPr>
          <w:rFonts w:ascii="Times New Roman" w:hAnsi="Times New Roman" w:cs="Times New Roman"/>
          <w:sz w:val="20"/>
          <w:szCs w:val="20"/>
        </w:rPr>
        <w:t xml:space="preserve">  67036</w:t>
      </w:r>
      <w:r w:rsidRPr="00AF3C65">
        <w:rPr>
          <w:rFonts w:ascii="Times New Roman" w:hAnsi="Times New Roman" w:cs="Times New Roman"/>
          <w:sz w:val="20"/>
          <w:szCs w:val="20"/>
        </w:rPr>
        <w:t>733</w:t>
      </w:r>
    </w:p>
    <w:p w:rsidR="000C7B0B" w:rsidRPr="004A148B" w:rsidRDefault="00AF3C65" w:rsidP="00D03D98">
      <w:pPr>
        <w:pStyle w:val="Vienkrsteksts"/>
        <w:jc w:val="both"/>
        <w:rPr>
          <w:rFonts w:ascii="Times New Roman" w:hAnsi="Times New Roman" w:cs="Times New Roman"/>
          <w:sz w:val="24"/>
          <w:szCs w:val="24"/>
        </w:rPr>
      </w:pPr>
      <w:r w:rsidRPr="00AF3C65">
        <w:rPr>
          <w:rFonts w:ascii="Times New Roman" w:hAnsi="Times New Roman" w:cs="Times New Roman"/>
          <w:sz w:val="20"/>
          <w:szCs w:val="20"/>
        </w:rPr>
        <w:t>Dina.Spule</w:t>
      </w:r>
      <w:r w:rsidRPr="00AF3C65">
        <w:rPr>
          <w:rFonts w:ascii="Times New Roman" w:hAnsi="Times New Roman" w:cs="Times New Roman"/>
          <w:sz w:val="20"/>
          <w:szCs w:val="20"/>
        </w:rPr>
        <w:t>@tm.gov.lv</w:t>
      </w:r>
    </w:p>
    <w:p w:rsidR="008E456D" w:rsidRPr="00326279" w:rsidRDefault="000C7B0B" w:rsidP="008E456D">
      <w:pPr>
        <w:pStyle w:val="Vienkrsteksts"/>
        <w:jc w:val="center"/>
        <w:rPr>
          <w:rFonts w:ascii="Times New Roman" w:hAnsi="Times New Roman" w:cs="Times New Roman"/>
          <w:b/>
          <w:i/>
          <w:sz w:val="24"/>
          <w:szCs w:val="24"/>
        </w:rPr>
      </w:pPr>
      <w:r w:rsidRPr="004A148B">
        <w:rPr>
          <w:rFonts w:ascii="Times New Roman" w:hAnsi="Times New Roman" w:cs="Times New Roman"/>
          <w:sz w:val="24"/>
          <w:szCs w:val="24"/>
        </w:rPr>
        <w:br w:type="page"/>
      </w:r>
      <w:r w:rsidR="008E456D">
        <w:rPr>
          <w:rFonts w:ascii="Times New Roman" w:hAnsi="Times New Roman" w:cs="Times New Roman"/>
          <w:b/>
          <w:i/>
          <w:sz w:val="24"/>
          <w:szCs w:val="24"/>
        </w:rPr>
        <w:lastRenderedPageBreak/>
        <w:t>Annex</w:t>
      </w:r>
    </w:p>
    <w:p w:rsidR="008E456D" w:rsidRPr="008E456D" w:rsidRDefault="008E456D" w:rsidP="008E456D">
      <w:pPr>
        <w:pStyle w:val="Vienkrsteksts"/>
        <w:jc w:val="center"/>
        <w:rPr>
          <w:rFonts w:ascii="Times New Roman" w:hAnsi="Times New Roman" w:cs="Times New Roman"/>
          <w:b/>
          <w:sz w:val="24"/>
          <w:szCs w:val="24"/>
        </w:rPr>
      </w:pPr>
      <w:r w:rsidRPr="008E456D">
        <w:rPr>
          <w:rFonts w:ascii="Times New Roman" w:hAnsi="Times New Roman" w:cs="Times New Roman"/>
          <w:b/>
          <w:sz w:val="24"/>
          <w:szCs w:val="24"/>
        </w:rPr>
        <w:t xml:space="preserve">Statistics on OECD Exports </w:t>
      </w:r>
    </w:p>
    <w:p w:rsidR="008E456D" w:rsidRPr="00326279" w:rsidRDefault="008E456D" w:rsidP="008E456D">
      <w:pPr>
        <w:pStyle w:val="Vienkrsteksts"/>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485"/>
        <w:gridCol w:w="2163"/>
        <w:gridCol w:w="2320"/>
        <w:gridCol w:w="2319"/>
      </w:tblGrid>
      <w:tr w:rsidR="008E456D" w:rsidTr="00694813">
        <w:tc>
          <w:tcPr>
            <w:tcW w:w="2518" w:type="dxa"/>
            <w:tcBorders>
              <w:top w:val="single" w:sz="12" w:space="0" w:color="auto"/>
              <w:left w:val="nil"/>
              <w:bottom w:val="single" w:sz="4" w:space="0" w:color="auto"/>
              <w:right w:val="nil"/>
            </w:tcBorders>
          </w:tcPr>
          <w:p w:rsidR="008E456D" w:rsidRPr="00FB5BC4" w:rsidRDefault="008E456D" w:rsidP="00694813">
            <w:pPr>
              <w:pStyle w:val="Vienkrsteksts"/>
              <w:jc w:val="center"/>
              <w:rPr>
                <w:rFonts w:ascii="Times New Roman" w:hAnsi="Times New Roman" w:cs="Times New Roman"/>
                <w:sz w:val="24"/>
                <w:szCs w:val="24"/>
              </w:rPr>
            </w:pPr>
          </w:p>
        </w:tc>
        <w:tc>
          <w:tcPr>
            <w:tcW w:w="2201" w:type="dxa"/>
            <w:tcBorders>
              <w:top w:val="single" w:sz="12" w:space="0" w:color="auto"/>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1990.-1996. </w:t>
            </w:r>
          </w:p>
          <w:p w:rsidR="008E456D" w:rsidRDefault="008E456D" w:rsidP="008E456D">
            <w:pPr>
              <w:pStyle w:val="Vienkrsteksts"/>
              <w:jc w:val="center"/>
              <w:rPr>
                <w:rFonts w:ascii="Times New Roman" w:hAnsi="Times New Roman" w:cs="Times New Roman"/>
                <w:sz w:val="24"/>
                <w:szCs w:val="24"/>
              </w:rPr>
            </w:pPr>
            <w:r w:rsidRPr="008E456D">
              <w:rPr>
                <w:rFonts w:ascii="Times New Roman" w:hAnsi="Times New Roman" w:cs="Times New Roman"/>
                <w:sz w:val="24"/>
                <w:szCs w:val="24"/>
              </w:rPr>
              <w:t xml:space="preserve">US$ million </w:t>
            </w:r>
          </w:p>
        </w:tc>
        <w:tc>
          <w:tcPr>
            <w:tcW w:w="2367" w:type="dxa"/>
            <w:tcBorders>
              <w:top w:val="single" w:sz="12" w:space="0" w:color="auto"/>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1990.-1996.</w:t>
            </w:r>
          </w:p>
        </w:tc>
        <w:tc>
          <w:tcPr>
            <w:tcW w:w="2367" w:type="dxa"/>
            <w:tcBorders>
              <w:top w:val="single" w:sz="12" w:space="0" w:color="auto"/>
              <w:left w:val="nil"/>
              <w:bottom w:val="single" w:sz="4" w:space="0" w:color="auto"/>
              <w:right w:val="nil"/>
            </w:tcBorders>
          </w:tcPr>
          <w:p w:rsidR="008E456D" w:rsidRPr="00FB5BC4"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1990.-1996.</w:t>
            </w:r>
          </w:p>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left w:val="nil"/>
              <w:bottom w:val="single" w:sz="4" w:space="0" w:color="auto"/>
              <w:right w:val="nil"/>
            </w:tcBorders>
          </w:tcPr>
          <w:p w:rsidR="008E456D" w:rsidRPr="00FB5BC4" w:rsidRDefault="008E456D" w:rsidP="00694813">
            <w:pPr>
              <w:pStyle w:val="Vienkrsteksts"/>
              <w:jc w:val="right"/>
              <w:rPr>
                <w:rFonts w:ascii="Times New Roman" w:hAnsi="Times New Roman" w:cs="Times New Roman"/>
                <w:sz w:val="24"/>
                <w:szCs w:val="24"/>
              </w:rPr>
            </w:pPr>
          </w:p>
        </w:tc>
        <w:tc>
          <w:tcPr>
            <w:tcW w:w="6935" w:type="dxa"/>
            <w:gridSpan w:val="3"/>
            <w:tcBorders>
              <w:left w:val="nil"/>
              <w:bottom w:val="single" w:sz="4" w:space="0" w:color="auto"/>
              <w:right w:val="nil"/>
            </w:tcBorders>
          </w:tcPr>
          <w:p w:rsidR="008E456D" w:rsidRDefault="008E456D" w:rsidP="008E456D">
            <w:pPr>
              <w:pStyle w:val="Vienkrsteksts"/>
              <w:rPr>
                <w:rFonts w:ascii="Times New Roman" w:hAnsi="Times New Roman" w:cs="Times New Roman"/>
                <w:sz w:val="24"/>
                <w:szCs w:val="24"/>
              </w:rPr>
            </w:pPr>
            <w:r>
              <w:rPr>
                <w:rFonts w:ascii="Times New Roman" w:hAnsi="Times New Roman" w:cs="Times New Roman"/>
                <w:sz w:val="24"/>
                <w:szCs w:val="24"/>
              </w:rPr>
              <w:t xml:space="preserve">                                       </w:t>
            </w:r>
            <w:r w:rsidRPr="008E456D">
              <w:rPr>
                <w:rFonts w:ascii="Times New Roman" w:hAnsi="Times New Roman" w:cs="Times New Roman"/>
                <w:sz w:val="24"/>
                <w:szCs w:val="24"/>
              </w:rPr>
              <w:t xml:space="preserve">% of Total OCDE </w:t>
            </w:r>
            <w:r>
              <w:rPr>
                <w:rFonts w:ascii="Times New Roman" w:hAnsi="Times New Roman" w:cs="Times New Roman"/>
                <w:sz w:val="24"/>
                <w:szCs w:val="24"/>
              </w:rPr>
              <w:t xml:space="preserve">             </w:t>
            </w:r>
            <w:r w:rsidRPr="008E456D">
              <w:rPr>
                <w:rFonts w:ascii="Times New Roman" w:hAnsi="Times New Roman" w:cs="Times New Roman"/>
                <w:sz w:val="24"/>
                <w:szCs w:val="24"/>
              </w:rPr>
              <w:t xml:space="preserve">% of 10 largest </w:t>
            </w:r>
          </w:p>
        </w:tc>
      </w:tr>
      <w:tr w:rsidR="008E456D" w:rsidTr="00694813">
        <w:tc>
          <w:tcPr>
            <w:tcW w:w="2518"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United States</w:t>
            </w:r>
          </w:p>
        </w:tc>
        <w:tc>
          <w:tcPr>
            <w:tcW w:w="2201"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287</w:t>
            </w:r>
            <w:r>
              <w:rPr>
                <w:rFonts w:ascii="Times New Roman" w:hAnsi="Times New Roman" w:cs="Times New Roman"/>
                <w:sz w:val="24"/>
                <w:szCs w:val="24"/>
              </w:rPr>
              <w:t> </w:t>
            </w:r>
            <w:r w:rsidRPr="00FB5BC4">
              <w:rPr>
                <w:rFonts w:ascii="Times New Roman" w:hAnsi="Times New Roman" w:cs="Times New Roman"/>
                <w:sz w:val="24"/>
                <w:szCs w:val="24"/>
              </w:rPr>
              <w:t>118</w:t>
            </w:r>
          </w:p>
        </w:tc>
        <w:tc>
          <w:tcPr>
            <w:tcW w:w="2367"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15,9%</w:t>
            </w:r>
          </w:p>
        </w:tc>
        <w:tc>
          <w:tcPr>
            <w:tcW w:w="2367" w:type="dxa"/>
            <w:tcBorders>
              <w:left w:val="nil"/>
              <w:bottom w:val="nil"/>
              <w:right w:val="nil"/>
            </w:tcBorders>
          </w:tcPr>
          <w:p w:rsidR="008E456D" w:rsidRDefault="008E456D" w:rsidP="008E456D">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19,7%</w:t>
            </w: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Germany</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254</w:t>
            </w:r>
            <w:r>
              <w:rPr>
                <w:rFonts w:ascii="Times New Roman" w:hAnsi="Times New Roman" w:cs="Times New Roman"/>
                <w:sz w:val="24"/>
                <w:szCs w:val="24"/>
              </w:rPr>
              <w:t> </w:t>
            </w:r>
            <w:r w:rsidRPr="00FB5BC4">
              <w:rPr>
                <w:rFonts w:ascii="Times New Roman" w:hAnsi="Times New Roman" w:cs="Times New Roman"/>
                <w:sz w:val="24"/>
                <w:szCs w:val="24"/>
              </w:rPr>
              <w:t>746</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14,1%</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17,5%</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Japan</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212</w:t>
            </w:r>
            <w:r>
              <w:rPr>
                <w:rFonts w:ascii="Times New Roman" w:hAnsi="Times New Roman" w:cs="Times New Roman"/>
                <w:sz w:val="24"/>
                <w:szCs w:val="24"/>
              </w:rPr>
              <w:t> </w:t>
            </w:r>
            <w:r w:rsidRPr="00FB5BC4">
              <w:rPr>
                <w:rFonts w:ascii="Times New Roman" w:hAnsi="Times New Roman" w:cs="Times New Roman"/>
                <w:sz w:val="24"/>
                <w:szCs w:val="24"/>
              </w:rPr>
              <w:t>665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11,8% </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14,6%</w:t>
            </w: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France</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138</w:t>
            </w:r>
            <w:r>
              <w:rPr>
                <w:rFonts w:ascii="Times New Roman" w:hAnsi="Times New Roman" w:cs="Times New Roman"/>
                <w:sz w:val="24"/>
                <w:szCs w:val="24"/>
              </w:rPr>
              <w:t> </w:t>
            </w:r>
            <w:r w:rsidRPr="00FB5BC4">
              <w:rPr>
                <w:rFonts w:ascii="Times New Roman" w:hAnsi="Times New Roman" w:cs="Times New Roman"/>
                <w:sz w:val="24"/>
                <w:szCs w:val="24"/>
              </w:rPr>
              <w:t>471</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7,7%</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9,5%</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United Kingdom</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121</w:t>
            </w:r>
            <w:r>
              <w:rPr>
                <w:rFonts w:ascii="Times New Roman" w:hAnsi="Times New Roman" w:cs="Times New Roman"/>
                <w:sz w:val="24"/>
                <w:szCs w:val="24"/>
              </w:rPr>
              <w:t> </w:t>
            </w:r>
            <w:r w:rsidRPr="00FB5BC4">
              <w:rPr>
                <w:rFonts w:ascii="Times New Roman" w:hAnsi="Times New Roman" w:cs="Times New Roman"/>
                <w:sz w:val="24"/>
                <w:szCs w:val="24"/>
              </w:rPr>
              <w:t>258</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6,7% </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8,3%</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Italy</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112</w:t>
            </w:r>
            <w:r>
              <w:rPr>
                <w:rFonts w:ascii="Times New Roman" w:hAnsi="Times New Roman" w:cs="Times New Roman"/>
                <w:sz w:val="24"/>
                <w:szCs w:val="24"/>
              </w:rPr>
              <w:t> </w:t>
            </w:r>
            <w:r w:rsidRPr="00FB5BC4">
              <w:rPr>
                <w:rFonts w:ascii="Times New Roman" w:hAnsi="Times New Roman" w:cs="Times New Roman"/>
                <w:sz w:val="24"/>
                <w:szCs w:val="24"/>
              </w:rPr>
              <w:t>449</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7,7%</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Canad</w:t>
            </w:r>
            <w:r w:rsidRPr="00FB5BC4">
              <w:rPr>
                <w:rFonts w:ascii="Times New Roman" w:hAnsi="Times New Roman" w:cs="Times New Roman"/>
                <w:sz w:val="24"/>
                <w:szCs w:val="24"/>
              </w:rPr>
              <w:t>a</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91</w:t>
            </w:r>
            <w:r>
              <w:rPr>
                <w:rFonts w:ascii="Times New Roman" w:hAnsi="Times New Roman" w:cs="Times New Roman"/>
                <w:sz w:val="24"/>
                <w:szCs w:val="24"/>
              </w:rPr>
              <w:t> </w:t>
            </w:r>
            <w:r w:rsidRPr="00FB5BC4">
              <w:rPr>
                <w:rFonts w:ascii="Times New Roman" w:hAnsi="Times New Roman" w:cs="Times New Roman"/>
                <w:sz w:val="24"/>
                <w:szCs w:val="24"/>
              </w:rPr>
              <w:t>215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5,1%</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6,3%</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Corea</w:t>
            </w:r>
            <w:r w:rsidRPr="00326279">
              <w:rPr>
                <w:rFonts w:ascii="Times New Roman" w:hAnsi="Times New Roman" w:cs="Times New Roman"/>
                <w:sz w:val="24"/>
                <w:szCs w:val="24"/>
                <w:vertAlign w:val="superscript"/>
              </w:rPr>
              <w:t>(1)</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81</w:t>
            </w:r>
            <w:r>
              <w:rPr>
                <w:rFonts w:ascii="Times New Roman" w:hAnsi="Times New Roman" w:cs="Times New Roman"/>
                <w:sz w:val="24"/>
                <w:szCs w:val="24"/>
              </w:rPr>
              <w:t> </w:t>
            </w:r>
            <w:r w:rsidRPr="00FB5BC4">
              <w:rPr>
                <w:rFonts w:ascii="Times New Roman" w:hAnsi="Times New Roman" w:cs="Times New Roman"/>
                <w:sz w:val="24"/>
                <w:szCs w:val="24"/>
              </w:rPr>
              <w:t>364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5,6%</w:t>
            </w: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 xml:space="preserve">Netherlands </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81</w:t>
            </w:r>
            <w:r>
              <w:rPr>
                <w:rFonts w:ascii="Times New Roman" w:hAnsi="Times New Roman" w:cs="Times New Roman"/>
                <w:sz w:val="24"/>
                <w:szCs w:val="24"/>
              </w:rPr>
              <w:t> </w:t>
            </w:r>
            <w:r w:rsidRPr="00FB5BC4">
              <w:rPr>
                <w:rFonts w:ascii="Times New Roman" w:hAnsi="Times New Roman" w:cs="Times New Roman"/>
                <w:sz w:val="24"/>
                <w:szCs w:val="24"/>
              </w:rPr>
              <w:t>264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5,6%</w:t>
            </w:r>
          </w:p>
        </w:tc>
      </w:tr>
      <w:tr w:rsidR="008E456D" w:rsidTr="00694813">
        <w:tc>
          <w:tcPr>
            <w:tcW w:w="2518" w:type="dxa"/>
            <w:tcBorders>
              <w:top w:val="nil"/>
              <w:left w:val="nil"/>
              <w:bottom w:val="single" w:sz="4" w:space="0" w:color="auto"/>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Belgium</w:t>
            </w:r>
            <w:r w:rsidRPr="00FB5BC4">
              <w:rPr>
                <w:rFonts w:ascii="Times New Roman" w:hAnsi="Times New Roman" w:cs="Times New Roman"/>
                <w:sz w:val="24"/>
                <w:szCs w:val="24"/>
              </w:rPr>
              <w:t>– Lu</w:t>
            </w:r>
            <w:r>
              <w:rPr>
                <w:rFonts w:ascii="Times New Roman" w:hAnsi="Times New Roman" w:cs="Times New Roman"/>
                <w:sz w:val="24"/>
                <w:szCs w:val="24"/>
              </w:rPr>
              <w:t>xemburg</w:t>
            </w:r>
          </w:p>
        </w:tc>
        <w:tc>
          <w:tcPr>
            <w:tcW w:w="2201"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78</w:t>
            </w:r>
            <w:r>
              <w:rPr>
                <w:rFonts w:ascii="Times New Roman" w:hAnsi="Times New Roman" w:cs="Times New Roman"/>
                <w:sz w:val="24"/>
                <w:szCs w:val="24"/>
              </w:rPr>
              <w:t> </w:t>
            </w:r>
            <w:r w:rsidRPr="00FB5BC4">
              <w:rPr>
                <w:rFonts w:ascii="Times New Roman" w:hAnsi="Times New Roman" w:cs="Times New Roman"/>
                <w:sz w:val="24"/>
                <w:szCs w:val="24"/>
              </w:rPr>
              <w:t>598</w:t>
            </w:r>
          </w:p>
        </w:tc>
        <w:tc>
          <w:tcPr>
            <w:tcW w:w="2367"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4,4%</w:t>
            </w:r>
          </w:p>
        </w:tc>
        <w:tc>
          <w:tcPr>
            <w:tcW w:w="2367"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5,4%</w:t>
            </w:r>
          </w:p>
        </w:tc>
      </w:tr>
      <w:tr w:rsidR="008E456D" w:rsidRPr="00326279" w:rsidTr="00694813">
        <w:tc>
          <w:tcPr>
            <w:tcW w:w="2518" w:type="dxa"/>
            <w:tcBorders>
              <w:left w:val="nil"/>
              <w:bottom w:val="single" w:sz="4" w:space="0" w:color="auto"/>
              <w:right w:val="nil"/>
            </w:tcBorders>
          </w:tcPr>
          <w:p w:rsidR="008E456D" w:rsidRPr="00326279" w:rsidRDefault="008E456D" w:rsidP="00694813">
            <w:pPr>
              <w:pStyle w:val="Vienkrsteksts"/>
              <w:jc w:val="center"/>
              <w:rPr>
                <w:rFonts w:ascii="Times New Roman" w:hAnsi="Times New Roman" w:cs="Times New Roman"/>
                <w:b/>
                <w:sz w:val="24"/>
                <w:szCs w:val="24"/>
              </w:rPr>
            </w:pPr>
            <w:r>
              <w:rPr>
                <w:rFonts w:ascii="Times New Roman" w:hAnsi="Times New Roman" w:cs="Times New Roman"/>
                <w:b/>
                <w:sz w:val="24"/>
                <w:szCs w:val="24"/>
              </w:rPr>
              <w:t>Total 10 largest</w:t>
            </w:r>
          </w:p>
        </w:tc>
        <w:tc>
          <w:tcPr>
            <w:tcW w:w="2201" w:type="dxa"/>
            <w:tcBorders>
              <w:left w:val="nil"/>
              <w:bottom w:val="single" w:sz="4" w:space="0" w:color="auto"/>
              <w:right w:val="nil"/>
            </w:tcBorders>
          </w:tcPr>
          <w:p w:rsidR="008E456D" w:rsidRPr="00326279" w:rsidRDefault="008E456D" w:rsidP="00694813">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1 459 148</w:t>
            </w:r>
          </w:p>
        </w:tc>
        <w:tc>
          <w:tcPr>
            <w:tcW w:w="2367" w:type="dxa"/>
            <w:tcBorders>
              <w:left w:val="nil"/>
              <w:bottom w:val="single" w:sz="4" w:space="0" w:color="auto"/>
              <w:right w:val="nil"/>
            </w:tcBorders>
          </w:tcPr>
          <w:p w:rsidR="008E456D" w:rsidRPr="00326279" w:rsidRDefault="008E456D" w:rsidP="00694813">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81,0%</w:t>
            </w:r>
          </w:p>
        </w:tc>
        <w:tc>
          <w:tcPr>
            <w:tcW w:w="2367" w:type="dxa"/>
            <w:tcBorders>
              <w:left w:val="nil"/>
              <w:bottom w:val="single" w:sz="4" w:space="0" w:color="auto"/>
              <w:right w:val="nil"/>
            </w:tcBorders>
          </w:tcPr>
          <w:p w:rsidR="008E456D" w:rsidRPr="00326279" w:rsidRDefault="008E456D" w:rsidP="00694813">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100%</w:t>
            </w:r>
          </w:p>
        </w:tc>
      </w:tr>
      <w:tr w:rsidR="008E456D" w:rsidTr="00694813">
        <w:tc>
          <w:tcPr>
            <w:tcW w:w="2518" w:type="dxa"/>
            <w:tcBorders>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p>
        </w:tc>
        <w:tc>
          <w:tcPr>
            <w:tcW w:w="2201" w:type="dxa"/>
            <w:tcBorders>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p>
        </w:tc>
        <w:tc>
          <w:tcPr>
            <w:tcW w:w="2367" w:type="dxa"/>
            <w:tcBorders>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p>
        </w:tc>
        <w:tc>
          <w:tcPr>
            <w:tcW w:w="2367" w:type="dxa"/>
            <w:tcBorders>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Spain</w:t>
            </w:r>
          </w:p>
        </w:tc>
        <w:tc>
          <w:tcPr>
            <w:tcW w:w="2201"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42 469</w:t>
            </w:r>
          </w:p>
        </w:tc>
        <w:tc>
          <w:tcPr>
            <w:tcW w:w="2367"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2,4%</w:t>
            </w:r>
          </w:p>
        </w:tc>
        <w:tc>
          <w:tcPr>
            <w:tcW w:w="2367" w:type="dxa"/>
            <w:tcBorders>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Switzerland</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40 395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Sweden</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36 710</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2,0%</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Mexico</w:t>
            </w:r>
            <w:r w:rsidRPr="00326279">
              <w:rPr>
                <w:rFonts w:ascii="Times New Roman" w:hAnsi="Times New Roman" w:cs="Times New Roman"/>
                <w:sz w:val="24"/>
                <w:szCs w:val="24"/>
                <w:vertAlign w:val="superscript"/>
              </w:rPr>
              <w:t>(1)</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34 233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Australia</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27 194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Denmark</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24 145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Austria</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22</w:t>
            </w:r>
            <w:r>
              <w:rPr>
                <w:rFonts w:ascii="Times New Roman" w:hAnsi="Times New Roman" w:cs="Times New Roman"/>
                <w:sz w:val="24"/>
                <w:szCs w:val="24"/>
              </w:rPr>
              <w:t> </w:t>
            </w:r>
            <w:r w:rsidRPr="00FB5BC4">
              <w:rPr>
                <w:rFonts w:ascii="Times New Roman" w:hAnsi="Times New Roman" w:cs="Times New Roman"/>
                <w:sz w:val="24"/>
                <w:szCs w:val="24"/>
              </w:rPr>
              <w:t>432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Norway</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21</w:t>
            </w:r>
            <w:r>
              <w:rPr>
                <w:rFonts w:ascii="Times New Roman" w:hAnsi="Times New Roman" w:cs="Times New Roman"/>
                <w:sz w:val="24"/>
                <w:szCs w:val="24"/>
              </w:rPr>
              <w:t> </w:t>
            </w:r>
            <w:r w:rsidRPr="00FB5BC4">
              <w:rPr>
                <w:rFonts w:ascii="Times New Roman" w:hAnsi="Times New Roman" w:cs="Times New Roman"/>
                <w:sz w:val="24"/>
                <w:szCs w:val="24"/>
              </w:rPr>
              <w:t>666</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Ireland</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w:t>
            </w:r>
            <w:r>
              <w:rPr>
                <w:rFonts w:ascii="Times New Roman" w:hAnsi="Times New Roman" w:cs="Times New Roman"/>
                <w:sz w:val="24"/>
                <w:szCs w:val="24"/>
              </w:rPr>
              <w:t> </w:t>
            </w:r>
            <w:r w:rsidRPr="00FB5BC4">
              <w:rPr>
                <w:rFonts w:ascii="Times New Roman" w:hAnsi="Times New Roman" w:cs="Times New Roman"/>
                <w:sz w:val="24"/>
                <w:szCs w:val="24"/>
              </w:rPr>
              <w:t>217</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1,1%</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Finland</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17</w:t>
            </w:r>
            <w:r>
              <w:rPr>
                <w:rFonts w:ascii="Times New Roman" w:hAnsi="Times New Roman" w:cs="Times New Roman"/>
                <w:sz w:val="24"/>
                <w:szCs w:val="24"/>
              </w:rPr>
              <w:t> </w:t>
            </w:r>
            <w:r w:rsidRPr="00FB5BC4">
              <w:rPr>
                <w:rFonts w:ascii="Times New Roman" w:hAnsi="Times New Roman" w:cs="Times New Roman"/>
                <w:sz w:val="24"/>
                <w:szCs w:val="24"/>
              </w:rPr>
              <w:t>296</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1,0%</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Poland</w:t>
            </w:r>
            <w:r w:rsidRPr="00FB5BC4">
              <w:rPr>
                <w:rFonts w:ascii="Times New Roman" w:hAnsi="Times New Roman" w:cs="Times New Roman"/>
                <w:sz w:val="24"/>
                <w:szCs w:val="24"/>
              </w:rPr>
              <w:t xml:space="preserve"> </w:t>
            </w:r>
            <w:r w:rsidRPr="00EF3C3E">
              <w:rPr>
                <w:rFonts w:ascii="Times New Roman" w:hAnsi="Times New Roman" w:cs="Times New Roman"/>
                <w:sz w:val="24"/>
                <w:szCs w:val="24"/>
                <w:vertAlign w:val="superscript"/>
              </w:rPr>
              <w:t>(1)</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r>
              <w:rPr>
                <w:rFonts w:ascii="Times New Roman" w:hAnsi="Times New Roman" w:cs="Times New Roman"/>
                <w:sz w:val="24"/>
                <w:szCs w:val="24"/>
              </w:rPr>
              <w:t> </w:t>
            </w:r>
            <w:r w:rsidRPr="00FB5BC4">
              <w:rPr>
                <w:rFonts w:ascii="Times New Roman" w:hAnsi="Times New Roman" w:cs="Times New Roman"/>
                <w:sz w:val="24"/>
                <w:szCs w:val="24"/>
              </w:rPr>
              <w:t>652</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0,7%</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Portug</w:t>
            </w:r>
            <w:r>
              <w:rPr>
                <w:rFonts w:ascii="Times New Roman" w:hAnsi="Times New Roman" w:cs="Times New Roman"/>
                <w:sz w:val="24"/>
                <w:szCs w:val="24"/>
              </w:rPr>
              <w:t>al</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10</w:t>
            </w:r>
            <w:r>
              <w:rPr>
                <w:rFonts w:ascii="Times New Roman" w:hAnsi="Times New Roman" w:cs="Times New Roman"/>
                <w:sz w:val="24"/>
                <w:szCs w:val="24"/>
              </w:rPr>
              <w:t> </w:t>
            </w:r>
            <w:r w:rsidRPr="00FB5BC4">
              <w:rPr>
                <w:rFonts w:ascii="Times New Roman" w:hAnsi="Times New Roman" w:cs="Times New Roman"/>
                <w:sz w:val="24"/>
                <w:szCs w:val="24"/>
              </w:rPr>
              <w:t>801</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0,6%</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Turkey</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w:t>
            </w:r>
            <w:r>
              <w:rPr>
                <w:rFonts w:ascii="Times New Roman" w:hAnsi="Times New Roman" w:cs="Times New Roman"/>
                <w:sz w:val="24"/>
                <w:szCs w:val="24"/>
              </w:rPr>
              <w:t> </w:t>
            </w:r>
            <w:r w:rsidRPr="00FB5BC4">
              <w:rPr>
                <w:rFonts w:ascii="Times New Roman" w:hAnsi="Times New Roman" w:cs="Times New Roman"/>
                <w:sz w:val="24"/>
                <w:szCs w:val="24"/>
              </w:rPr>
              <w:t>027</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Hungary</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795</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New Zealand</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663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Czech Republic</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263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nil"/>
              <w:right w:val="nil"/>
            </w:tcBorders>
          </w:tcPr>
          <w:p w:rsidR="008E456D" w:rsidRDefault="008E456D" w:rsidP="008E456D">
            <w:pPr>
              <w:pStyle w:val="Vienkrsteksts"/>
              <w:jc w:val="center"/>
              <w:rPr>
                <w:rFonts w:ascii="Times New Roman" w:hAnsi="Times New Roman" w:cs="Times New Roman"/>
                <w:sz w:val="24"/>
                <w:szCs w:val="24"/>
              </w:rPr>
            </w:pPr>
            <w:r>
              <w:rPr>
                <w:rFonts w:ascii="Times New Roman" w:hAnsi="Times New Roman" w:cs="Times New Roman"/>
                <w:sz w:val="24"/>
                <w:szCs w:val="24"/>
              </w:rPr>
              <w:t>Greece</w:t>
            </w:r>
            <w:r w:rsidRPr="00FB5BC4">
              <w:rPr>
                <w:rFonts w:ascii="Times New Roman" w:hAnsi="Times New Roman" w:cs="Times New Roman"/>
                <w:sz w:val="24"/>
                <w:szCs w:val="24"/>
              </w:rPr>
              <w:t>*</w:t>
            </w:r>
          </w:p>
        </w:tc>
        <w:tc>
          <w:tcPr>
            <w:tcW w:w="2201"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w:t>
            </w:r>
            <w:r>
              <w:rPr>
                <w:rFonts w:ascii="Times New Roman" w:hAnsi="Times New Roman" w:cs="Times New Roman"/>
                <w:sz w:val="24"/>
                <w:szCs w:val="24"/>
              </w:rPr>
              <w:t> </w:t>
            </w:r>
            <w:r w:rsidRPr="00FB5BC4">
              <w:rPr>
                <w:rFonts w:ascii="Times New Roman" w:hAnsi="Times New Roman" w:cs="Times New Roman"/>
                <w:sz w:val="24"/>
                <w:szCs w:val="24"/>
              </w:rPr>
              <w:t>606</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0,3%</w:t>
            </w:r>
          </w:p>
        </w:tc>
        <w:tc>
          <w:tcPr>
            <w:tcW w:w="2367" w:type="dxa"/>
            <w:tcBorders>
              <w:top w:val="nil"/>
              <w:left w:val="nil"/>
              <w:bottom w:val="nil"/>
              <w:right w:val="nil"/>
            </w:tcBorders>
          </w:tcPr>
          <w:p w:rsidR="008E456D" w:rsidRDefault="008E456D" w:rsidP="00694813">
            <w:pPr>
              <w:pStyle w:val="Vienkrsteksts"/>
              <w:jc w:val="center"/>
              <w:rPr>
                <w:rFonts w:ascii="Times New Roman" w:hAnsi="Times New Roman" w:cs="Times New Roman"/>
                <w:sz w:val="24"/>
                <w:szCs w:val="24"/>
              </w:rPr>
            </w:pPr>
          </w:p>
        </w:tc>
      </w:tr>
      <w:tr w:rsidR="008E456D" w:rsidTr="00694813">
        <w:tc>
          <w:tcPr>
            <w:tcW w:w="2518"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Pr>
                <w:rFonts w:ascii="Times New Roman" w:hAnsi="Times New Roman" w:cs="Times New Roman"/>
                <w:sz w:val="24"/>
                <w:szCs w:val="24"/>
              </w:rPr>
              <w:t>Iceland</w:t>
            </w:r>
          </w:p>
        </w:tc>
        <w:tc>
          <w:tcPr>
            <w:tcW w:w="2201"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949</w:t>
            </w:r>
          </w:p>
        </w:tc>
        <w:tc>
          <w:tcPr>
            <w:tcW w:w="2367"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0,1%</w:t>
            </w:r>
          </w:p>
        </w:tc>
        <w:tc>
          <w:tcPr>
            <w:tcW w:w="2367" w:type="dxa"/>
            <w:tcBorders>
              <w:top w:val="nil"/>
              <w:left w:val="nil"/>
              <w:bottom w:val="single" w:sz="4" w:space="0" w:color="auto"/>
              <w:right w:val="nil"/>
            </w:tcBorders>
          </w:tcPr>
          <w:p w:rsidR="008E456D" w:rsidRDefault="008E456D" w:rsidP="00694813">
            <w:pPr>
              <w:pStyle w:val="Vienkrsteksts"/>
              <w:jc w:val="center"/>
              <w:rPr>
                <w:rFonts w:ascii="Times New Roman" w:hAnsi="Times New Roman" w:cs="Times New Roman"/>
                <w:sz w:val="24"/>
                <w:szCs w:val="24"/>
              </w:rPr>
            </w:pPr>
          </w:p>
        </w:tc>
      </w:tr>
      <w:tr w:rsidR="008E456D" w:rsidRPr="00EF3C3E" w:rsidTr="00694813">
        <w:tc>
          <w:tcPr>
            <w:tcW w:w="2518" w:type="dxa"/>
            <w:tcBorders>
              <w:left w:val="nil"/>
              <w:bottom w:val="single" w:sz="18" w:space="0" w:color="auto"/>
              <w:right w:val="nil"/>
            </w:tcBorders>
          </w:tcPr>
          <w:p w:rsidR="008E456D" w:rsidRPr="00EF3C3E" w:rsidRDefault="008E456D" w:rsidP="00694813">
            <w:pPr>
              <w:pStyle w:val="Vienkrsteksts"/>
              <w:rPr>
                <w:rFonts w:ascii="Times New Roman" w:hAnsi="Times New Roman" w:cs="Times New Roman"/>
                <w:b/>
                <w:sz w:val="24"/>
                <w:szCs w:val="24"/>
              </w:rPr>
            </w:pPr>
            <w:r>
              <w:rPr>
                <w:rFonts w:ascii="Times New Roman" w:hAnsi="Times New Roman" w:cs="Times New Roman"/>
                <w:b/>
                <w:sz w:val="24"/>
                <w:szCs w:val="24"/>
              </w:rPr>
              <w:t>Total OECD</w:t>
            </w:r>
          </w:p>
          <w:p w:rsidR="008E456D" w:rsidRPr="00EF3C3E" w:rsidRDefault="008E456D" w:rsidP="00694813">
            <w:pPr>
              <w:pStyle w:val="Vienkrsteksts"/>
              <w:jc w:val="center"/>
              <w:rPr>
                <w:rFonts w:ascii="Times New Roman" w:hAnsi="Times New Roman" w:cs="Times New Roman"/>
                <w:b/>
                <w:sz w:val="24"/>
                <w:szCs w:val="24"/>
              </w:rPr>
            </w:pPr>
          </w:p>
        </w:tc>
        <w:tc>
          <w:tcPr>
            <w:tcW w:w="2201" w:type="dxa"/>
            <w:tcBorders>
              <w:left w:val="nil"/>
              <w:bottom w:val="single" w:sz="18" w:space="0" w:color="auto"/>
              <w:right w:val="nil"/>
            </w:tcBorders>
          </w:tcPr>
          <w:p w:rsidR="008E456D" w:rsidRPr="00EF3C3E" w:rsidRDefault="008E456D" w:rsidP="00694813">
            <w:pPr>
              <w:pStyle w:val="Vienkrsteksts"/>
              <w:jc w:val="center"/>
              <w:rPr>
                <w:rFonts w:ascii="Times New Roman" w:hAnsi="Times New Roman" w:cs="Times New Roman"/>
                <w:b/>
                <w:sz w:val="24"/>
                <w:szCs w:val="24"/>
              </w:rPr>
            </w:pPr>
            <w:r w:rsidRPr="00EF3C3E">
              <w:rPr>
                <w:rFonts w:ascii="Times New Roman" w:hAnsi="Times New Roman" w:cs="Times New Roman"/>
                <w:b/>
                <w:sz w:val="24"/>
                <w:szCs w:val="24"/>
              </w:rPr>
              <w:t>1 801 661</w:t>
            </w:r>
          </w:p>
        </w:tc>
        <w:tc>
          <w:tcPr>
            <w:tcW w:w="2367" w:type="dxa"/>
            <w:tcBorders>
              <w:left w:val="nil"/>
              <w:bottom w:val="single" w:sz="18" w:space="0" w:color="auto"/>
              <w:right w:val="nil"/>
            </w:tcBorders>
          </w:tcPr>
          <w:p w:rsidR="008E456D" w:rsidRPr="00EF3C3E" w:rsidRDefault="008E456D" w:rsidP="00694813">
            <w:pPr>
              <w:pStyle w:val="Vienkrsteksts"/>
              <w:jc w:val="center"/>
              <w:rPr>
                <w:rFonts w:ascii="Times New Roman" w:hAnsi="Times New Roman" w:cs="Times New Roman"/>
                <w:b/>
                <w:sz w:val="24"/>
                <w:szCs w:val="24"/>
              </w:rPr>
            </w:pPr>
            <w:r w:rsidRPr="00EF3C3E">
              <w:rPr>
                <w:rFonts w:ascii="Times New Roman" w:hAnsi="Times New Roman" w:cs="Times New Roman"/>
                <w:b/>
                <w:sz w:val="24"/>
                <w:szCs w:val="24"/>
              </w:rPr>
              <w:t>100%</w:t>
            </w:r>
          </w:p>
        </w:tc>
        <w:tc>
          <w:tcPr>
            <w:tcW w:w="2367" w:type="dxa"/>
            <w:tcBorders>
              <w:left w:val="nil"/>
              <w:bottom w:val="single" w:sz="18" w:space="0" w:color="auto"/>
              <w:right w:val="nil"/>
            </w:tcBorders>
          </w:tcPr>
          <w:p w:rsidR="008E456D" w:rsidRPr="00EF3C3E" w:rsidRDefault="008E456D" w:rsidP="00694813">
            <w:pPr>
              <w:pStyle w:val="Vienkrsteksts"/>
              <w:jc w:val="center"/>
              <w:rPr>
                <w:rFonts w:ascii="Times New Roman" w:hAnsi="Times New Roman" w:cs="Times New Roman"/>
                <w:b/>
                <w:sz w:val="24"/>
                <w:szCs w:val="24"/>
              </w:rPr>
            </w:pPr>
          </w:p>
        </w:tc>
      </w:tr>
    </w:tbl>
    <w:p w:rsidR="008E456D" w:rsidRDefault="008E456D" w:rsidP="008E456D">
      <w:pPr>
        <w:pStyle w:val="Vienkrsteksts"/>
        <w:rPr>
          <w:rFonts w:ascii="Times New Roman" w:hAnsi="Times New Roman" w:cs="Times New Roman"/>
          <w:i/>
          <w:sz w:val="20"/>
          <w:szCs w:val="20"/>
        </w:rPr>
      </w:pP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Notes: * 1990-1995; ** 1991-1996; *** 1993-1996 </w:t>
      </w:r>
    </w:p>
    <w:p w:rsidR="008E456D" w:rsidRPr="008E456D" w:rsidRDefault="008E456D" w:rsidP="008E456D">
      <w:pPr>
        <w:pStyle w:val="Vienkrsteksts"/>
        <w:rPr>
          <w:rFonts w:ascii="Times New Roman" w:hAnsi="Times New Roman" w:cs="Times New Roman"/>
          <w:i/>
          <w:sz w:val="20"/>
          <w:szCs w:val="20"/>
        </w:rPr>
      </w:pP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Source: OECD, (1) IMF </w:t>
      </w:r>
    </w:p>
    <w:p w:rsidR="008E456D" w:rsidRPr="008E456D" w:rsidRDefault="008E456D" w:rsidP="008E456D">
      <w:pPr>
        <w:pStyle w:val="Vienkrsteksts"/>
        <w:rPr>
          <w:rFonts w:ascii="Times New Roman" w:hAnsi="Times New Roman" w:cs="Times New Roman"/>
          <w:i/>
          <w:sz w:val="20"/>
          <w:szCs w:val="20"/>
        </w:rPr>
      </w:pP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Concerning Belgium-Luxembourg: Trade statistics for Belgium and Luxembourg are available only on a </w:t>
      </w: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combined basis for the two countries. For purposes of Article 15, paragraph 1 of the Convention, if either </w:t>
      </w: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Belgium or Luxembourg deposits its instrument of acceptance, approval or ratification, or if both Belgium and </w:t>
      </w: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Luxembourg deposit their instruments of acceptance, approval or ratification, it shall be considered that one of </w:t>
      </w: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the countries which have the ten largest exports shares has deposited its instrument and the joint exports of both </w:t>
      </w:r>
    </w:p>
    <w:p w:rsidR="008E456D" w:rsidRPr="008E456D" w:rsidRDefault="008E456D" w:rsidP="008E456D">
      <w:pPr>
        <w:pStyle w:val="Vienkrsteksts"/>
        <w:rPr>
          <w:rFonts w:ascii="Times New Roman" w:hAnsi="Times New Roman" w:cs="Times New Roman"/>
          <w:i/>
          <w:sz w:val="20"/>
          <w:szCs w:val="20"/>
        </w:rPr>
      </w:pPr>
      <w:r w:rsidRPr="008E456D">
        <w:rPr>
          <w:rFonts w:ascii="Times New Roman" w:hAnsi="Times New Roman" w:cs="Times New Roman"/>
          <w:i/>
          <w:sz w:val="20"/>
          <w:szCs w:val="20"/>
        </w:rPr>
        <w:t xml:space="preserve">countries will be counted towards the 60 per cent of combined total exports of those ten countries, which is </w:t>
      </w:r>
    </w:p>
    <w:p w:rsidR="000C7B0B" w:rsidRPr="004A148B" w:rsidRDefault="008E456D" w:rsidP="008E456D">
      <w:pPr>
        <w:pStyle w:val="Vienkrsteksts"/>
        <w:rPr>
          <w:rFonts w:ascii="Times New Roman" w:hAnsi="Times New Roman" w:cs="Times New Roman"/>
          <w:sz w:val="24"/>
          <w:szCs w:val="24"/>
        </w:rPr>
      </w:pPr>
      <w:r w:rsidRPr="008E456D">
        <w:rPr>
          <w:rFonts w:ascii="Times New Roman" w:hAnsi="Times New Roman" w:cs="Times New Roman"/>
          <w:i/>
          <w:sz w:val="20"/>
          <w:szCs w:val="20"/>
        </w:rPr>
        <w:t xml:space="preserve">required for entry into force under this provision. </w:t>
      </w:r>
    </w:p>
    <w:sectPr w:rsidR="000C7B0B" w:rsidRPr="004A148B" w:rsidSect="00AF3C6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90" w:rsidRDefault="00B31290" w:rsidP="00B31290">
      <w:pPr>
        <w:spacing w:after="0" w:line="240" w:lineRule="auto"/>
      </w:pPr>
      <w:r>
        <w:separator/>
      </w:r>
    </w:p>
  </w:endnote>
  <w:endnote w:type="continuationSeparator" w:id="0">
    <w:p w:rsidR="00B31290" w:rsidRDefault="00B31290" w:rsidP="00B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A" w:rsidRDefault="00E2420A" w:rsidP="00AF3C65">
    <w:pPr>
      <w:jc w:val="both"/>
    </w:pPr>
    <w:r w:rsidRPr="00153FD1">
      <w:rPr>
        <w:rFonts w:ascii="Times New Roman" w:eastAsia="Times New Roman" w:hAnsi="Times New Roman" w:cs="Times New Roman"/>
        <w:sz w:val="20"/>
        <w:szCs w:val="24"/>
      </w:rPr>
      <w:t>TM</w:t>
    </w:r>
    <w:r w:rsidR="00326B6F">
      <w:rPr>
        <w:rFonts w:ascii="Times New Roman" w:eastAsia="Times New Roman" w:hAnsi="Times New Roman" w:cs="Times New Roman"/>
        <w:sz w:val="20"/>
        <w:szCs w:val="24"/>
      </w:rPr>
      <w:t>Ss</w:t>
    </w:r>
    <w:r w:rsidR="009C7469">
      <w:rPr>
        <w:rFonts w:ascii="Times New Roman" w:eastAsia="Times New Roman" w:hAnsi="Times New Roman" w:cs="Times New Roman"/>
        <w:sz w:val="20"/>
        <w:szCs w:val="24"/>
      </w:rPr>
      <w:t>_1</w:t>
    </w:r>
    <w:r w:rsidR="000D028C">
      <w:rPr>
        <w:rFonts w:ascii="Times New Roman" w:eastAsia="Times New Roman" w:hAnsi="Times New Roman" w:cs="Times New Roman"/>
        <w:sz w:val="20"/>
        <w:szCs w:val="24"/>
      </w:rPr>
      <w:t>9</w:t>
    </w:r>
    <w:r>
      <w:rPr>
        <w:rFonts w:ascii="Times New Roman" w:eastAsia="Times New Roman" w:hAnsi="Times New Roman" w:cs="Times New Roman"/>
        <w:sz w:val="20"/>
        <w:szCs w:val="24"/>
      </w:rPr>
      <w:t>12</w:t>
    </w:r>
    <w:r w:rsidRPr="00153FD1">
      <w:rPr>
        <w:rFonts w:ascii="Times New Roman" w:eastAsia="Times New Roman" w:hAnsi="Times New Roman" w:cs="Times New Roman"/>
        <w:sz w:val="20"/>
        <w:szCs w:val="24"/>
      </w:rPr>
      <w:t>13</w:t>
    </w:r>
    <w:r w:rsidR="00326B6F">
      <w:rPr>
        <w:rFonts w:ascii="Times New Roman" w:eastAsia="Times New Roman" w:hAnsi="Times New Roman" w:cs="Times New Roman"/>
        <w:sz w:val="20"/>
        <w:szCs w:val="24"/>
      </w:rPr>
      <w:t>_oecd_konv</w:t>
    </w:r>
    <w:r w:rsidRPr="00153FD1">
      <w:rPr>
        <w:rFonts w:ascii="Times New Roman" w:eastAsia="Times New Roman" w:hAnsi="Times New Roman" w:cs="Times New Roman"/>
        <w:sz w:val="20"/>
        <w:szCs w:val="24"/>
      </w:rPr>
      <w:t>;</w:t>
    </w:r>
    <w:r w:rsidRPr="00153FD1">
      <w:rPr>
        <w:rFonts w:ascii="Times New Roman" w:eastAsia="Times New Roman" w:hAnsi="Times New Roman" w:cs="Times New Roman"/>
        <w:bCs/>
        <w:noProof/>
        <w:sz w:val="20"/>
        <w:szCs w:val="24"/>
      </w:rPr>
      <w:t xml:space="preserve"> </w:t>
    </w:r>
    <w:r w:rsidR="00326B6F" w:rsidRPr="00326B6F">
      <w:rPr>
        <w:rFonts w:ascii="Times New Roman" w:eastAsia="Times New Roman" w:hAnsi="Times New Roman" w:cs="Times New Roman"/>
        <w:noProof/>
        <w:sz w:val="20"/>
        <w:szCs w:val="24"/>
      </w:rPr>
      <w:t>Convention on Combating Bribery of Foreign Public Officials</w:t>
    </w:r>
    <w:r w:rsidR="00326B6F">
      <w:rPr>
        <w:rFonts w:ascii="Times New Roman" w:eastAsia="Times New Roman" w:hAnsi="Times New Roman" w:cs="Times New Roman"/>
        <w:noProof/>
        <w:sz w:val="20"/>
        <w:szCs w:val="24"/>
      </w:rPr>
      <w:t xml:space="preserve"> </w:t>
    </w:r>
    <w:r w:rsidR="00326B6F" w:rsidRPr="00326B6F">
      <w:rPr>
        <w:rFonts w:ascii="Times New Roman" w:eastAsia="Times New Roman" w:hAnsi="Times New Roman" w:cs="Times New Roman"/>
        <w:noProof/>
        <w:sz w:val="20"/>
        <w:szCs w:val="24"/>
      </w:rPr>
      <w:t>in International Business Transactions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09" w:rsidRDefault="000F6009" w:rsidP="00AF3C65">
    <w:pPr>
      <w:jc w:val="both"/>
    </w:pPr>
    <w:r w:rsidRPr="00153FD1">
      <w:rPr>
        <w:rFonts w:ascii="Times New Roman" w:eastAsia="Times New Roman" w:hAnsi="Times New Roman" w:cs="Times New Roman"/>
        <w:sz w:val="20"/>
        <w:szCs w:val="24"/>
      </w:rPr>
      <w:t>TM</w:t>
    </w:r>
    <w:r w:rsidR="00326B6F">
      <w:rPr>
        <w:rFonts w:ascii="Times New Roman" w:eastAsia="Times New Roman" w:hAnsi="Times New Roman" w:cs="Times New Roman"/>
        <w:sz w:val="20"/>
        <w:szCs w:val="24"/>
      </w:rPr>
      <w:t>Ss</w:t>
    </w:r>
    <w:r w:rsidRPr="00153FD1">
      <w:rPr>
        <w:rFonts w:ascii="Times New Roman" w:eastAsia="Times New Roman" w:hAnsi="Times New Roman" w:cs="Times New Roman"/>
        <w:sz w:val="20"/>
        <w:szCs w:val="24"/>
      </w:rPr>
      <w:t>_</w:t>
    </w:r>
    <w:r w:rsidR="000D028C">
      <w:rPr>
        <w:rFonts w:ascii="Times New Roman" w:eastAsia="Times New Roman" w:hAnsi="Times New Roman" w:cs="Times New Roman"/>
        <w:sz w:val="20"/>
        <w:szCs w:val="24"/>
      </w:rPr>
      <w:t>19</w:t>
    </w:r>
    <w:r>
      <w:rPr>
        <w:rFonts w:ascii="Times New Roman" w:eastAsia="Times New Roman" w:hAnsi="Times New Roman" w:cs="Times New Roman"/>
        <w:sz w:val="20"/>
        <w:szCs w:val="24"/>
      </w:rPr>
      <w:t>12</w:t>
    </w:r>
    <w:r w:rsidRPr="00153FD1">
      <w:rPr>
        <w:rFonts w:ascii="Times New Roman" w:eastAsia="Times New Roman" w:hAnsi="Times New Roman" w:cs="Times New Roman"/>
        <w:sz w:val="20"/>
        <w:szCs w:val="24"/>
      </w:rPr>
      <w:t>13</w:t>
    </w:r>
    <w:r w:rsidR="00326B6F">
      <w:rPr>
        <w:rFonts w:ascii="Times New Roman" w:eastAsia="Times New Roman" w:hAnsi="Times New Roman" w:cs="Times New Roman"/>
        <w:sz w:val="20"/>
        <w:szCs w:val="24"/>
      </w:rPr>
      <w:t>_oecd_konv</w:t>
    </w:r>
    <w:r w:rsidRPr="00153FD1">
      <w:rPr>
        <w:rFonts w:ascii="Times New Roman" w:eastAsia="Times New Roman" w:hAnsi="Times New Roman" w:cs="Times New Roman"/>
        <w:sz w:val="20"/>
        <w:szCs w:val="24"/>
      </w:rPr>
      <w:t>;</w:t>
    </w:r>
    <w:r w:rsidRPr="00153FD1">
      <w:rPr>
        <w:rFonts w:ascii="Times New Roman" w:eastAsia="Times New Roman" w:hAnsi="Times New Roman" w:cs="Times New Roman"/>
        <w:bCs/>
        <w:noProof/>
        <w:sz w:val="20"/>
        <w:szCs w:val="24"/>
      </w:rPr>
      <w:t xml:space="preserve"> </w:t>
    </w:r>
    <w:r w:rsidR="00326B6F" w:rsidRPr="00326B6F">
      <w:rPr>
        <w:rFonts w:ascii="Times New Roman" w:eastAsia="Times New Roman" w:hAnsi="Times New Roman" w:cs="Times New Roman"/>
        <w:noProof/>
        <w:sz w:val="20"/>
        <w:szCs w:val="24"/>
      </w:rPr>
      <w:t>Convention on Combating Bribery of Foreign Public Officials</w:t>
    </w:r>
    <w:r w:rsidR="00326B6F">
      <w:rPr>
        <w:rFonts w:ascii="Times New Roman" w:eastAsia="Times New Roman" w:hAnsi="Times New Roman" w:cs="Times New Roman"/>
        <w:noProof/>
        <w:sz w:val="20"/>
        <w:szCs w:val="24"/>
      </w:rPr>
      <w:t xml:space="preserve"> </w:t>
    </w:r>
    <w:r w:rsidR="00326B6F" w:rsidRPr="00326B6F">
      <w:rPr>
        <w:rFonts w:ascii="Times New Roman" w:eastAsia="Times New Roman" w:hAnsi="Times New Roman" w:cs="Times New Roman"/>
        <w:noProof/>
        <w:sz w:val="20"/>
        <w:szCs w:val="24"/>
      </w:rPr>
      <w:t>in International Business Transactions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90" w:rsidRDefault="00B31290" w:rsidP="00B31290">
      <w:pPr>
        <w:spacing w:after="0" w:line="240" w:lineRule="auto"/>
      </w:pPr>
      <w:r>
        <w:separator/>
      </w:r>
    </w:p>
  </w:footnote>
  <w:footnote w:type="continuationSeparator" w:id="0">
    <w:p w:rsidR="00B31290" w:rsidRDefault="00B31290" w:rsidP="00B3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8686"/>
      <w:docPartObj>
        <w:docPartGallery w:val="Page Numbers (Top of Page)"/>
        <w:docPartUnique/>
      </w:docPartObj>
    </w:sdtPr>
    <w:sdtEndPr/>
    <w:sdtContent>
      <w:p w:rsidR="00E2420A" w:rsidRDefault="00E2420A">
        <w:pPr>
          <w:pStyle w:val="Galvene"/>
          <w:jc w:val="center"/>
        </w:pPr>
        <w:r>
          <w:fldChar w:fldCharType="begin"/>
        </w:r>
        <w:r>
          <w:instrText>PAGE   \* MERGEFORMAT</w:instrText>
        </w:r>
        <w:r>
          <w:fldChar w:fldCharType="separate"/>
        </w:r>
        <w:r w:rsidR="00405C6D">
          <w:rPr>
            <w:noProof/>
          </w:rPr>
          <w:t>7</w:t>
        </w:r>
        <w:r>
          <w:fldChar w:fldCharType="end"/>
        </w:r>
      </w:p>
    </w:sdtContent>
  </w:sdt>
  <w:p w:rsidR="00E2420A" w:rsidRDefault="00E2420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61"/>
    <w:rsid w:val="000C7B0B"/>
    <w:rsid w:val="000D028C"/>
    <w:rsid w:val="000F6009"/>
    <w:rsid w:val="00326B6F"/>
    <w:rsid w:val="00405C6D"/>
    <w:rsid w:val="00484442"/>
    <w:rsid w:val="004A148B"/>
    <w:rsid w:val="007D0661"/>
    <w:rsid w:val="008E456D"/>
    <w:rsid w:val="009322BC"/>
    <w:rsid w:val="009C7469"/>
    <w:rsid w:val="009F30D4"/>
    <w:rsid w:val="00AF3C65"/>
    <w:rsid w:val="00B31290"/>
    <w:rsid w:val="00D03D98"/>
    <w:rsid w:val="00E24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6C7D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7DD4"/>
    <w:rPr>
      <w:rFonts w:ascii="Consolas" w:hAnsi="Consolas"/>
      <w:sz w:val="21"/>
      <w:szCs w:val="21"/>
    </w:rPr>
  </w:style>
  <w:style w:type="table" w:styleId="Reatabula">
    <w:name w:val="Table Grid"/>
    <w:basedOn w:val="Parastatabula"/>
    <w:uiPriority w:val="59"/>
    <w:rsid w:val="008E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B312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290"/>
  </w:style>
  <w:style w:type="paragraph" w:styleId="Kjene">
    <w:name w:val="footer"/>
    <w:basedOn w:val="Parasts"/>
    <w:link w:val="KjeneRakstz"/>
    <w:uiPriority w:val="99"/>
    <w:unhideWhenUsed/>
    <w:rsid w:val="00B312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290"/>
  </w:style>
  <w:style w:type="paragraph" w:styleId="Balonteksts">
    <w:name w:val="Balloon Text"/>
    <w:basedOn w:val="Parasts"/>
    <w:link w:val="BalontekstsRakstz"/>
    <w:uiPriority w:val="99"/>
    <w:semiHidden/>
    <w:unhideWhenUsed/>
    <w:rsid w:val="00B31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290"/>
    <w:rPr>
      <w:rFonts w:ascii="Tahoma" w:hAnsi="Tahoma" w:cs="Tahoma"/>
      <w:sz w:val="16"/>
      <w:szCs w:val="16"/>
    </w:rPr>
  </w:style>
  <w:style w:type="character" w:styleId="Komentraatsauce">
    <w:name w:val="annotation reference"/>
    <w:basedOn w:val="Noklusjumarindkopasfonts"/>
    <w:uiPriority w:val="99"/>
    <w:semiHidden/>
    <w:unhideWhenUsed/>
    <w:rsid w:val="00484442"/>
    <w:rPr>
      <w:sz w:val="16"/>
      <w:szCs w:val="16"/>
    </w:rPr>
  </w:style>
  <w:style w:type="paragraph" w:styleId="Komentrateksts">
    <w:name w:val="annotation text"/>
    <w:basedOn w:val="Parasts"/>
    <w:link w:val="KomentratekstsRakstz"/>
    <w:uiPriority w:val="99"/>
    <w:semiHidden/>
    <w:unhideWhenUsed/>
    <w:rsid w:val="004844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442"/>
    <w:rPr>
      <w:sz w:val="20"/>
      <w:szCs w:val="20"/>
    </w:rPr>
  </w:style>
  <w:style w:type="paragraph" w:styleId="Komentratma">
    <w:name w:val="annotation subject"/>
    <w:basedOn w:val="Komentrateksts"/>
    <w:next w:val="Komentrateksts"/>
    <w:link w:val="KomentratmaRakstz"/>
    <w:uiPriority w:val="99"/>
    <w:semiHidden/>
    <w:unhideWhenUsed/>
    <w:rsid w:val="00484442"/>
    <w:rPr>
      <w:b/>
      <w:bCs/>
    </w:rPr>
  </w:style>
  <w:style w:type="character" w:customStyle="1" w:styleId="KomentratmaRakstz">
    <w:name w:val="Komentāra tēma Rakstz."/>
    <w:basedOn w:val="KomentratekstsRakstz"/>
    <w:link w:val="Komentratma"/>
    <w:uiPriority w:val="99"/>
    <w:semiHidden/>
    <w:rsid w:val="004844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6C7D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7DD4"/>
    <w:rPr>
      <w:rFonts w:ascii="Consolas" w:hAnsi="Consolas"/>
      <w:sz w:val="21"/>
      <w:szCs w:val="21"/>
    </w:rPr>
  </w:style>
  <w:style w:type="table" w:styleId="Reatabula">
    <w:name w:val="Table Grid"/>
    <w:basedOn w:val="Parastatabula"/>
    <w:uiPriority w:val="59"/>
    <w:rsid w:val="008E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B312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290"/>
  </w:style>
  <w:style w:type="paragraph" w:styleId="Kjene">
    <w:name w:val="footer"/>
    <w:basedOn w:val="Parasts"/>
    <w:link w:val="KjeneRakstz"/>
    <w:uiPriority w:val="99"/>
    <w:unhideWhenUsed/>
    <w:rsid w:val="00B312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290"/>
  </w:style>
  <w:style w:type="paragraph" w:styleId="Balonteksts">
    <w:name w:val="Balloon Text"/>
    <w:basedOn w:val="Parasts"/>
    <w:link w:val="BalontekstsRakstz"/>
    <w:uiPriority w:val="99"/>
    <w:semiHidden/>
    <w:unhideWhenUsed/>
    <w:rsid w:val="00B31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290"/>
    <w:rPr>
      <w:rFonts w:ascii="Tahoma" w:hAnsi="Tahoma" w:cs="Tahoma"/>
      <w:sz w:val="16"/>
      <w:szCs w:val="16"/>
    </w:rPr>
  </w:style>
  <w:style w:type="character" w:styleId="Komentraatsauce">
    <w:name w:val="annotation reference"/>
    <w:basedOn w:val="Noklusjumarindkopasfonts"/>
    <w:uiPriority w:val="99"/>
    <w:semiHidden/>
    <w:unhideWhenUsed/>
    <w:rsid w:val="00484442"/>
    <w:rPr>
      <w:sz w:val="16"/>
      <w:szCs w:val="16"/>
    </w:rPr>
  </w:style>
  <w:style w:type="paragraph" w:styleId="Komentrateksts">
    <w:name w:val="annotation text"/>
    <w:basedOn w:val="Parasts"/>
    <w:link w:val="KomentratekstsRakstz"/>
    <w:uiPriority w:val="99"/>
    <w:semiHidden/>
    <w:unhideWhenUsed/>
    <w:rsid w:val="004844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442"/>
    <w:rPr>
      <w:sz w:val="20"/>
      <w:szCs w:val="20"/>
    </w:rPr>
  </w:style>
  <w:style w:type="paragraph" w:styleId="Komentratma">
    <w:name w:val="annotation subject"/>
    <w:basedOn w:val="Komentrateksts"/>
    <w:next w:val="Komentrateksts"/>
    <w:link w:val="KomentratmaRakstz"/>
    <w:uiPriority w:val="99"/>
    <w:semiHidden/>
    <w:unhideWhenUsed/>
    <w:rsid w:val="00484442"/>
    <w:rPr>
      <w:b/>
      <w:bCs/>
    </w:rPr>
  </w:style>
  <w:style w:type="character" w:customStyle="1" w:styleId="KomentratmaRakstz">
    <w:name w:val="Komentāra tēma Rakstz."/>
    <w:basedOn w:val="KomentratekstsRakstz"/>
    <w:link w:val="Komentratma"/>
    <w:uiPriority w:val="99"/>
    <w:semiHidden/>
    <w:rsid w:val="00484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5510">
      <w:bodyDiv w:val="1"/>
      <w:marLeft w:val="0"/>
      <w:marRight w:val="0"/>
      <w:marTop w:val="0"/>
      <w:marBottom w:val="0"/>
      <w:divBdr>
        <w:top w:val="none" w:sz="0" w:space="0" w:color="auto"/>
        <w:left w:val="none" w:sz="0" w:space="0" w:color="auto"/>
        <w:bottom w:val="none" w:sz="0" w:space="0" w:color="auto"/>
        <w:right w:val="none" w:sz="0" w:space="0" w:color="auto"/>
      </w:divBdr>
    </w:div>
    <w:div w:id="786706063">
      <w:bodyDiv w:val="1"/>
      <w:marLeft w:val="0"/>
      <w:marRight w:val="0"/>
      <w:marTop w:val="0"/>
      <w:marBottom w:val="0"/>
      <w:divBdr>
        <w:top w:val="none" w:sz="0" w:space="0" w:color="auto"/>
        <w:left w:val="none" w:sz="0" w:space="0" w:color="auto"/>
        <w:bottom w:val="none" w:sz="0" w:space="0" w:color="auto"/>
        <w:right w:val="none" w:sz="0" w:space="0" w:color="auto"/>
      </w:divBdr>
    </w:div>
    <w:div w:id="1766144547">
      <w:bodyDiv w:val="1"/>
      <w:marLeft w:val="0"/>
      <w:marRight w:val="0"/>
      <w:marTop w:val="0"/>
      <w:marBottom w:val="0"/>
      <w:divBdr>
        <w:top w:val="none" w:sz="0" w:space="0" w:color="auto"/>
        <w:left w:val="none" w:sz="0" w:space="0" w:color="auto"/>
        <w:bottom w:val="none" w:sz="0" w:space="0" w:color="auto"/>
        <w:right w:val="none" w:sz="0" w:space="0" w:color="auto"/>
      </w:divBdr>
    </w:div>
    <w:div w:id="18771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10984</Words>
  <Characters>6262</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Lattelecom</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Konvencija par ārvalstu amatpersonu kukuļošanas apkarošanu starptautiskajos biznesa darījumos</dc:title>
  <dc:subject>Konvencija</dc:subject>
  <dc:creator>Dina.Spule@tm.gov.lv</dc:creator>
  <dc:description>Dina.Spule@tm.gov.lv, 67036733</dc:description>
  <cp:lastModifiedBy>Dina Spule</cp:lastModifiedBy>
  <cp:revision>9</cp:revision>
  <cp:lastPrinted>2013-12-06T07:18:00Z</cp:lastPrinted>
  <dcterms:created xsi:type="dcterms:W3CDTF">2013-12-19T10:38:00Z</dcterms:created>
  <dcterms:modified xsi:type="dcterms:W3CDTF">2013-12-27T07:25:00Z</dcterms:modified>
</cp:coreProperties>
</file>