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9B" w:rsidRPr="00C850AB" w:rsidRDefault="005B53A3" w:rsidP="004D6B9B">
      <w:pPr>
        <w:jc w:val="right"/>
        <w:rPr>
          <w:i/>
          <w:sz w:val="28"/>
          <w:szCs w:val="28"/>
        </w:rPr>
      </w:pPr>
      <w:r w:rsidRPr="005B53A3">
        <w:rPr>
          <w:i/>
          <w:sz w:val="28"/>
          <w:szCs w:val="28"/>
        </w:rPr>
        <w:t>Projekts</w:t>
      </w:r>
    </w:p>
    <w:p w:rsidR="004D6B9B" w:rsidRPr="00C850AB" w:rsidRDefault="004D6B9B" w:rsidP="004D6B9B">
      <w:pPr>
        <w:jc w:val="right"/>
        <w:rPr>
          <w:i/>
          <w:sz w:val="28"/>
          <w:szCs w:val="28"/>
        </w:rPr>
      </w:pPr>
    </w:p>
    <w:p w:rsidR="004D6B9B" w:rsidRPr="00C850AB" w:rsidRDefault="005B53A3" w:rsidP="004D6B9B">
      <w:pPr>
        <w:jc w:val="center"/>
        <w:rPr>
          <w:b/>
          <w:sz w:val="28"/>
          <w:szCs w:val="28"/>
        </w:rPr>
      </w:pPr>
      <w:r w:rsidRPr="005B53A3">
        <w:rPr>
          <w:b/>
          <w:sz w:val="28"/>
          <w:szCs w:val="28"/>
        </w:rPr>
        <w:t>Informatīvais ziņojums</w:t>
      </w:r>
    </w:p>
    <w:p w:rsidR="001A5A29" w:rsidRPr="00C850AB" w:rsidRDefault="005B53A3" w:rsidP="004D6B9B">
      <w:pPr>
        <w:jc w:val="center"/>
        <w:rPr>
          <w:b/>
          <w:sz w:val="28"/>
          <w:szCs w:val="28"/>
        </w:rPr>
      </w:pPr>
      <w:r w:rsidRPr="005B53A3">
        <w:rPr>
          <w:b/>
          <w:sz w:val="28"/>
          <w:szCs w:val="28"/>
        </w:rPr>
        <w:t>„Par ārstniecības personu personas kodu apstrādi”</w:t>
      </w:r>
    </w:p>
    <w:p w:rsidR="00443D0C" w:rsidRPr="00C850AB" w:rsidRDefault="00443D0C" w:rsidP="00443D0C">
      <w:pPr>
        <w:rPr>
          <w:sz w:val="28"/>
          <w:szCs w:val="28"/>
        </w:rPr>
      </w:pPr>
    </w:p>
    <w:p w:rsidR="00443D0C" w:rsidRPr="00C850AB" w:rsidRDefault="00443D0C" w:rsidP="00443D0C">
      <w:pPr>
        <w:rPr>
          <w:sz w:val="28"/>
          <w:szCs w:val="28"/>
        </w:rPr>
      </w:pPr>
    </w:p>
    <w:p w:rsidR="00215A23" w:rsidRPr="00C850AB" w:rsidRDefault="005B53A3" w:rsidP="00057725">
      <w:pPr>
        <w:rPr>
          <w:sz w:val="28"/>
          <w:szCs w:val="28"/>
        </w:rPr>
      </w:pPr>
      <w:r w:rsidRPr="005B53A3">
        <w:rPr>
          <w:sz w:val="28"/>
          <w:szCs w:val="28"/>
        </w:rPr>
        <w:t>Tieslietu ministrija sadarbībā ar Veselības ministriju, izpildot Ministru prezidenta 2012.gada 27. novembra rezolūciju Nr. 90/TA-2671, kurā ir lūgts izvērtēt Latvijas Veselības un sociālās aprūpes darbinieku arodbiedrības 2012.gada 13.novembra vēstuli Nr. 2/04-184 un tai pievienotos materiālus, sniegt informāciju par Datu valsts inspekcijas paveikto problēmas risināšanā, kas attiecas uz ārstniecības personu personas kodu apstrādi, kā arī sniegt priekšlikumus personas koda lietojuma regulējuma uzlabošanai, izvērtējot ārstniecības personu personas koda lietošanu, ir sagatavojusi informatīvo ziņojumu par ārstniecības personu personas kodu apstrādi.</w:t>
      </w:r>
    </w:p>
    <w:p w:rsidR="00057936" w:rsidRPr="00C850AB" w:rsidRDefault="005B53A3" w:rsidP="00057936">
      <w:pPr>
        <w:rPr>
          <w:sz w:val="28"/>
          <w:szCs w:val="28"/>
        </w:rPr>
      </w:pPr>
      <w:r w:rsidRPr="005B53A3">
        <w:rPr>
          <w:sz w:val="28"/>
          <w:szCs w:val="28"/>
        </w:rPr>
        <w:t>Viens no ārstniecības personu personas koda apstrādes tiesiskajiem pamatiem ir Ministru kabineta 2005. gada 8. marta noteikumi Nr. 175 „Recepšu veidlapu izgatavošanas un uzglabāšanas, kā arī recepšu izrakstīšanas un uzglabāšanas noteikumi”. Minētie noteikumi paredz, ka receptes ievaddaļā (</w:t>
      </w:r>
      <w:proofErr w:type="spellStart"/>
      <w:r w:rsidRPr="005B53A3">
        <w:rPr>
          <w:sz w:val="28"/>
          <w:szCs w:val="28"/>
        </w:rPr>
        <w:t>Inscriptio</w:t>
      </w:r>
      <w:proofErr w:type="spellEnd"/>
      <w:r w:rsidRPr="005B53A3">
        <w:rPr>
          <w:sz w:val="28"/>
          <w:szCs w:val="28"/>
        </w:rPr>
        <w:t>) norāda tās ārstniecības personas vārdu, uzvārdu, specialitāti un personas kodu, kura izraksta recepti. Ārstniecības personu personas kodi tiek apstrādāti arī saskaņā ar citiem Ministru kabineta noteikumiem, piemēram, Ministru kabineta 2006.gada 4.aprīļa noteikumiem Nr.265 „Medicīnisko dokumentu lietvedības kārtība”.</w:t>
      </w:r>
    </w:p>
    <w:p w:rsidR="00057936" w:rsidRPr="00C850AB" w:rsidRDefault="005B53A3" w:rsidP="00057936">
      <w:pPr>
        <w:rPr>
          <w:sz w:val="28"/>
          <w:szCs w:val="28"/>
        </w:rPr>
      </w:pPr>
      <w:r w:rsidRPr="005B53A3">
        <w:rPr>
          <w:sz w:val="28"/>
          <w:szCs w:val="28"/>
        </w:rPr>
        <w:t>Fizisko personu datu aizsardzības likuma (turpmāk – FPDAL) 2. panta 3., 4. punkts noteic, ka personas datu apstrāde ir jebkura darbība, kura tiek veikta ar personas datiem. Savukārt  FPDAL 7.panta 3.punkts un 13.</w:t>
      </w:r>
      <w:r w:rsidRPr="005B53A3">
        <w:rPr>
          <w:sz w:val="28"/>
          <w:szCs w:val="28"/>
          <w:vertAlign w:val="superscript"/>
        </w:rPr>
        <w:t>1</w:t>
      </w:r>
      <w:r w:rsidRPr="005B53A3">
        <w:rPr>
          <w:sz w:val="28"/>
          <w:szCs w:val="28"/>
        </w:rPr>
        <w:t xml:space="preserve"> panta 2.punkts noteic, ka personas datu, t. sk. personas koda, apstrāde ir atļauta, ja personas datu apstrāde ir paredzēta ārējos normatīvajos aktos.</w:t>
      </w:r>
    </w:p>
    <w:p w:rsidR="00057936" w:rsidRPr="00C850AB" w:rsidRDefault="005B53A3" w:rsidP="00057936">
      <w:pPr>
        <w:rPr>
          <w:sz w:val="28"/>
          <w:szCs w:val="28"/>
        </w:rPr>
      </w:pPr>
      <w:r w:rsidRPr="005B53A3">
        <w:rPr>
          <w:sz w:val="28"/>
          <w:szCs w:val="28"/>
        </w:rPr>
        <w:t>Ņemot vērā minēto, secināms, ka ārstniecības personu personas kodu apstrāde, kura ir nepieciešama ārējos normatīvajos aktos noteiktā pienākuma izpildei vai kura kā pienākums ir noteikta ārējos normatīvajos aktos, ir atbilstoša FPDAL normām.</w:t>
      </w:r>
    </w:p>
    <w:p w:rsidR="00C23C7A" w:rsidRPr="00C850AB" w:rsidRDefault="005B53A3" w:rsidP="00C23C7A">
      <w:pPr>
        <w:rPr>
          <w:sz w:val="28"/>
          <w:szCs w:val="28"/>
        </w:rPr>
      </w:pPr>
      <w:r w:rsidRPr="005B53A3">
        <w:rPr>
          <w:sz w:val="28"/>
          <w:szCs w:val="28"/>
        </w:rPr>
        <w:t xml:space="preserve">Jebkurai personas datu apstrādei ir jāatbilst FPDAL 10.pantam, kas noteic datu apstrādes pamatprincipus. Viens no datu apstrādes pamatprincipiem ir personas datu apstrāde atbilstoši mērķim. Proti, plānojot konkrētu datu apstrādi, ir jānosaka mērķi, kāpēc datu apstrāde ir nepieciešama, kā arī jāizvērtē, vai izvirzītais mērķis nav sasniedzams savādākā veidā, proti, veidā, kas pēc iespējas mazāk aizskar personas cilvēktiesības. </w:t>
      </w:r>
    </w:p>
    <w:p w:rsidR="00C62304" w:rsidRPr="00C850AB" w:rsidRDefault="005B53A3" w:rsidP="00C23C7A">
      <w:pPr>
        <w:rPr>
          <w:sz w:val="28"/>
          <w:szCs w:val="28"/>
        </w:rPr>
      </w:pPr>
      <w:r w:rsidRPr="005B53A3">
        <w:rPr>
          <w:sz w:val="28"/>
          <w:szCs w:val="28"/>
        </w:rPr>
        <w:t xml:space="preserve">Tā kā personas kods satur personas dzimšanas datus, personas koda izpaušana ir uzskatāma par iejaukšanos personas privātajā dzīvē. Norādām, ka esošā normatīvajos aktos noteiktā sistēma, ka ārstniecības personām dažāda veida ar ārstniecību saistītajā dokumentācijā, kas pieejama trešajām personām, jānorāda savs personas kods, pārkāpj Latvijas Republikas Satversmes (turpmāk – Satversme) 96.pantā noteiktās personu tiesības uz privāto dzīvi, jo personas </w:t>
      </w:r>
      <w:r w:rsidRPr="005B53A3">
        <w:rPr>
          <w:sz w:val="28"/>
          <w:szCs w:val="28"/>
        </w:rPr>
        <w:lastRenderedPageBreak/>
        <w:t xml:space="preserve">kods ietver informāciju par personas dzimšanas datumu, kā arī personas kods pats par sevi ir personas dati un identificē fizisku personu. Savukārt Satversmes tiesa, skaidrojot Satversmes 96.pantā garantētās tiesības uz privāto dzīvi, vairākkārtīgi ir norādījusi, ka šīs tiesības skar dažādus aspektus. Tās aizsargā indivīda fizisko un garīgo integritāti, godu un cieņu, vārdu un </w:t>
      </w:r>
      <w:r w:rsidRPr="005B53A3">
        <w:rPr>
          <w:sz w:val="28"/>
          <w:szCs w:val="28"/>
          <w:u w:val="single"/>
        </w:rPr>
        <w:t>identitāti, personas datus.</w:t>
      </w:r>
      <w:r w:rsidRPr="005B53A3">
        <w:rPr>
          <w:sz w:val="28"/>
          <w:szCs w:val="28"/>
        </w:rPr>
        <w:t xml:space="preserve"> Tiesības uz privāto dzīvi nozīmē, ka indivīdam ir tiesības uz savu privāto telpu, tiesības dzīvot pēc sava prāta, saskaņā ar savu būtību un vēlmēm attīstīt un pilnveidot savu personību, iespējami </w:t>
      </w:r>
      <w:r w:rsidRPr="005B53A3">
        <w:rPr>
          <w:sz w:val="28"/>
          <w:szCs w:val="28"/>
          <w:u w:val="single"/>
        </w:rPr>
        <w:t>minimāli ciešot no valsts vai citu personu iejaukšanās.</w:t>
      </w:r>
      <w:r w:rsidRPr="005B53A3">
        <w:rPr>
          <w:sz w:val="28"/>
          <w:szCs w:val="28"/>
        </w:rPr>
        <w:t xml:space="preserve"> </w:t>
      </w:r>
      <w:r w:rsidRPr="005B53A3">
        <w:rPr>
          <w:i/>
          <w:sz w:val="28"/>
          <w:szCs w:val="28"/>
        </w:rPr>
        <w:t>(sk., piemēram, Satversmes tiesas 2010.gada 27.decembra sprieduma lietā Nr.2010-38-01 7.punktu; 2005. gada 26. janvāra sprieduma lietā Nr. 2004–17–01 10. punktu)</w:t>
      </w:r>
      <w:r w:rsidRPr="005B53A3">
        <w:rPr>
          <w:sz w:val="28"/>
          <w:szCs w:val="28"/>
        </w:rPr>
        <w:t>.</w:t>
      </w:r>
    </w:p>
    <w:p w:rsidR="00C62304" w:rsidRPr="00C850AB" w:rsidRDefault="005B53A3" w:rsidP="00C62304">
      <w:pPr>
        <w:tabs>
          <w:tab w:val="num" w:pos="720"/>
        </w:tabs>
        <w:ind w:firstLine="540"/>
        <w:rPr>
          <w:sz w:val="28"/>
          <w:szCs w:val="28"/>
        </w:rPr>
      </w:pPr>
      <w:r w:rsidRPr="005B53A3">
        <w:rPr>
          <w:sz w:val="28"/>
          <w:szCs w:val="28"/>
        </w:rPr>
        <w:t xml:space="preserve">Tiesības uz privāto dzīvi var ierobežot, bet šiem ierobežojumiem ir jāatbilst noteiktiem kritērijiem. Saskaņā ar Satversmes 116.pantu personas tiesības uz privāto dzīvi var ierobežot, ja ierobežojums ir likumā paredzēts un ja tā mērķis ir aizsargāt citu cilvēku tiesības, demokrātiskas valsts iekārtu, sabiedrības drošību un tikumību. Satversmes tiesa </w:t>
      </w:r>
      <w:r w:rsidRPr="005B53A3">
        <w:rPr>
          <w:i/>
          <w:sz w:val="28"/>
          <w:szCs w:val="28"/>
        </w:rPr>
        <w:t>(2003.gada 5.jūnija spriedums lietā Nr.2003-02-0106, 2003.gada 29.oktobra spriedums lietā Nr.2003-05-01, 1999.gada 6.jūlija sprieduma lietā Nr.04-02(99) u.c.)</w:t>
      </w:r>
      <w:r w:rsidRPr="005B53A3">
        <w:rPr>
          <w:sz w:val="28"/>
          <w:szCs w:val="28"/>
        </w:rPr>
        <w:t xml:space="preserve"> un Latvijas Republikas Augstākā tiesa </w:t>
      </w:r>
      <w:r w:rsidRPr="005B53A3">
        <w:rPr>
          <w:i/>
          <w:sz w:val="28"/>
          <w:szCs w:val="28"/>
        </w:rPr>
        <w:t xml:space="preserve">(2011.gada 12.janvāra </w:t>
      </w:r>
      <w:smartTag w:uri="schemas-tilde-lv/tildestengine" w:element="veidnes">
        <w:smartTagPr>
          <w:attr w:name="id" w:val="-1"/>
          <w:attr w:name="baseform" w:val="lēmums"/>
          <w:attr w:name="text" w:val="lēmums"/>
        </w:smartTagPr>
        <w:r w:rsidRPr="005B53A3">
          <w:rPr>
            <w:i/>
            <w:sz w:val="28"/>
            <w:szCs w:val="28"/>
          </w:rPr>
          <w:t>lēmums</w:t>
        </w:r>
      </w:smartTag>
      <w:r w:rsidRPr="005B53A3">
        <w:rPr>
          <w:i/>
          <w:sz w:val="28"/>
          <w:szCs w:val="28"/>
        </w:rPr>
        <w:t xml:space="preserve"> lietā </w:t>
      </w:r>
      <w:proofErr w:type="spellStart"/>
      <w:r w:rsidRPr="005B53A3">
        <w:rPr>
          <w:i/>
          <w:sz w:val="28"/>
          <w:szCs w:val="28"/>
        </w:rPr>
        <w:t>Nr.SKA</w:t>
      </w:r>
      <w:proofErr w:type="spellEnd"/>
      <w:r w:rsidRPr="005B53A3">
        <w:rPr>
          <w:i/>
          <w:sz w:val="28"/>
          <w:szCs w:val="28"/>
        </w:rPr>
        <w:t xml:space="preserve">–221/2011, 2010.gada 1.jūlija spriedums lietā Nr. SKA–347/2010 2007.gada 8.jūnija spriedums lietā </w:t>
      </w:r>
      <w:proofErr w:type="spellStart"/>
      <w:r w:rsidRPr="005B53A3">
        <w:rPr>
          <w:i/>
          <w:sz w:val="28"/>
          <w:szCs w:val="28"/>
        </w:rPr>
        <w:t>Nr.SKA-194</w:t>
      </w:r>
      <w:proofErr w:type="spellEnd"/>
      <w:r w:rsidRPr="005B53A3">
        <w:rPr>
          <w:i/>
          <w:sz w:val="28"/>
          <w:szCs w:val="28"/>
        </w:rPr>
        <w:t>/2007 u.c.)</w:t>
      </w:r>
      <w:r w:rsidRPr="005B53A3">
        <w:rPr>
          <w:sz w:val="28"/>
          <w:szCs w:val="28"/>
        </w:rPr>
        <w:t xml:space="preserve"> norāda, ka izvērtējot, vai indivīda tiesību ierobežojums ir attaisnots, jāvērtē, vai ierobežojums ir paredzēts likumā, tas ir vērsts uz leģitīma mērķa sasniegšanu un ir nepieciešams demokrātiskā sabiedrībā, pārbaudot, vai ierobežojumi ir sociāli nepieciešami un samērīgi.</w:t>
      </w:r>
    </w:p>
    <w:p w:rsidR="00C62304" w:rsidRPr="00C850AB" w:rsidRDefault="005B53A3" w:rsidP="00C62304">
      <w:pPr>
        <w:rPr>
          <w:sz w:val="28"/>
          <w:szCs w:val="28"/>
        </w:rPr>
      </w:pPr>
      <w:r w:rsidRPr="005B53A3">
        <w:rPr>
          <w:sz w:val="28"/>
          <w:szCs w:val="28"/>
        </w:rPr>
        <w:t>Līdz ar to saskaņā ar Satversmes 116.pantu neatkarīgi no tā, ka ārējos normatīvajos aktos ir noteikta ārstniecības personu personas kodu apstrāde, tai skaitā nodošana pacientiem, farmaceitiem un citām personām, būtiski ir nodrošināt, lai šai normatīvajos aktos paredzētajai rīcībai būtu leģitīms mērķis, tā būtu nepieciešama demokrātiskā sabiedrībā – sociāli nepieciešama un samērīga.</w:t>
      </w:r>
    </w:p>
    <w:p w:rsidR="004B58BA" w:rsidRPr="00C850AB" w:rsidRDefault="005B53A3" w:rsidP="004B58BA">
      <w:pPr>
        <w:rPr>
          <w:sz w:val="28"/>
          <w:szCs w:val="28"/>
        </w:rPr>
      </w:pPr>
      <w:r w:rsidRPr="005B53A3">
        <w:rPr>
          <w:sz w:val="28"/>
          <w:szCs w:val="28"/>
        </w:rPr>
        <w:t>Jāņem vērā, ka personas kods, atšķirībā no citiem personas datiem, piemēram, vārda, uzvārda, dzīvesvietas, amata, darba vietas, ir nemainīgs. Līdz ar to personas kods nekļūdīgi identificē konkrētu personu. Valsts un sabiedrības interesēs, valstij administrējot un uzraugot ārstniecības pakalpojumu sniegšanu, ir nepieciešams nekļūdīgi identificēt ārstniecības personas, līdz ar to ir secināms, ka pastāv leģitīms mērķis ārstniecības personu personas kodu apstrādei.</w:t>
      </w:r>
    </w:p>
    <w:p w:rsidR="00C23C7A" w:rsidRPr="00C850AB" w:rsidRDefault="005B53A3" w:rsidP="00171B36">
      <w:pPr>
        <w:rPr>
          <w:sz w:val="28"/>
          <w:szCs w:val="28"/>
        </w:rPr>
      </w:pPr>
      <w:r w:rsidRPr="005B53A3">
        <w:rPr>
          <w:sz w:val="28"/>
          <w:szCs w:val="28"/>
        </w:rPr>
        <w:t xml:space="preserve">Tomēr, izvērtējot samērīgumu, proti, vērtējot, vai nepastāv citi līdzekļi, kā sasniegt mērķi – identificēt ārstniecības personu, secināms, ka bez ārstniecības personu personas koda apstrādes, var tikt izmantots Veselības inspekcijas piešķirts identifikators. Līdz ar to ne Tieslietu ministrija, ne Datu valsts inspekcija nekonstatē, ka esošā normatīvajos aktos noteiktā sistēma, ka ārstniecības personām dažāda veida ar ārstniecību saistītajā dokumentācijā jānorāda savs personas kods, ir samērīga, jo šīs sistēmas rezultātā ārstniecības personas kods ir pieejams trešajām personām, tai skaitā pacientiem, </w:t>
      </w:r>
      <w:r w:rsidRPr="005B53A3">
        <w:rPr>
          <w:sz w:val="28"/>
          <w:szCs w:val="28"/>
        </w:rPr>
        <w:lastRenderedPageBreak/>
        <w:t xml:space="preserve">apdrošināšanas sabiedrībām, farmaceitiem, kuri neveic valstiskās funkcijas, administrējot un uzraugot ārstniecības pakalpojumu sniegšanu, kā arī, nododot ārstniecības personu personas kodus plašam personu lokam, pieaug draudi, ka šie personas kodi var tikt izmantoti neatbilstošā veidā. Papildus tam, ņemot vērā to, ka personas kods ietver dzimšanas datumu, ārstniecības personu personas kodu izpaušana var veicināt diskrimināciju uz vecuma pamata profesionālajās attiecībās. </w:t>
      </w:r>
    </w:p>
    <w:p w:rsidR="00C263AB" w:rsidRPr="00C850AB" w:rsidRDefault="005B53A3" w:rsidP="00C263AB">
      <w:pPr>
        <w:rPr>
          <w:sz w:val="28"/>
          <w:szCs w:val="28"/>
        </w:rPr>
      </w:pPr>
      <w:r w:rsidRPr="005B53A3">
        <w:rPr>
          <w:sz w:val="28"/>
          <w:szCs w:val="28"/>
        </w:rPr>
        <w:t>Ņemot vērā minēto, secināms, ja arī normatīvie akti noteic personas datu apstrādi, ne vienmēr tie ir atbilstoši personas datu aizsardzības pamatprincipiem. Līdz ar to gan Latvijas Veselības un sociālās aprūpes darbinieku arodbiedrības 2012.gada 13.novembra vēstules Nr. 2/04-184, kas adresēta Ministru prezidentam, izklāsts, gan arī normatīvo aktu izvērtējums liecina, ka ārstniecības personu personas koda izpaušana pacientiem, farmaceitiem un cita veida ārstu personas koda apstrāde ierobežo ārstniecības personu tiesības uz privātās dzīves neaizskaramību, t. sk. uz personas tiesību uz personas datu aizsardzību.</w:t>
      </w:r>
    </w:p>
    <w:p w:rsidR="00EB26DE" w:rsidRPr="00C850AB" w:rsidRDefault="005B53A3" w:rsidP="00845DAA">
      <w:pPr>
        <w:rPr>
          <w:sz w:val="28"/>
          <w:szCs w:val="28"/>
        </w:rPr>
      </w:pPr>
      <w:r w:rsidRPr="005B53A3">
        <w:rPr>
          <w:sz w:val="28"/>
          <w:szCs w:val="28"/>
        </w:rPr>
        <w:t>Papildus vēršam uzmanību uz to, ka Datu valsts inspekcija no 2010.gada izsaka savu viedokli Veselības ministrijai, ka esošajā normatīvajos aktos noteiktajā regulējumā attiecībā uz ārstniecības personu personas kodu apstrādi nav saskatāma nepieciešamība ārstniecības personu personas kodu izpaušanai pacientiem un farmaceitiem – normatīvajā regulējumā noteiktā personas datu apstrāde nav samērīga ar šīs apstrādes mērķi. Datu valsts inspekcija ir aicinājusi Veselības ministriju pārskatīt normatīvi regulējumu attiecībā uz ārstniecības personu identificēšanu, lai tas atbilstu personas datu aizsardzības pamatprincipiem.</w:t>
      </w:r>
    </w:p>
    <w:p w:rsidR="00B174F9" w:rsidRPr="00C850AB" w:rsidRDefault="005B53A3" w:rsidP="00845DAA">
      <w:pPr>
        <w:rPr>
          <w:sz w:val="28"/>
          <w:szCs w:val="28"/>
        </w:rPr>
      </w:pPr>
      <w:r w:rsidRPr="005B53A3">
        <w:rPr>
          <w:sz w:val="28"/>
          <w:szCs w:val="28"/>
        </w:rPr>
        <w:t xml:space="preserve">Veselības ministrija, analizējot minētās problēmas iespējamos risinājumus, no 2010.gada ir ieguldījusi ievērojamu darbu, un izvērtējusi, kuros normatīvajos aktos būtu veicami grozījumi, lai novērstu ārstniecības personu personas kodu publisku pieejamību receptēs un medicīniskajā dokumentācijā (izrakstos, nosūtījumos), kas tiek izsniegti pacientiem. Lai noskaidrotu ārstniecības iestāžu nostāju attiecībā uz ārsta personas koda aizstāšanu ar ārstniecības personas identifikatoru, tika apzinātas ārstniecības iestādes un lūgts izvērtēt nepieciešamās izmaksas minētā pasākuma realizēšanai. Ņemot vērā finanšu līdzekļu trūkumu un ārstniecības iestāžu neviennozīmīgo viedokli par nepieciešamību ārstniecības personām piešķirt jaunu identifikatoru, jautājuma par personas koda aizstāšanu ar identifikatoru risināšana ir aizkavējusies. Aktīvi turpinot darbu pie e-veselības ieviešanas, Veselības ministrija ir apsvērusi iespēju realizēt identifikatora ieviešanu e-veselības ietvaros. </w:t>
      </w:r>
    </w:p>
    <w:p w:rsidR="00AE7706" w:rsidRPr="00C850AB" w:rsidRDefault="005B53A3" w:rsidP="00AE7706">
      <w:pPr>
        <w:rPr>
          <w:sz w:val="28"/>
          <w:szCs w:val="28"/>
        </w:rPr>
      </w:pPr>
      <w:r w:rsidRPr="005B53A3">
        <w:rPr>
          <w:sz w:val="28"/>
          <w:szCs w:val="28"/>
        </w:rPr>
        <w:t xml:space="preserve">Vienlaikus, īstenojot ārstniecības personu personas koda aizvietošanu ar identifikatoru publiskajā vidē, Veselības inspekcija sadarbībā ar Nacionālo veselības dienestu, uzsāka darbību pie izmaiņu veikšanas Vadības Informācijas sistēmā (turpmāk – VIS), nodrošinot ārstniecības personu identifikatora – 11 simbolu koda ieviešanu VIS un ar 2012.gada maiju nodrošinot personas koda un identifikatora vienlaicīgu uzturēšanu sistēmā. Lai nodrošinātu ārstniecības </w:t>
      </w:r>
      <w:r w:rsidRPr="005B53A3">
        <w:rPr>
          <w:sz w:val="28"/>
          <w:szCs w:val="28"/>
        </w:rPr>
        <w:lastRenderedPageBreak/>
        <w:t>personas identifikatora ieviešanu,</w:t>
      </w:r>
      <w:r w:rsidR="00C850AB">
        <w:rPr>
          <w:sz w:val="28"/>
          <w:szCs w:val="28"/>
        </w:rPr>
        <w:t xml:space="preserve"> </w:t>
      </w:r>
      <w:r w:rsidRPr="005B53A3">
        <w:rPr>
          <w:sz w:val="28"/>
          <w:szCs w:val="28"/>
        </w:rPr>
        <w:t>Veselības ministrija 2013.gadā plāno veikt grozījumus šādos Ministru kabineta noteikumos:</w:t>
      </w:r>
    </w:p>
    <w:p w:rsidR="00000000" w:rsidRDefault="00C850AB">
      <w:pPr>
        <w:rPr>
          <w:sz w:val="28"/>
          <w:szCs w:val="28"/>
        </w:rPr>
      </w:pPr>
      <w:r>
        <w:rPr>
          <w:sz w:val="28"/>
          <w:szCs w:val="28"/>
        </w:rPr>
        <w:t>1. </w:t>
      </w:r>
      <w:r w:rsidR="005B53A3" w:rsidRPr="005B53A3">
        <w:rPr>
          <w:sz w:val="28"/>
          <w:szCs w:val="28"/>
        </w:rPr>
        <w:t>Ministru kabineta 2009.gada 24.februāra noteikumi Nr.192 „Ārstniecības personu un ārstniecības atbalsta personu reģistra izveides, papildināšanas un uzturēšanas kārtība”;</w:t>
      </w:r>
    </w:p>
    <w:p w:rsidR="00000000" w:rsidRDefault="00C850AB">
      <w:pPr>
        <w:rPr>
          <w:sz w:val="28"/>
          <w:szCs w:val="28"/>
        </w:rPr>
      </w:pPr>
      <w:r>
        <w:rPr>
          <w:rFonts w:eastAsia="Times New Roman"/>
          <w:sz w:val="28"/>
          <w:szCs w:val="28"/>
        </w:rPr>
        <w:t>2. </w:t>
      </w:r>
      <w:r w:rsidR="005B53A3" w:rsidRPr="005B53A3">
        <w:rPr>
          <w:rFonts w:eastAsia="Times New Roman"/>
          <w:sz w:val="28"/>
          <w:szCs w:val="28"/>
        </w:rPr>
        <w:t>Ministru kabineta 2006.gada 4.aprīļa noteikumi Nr.265 „Ārstniecības iestāžu medicīniskās un uzskaites dokumentācijas lietvedības kārtība”;</w:t>
      </w:r>
    </w:p>
    <w:p w:rsidR="00000000" w:rsidRDefault="00C850AB">
      <w:pPr>
        <w:rPr>
          <w:sz w:val="28"/>
          <w:szCs w:val="28"/>
        </w:rPr>
      </w:pPr>
      <w:r>
        <w:rPr>
          <w:sz w:val="28"/>
          <w:szCs w:val="28"/>
        </w:rPr>
        <w:t>3. </w:t>
      </w:r>
      <w:r w:rsidR="005B53A3" w:rsidRPr="005B53A3">
        <w:rPr>
          <w:sz w:val="28"/>
          <w:szCs w:val="28"/>
        </w:rPr>
        <w:t xml:space="preserve">Ministru kabineta 2005.gada 8.marta noteikumi </w:t>
      </w:r>
      <w:r w:rsidR="005B53A3" w:rsidRPr="005B53A3">
        <w:rPr>
          <w:rFonts w:eastAsia="Times New Roman"/>
          <w:sz w:val="28"/>
          <w:szCs w:val="28"/>
        </w:rPr>
        <w:t>Nr.175</w:t>
      </w:r>
      <w:r w:rsidR="005B53A3" w:rsidRPr="005B53A3">
        <w:rPr>
          <w:rFonts w:eastAsia="Times New Roman"/>
          <w:color w:val="1F497D"/>
          <w:sz w:val="28"/>
          <w:szCs w:val="28"/>
        </w:rPr>
        <w:t xml:space="preserve"> </w:t>
      </w:r>
      <w:r w:rsidR="005B53A3" w:rsidRPr="005B53A3">
        <w:rPr>
          <w:rFonts w:eastAsia="Times New Roman"/>
          <w:sz w:val="28"/>
          <w:szCs w:val="28"/>
        </w:rPr>
        <w:t>„Recepšu veidlapu izgatavošanas un uzglabāšanas, kā arī recepšu izrakstīšanas noteikumi”;</w:t>
      </w:r>
    </w:p>
    <w:p w:rsidR="00000000" w:rsidRDefault="00C850AB">
      <w:pPr>
        <w:rPr>
          <w:sz w:val="28"/>
          <w:szCs w:val="28"/>
        </w:rPr>
      </w:pPr>
      <w:r>
        <w:rPr>
          <w:sz w:val="28"/>
          <w:szCs w:val="28"/>
        </w:rPr>
        <w:t>4. </w:t>
      </w:r>
      <w:r w:rsidR="005B53A3" w:rsidRPr="005B53A3">
        <w:rPr>
          <w:sz w:val="28"/>
          <w:szCs w:val="28"/>
        </w:rPr>
        <w:t xml:space="preserve">Ministru kabineta 2006.gada </w:t>
      </w:r>
      <w:r w:rsidR="005B53A3" w:rsidRPr="005B53A3">
        <w:rPr>
          <w:rFonts w:eastAsia="Times New Roman"/>
          <w:sz w:val="28"/>
          <w:szCs w:val="28"/>
        </w:rPr>
        <w:t>19.decembra noteikumi Nr.1046</w:t>
      </w:r>
      <w:r w:rsidR="005B53A3" w:rsidRPr="005B53A3">
        <w:rPr>
          <w:rFonts w:eastAsia="Times New Roman"/>
          <w:color w:val="1F497D"/>
          <w:sz w:val="28"/>
          <w:szCs w:val="28"/>
        </w:rPr>
        <w:t xml:space="preserve">. </w:t>
      </w:r>
      <w:r w:rsidR="005B53A3" w:rsidRPr="005B53A3">
        <w:rPr>
          <w:rFonts w:eastAsia="Times New Roman"/>
          <w:sz w:val="28"/>
          <w:szCs w:val="28"/>
        </w:rPr>
        <w:t>„Veselības aprūpes organizēšanas un finansēšanas kārtība”;</w:t>
      </w:r>
    </w:p>
    <w:p w:rsidR="00000000" w:rsidRDefault="00C850AB">
      <w:pPr>
        <w:rPr>
          <w:sz w:val="28"/>
          <w:szCs w:val="28"/>
        </w:rPr>
      </w:pPr>
      <w:r>
        <w:rPr>
          <w:sz w:val="28"/>
          <w:szCs w:val="28"/>
        </w:rPr>
        <w:t>5. </w:t>
      </w:r>
      <w:r w:rsidR="005B53A3" w:rsidRPr="005B53A3">
        <w:rPr>
          <w:sz w:val="28"/>
          <w:szCs w:val="28"/>
        </w:rPr>
        <w:t xml:space="preserve">Ministru kabineta 2008.gada 15.septembra </w:t>
      </w:r>
      <w:r w:rsidR="005B53A3" w:rsidRPr="005B53A3">
        <w:rPr>
          <w:rFonts w:eastAsia="Times New Roman"/>
          <w:sz w:val="28"/>
          <w:szCs w:val="28"/>
        </w:rPr>
        <w:t>noteikumi Nr.746. „Ar noteiktām slimībām slimojošu pacientu reģistra izveides, papildināšanas un uzturēšanas kārtība”</w:t>
      </w:r>
    </w:p>
    <w:p w:rsidR="00466289" w:rsidRPr="00C850AB" w:rsidRDefault="005B53A3" w:rsidP="001253C4">
      <w:pPr>
        <w:rPr>
          <w:sz w:val="28"/>
          <w:szCs w:val="28"/>
        </w:rPr>
      </w:pPr>
      <w:r w:rsidRPr="005B53A3">
        <w:rPr>
          <w:sz w:val="28"/>
          <w:szCs w:val="28"/>
        </w:rPr>
        <w:t>Ņemot vērā minēto, Veselības ministrija ir izteikusi apņemšanos nodrošināt ārstniecības personu tiesības uz personas datu aizsardzību un jau veikusi noteiktus pasākumus, kas sekmētu ārsta personas koda aizstāšanas ar ārstniecības personas identifikatoru nodrošināšanu.</w:t>
      </w:r>
    </w:p>
    <w:p w:rsidR="001253C4" w:rsidRPr="00C850AB" w:rsidRDefault="005B53A3" w:rsidP="001253C4">
      <w:pPr>
        <w:rPr>
          <w:sz w:val="28"/>
          <w:szCs w:val="28"/>
        </w:rPr>
      </w:pPr>
      <w:r w:rsidRPr="005B53A3">
        <w:rPr>
          <w:sz w:val="28"/>
          <w:szCs w:val="28"/>
        </w:rPr>
        <w:t xml:space="preserve"> </w:t>
      </w:r>
    </w:p>
    <w:p w:rsidR="00C23C7A" w:rsidRPr="00C850AB" w:rsidRDefault="00C23C7A" w:rsidP="002D475D">
      <w:pPr>
        <w:ind w:firstLine="0"/>
        <w:rPr>
          <w:sz w:val="28"/>
          <w:szCs w:val="28"/>
        </w:rPr>
      </w:pPr>
    </w:p>
    <w:p w:rsidR="004D6B9B" w:rsidRPr="008A79E5" w:rsidRDefault="005B53A3" w:rsidP="00171B36">
      <w:pPr>
        <w:ind w:firstLine="0"/>
        <w:rPr>
          <w:szCs w:val="24"/>
        </w:rPr>
      </w:pPr>
      <w:r w:rsidRPr="005B53A3">
        <w:rPr>
          <w:sz w:val="28"/>
          <w:szCs w:val="28"/>
        </w:rPr>
        <w:t xml:space="preserve">Tieslietu ministrs </w:t>
      </w:r>
      <w:r w:rsidRPr="005B53A3">
        <w:rPr>
          <w:sz w:val="28"/>
          <w:szCs w:val="28"/>
        </w:rPr>
        <w:tab/>
      </w:r>
      <w:r w:rsidRPr="005B53A3">
        <w:rPr>
          <w:sz w:val="28"/>
          <w:szCs w:val="28"/>
        </w:rPr>
        <w:tab/>
      </w:r>
      <w:r w:rsidRPr="005B53A3">
        <w:rPr>
          <w:sz w:val="28"/>
          <w:szCs w:val="28"/>
        </w:rPr>
        <w:tab/>
      </w:r>
      <w:r w:rsidRPr="005B53A3">
        <w:rPr>
          <w:sz w:val="28"/>
          <w:szCs w:val="28"/>
        </w:rPr>
        <w:tab/>
      </w:r>
      <w:r w:rsidRPr="005B53A3">
        <w:rPr>
          <w:sz w:val="28"/>
          <w:szCs w:val="28"/>
        </w:rPr>
        <w:tab/>
      </w:r>
      <w:r w:rsidRPr="005B53A3">
        <w:rPr>
          <w:sz w:val="28"/>
          <w:szCs w:val="28"/>
        </w:rPr>
        <w:tab/>
      </w:r>
      <w:r w:rsidRPr="005B53A3">
        <w:rPr>
          <w:sz w:val="28"/>
          <w:szCs w:val="28"/>
        </w:rPr>
        <w:tab/>
      </w:r>
      <w:r w:rsidRPr="005B53A3">
        <w:rPr>
          <w:sz w:val="28"/>
          <w:szCs w:val="28"/>
        </w:rPr>
        <w:tab/>
      </w:r>
      <w:r w:rsidRPr="005B53A3">
        <w:rPr>
          <w:sz w:val="28"/>
          <w:szCs w:val="28"/>
        </w:rPr>
        <w:tab/>
      </w:r>
      <w:proofErr w:type="spellStart"/>
      <w:r w:rsidRPr="005B53A3">
        <w:rPr>
          <w:sz w:val="28"/>
          <w:szCs w:val="28"/>
        </w:rPr>
        <w:t>J.Bordān</w:t>
      </w:r>
      <w:r w:rsidR="00171B36" w:rsidRPr="008A79E5">
        <w:rPr>
          <w:szCs w:val="24"/>
        </w:rPr>
        <w:t>s</w:t>
      </w:r>
      <w:proofErr w:type="spellEnd"/>
    </w:p>
    <w:p w:rsidR="004D6B9B" w:rsidRPr="008A79E5" w:rsidRDefault="004D6B9B" w:rsidP="00171B36">
      <w:pPr>
        <w:ind w:firstLine="0"/>
        <w:rPr>
          <w:szCs w:val="24"/>
        </w:rPr>
      </w:pPr>
    </w:p>
    <w:p w:rsidR="004D6B9B" w:rsidRPr="008A79E5" w:rsidRDefault="004D6B9B" w:rsidP="00171B36">
      <w:pPr>
        <w:ind w:firstLine="0"/>
        <w:rPr>
          <w:sz w:val="20"/>
          <w:szCs w:val="24"/>
        </w:rPr>
      </w:pPr>
    </w:p>
    <w:p w:rsidR="004D6B9B" w:rsidRPr="008A79E5" w:rsidRDefault="004D6B9B" w:rsidP="00171B36">
      <w:pPr>
        <w:ind w:firstLine="0"/>
        <w:rPr>
          <w:sz w:val="20"/>
          <w:szCs w:val="24"/>
        </w:rPr>
      </w:pPr>
    </w:p>
    <w:p w:rsidR="004D6B9B" w:rsidRPr="008A79E5" w:rsidRDefault="004D6B9B" w:rsidP="00171B36">
      <w:pPr>
        <w:ind w:firstLine="0"/>
        <w:rPr>
          <w:sz w:val="20"/>
          <w:szCs w:val="24"/>
        </w:rPr>
      </w:pPr>
      <w:r w:rsidRPr="008A79E5">
        <w:rPr>
          <w:sz w:val="20"/>
          <w:szCs w:val="24"/>
        </w:rPr>
        <w:t>0</w:t>
      </w:r>
      <w:r w:rsidR="004C1CC8">
        <w:rPr>
          <w:sz w:val="20"/>
          <w:szCs w:val="24"/>
        </w:rPr>
        <w:t>9</w:t>
      </w:r>
      <w:r w:rsidRPr="008A79E5">
        <w:rPr>
          <w:sz w:val="20"/>
          <w:szCs w:val="24"/>
        </w:rPr>
        <w:t>.01.2013. 09:00</w:t>
      </w:r>
    </w:p>
    <w:p w:rsidR="004D6B9B" w:rsidRPr="008A79E5" w:rsidRDefault="002D475D" w:rsidP="00171B36">
      <w:pPr>
        <w:ind w:firstLine="0"/>
        <w:rPr>
          <w:sz w:val="20"/>
          <w:szCs w:val="24"/>
        </w:rPr>
      </w:pPr>
      <w:r w:rsidRPr="008A79E5">
        <w:rPr>
          <w:sz w:val="20"/>
          <w:szCs w:val="24"/>
        </w:rPr>
        <w:t>1</w:t>
      </w:r>
      <w:r w:rsidR="00CA0F57">
        <w:rPr>
          <w:sz w:val="20"/>
          <w:szCs w:val="24"/>
        </w:rPr>
        <w:t>29</w:t>
      </w:r>
      <w:r w:rsidR="00C850AB">
        <w:rPr>
          <w:sz w:val="20"/>
          <w:szCs w:val="24"/>
        </w:rPr>
        <w:t>8</w:t>
      </w:r>
    </w:p>
    <w:p w:rsidR="004D6B9B" w:rsidRPr="008A79E5" w:rsidRDefault="004D6B9B" w:rsidP="00171B36">
      <w:pPr>
        <w:ind w:firstLine="0"/>
        <w:rPr>
          <w:sz w:val="20"/>
          <w:szCs w:val="24"/>
        </w:rPr>
      </w:pPr>
      <w:proofErr w:type="spellStart"/>
      <w:r w:rsidRPr="008A79E5">
        <w:rPr>
          <w:sz w:val="20"/>
          <w:szCs w:val="24"/>
        </w:rPr>
        <w:t>D.Voitiņa</w:t>
      </w:r>
      <w:proofErr w:type="spellEnd"/>
    </w:p>
    <w:p w:rsidR="004D6B9B" w:rsidRPr="008A79E5" w:rsidRDefault="004D6B9B" w:rsidP="00171B36">
      <w:pPr>
        <w:ind w:firstLine="0"/>
        <w:rPr>
          <w:sz w:val="20"/>
          <w:szCs w:val="24"/>
        </w:rPr>
      </w:pPr>
      <w:r w:rsidRPr="008A79E5">
        <w:rPr>
          <w:sz w:val="20"/>
          <w:szCs w:val="24"/>
        </w:rPr>
        <w:t xml:space="preserve">67046135, </w:t>
      </w:r>
      <w:hyperlink r:id="rId8" w:history="1">
        <w:r w:rsidRPr="008A79E5">
          <w:rPr>
            <w:rStyle w:val="Hyperlink"/>
            <w:color w:val="auto"/>
            <w:sz w:val="20"/>
            <w:szCs w:val="24"/>
          </w:rPr>
          <w:t>Dana.Voitina@tm.gov.lv</w:t>
        </w:r>
      </w:hyperlink>
    </w:p>
    <w:p w:rsidR="004D6B9B" w:rsidRPr="008A79E5" w:rsidRDefault="004D6B9B" w:rsidP="00171B36">
      <w:pPr>
        <w:ind w:firstLine="0"/>
        <w:rPr>
          <w:sz w:val="20"/>
          <w:szCs w:val="24"/>
        </w:rPr>
      </w:pPr>
      <w:r w:rsidRPr="008A79E5">
        <w:rPr>
          <w:sz w:val="20"/>
          <w:szCs w:val="24"/>
        </w:rPr>
        <w:t>S.Vetsteina</w:t>
      </w:r>
    </w:p>
    <w:p w:rsidR="004D6B9B" w:rsidRDefault="004D6B9B" w:rsidP="00171B36">
      <w:pPr>
        <w:ind w:firstLine="0"/>
        <w:rPr>
          <w:sz w:val="20"/>
          <w:szCs w:val="24"/>
        </w:rPr>
      </w:pPr>
      <w:r w:rsidRPr="008A79E5">
        <w:rPr>
          <w:sz w:val="20"/>
          <w:szCs w:val="24"/>
        </w:rPr>
        <w:t xml:space="preserve">67223131, </w:t>
      </w:r>
      <w:hyperlink r:id="rId9" w:history="1">
        <w:r w:rsidRPr="008A79E5">
          <w:rPr>
            <w:rStyle w:val="Hyperlink"/>
            <w:color w:val="auto"/>
            <w:sz w:val="20"/>
            <w:szCs w:val="24"/>
          </w:rPr>
          <w:t>Sanita.Vesteina@dvi.gov.lv</w:t>
        </w:r>
      </w:hyperlink>
    </w:p>
    <w:p w:rsidR="004C1CC8" w:rsidRDefault="004C1CC8" w:rsidP="00171B36">
      <w:pPr>
        <w:ind w:firstLine="0"/>
        <w:rPr>
          <w:sz w:val="20"/>
          <w:szCs w:val="24"/>
        </w:rPr>
      </w:pPr>
      <w:r>
        <w:rPr>
          <w:sz w:val="20"/>
          <w:szCs w:val="24"/>
        </w:rPr>
        <w:t>V.Korņenkova</w:t>
      </w:r>
    </w:p>
    <w:p w:rsidR="004C1CC8" w:rsidRPr="004C1CC8" w:rsidRDefault="004C1CC8" w:rsidP="00171B36">
      <w:pPr>
        <w:ind w:firstLine="0"/>
        <w:rPr>
          <w:sz w:val="20"/>
          <w:szCs w:val="24"/>
        </w:rPr>
      </w:pPr>
      <w:r>
        <w:rPr>
          <w:sz w:val="20"/>
          <w:szCs w:val="24"/>
        </w:rPr>
        <w:t>67876098</w:t>
      </w:r>
      <w:r w:rsidRPr="004C1CC8">
        <w:rPr>
          <w:sz w:val="20"/>
          <w:szCs w:val="24"/>
        </w:rPr>
        <w:t xml:space="preserve">, </w:t>
      </w:r>
      <w:hyperlink r:id="rId10" w:history="1">
        <w:r w:rsidRPr="004C1CC8">
          <w:rPr>
            <w:rStyle w:val="Hyperlink"/>
            <w:color w:val="auto"/>
            <w:sz w:val="20"/>
            <w:szCs w:val="24"/>
          </w:rPr>
          <w:t>Viktorija.Kornenkova@vm.gov.lv</w:t>
        </w:r>
      </w:hyperlink>
    </w:p>
    <w:p w:rsidR="004C1CC8" w:rsidRPr="008A79E5" w:rsidRDefault="004C1CC8" w:rsidP="00171B36">
      <w:pPr>
        <w:ind w:firstLine="0"/>
        <w:rPr>
          <w:sz w:val="20"/>
          <w:szCs w:val="24"/>
        </w:rPr>
      </w:pPr>
    </w:p>
    <w:p w:rsidR="004D6B9B" w:rsidRPr="008A79E5" w:rsidRDefault="004D6B9B" w:rsidP="00171B36">
      <w:pPr>
        <w:ind w:firstLine="0"/>
        <w:rPr>
          <w:sz w:val="20"/>
          <w:szCs w:val="24"/>
        </w:rPr>
      </w:pPr>
    </w:p>
    <w:p w:rsidR="004D6B9B" w:rsidRPr="008A79E5" w:rsidRDefault="004D6B9B" w:rsidP="00171B36">
      <w:pPr>
        <w:ind w:firstLine="0"/>
        <w:rPr>
          <w:sz w:val="20"/>
          <w:szCs w:val="24"/>
        </w:rPr>
      </w:pPr>
    </w:p>
    <w:p w:rsidR="00443D0C" w:rsidRPr="008A79E5" w:rsidRDefault="00443D0C" w:rsidP="00E006C7"/>
    <w:sectPr w:rsidR="00443D0C" w:rsidRPr="008A79E5" w:rsidSect="00033E32">
      <w:headerReference w:type="default" r:id="rId11"/>
      <w:footerReference w:type="default" r:id="rId12"/>
      <w:footerReference w:type="first" r:id="rId13"/>
      <w:pgSz w:w="11906" w:h="16838"/>
      <w:pgMar w:top="1134" w:right="1134"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BC" w:rsidRDefault="008C02BC" w:rsidP="004D6B9B">
      <w:r>
        <w:separator/>
      </w:r>
    </w:p>
  </w:endnote>
  <w:endnote w:type="continuationSeparator" w:id="0">
    <w:p w:rsidR="008C02BC" w:rsidRDefault="008C02BC" w:rsidP="004D6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A5" w:rsidRPr="004D6B9B" w:rsidRDefault="004C1CC8" w:rsidP="004D6B9B">
    <w:pPr>
      <w:pStyle w:val="Footer"/>
      <w:ind w:firstLine="0"/>
      <w:rPr>
        <w:sz w:val="20"/>
        <w:szCs w:val="20"/>
      </w:rPr>
    </w:pPr>
    <w:r>
      <w:rPr>
        <w:sz w:val="20"/>
        <w:szCs w:val="20"/>
      </w:rPr>
      <w:t>TMZino_09</w:t>
    </w:r>
    <w:r w:rsidR="00880DA5" w:rsidRPr="004D6B9B">
      <w:rPr>
        <w:sz w:val="20"/>
        <w:szCs w:val="20"/>
      </w:rPr>
      <w:t>0113_pk; Informatīvais zi</w:t>
    </w:r>
    <w:r w:rsidR="00880DA5">
      <w:rPr>
        <w:sz w:val="20"/>
        <w:szCs w:val="20"/>
      </w:rPr>
      <w:t>ņojums „P</w:t>
    </w:r>
    <w:r w:rsidR="00880DA5" w:rsidRPr="004D6B9B">
      <w:rPr>
        <w:sz w:val="20"/>
        <w:szCs w:val="20"/>
      </w:rPr>
      <w:t>ar ārstniecības personu personas kodu apstrādi</w:t>
    </w:r>
    <w:r w:rsidR="00880DA5">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A5" w:rsidRPr="004D6B9B" w:rsidRDefault="004C1CC8" w:rsidP="004D6B9B">
    <w:pPr>
      <w:pStyle w:val="Footer"/>
      <w:ind w:firstLine="0"/>
      <w:rPr>
        <w:sz w:val="20"/>
        <w:szCs w:val="20"/>
      </w:rPr>
    </w:pPr>
    <w:r>
      <w:rPr>
        <w:sz w:val="20"/>
        <w:szCs w:val="20"/>
      </w:rPr>
      <w:t>TMZino_09</w:t>
    </w:r>
    <w:r w:rsidR="00880DA5" w:rsidRPr="004D6B9B">
      <w:rPr>
        <w:sz w:val="20"/>
        <w:szCs w:val="20"/>
      </w:rPr>
      <w:t>0113_pk; Informatīvais zi</w:t>
    </w:r>
    <w:r w:rsidR="00880DA5">
      <w:rPr>
        <w:sz w:val="20"/>
        <w:szCs w:val="20"/>
      </w:rPr>
      <w:t>ņojums „P</w:t>
    </w:r>
    <w:r w:rsidR="00880DA5" w:rsidRPr="004D6B9B">
      <w:rPr>
        <w:sz w:val="20"/>
        <w:szCs w:val="20"/>
      </w:rPr>
      <w:t>ar ārstniecības personu personas kodu apstrādi</w:t>
    </w:r>
    <w:r w:rsidR="00880DA5">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BC" w:rsidRDefault="008C02BC" w:rsidP="004D6B9B">
      <w:r>
        <w:separator/>
      </w:r>
    </w:p>
  </w:footnote>
  <w:footnote w:type="continuationSeparator" w:id="0">
    <w:p w:rsidR="008C02BC" w:rsidRDefault="008C02BC" w:rsidP="004D6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A5" w:rsidRDefault="005B53A3">
    <w:pPr>
      <w:pStyle w:val="Header"/>
      <w:jc w:val="center"/>
    </w:pPr>
    <w:fldSimple w:instr=" PAGE   \* MERGEFORMAT ">
      <w:r w:rsidR="00A73F62">
        <w:rPr>
          <w:noProof/>
        </w:rPr>
        <w:t>4</w:t>
      </w:r>
    </w:fldSimple>
  </w:p>
  <w:p w:rsidR="00880DA5" w:rsidRDefault="00880DA5" w:rsidP="004D6B9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3BED"/>
    <w:multiLevelType w:val="hybridMultilevel"/>
    <w:tmpl w:val="660C4244"/>
    <w:lvl w:ilvl="0" w:tplc="08422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99036F3"/>
    <w:multiLevelType w:val="hybridMultilevel"/>
    <w:tmpl w:val="BB12100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443D0C"/>
    <w:rsid w:val="00015151"/>
    <w:rsid w:val="000322F3"/>
    <w:rsid w:val="00033E32"/>
    <w:rsid w:val="00054C71"/>
    <w:rsid w:val="00057725"/>
    <w:rsid w:val="00057936"/>
    <w:rsid w:val="00060666"/>
    <w:rsid w:val="00064613"/>
    <w:rsid w:val="00067E2C"/>
    <w:rsid w:val="00072719"/>
    <w:rsid w:val="00082C8E"/>
    <w:rsid w:val="00090D5B"/>
    <w:rsid w:val="000E2AA9"/>
    <w:rsid w:val="000F2372"/>
    <w:rsid w:val="000F7C1E"/>
    <w:rsid w:val="00100FA3"/>
    <w:rsid w:val="00112E8C"/>
    <w:rsid w:val="001244A3"/>
    <w:rsid w:val="001253C4"/>
    <w:rsid w:val="00135A07"/>
    <w:rsid w:val="00143F2C"/>
    <w:rsid w:val="00171B36"/>
    <w:rsid w:val="001725E0"/>
    <w:rsid w:val="0017658B"/>
    <w:rsid w:val="00186C99"/>
    <w:rsid w:val="001A27D2"/>
    <w:rsid w:val="001A5A29"/>
    <w:rsid w:val="001E4625"/>
    <w:rsid w:val="001E4F84"/>
    <w:rsid w:val="001E7F70"/>
    <w:rsid w:val="002051D0"/>
    <w:rsid w:val="00215A23"/>
    <w:rsid w:val="00221E34"/>
    <w:rsid w:val="00250A78"/>
    <w:rsid w:val="00272658"/>
    <w:rsid w:val="00281D72"/>
    <w:rsid w:val="002C3D8E"/>
    <w:rsid w:val="002D1312"/>
    <w:rsid w:val="002D475D"/>
    <w:rsid w:val="002F0B89"/>
    <w:rsid w:val="002F621F"/>
    <w:rsid w:val="003044CC"/>
    <w:rsid w:val="00313250"/>
    <w:rsid w:val="003537D4"/>
    <w:rsid w:val="00365DC4"/>
    <w:rsid w:val="00370EBD"/>
    <w:rsid w:val="003710C7"/>
    <w:rsid w:val="00373AC0"/>
    <w:rsid w:val="00377D87"/>
    <w:rsid w:val="00397CF5"/>
    <w:rsid w:val="003C0207"/>
    <w:rsid w:val="003C3D43"/>
    <w:rsid w:val="003D2E15"/>
    <w:rsid w:val="003E34A1"/>
    <w:rsid w:val="003E6838"/>
    <w:rsid w:val="003F1EC4"/>
    <w:rsid w:val="00401D6C"/>
    <w:rsid w:val="00412B1B"/>
    <w:rsid w:val="00443D0C"/>
    <w:rsid w:val="004536D3"/>
    <w:rsid w:val="00461090"/>
    <w:rsid w:val="0046276C"/>
    <w:rsid w:val="00462D7B"/>
    <w:rsid w:val="00464466"/>
    <w:rsid w:val="00466289"/>
    <w:rsid w:val="00482BE2"/>
    <w:rsid w:val="004B5875"/>
    <w:rsid w:val="004B58BA"/>
    <w:rsid w:val="004B79BD"/>
    <w:rsid w:val="004B7D4C"/>
    <w:rsid w:val="004C1CC8"/>
    <w:rsid w:val="004C332C"/>
    <w:rsid w:val="004C5218"/>
    <w:rsid w:val="004D1035"/>
    <w:rsid w:val="004D4C54"/>
    <w:rsid w:val="004D6B9B"/>
    <w:rsid w:val="004E40C1"/>
    <w:rsid w:val="00507A42"/>
    <w:rsid w:val="00521E07"/>
    <w:rsid w:val="005257C0"/>
    <w:rsid w:val="00525FA7"/>
    <w:rsid w:val="00531089"/>
    <w:rsid w:val="0053336B"/>
    <w:rsid w:val="00533FE3"/>
    <w:rsid w:val="00545046"/>
    <w:rsid w:val="005770A1"/>
    <w:rsid w:val="00591289"/>
    <w:rsid w:val="005A55CA"/>
    <w:rsid w:val="005B53A3"/>
    <w:rsid w:val="005F789B"/>
    <w:rsid w:val="006258C1"/>
    <w:rsid w:val="00633015"/>
    <w:rsid w:val="00636096"/>
    <w:rsid w:val="00670CEA"/>
    <w:rsid w:val="00677FF6"/>
    <w:rsid w:val="00697364"/>
    <w:rsid w:val="006B0AFD"/>
    <w:rsid w:val="006C3BF3"/>
    <w:rsid w:val="006C420D"/>
    <w:rsid w:val="0070713F"/>
    <w:rsid w:val="00720B1C"/>
    <w:rsid w:val="00725C01"/>
    <w:rsid w:val="00744A36"/>
    <w:rsid w:val="00765DD0"/>
    <w:rsid w:val="007800FA"/>
    <w:rsid w:val="0078541A"/>
    <w:rsid w:val="00785F93"/>
    <w:rsid w:val="007A1775"/>
    <w:rsid w:val="007E1611"/>
    <w:rsid w:val="0080483E"/>
    <w:rsid w:val="0081016B"/>
    <w:rsid w:val="00813E1C"/>
    <w:rsid w:val="00845DAA"/>
    <w:rsid w:val="00845F3D"/>
    <w:rsid w:val="00847F91"/>
    <w:rsid w:val="00880DA5"/>
    <w:rsid w:val="00881895"/>
    <w:rsid w:val="008868CE"/>
    <w:rsid w:val="0089043D"/>
    <w:rsid w:val="008917DD"/>
    <w:rsid w:val="00895516"/>
    <w:rsid w:val="008A79E5"/>
    <w:rsid w:val="008C02BC"/>
    <w:rsid w:val="008C58AC"/>
    <w:rsid w:val="008E1645"/>
    <w:rsid w:val="00904312"/>
    <w:rsid w:val="00917E38"/>
    <w:rsid w:val="009371CE"/>
    <w:rsid w:val="00947241"/>
    <w:rsid w:val="009510F8"/>
    <w:rsid w:val="00980C0F"/>
    <w:rsid w:val="00982BB2"/>
    <w:rsid w:val="00984064"/>
    <w:rsid w:val="00990A64"/>
    <w:rsid w:val="009A07F6"/>
    <w:rsid w:val="009B1463"/>
    <w:rsid w:val="009B1752"/>
    <w:rsid w:val="009B3ADE"/>
    <w:rsid w:val="009B590E"/>
    <w:rsid w:val="009D1FEA"/>
    <w:rsid w:val="009D7653"/>
    <w:rsid w:val="009E0A2D"/>
    <w:rsid w:val="009E7C5E"/>
    <w:rsid w:val="00A22B72"/>
    <w:rsid w:val="00A23D5D"/>
    <w:rsid w:val="00A24C8B"/>
    <w:rsid w:val="00A3609D"/>
    <w:rsid w:val="00A4159F"/>
    <w:rsid w:val="00A41C90"/>
    <w:rsid w:val="00A45184"/>
    <w:rsid w:val="00A47562"/>
    <w:rsid w:val="00A47B4A"/>
    <w:rsid w:val="00A56BE8"/>
    <w:rsid w:val="00A61043"/>
    <w:rsid w:val="00A73F62"/>
    <w:rsid w:val="00A77755"/>
    <w:rsid w:val="00A84316"/>
    <w:rsid w:val="00A8525F"/>
    <w:rsid w:val="00AA1A95"/>
    <w:rsid w:val="00AA312F"/>
    <w:rsid w:val="00AC64A6"/>
    <w:rsid w:val="00AD32C3"/>
    <w:rsid w:val="00AE7706"/>
    <w:rsid w:val="00B174F9"/>
    <w:rsid w:val="00B521FC"/>
    <w:rsid w:val="00B61FB6"/>
    <w:rsid w:val="00B70655"/>
    <w:rsid w:val="00B727DA"/>
    <w:rsid w:val="00B87096"/>
    <w:rsid w:val="00BC24C1"/>
    <w:rsid w:val="00BE20C5"/>
    <w:rsid w:val="00C0297F"/>
    <w:rsid w:val="00C03F4B"/>
    <w:rsid w:val="00C1502A"/>
    <w:rsid w:val="00C23C7A"/>
    <w:rsid w:val="00C245ED"/>
    <w:rsid w:val="00C263AB"/>
    <w:rsid w:val="00C62304"/>
    <w:rsid w:val="00C71585"/>
    <w:rsid w:val="00C850AB"/>
    <w:rsid w:val="00C85C91"/>
    <w:rsid w:val="00CA0F57"/>
    <w:rsid w:val="00CB1527"/>
    <w:rsid w:val="00CB296D"/>
    <w:rsid w:val="00CB56E9"/>
    <w:rsid w:val="00CB68CC"/>
    <w:rsid w:val="00CC4EA3"/>
    <w:rsid w:val="00CC7C18"/>
    <w:rsid w:val="00CF1231"/>
    <w:rsid w:val="00CF5B96"/>
    <w:rsid w:val="00D06FE6"/>
    <w:rsid w:val="00D1158A"/>
    <w:rsid w:val="00D21F53"/>
    <w:rsid w:val="00D25849"/>
    <w:rsid w:val="00D42031"/>
    <w:rsid w:val="00D47D11"/>
    <w:rsid w:val="00D5179C"/>
    <w:rsid w:val="00D52502"/>
    <w:rsid w:val="00D52B81"/>
    <w:rsid w:val="00D95098"/>
    <w:rsid w:val="00D9798B"/>
    <w:rsid w:val="00DB7230"/>
    <w:rsid w:val="00DC4C40"/>
    <w:rsid w:val="00E006C7"/>
    <w:rsid w:val="00E01E9B"/>
    <w:rsid w:val="00E05933"/>
    <w:rsid w:val="00E501F7"/>
    <w:rsid w:val="00E60BE3"/>
    <w:rsid w:val="00E95F73"/>
    <w:rsid w:val="00EB26DE"/>
    <w:rsid w:val="00F16FC8"/>
    <w:rsid w:val="00F21EB3"/>
    <w:rsid w:val="00F246D0"/>
    <w:rsid w:val="00F3340A"/>
    <w:rsid w:val="00F353CC"/>
    <w:rsid w:val="00F42197"/>
    <w:rsid w:val="00F4343B"/>
    <w:rsid w:val="00F52791"/>
    <w:rsid w:val="00F67E3D"/>
    <w:rsid w:val="00FB50A0"/>
    <w:rsid w:val="00FC2049"/>
    <w:rsid w:val="00FC701D"/>
    <w:rsid w:val="00FD676D"/>
    <w:rsid w:val="00FF39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29"/>
    <w:pPr>
      <w:ind w:firstLine="720"/>
      <w:jc w:val="both"/>
    </w:pPr>
    <w:rPr>
      <w:sz w:val="24"/>
      <w:szCs w:val="22"/>
      <w:lang w:eastAsia="en-US"/>
    </w:rPr>
  </w:style>
  <w:style w:type="paragraph" w:styleId="Heading3">
    <w:name w:val="heading 3"/>
    <w:basedOn w:val="Normal"/>
    <w:link w:val="Heading3Char"/>
    <w:uiPriority w:val="9"/>
    <w:semiHidden/>
    <w:unhideWhenUsed/>
    <w:qFormat/>
    <w:rsid w:val="00947241"/>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B9B"/>
    <w:rPr>
      <w:color w:val="0000FF"/>
      <w:u w:val="single"/>
    </w:rPr>
  </w:style>
  <w:style w:type="paragraph" w:styleId="Header">
    <w:name w:val="header"/>
    <w:basedOn w:val="Normal"/>
    <w:link w:val="HeaderChar"/>
    <w:uiPriority w:val="99"/>
    <w:unhideWhenUsed/>
    <w:rsid w:val="004D6B9B"/>
    <w:pPr>
      <w:tabs>
        <w:tab w:val="center" w:pos="4153"/>
        <w:tab w:val="right" w:pos="8306"/>
      </w:tabs>
    </w:pPr>
  </w:style>
  <w:style w:type="character" w:customStyle="1" w:styleId="HeaderChar">
    <w:name w:val="Header Char"/>
    <w:basedOn w:val="DefaultParagraphFont"/>
    <w:link w:val="Header"/>
    <w:uiPriority w:val="99"/>
    <w:rsid w:val="004D6B9B"/>
    <w:rPr>
      <w:sz w:val="24"/>
      <w:szCs w:val="22"/>
      <w:lang w:eastAsia="en-US"/>
    </w:rPr>
  </w:style>
  <w:style w:type="paragraph" w:styleId="Footer">
    <w:name w:val="footer"/>
    <w:basedOn w:val="Normal"/>
    <w:link w:val="FooterChar"/>
    <w:uiPriority w:val="99"/>
    <w:unhideWhenUsed/>
    <w:rsid w:val="004D6B9B"/>
    <w:pPr>
      <w:tabs>
        <w:tab w:val="center" w:pos="4153"/>
        <w:tab w:val="right" w:pos="8306"/>
      </w:tabs>
    </w:pPr>
  </w:style>
  <w:style w:type="character" w:customStyle="1" w:styleId="FooterChar">
    <w:name w:val="Footer Char"/>
    <w:basedOn w:val="DefaultParagraphFont"/>
    <w:link w:val="Footer"/>
    <w:uiPriority w:val="99"/>
    <w:rsid w:val="004D6B9B"/>
    <w:rPr>
      <w:sz w:val="24"/>
      <w:szCs w:val="22"/>
      <w:lang w:eastAsia="en-US"/>
    </w:rPr>
  </w:style>
  <w:style w:type="paragraph" w:styleId="BalloonText">
    <w:name w:val="Balloon Text"/>
    <w:basedOn w:val="Normal"/>
    <w:link w:val="BalloonTextChar"/>
    <w:uiPriority w:val="99"/>
    <w:semiHidden/>
    <w:unhideWhenUsed/>
    <w:rsid w:val="004D6B9B"/>
    <w:rPr>
      <w:rFonts w:ascii="Tahoma" w:hAnsi="Tahoma" w:cs="Tahoma"/>
      <w:sz w:val="16"/>
      <w:szCs w:val="16"/>
    </w:rPr>
  </w:style>
  <w:style w:type="character" w:customStyle="1" w:styleId="BalloonTextChar">
    <w:name w:val="Balloon Text Char"/>
    <w:basedOn w:val="DefaultParagraphFont"/>
    <w:link w:val="BalloonText"/>
    <w:uiPriority w:val="99"/>
    <w:semiHidden/>
    <w:rsid w:val="004D6B9B"/>
    <w:rPr>
      <w:rFonts w:ascii="Tahoma" w:hAnsi="Tahoma" w:cs="Tahoma"/>
      <w:sz w:val="16"/>
      <w:szCs w:val="16"/>
      <w:lang w:eastAsia="en-US"/>
    </w:rPr>
  </w:style>
  <w:style w:type="paragraph" w:customStyle="1" w:styleId="tv20687921">
    <w:name w:val="tv206_87_921"/>
    <w:basedOn w:val="Normal"/>
    <w:rsid w:val="00CC4EA3"/>
    <w:pPr>
      <w:spacing w:before="480" w:after="240" w:line="360" w:lineRule="auto"/>
      <w:ind w:firstLine="272"/>
      <w:jc w:val="right"/>
    </w:pPr>
    <w:rPr>
      <w:rFonts w:ascii="Verdana" w:eastAsia="Times New Roman" w:hAnsi="Verdana"/>
      <w:sz w:val="16"/>
      <w:szCs w:val="16"/>
      <w:lang w:eastAsia="lv-LV"/>
    </w:rPr>
  </w:style>
  <w:style w:type="paragraph" w:customStyle="1" w:styleId="tv20787921">
    <w:name w:val="tv207_87_921"/>
    <w:basedOn w:val="Normal"/>
    <w:rsid w:val="00CC4EA3"/>
    <w:pPr>
      <w:spacing w:after="567" w:line="360" w:lineRule="auto"/>
      <w:ind w:firstLine="0"/>
      <w:jc w:val="center"/>
    </w:pPr>
    <w:rPr>
      <w:rFonts w:ascii="Verdana" w:eastAsia="Times New Roman" w:hAnsi="Verdana"/>
      <w:b/>
      <w:bCs/>
      <w:sz w:val="28"/>
      <w:szCs w:val="28"/>
      <w:lang w:eastAsia="lv-LV"/>
    </w:rPr>
  </w:style>
  <w:style w:type="paragraph" w:styleId="FootnoteText">
    <w:name w:val="footnote text"/>
    <w:basedOn w:val="Normal"/>
    <w:link w:val="FootnoteTextChar"/>
    <w:semiHidden/>
    <w:rsid w:val="00057936"/>
    <w:rPr>
      <w:sz w:val="20"/>
      <w:szCs w:val="20"/>
    </w:rPr>
  </w:style>
  <w:style w:type="character" w:customStyle="1" w:styleId="FootnoteTextChar">
    <w:name w:val="Footnote Text Char"/>
    <w:basedOn w:val="DefaultParagraphFont"/>
    <w:link w:val="FootnoteText"/>
    <w:semiHidden/>
    <w:rsid w:val="00057936"/>
    <w:rPr>
      <w:lang w:eastAsia="en-US"/>
    </w:rPr>
  </w:style>
  <w:style w:type="character" w:styleId="FootnoteReference">
    <w:name w:val="footnote reference"/>
    <w:basedOn w:val="DefaultParagraphFont"/>
    <w:semiHidden/>
    <w:rsid w:val="00057936"/>
    <w:rPr>
      <w:vertAlign w:val="superscript"/>
    </w:rPr>
  </w:style>
  <w:style w:type="paragraph" w:styleId="ListParagraph">
    <w:name w:val="List Paragraph"/>
    <w:basedOn w:val="Normal"/>
    <w:uiPriority w:val="34"/>
    <w:qFormat/>
    <w:rsid w:val="00057936"/>
    <w:pPr>
      <w:spacing w:after="200" w:line="276" w:lineRule="auto"/>
      <w:ind w:left="720" w:firstLine="0"/>
      <w:contextualSpacing/>
      <w:jc w:val="left"/>
    </w:pPr>
    <w:rPr>
      <w:sz w:val="22"/>
      <w:lang w:val="en-US"/>
    </w:rPr>
  </w:style>
  <w:style w:type="paragraph" w:customStyle="1" w:styleId="tv2131">
    <w:name w:val="tv2131"/>
    <w:basedOn w:val="Normal"/>
    <w:rsid w:val="00466289"/>
    <w:pPr>
      <w:spacing w:before="240" w:line="360" w:lineRule="auto"/>
      <w:ind w:firstLine="272"/>
    </w:pPr>
    <w:rPr>
      <w:rFonts w:ascii="Verdana" w:eastAsia="Times New Roman" w:hAnsi="Verdana"/>
      <w:sz w:val="16"/>
      <w:szCs w:val="16"/>
      <w:lang w:eastAsia="lv-LV"/>
    </w:rPr>
  </w:style>
  <w:style w:type="character" w:customStyle="1" w:styleId="Heading3Char">
    <w:name w:val="Heading 3 Char"/>
    <w:basedOn w:val="DefaultParagraphFont"/>
    <w:link w:val="Heading3"/>
    <w:uiPriority w:val="9"/>
    <w:semiHidden/>
    <w:rsid w:val="00947241"/>
    <w:rPr>
      <w:b/>
      <w:bCs/>
      <w:sz w:val="27"/>
      <w:szCs w:val="27"/>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Voitina@tm.gov.lv"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ktorija.Kornenkova@vm.gov.lv" TargetMode="External"/><Relationship Id="rId4" Type="http://schemas.openxmlformats.org/officeDocument/2006/relationships/settings" Target="settings.xml"/><Relationship Id="rId9" Type="http://schemas.openxmlformats.org/officeDocument/2006/relationships/hyperlink" Target="mailto:Sanita.Vesteina@dvi.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395800-44E6-4808-BAED-DD499D966075}"/>
</file>

<file path=customXml/itemProps2.xml><?xml version="1.0" encoding="utf-8"?>
<ds:datastoreItem xmlns:ds="http://schemas.openxmlformats.org/officeDocument/2006/customXml" ds:itemID="{FB352E39-0558-412C-8BC7-02F44966089E}"/>
</file>

<file path=customXml/itemProps3.xml><?xml version="1.0" encoding="utf-8"?>
<ds:datastoreItem xmlns:ds="http://schemas.openxmlformats.org/officeDocument/2006/customXml" ds:itemID="{476A92B0-65FA-4839-BF82-D6D932C0EE2F}"/>
</file>

<file path=customXml/itemProps4.xml><?xml version="1.0" encoding="utf-8"?>
<ds:datastoreItem xmlns:ds="http://schemas.openxmlformats.org/officeDocument/2006/customXml" ds:itemID="{BB350864-FC60-4D3D-B91A-4857B73E94E9}"/>
</file>

<file path=docProps/app.xml><?xml version="1.0" encoding="utf-8"?>
<Properties xmlns="http://schemas.openxmlformats.org/officeDocument/2006/extended-properties" xmlns:vt="http://schemas.openxmlformats.org/officeDocument/2006/docPropsVTypes">
  <Template>Normal</Template>
  <TotalTime>1</TotalTime>
  <Pages>4</Pages>
  <Words>6852</Words>
  <Characters>3906</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10737</CharactersWithSpaces>
  <SharedDoc>false</SharedDoc>
  <HLinks>
    <vt:vector size="12" baseType="variant">
      <vt:variant>
        <vt:i4>4980852</vt:i4>
      </vt:variant>
      <vt:variant>
        <vt:i4>3</vt:i4>
      </vt:variant>
      <vt:variant>
        <vt:i4>0</vt:i4>
      </vt:variant>
      <vt:variant>
        <vt:i4>5</vt:i4>
      </vt:variant>
      <vt:variant>
        <vt:lpwstr>mailto:Sanita.Vesteina@dvi.gov.lv</vt:lpwstr>
      </vt:variant>
      <vt:variant>
        <vt:lpwstr/>
      </vt:variant>
      <vt:variant>
        <vt:i4>6488134</vt:i4>
      </vt:variant>
      <vt:variant>
        <vt:i4>0</vt:i4>
      </vt:variant>
      <vt:variant>
        <vt:i4>0</vt:i4>
      </vt:variant>
      <vt:variant>
        <vt:i4>5</vt:i4>
      </vt:variant>
      <vt:variant>
        <vt:lpwstr>mailto:Dana.Voitina@tm.gov.lv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ārstniecības personu personas kodu apstrādi"</dc:title>
  <dc:subject>Informatīvais ziņojums</dc:subject>
  <dc:creator>Tieslietu ministrija</dc:creator>
  <cp:keywords/>
  <dc:description>Dana Voitiņa, Dana.Voitina@tm.gov.lv; 67046315.
Sanita Vetšteina, Sanita.Vetsteina@dvi.gov.lv; 67223131.
Viktorija Korņenkova, Viktorija.Kornenkova@vm.gov.lv; 67876098.</dc:description>
  <cp:lastModifiedBy>dv1301</cp:lastModifiedBy>
  <cp:revision>2</cp:revision>
  <cp:lastPrinted>2013-01-07T07:37:00Z</cp:lastPrinted>
  <dcterms:created xsi:type="dcterms:W3CDTF">2013-01-09T14:33:00Z</dcterms:created>
  <dcterms:modified xsi:type="dcterms:W3CDTF">2013-01-09T14:33:00Z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