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53" w:rsidRPr="00506653" w:rsidRDefault="00506653" w:rsidP="00D15212">
      <w:pPr>
        <w:jc w:val="center"/>
        <w:rPr>
          <w:sz w:val="28"/>
          <w:szCs w:val="28"/>
        </w:rPr>
      </w:pPr>
    </w:p>
    <w:p w:rsidR="00506653" w:rsidRPr="00506653" w:rsidRDefault="00506653" w:rsidP="00506653">
      <w:pPr>
        <w:jc w:val="center"/>
        <w:rPr>
          <w:b/>
          <w:sz w:val="28"/>
          <w:szCs w:val="28"/>
        </w:rPr>
      </w:pPr>
      <w:r w:rsidRPr="00506653">
        <w:rPr>
          <w:b/>
          <w:sz w:val="28"/>
          <w:szCs w:val="28"/>
        </w:rPr>
        <w:t>Informatīvais ziņojums</w:t>
      </w:r>
    </w:p>
    <w:p w:rsidR="00506653" w:rsidRPr="00506653" w:rsidRDefault="00506653" w:rsidP="00506653">
      <w:pPr>
        <w:jc w:val="center"/>
        <w:rPr>
          <w:b/>
          <w:sz w:val="28"/>
          <w:szCs w:val="28"/>
        </w:rPr>
      </w:pPr>
    </w:p>
    <w:p w:rsidR="00506653" w:rsidRPr="000E3A1F" w:rsidRDefault="00D15212" w:rsidP="00FE0538">
      <w:pPr>
        <w:jc w:val="center"/>
        <w:rPr>
          <w:b/>
          <w:sz w:val="28"/>
          <w:szCs w:val="28"/>
        </w:rPr>
      </w:pPr>
      <w:r w:rsidRPr="00D15212">
        <w:rPr>
          <w:b/>
          <w:sz w:val="28"/>
          <w:szCs w:val="28"/>
        </w:rPr>
        <w:t>Par Latvijas Republikas Nacionālo pozīciju Nr. 1 par priekšlikumu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w:t>
      </w:r>
      <w:bookmarkStart w:id="0" w:name="_GoBack"/>
      <w:bookmarkEnd w:id="0"/>
      <w:r w:rsidRPr="00D15212">
        <w:rPr>
          <w:b/>
          <w:sz w:val="28"/>
          <w:szCs w:val="28"/>
        </w:rPr>
        <w:t>vu apriti</w:t>
      </w:r>
      <w:r w:rsidR="00506653" w:rsidRPr="00506653">
        <w:rPr>
          <w:b/>
          <w:sz w:val="28"/>
          <w:szCs w:val="28"/>
        </w:rPr>
        <w:t xml:space="preserve"> </w:t>
      </w:r>
    </w:p>
    <w:p w:rsidR="00506653" w:rsidRPr="000E3A1F" w:rsidRDefault="00506653" w:rsidP="00506653">
      <w:pPr>
        <w:jc w:val="both"/>
        <w:rPr>
          <w:b/>
          <w:sz w:val="28"/>
          <w:szCs w:val="28"/>
        </w:rPr>
      </w:pPr>
    </w:p>
    <w:p w:rsidR="00506653" w:rsidRPr="000E3A1F" w:rsidRDefault="00506653" w:rsidP="00D15212">
      <w:pPr>
        <w:jc w:val="center"/>
        <w:rPr>
          <w:b/>
          <w:sz w:val="28"/>
          <w:szCs w:val="28"/>
          <w:u w:val="single"/>
        </w:rPr>
      </w:pPr>
      <w:r w:rsidRPr="000E3A1F">
        <w:rPr>
          <w:b/>
          <w:sz w:val="28"/>
          <w:szCs w:val="28"/>
          <w:u w:val="single"/>
        </w:rPr>
        <w:t>I Latvijas nacionālās pozīcijas izstrādes nepieciešamības pamatojums</w:t>
      </w:r>
    </w:p>
    <w:p w:rsidR="00506653" w:rsidRPr="000E3A1F" w:rsidRDefault="00506653" w:rsidP="00506653">
      <w:pPr>
        <w:rPr>
          <w:sz w:val="28"/>
          <w:szCs w:val="28"/>
        </w:rPr>
      </w:pPr>
    </w:p>
    <w:p w:rsidR="00FE0538" w:rsidRDefault="00506653" w:rsidP="00FE0538">
      <w:pPr>
        <w:pStyle w:val="Parasts1"/>
        <w:ind w:firstLine="720"/>
        <w:jc w:val="both"/>
        <w:rPr>
          <w:sz w:val="28"/>
          <w:szCs w:val="28"/>
        </w:rPr>
      </w:pPr>
      <w:r w:rsidRPr="00FE0538">
        <w:rPr>
          <w:sz w:val="28"/>
          <w:szCs w:val="28"/>
        </w:rPr>
        <w:t>1995.</w:t>
      </w:r>
      <w:r w:rsidR="00FE0538">
        <w:rPr>
          <w:sz w:val="28"/>
          <w:szCs w:val="28"/>
        </w:rPr>
        <w:t> </w:t>
      </w:r>
      <w:r w:rsidRPr="00FE0538">
        <w:rPr>
          <w:sz w:val="28"/>
          <w:szCs w:val="28"/>
        </w:rPr>
        <w:t>gadā tika pieņemta Eiropas Parlamenta un Padomes Direktīva 95/46/EK par personu aizsardzību attiecībā uz personas datu apstrādi un šādu datu brīvu apriti, kas arī šobrīd ir dalībvalstu nacionālajos tiesību aktos iedzīvināts pamata instruments personas datu aizsardzībai.</w:t>
      </w:r>
      <w:r w:rsidR="00FE0538">
        <w:rPr>
          <w:sz w:val="28"/>
          <w:szCs w:val="28"/>
        </w:rPr>
        <w:t xml:space="preserve"> </w:t>
      </w:r>
    </w:p>
    <w:p w:rsidR="00FE0538" w:rsidRPr="00FE0538" w:rsidRDefault="00FE0538" w:rsidP="00FE0538">
      <w:pPr>
        <w:pStyle w:val="Parasts1"/>
        <w:ind w:firstLine="720"/>
        <w:jc w:val="both"/>
        <w:rPr>
          <w:sz w:val="28"/>
          <w:szCs w:val="28"/>
        </w:rPr>
      </w:pPr>
      <w:r>
        <w:rPr>
          <w:sz w:val="28"/>
          <w:szCs w:val="28"/>
        </w:rPr>
        <w:t>2008. </w:t>
      </w:r>
      <w:r w:rsidRPr="00FE0538">
        <w:rPr>
          <w:sz w:val="28"/>
          <w:szCs w:val="28"/>
        </w:rPr>
        <w:t xml:space="preserve">gada 27. novembrī tika pieņemts Padomes pamatlēmums Nr. 2008/977/TI par tādu personas datu aizsardzību, ko apstrādā, policijas un tiesu iestādēm sadarbojoties krimināllietās. Pamatlēmuma 2008/977/TI darbības joma ir ierobežota, jo tā attiecās tikai uz pārrobežu datu apstrādi nevis uz datu apstrādes prasībām, ko veic policija un tiesu iestādes. </w:t>
      </w:r>
    </w:p>
    <w:p w:rsidR="00FE0538" w:rsidRPr="00FE0538" w:rsidRDefault="00FE0538" w:rsidP="00FE0538">
      <w:pPr>
        <w:jc w:val="both"/>
        <w:rPr>
          <w:sz w:val="28"/>
          <w:szCs w:val="28"/>
        </w:rPr>
      </w:pPr>
    </w:p>
    <w:p w:rsidR="00FE0538" w:rsidRPr="00FE0538" w:rsidRDefault="00506653" w:rsidP="00B4337B">
      <w:pPr>
        <w:ind w:firstLine="720"/>
        <w:jc w:val="both"/>
        <w:rPr>
          <w:sz w:val="28"/>
          <w:szCs w:val="28"/>
        </w:rPr>
      </w:pPr>
      <w:r w:rsidRPr="00FE0538">
        <w:rPr>
          <w:sz w:val="28"/>
          <w:szCs w:val="28"/>
        </w:rPr>
        <w:t>Eiropas Komisija (turpmāk – EK) 2010.</w:t>
      </w:r>
      <w:r w:rsidR="0003115A">
        <w:rPr>
          <w:sz w:val="28"/>
          <w:szCs w:val="28"/>
        </w:rPr>
        <w:t xml:space="preserve"> </w:t>
      </w:r>
      <w:r w:rsidRPr="00FE0538">
        <w:rPr>
          <w:sz w:val="28"/>
          <w:szCs w:val="28"/>
        </w:rPr>
        <w:t xml:space="preserve">gada 4. novembrī nāca klajā ar paziņojumu „Visaptverošā pieeja personas datu aizsardzībai Eiropas Savienībā” ar mērķi iezīmēt Eiropas Savienības (turpmāk – ES) līmenī veicamos pasākumus, lai </w:t>
      </w:r>
      <w:r w:rsidRPr="00FE0538">
        <w:rPr>
          <w:noProof/>
          <w:sz w:val="28"/>
          <w:szCs w:val="28"/>
        </w:rPr>
        <w:t xml:space="preserve">nodrošinātu visaptverošu pieeju personas datu aizsardzībā ES. Rosinot stiprināt personas datu aizsardzību ES, tiek izvirzīti divi galvenie mērķi: aizsargāt personas pamattiesības un </w:t>
      </w:r>
      <w:r w:rsidRPr="00FE0538">
        <w:rPr>
          <w:sz w:val="28"/>
          <w:szCs w:val="28"/>
        </w:rPr>
        <w:t xml:space="preserve">garantēt personas datu brīvu plūsmu starp ES dalībvalstīm. </w:t>
      </w:r>
      <w:r w:rsidR="00FE0538" w:rsidRPr="00FE0538">
        <w:rPr>
          <w:sz w:val="28"/>
          <w:szCs w:val="28"/>
        </w:rPr>
        <w:t>Latvija, sniedzot atbildes publiskās apspriedes ietvaros, norādīja, ka ir nepieciešams pārskatīt un izvērtēt līdzšinējo datu aizsardzības regulējumu, piekrītot paziņojumā norādītajam apgalvojumam, ka ir nepieciešams izveidot vispusīgu un saskaņotu regulējumu, kas aptver visas ES kompetences jomas, tostarp arī policijas un tiesu iestāžu sadarbību krimināllietās.</w:t>
      </w:r>
    </w:p>
    <w:p w:rsidR="00FE0538" w:rsidRPr="00FE0538" w:rsidRDefault="00FE0538" w:rsidP="00B4337B">
      <w:pPr>
        <w:pStyle w:val="EntEmet"/>
        <w:spacing w:before="0"/>
        <w:jc w:val="both"/>
        <w:rPr>
          <w:sz w:val="28"/>
          <w:szCs w:val="28"/>
        </w:rPr>
      </w:pPr>
    </w:p>
    <w:p w:rsidR="00FE0538" w:rsidRPr="00FE0538" w:rsidRDefault="00B4337B" w:rsidP="00FE0538">
      <w:pPr>
        <w:ind w:firstLine="720"/>
        <w:jc w:val="both"/>
        <w:rPr>
          <w:rStyle w:val="hps"/>
          <w:sz w:val="28"/>
          <w:szCs w:val="28"/>
        </w:rPr>
      </w:pPr>
      <w:r>
        <w:rPr>
          <w:noProof/>
          <w:sz w:val="28"/>
          <w:szCs w:val="28"/>
        </w:rPr>
        <w:t>P</w:t>
      </w:r>
      <w:r w:rsidR="00FE0538" w:rsidRPr="00FE0538">
        <w:rPr>
          <w:noProof/>
          <w:sz w:val="28"/>
          <w:szCs w:val="28"/>
        </w:rPr>
        <w:t>amatojoties uz  dalībvalstu iesniegtajiem viedokļiem attiecībā uz 2010.</w:t>
      </w:r>
      <w:r w:rsidR="0003115A">
        <w:rPr>
          <w:noProof/>
          <w:sz w:val="28"/>
          <w:szCs w:val="28"/>
        </w:rPr>
        <w:t xml:space="preserve"> </w:t>
      </w:r>
      <w:r w:rsidR="00FE0538" w:rsidRPr="00FE0538">
        <w:rPr>
          <w:noProof/>
          <w:sz w:val="28"/>
          <w:szCs w:val="28"/>
        </w:rPr>
        <w:t xml:space="preserve">gadā izplatīto paziņojumu, EK </w:t>
      </w:r>
      <w:r w:rsidR="00FE0538" w:rsidRPr="00FE0538">
        <w:rPr>
          <w:sz w:val="28"/>
          <w:szCs w:val="28"/>
        </w:rPr>
        <w:t>2012.</w:t>
      </w:r>
      <w:r w:rsidR="0003115A">
        <w:rPr>
          <w:sz w:val="28"/>
          <w:szCs w:val="28"/>
        </w:rPr>
        <w:t xml:space="preserve"> </w:t>
      </w:r>
      <w:r w:rsidR="00FE0538" w:rsidRPr="00FE0538">
        <w:rPr>
          <w:sz w:val="28"/>
          <w:szCs w:val="28"/>
        </w:rPr>
        <w:t>gada 25.</w:t>
      </w:r>
      <w:r w:rsidR="0003115A">
        <w:rPr>
          <w:sz w:val="28"/>
          <w:szCs w:val="28"/>
        </w:rPr>
        <w:t xml:space="preserve"> </w:t>
      </w:r>
      <w:r w:rsidR="00FE0538" w:rsidRPr="00FE0538">
        <w:rPr>
          <w:sz w:val="28"/>
          <w:szCs w:val="28"/>
        </w:rPr>
        <w:t xml:space="preserve">janvārī nāca klajā ar dokumentu paketi, kuras mērķis ir uzsākt visaptverošu ES datu aizsardzības noteikumu reformu. Šobrīd tiek piedāvāti divi tiesību instrumenti: </w:t>
      </w:r>
      <w:r w:rsidR="00FE0538" w:rsidRPr="00FE0538">
        <w:rPr>
          <w:rStyle w:val="hps"/>
          <w:sz w:val="28"/>
          <w:szCs w:val="28"/>
        </w:rPr>
        <w:t xml:space="preserve">regula </w:t>
      </w:r>
      <w:r w:rsidR="00FE0538" w:rsidRPr="00FE0538">
        <w:rPr>
          <w:sz w:val="28"/>
          <w:szCs w:val="28"/>
        </w:rPr>
        <w:t xml:space="preserve">par fizisku personu aizsardzību attiecībā uz personas datu apstrādi un šādu datu brīvu apriti </w:t>
      </w:r>
      <w:r w:rsidR="00FE0538" w:rsidRPr="00FE0538">
        <w:rPr>
          <w:rStyle w:val="hps"/>
          <w:sz w:val="28"/>
          <w:szCs w:val="28"/>
        </w:rPr>
        <w:t>un direktīva par</w:t>
      </w:r>
      <w:r w:rsidR="00FE0538" w:rsidRPr="00FE0538">
        <w:rPr>
          <w:sz w:val="28"/>
          <w:szCs w:val="28"/>
        </w:rPr>
        <w:t xml:space="preserve"> </w:t>
      </w:r>
      <w:r w:rsidR="00FE0538" w:rsidRPr="00FE0538">
        <w:rPr>
          <w:rStyle w:val="hps"/>
          <w:sz w:val="28"/>
          <w:szCs w:val="28"/>
        </w:rPr>
        <w:t>personu aizsardzību</w:t>
      </w:r>
      <w:r w:rsidR="00FE0538" w:rsidRPr="00FE0538">
        <w:rPr>
          <w:sz w:val="28"/>
          <w:szCs w:val="28"/>
        </w:rPr>
        <w:t xml:space="preserve"> </w:t>
      </w:r>
      <w:r w:rsidR="00FE0538" w:rsidRPr="00FE0538">
        <w:rPr>
          <w:rStyle w:val="hps"/>
          <w:sz w:val="28"/>
          <w:szCs w:val="28"/>
        </w:rPr>
        <w:t>attiecībā uz</w:t>
      </w:r>
      <w:r w:rsidR="00FE0538" w:rsidRPr="00FE0538">
        <w:rPr>
          <w:sz w:val="28"/>
          <w:szCs w:val="28"/>
        </w:rPr>
        <w:t xml:space="preserve"> </w:t>
      </w:r>
      <w:r w:rsidR="00FE0538" w:rsidRPr="00FE0538">
        <w:rPr>
          <w:rStyle w:val="hps"/>
          <w:sz w:val="28"/>
          <w:szCs w:val="28"/>
        </w:rPr>
        <w:t>personas datu apstrādi,</w:t>
      </w:r>
      <w:r w:rsidR="00FE0538" w:rsidRPr="00FE0538">
        <w:rPr>
          <w:sz w:val="28"/>
          <w:szCs w:val="28"/>
        </w:rPr>
        <w:t xml:space="preserve"> </w:t>
      </w:r>
      <w:r w:rsidR="00FE0538" w:rsidRPr="00FE0538">
        <w:rPr>
          <w:rStyle w:val="hps"/>
          <w:sz w:val="28"/>
          <w:szCs w:val="28"/>
        </w:rPr>
        <w:t>ko veic kompetentās iestādes</w:t>
      </w:r>
      <w:r w:rsidR="00FE0538" w:rsidRPr="00FE0538">
        <w:rPr>
          <w:sz w:val="28"/>
          <w:szCs w:val="28"/>
        </w:rPr>
        <w:t xml:space="preserve">, lai </w:t>
      </w:r>
      <w:r w:rsidR="00FE0538" w:rsidRPr="00FE0538">
        <w:rPr>
          <w:rStyle w:val="hps"/>
          <w:sz w:val="28"/>
          <w:szCs w:val="28"/>
        </w:rPr>
        <w:t>novērstu,</w:t>
      </w:r>
      <w:r w:rsidR="00FE0538" w:rsidRPr="00FE0538">
        <w:rPr>
          <w:sz w:val="28"/>
          <w:szCs w:val="28"/>
        </w:rPr>
        <w:t xml:space="preserve"> </w:t>
      </w:r>
      <w:r w:rsidR="00FE0538" w:rsidRPr="00FE0538">
        <w:rPr>
          <w:rStyle w:val="hps"/>
          <w:sz w:val="28"/>
          <w:szCs w:val="28"/>
        </w:rPr>
        <w:t>izmeklētu, atklātu</w:t>
      </w:r>
      <w:r w:rsidR="00FE0538" w:rsidRPr="00FE0538">
        <w:rPr>
          <w:sz w:val="28"/>
          <w:szCs w:val="28"/>
        </w:rPr>
        <w:t xml:space="preserve"> </w:t>
      </w:r>
      <w:r w:rsidR="00FE0538" w:rsidRPr="00FE0538">
        <w:rPr>
          <w:rStyle w:val="hps"/>
          <w:sz w:val="28"/>
          <w:szCs w:val="28"/>
        </w:rPr>
        <w:t>vai</w:t>
      </w:r>
      <w:r w:rsidR="00FE0538" w:rsidRPr="00FE0538">
        <w:rPr>
          <w:sz w:val="28"/>
          <w:szCs w:val="28"/>
        </w:rPr>
        <w:t xml:space="preserve"> uzsāktu </w:t>
      </w:r>
      <w:r w:rsidR="00FE0538" w:rsidRPr="00FE0538">
        <w:rPr>
          <w:rStyle w:val="hps"/>
          <w:sz w:val="28"/>
          <w:szCs w:val="28"/>
        </w:rPr>
        <w:lastRenderedPageBreak/>
        <w:t>kriminālvajāšanu</w:t>
      </w:r>
      <w:r w:rsidR="00FE0538" w:rsidRPr="00FE0538">
        <w:rPr>
          <w:sz w:val="28"/>
          <w:szCs w:val="28"/>
        </w:rPr>
        <w:t xml:space="preserve"> </w:t>
      </w:r>
      <w:r w:rsidR="00FE0538" w:rsidRPr="00FE0538">
        <w:rPr>
          <w:rStyle w:val="hps"/>
          <w:sz w:val="28"/>
          <w:szCs w:val="28"/>
        </w:rPr>
        <w:t>vai</w:t>
      </w:r>
      <w:r w:rsidR="00FE0538" w:rsidRPr="00FE0538">
        <w:rPr>
          <w:sz w:val="28"/>
          <w:szCs w:val="28"/>
        </w:rPr>
        <w:t xml:space="preserve"> </w:t>
      </w:r>
      <w:r w:rsidR="00FE0538" w:rsidRPr="00FE0538">
        <w:rPr>
          <w:rStyle w:val="hps"/>
          <w:sz w:val="28"/>
          <w:szCs w:val="28"/>
        </w:rPr>
        <w:t>kriminālsodu</w:t>
      </w:r>
      <w:r w:rsidR="00FE0538" w:rsidRPr="00FE0538">
        <w:rPr>
          <w:sz w:val="28"/>
          <w:szCs w:val="28"/>
        </w:rPr>
        <w:t xml:space="preserve"> </w:t>
      </w:r>
      <w:r w:rsidR="00FE0538" w:rsidRPr="00FE0538">
        <w:rPr>
          <w:rStyle w:val="hps"/>
          <w:sz w:val="28"/>
          <w:szCs w:val="28"/>
        </w:rPr>
        <w:t>izpildi</w:t>
      </w:r>
      <w:r w:rsidR="00FE0538" w:rsidRPr="00FE0538">
        <w:rPr>
          <w:sz w:val="28"/>
          <w:szCs w:val="28"/>
        </w:rPr>
        <w:t xml:space="preserve"> </w:t>
      </w:r>
      <w:r w:rsidR="00FE0538" w:rsidRPr="00FE0538">
        <w:rPr>
          <w:rStyle w:val="hps"/>
          <w:sz w:val="28"/>
          <w:szCs w:val="28"/>
        </w:rPr>
        <w:t>un brīvu</w:t>
      </w:r>
      <w:r w:rsidR="00FE0538" w:rsidRPr="00FE0538">
        <w:rPr>
          <w:sz w:val="28"/>
          <w:szCs w:val="28"/>
        </w:rPr>
        <w:t xml:space="preserve"> </w:t>
      </w:r>
      <w:r w:rsidR="00FE0538" w:rsidRPr="00FE0538">
        <w:rPr>
          <w:rStyle w:val="hps"/>
          <w:sz w:val="28"/>
          <w:szCs w:val="28"/>
        </w:rPr>
        <w:t>šādu datu brīvu apriti (turpmāk – Direktīva).</w:t>
      </w:r>
    </w:p>
    <w:p w:rsidR="00FE0538" w:rsidRPr="00FE0538" w:rsidRDefault="00FE0538" w:rsidP="00FE0538">
      <w:pPr>
        <w:ind w:firstLine="720"/>
        <w:jc w:val="both"/>
        <w:rPr>
          <w:rStyle w:val="hps"/>
          <w:sz w:val="28"/>
          <w:szCs w:val="28"/>
        </w:rPr>
      </w:pPr>
      <w:r w:rsidRPr="00FE0538">
        <w:rPr>
          <w:sz w:val="28"/>
          <w:szCs w:val="28"/>
        </w:rPr>
        <w:t>Izplatot jauno priekšlikumu Direktīvai, EK piedāvā nodrošināt harmonizāciju šajā jomā, vienlaikus dalībvalstīm atstājot nepieciešamo elastību, lai valstu līmenī īstenotu principus, noteikumus un izņēmumus no tiem.</w:t>
      </w:r>
    </w:p>
    <w:p w:rsidR="00FE0538" w:rsidRPr="00FE0538" w:rsidRDefault="00FE0538" w:rsidP="00FE0538">
      <w:pPr>
        <w:ind w:firstLine="720"/>
        <w:jc w:val="both"/>
        <w:rPr>
          <w:noProof/>
          <w:sz w:val="28"/>
          <w:szCs w:val="28"/>
        </w:rPr>
      </w:pPr>
    </w:p>
    <w:p w:rsidR="00506653" w:rsidRPr="00FE0538" w:rsidRDefault="00506653" w:rsidP="00FE0538">
      <w:pPr>
        <w:ind w:firstLine="720"/>
        <w:jc w:val="both"/>
        <w:rPr>
          <w:sz w:val="28"/>
          <w:szCs w:val="28"/>
        </w:rPr>
      </w:pPr>
    </w:p>
    <w:p w:rsidR="00506653" w:rsidRPr="00FE0538" w:rsidRDefault="00B4337B" w:rsidP="00B4337B">
      <w:pPr>
        <w:ind w:firstLine="720"/>
        <w:jc w:val="center"/>
        <w:rPr>
          <w:b/>
          <w:sz w:val="28"/>
          <w:szCs w:val="28"/>
          <w:u w:val="single"/>
        </w:rPr>
      </w:pPr>
      <w:r>
        <w:rPr>
          <w:b/>
          <w:sz w:val="28"/>
          <w:szCs w:val="28"/>
          <w:u w:val="single"/>
        </w:rPr>
        <w:t>II</w:t>
      </w:r>
      <w:r w:rsidR="00506653" w:rsidRPr="00FE0538">
        <w:rPr>
          <w:b/>
          <w:sz w:val="28"/>
          <w:szCs w:val="28"/>
          <w:u w:val="single"/>
        </w:rPr>
        <w:t> Latvijas nacionālā pozīcija</w:t>
      </w:r>
    </w:p>
    <w:p w:rsidR="00506653" w:rsidRPr="00FE0538" w:rsidRDefault="00506653" w:rsidP="00FE0538">
      <w:pPr>
        <w:ind w:firstLine="720"/>
        <w:jc w:val="both"/>
        <w:rPr>
          <w:sz w:val="28"/>
          <w:szCs w:val="28"/>
        </w:rPr>
      </w:pPr>
    </w:p>
    <w:p w:rsidR="00FE0538" w:rsidRPr="00FE0538" w:rsidRDefault="00FE0538" w:rsidP="00FE0538">
      <w:pPr>
        <w:pStyle w:val="Parasts1"/>
        <w:suppressAutoHyphens w:val="0"/>
        <w:ind w:firstLine="720"/>
        <w:jc w:val="both"/>
        <w:rPr>
          <w:sz w:val="28"/>
          <w:szCs w:val="28"/>
        </w:rPr>
      </w:pPr>
      <w:r w:rsidRPr="00FE0538">
        <w:rPr>
          <w:sz w:val="28"/>
          <w:szCs w:val="28"/>
          <w:lang w:eastAsia="lv-LV"/>
        </w:rPr>
        <w:t xml:space="preserve">Latvija kopumā atbalsta </w:t>
      </w:r>
      <w:r w:rsidRPr="00FE0538">
        <w:rPr>
          <w:sz w:val="28"/>
          <w:szCs w:val="28"/>
        </w:rPr>
        <w:t>vienota datu aizsardzības regulējuma izveidi ES, kas attiecas uz personas datu apstrādi, lai novērstu, izmeklētu, atklātu noziedzīgus nodarījumus, sauktu pie atbildības par tiem vai izpildītu kriminālsodu, kā arī nodrošinātu datu apmaiņu starp kompetentajām iestādēm ES, tādējādi radot mūsdienīgu, stingru, konsekventu un visaptverošu mehānismu datu aizsardzībai krimināltiesību jomā. Vienlaikus Latvija uzskata, ka ir svarīgi panākt, ka regulējums vienkāršo sadarbību starp visām ES un dalībvalstu tiesībaizsardzības iestādēm, nodrošinot ātru un efektīvu datu apmaiņu, kas atbilstu jaunāko tehnoloģiju iespējām un esošajiem vai nākotnē iespējamiem ES un dalībvalstu datu apmaiņas instrumentiem.</w:t>
      </w:r>
    </w:p>
    <w:p w:rsidR="00FE0538" w:rsidRPr="00FE0538" w:rsidRDefault="00FE0538" w:rsidP="00FE0538">
      <w:pPr>
        <w:pStyle w:val="CommentText"/>
        <w:ind w:firstLine="720"/>
        <w:jc w:val="both"/>
        <w:rPr>
          <w:color w:val="FF0000"/>
          <w:sz w:val="28"/>
          <w:szCs w:val="28"/>
          <w:lang w:val="lv-LV"/>
        </w:rPr>
      </w:pPr>
    </w:p>
    <w:p w:rsidR="00FE0538" w:rsidRPr="00FE0538" w:rsidRDefault="00FE0538" w:rsidP="00FE0538">
      <w:pPr>
        <w:pStyle w:val="CommentText"/>
        <w:ind w:firstLine="720"/>
        <w:jc w:val="both"/>
        <w:rPr>
          <w:color w:val="FF0000"/>
          <w:sz w:val="28"/>
          <w:szCs w:val="28"/>
          <w:lang w:val="lv-LV"/>
        </w:rPr>
      </w:pPr>
      <w:r w:rsidRPr="00FE0538">
        <w:rPr>
          <w:sz w:val="28"/>
          <w:szCs w:val="28"/>
          <w:lang w:val="lv-LV"/>
        </w:rPr>
        <w:t>Lai vienkāršotu, paātrinātu un padarītu efektīvāku šo sadarbību apmainoties ar datiem, Latvija neiebilst šī jaunā regulējuma attiecināšanai arī uz nacionālā līmeņa datu apstrādi tiesībaizsardzības nolūkiem.</w:t>
      </w:r>
    </w:p>
    <w:p w:rsidR="00FE0538" w:rsidRPr="00FE0538" w:rsidRDefault="00FE0538" w:rsidP="00FE0538">
      <w:pPr>
        <w:pStyle w:val="Parasts1"/>
        <w:suppressAutoHyphens w:val="0"/>
        <w:ind w:firstLine="720"/>
        <w:jc w:val="both"/>
        <w:rPr>
          <w:b/>
          <w:sz w:val="28"/>
          <w:szCs w:val="28"/>
        </w:rPr>
      </w:pPr>
    </w:p>
    <w:p w:rsidR="00FE0538" w:rsidRPr="00B4337B" w:rsidRDefault="00FE0538" w:rsidP="00B4337B">
      <w:pPr>
        <w:pStyle w:val="Parasts1"/>
        <w:suppressAutoHyphens w:val="0"/>
        <w:ind w:firstLine="720"/>
        <w:jc w:val="both"/>
      </w:pPr>
      <w:r w:rsidRPr="00FE0538">
        <w:rPr>
          <w:sz w:val="28"/>
          <w:szCs w:val="28"/>
        </w:rPr>
        <w:t>Direktīvas projektu Latvija šobrīd vērtē piesardzīgi. Vairākos būtiskos jautājumos Latvijai ir nepieciešams saņemt papildu skaidrojumu un precizējumus, lai Latvija Direktīvu varētu atbalstīt pilnībā. Latvija norāda uz nepieciešamību ES līmenī vienoties par pamatprincipiem un definīcijām Vispārīgajā datu aizsardzības regulā un tad to attiecināt uz Direktīvu.</w:t>
      </w:r>
    </w:p>
    <w:p w:rsidR="00FE0538" w:rsidRDefault="00FE0538" w:rsidP="00506653">
      <w:pPr>
        <w:snapToGrid w:val="0"/>
        <w:ind w:firstLine="720"/>
        <w:jc w:val="both"/>
        <w:rPr>
          <w:bCs/>
          <w:sz w:val="28"/>
          <w:szCs w:val="28"/>
        </w:rPr>
      </w:pPr>
    </w:p>
    <w:p w:rsidR="00506653" w:rsidRPr="000E3A1F" w:rsidRDefault="00506653" w:rsidP="00506653">
      <w:pPr>
        <w:ind w:firstLine="720"/>
        <w:jc w:val="both"/>
        <w:rPr>
          <w:sz w:val="28"/>
          <w:szCs w:val="28"/>
        </w:rPr>
      </w:pPr>
    </w:p>
    <w:p w:rsidR="00506653" w:rsidRPr="000E3A1F" w:rsidRDefault="00506653" w:rsidP="00506653">
      <w:pPr>
        <w:ind w:left="567" w:right="-568" w:firstLine="284"/>
        <w:jc w:val="both"/>
        <w:rPr>
          <w:sz w:val="28"/>
          <w:szCs w:val="28"/>
        </w:rPr>
      </w:pPr>
    </w:p>
    <w:p w:rsidR="00506653" w:rsidRDefault="00506653" w:rsidP="00506653">
      <w:pPr>
        <w:ind w:right="-568"/>
        <w:jc w:val="both"/>
        <w:rPr>
          <w:sz w:val="28"/>
          <w:szCs w:val="28"/>
        </w:rPr>
      </w:pPr>
      <w:r w:rsidRPr="000E3A1F">
        <w:rPr>
          <w:sz w:val="28"/>
          <w:szCs w:val="28"/>
        </w:rPr>
        <w:t>Tieslietu ministr</w:t>
      </w:r>
      <w:r>
        <w:rPr>
          <w:sz w:val="28"/>
          <w:szCs w:val="28"/>
        </w:rPr>
        <w:t>s</w:t>
      </w:r>
      <w:r w:rsidRPr="000E3A1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J.Bordāns</w:t>
      </w:r>
      <w:proofErr w:type="spellEnd"/>
      <w:r w:rsidRPr="000E3A1F">
        <w:rPr>
          <w:sz w:val="28"/>
          <w:szCs w:val="28"/>
        </w:rPr>
        <w:tab/>
      </w:r>
    </w:p>
    <w:p w:rsidR="00506653" w:rsidRPr="000E3A1F" w:rsidRDefault="00506653" w:rsidP="00506653">
      <w:pPr>
        <w:ind w:right="-568"/>
        <w:jc w:val="both"/>
        <w:rPr>
          <w:sz w:val="28"/>
          <w:szCs w:val="28"/>
        </w:rPr>
      </w:pPr>
      <w:r w:rsidRPr="000E3A1F">
        <w:rPr>
          <w:sz w:val="28"/>
          <w:szCs w:val="28"/>
        </w:rPr>
        <w:tab/>
      </w:r>
    </w:p>
    <w:p w:rsidR="00506653" w:rsidRPr="000657BB" w:rsidRDefault="0003115A" w:rsidP="00506653">
      <w:pPr>
        <w:pStyle w:val="Parasts1"/>
        <w:jc w:val="both"/>
        <w:rPr>
          <w:sz w:val="20"/>
          <w:szCs w:val="20"/>
        </w:rPr>
      </w:pPr>
      <w:r>
        <w:rPr>
          <w:sz w:val="20"/>
          <w:szCs w:val="20"/>
        </w:rPr>
        <w:t>13</w:t>
      </w:r>
      <w:r w:rsidR="00506653" w:rsidRPr="000657BB">
        <w:rPr>
          <w:sz w:val="20"/>
          <w:szCs w:val="20"/>
        </w:rPr>
        <w:t>.02.2013. 11:00</w:t>
      </w:r>
    </w:p>
    <w:p w:rsidR="00506653" w:rsidRPr="000657BB" w:rsidRDefault="00B4337B" w:rsidP="00506653">
      <w:pPr>
        <w:pStyle w:val="Parasts1"/>
        <w:jc w:val="both"/>
        <w:rPr>
          <w:sz w:val="20"/>
          <w:szCs w:val="20"/>
        </w:rPr>
      </w:pPr>
      <w:r>
        <w:rPr>
          <w:sz w:val="20"/>
          <w:szCs w:val="20"/>
        </w:rPr>
        <w:t>52</w:t>
      </w:r>
      <w:r w:rsidR="0003115A">
        <w:rPr>
          <w:sz w:val="20"/>
          <w:szCs w:val="20"/>
        </w:rPr>
        <w:t>8</w:t>
      </w:r>
    </w:p>
    <w:p w:rsidR="00506653" w:rsidRPr="000657BB" w:rsidRDefault="00506653" w:rsidP="00506653">
      <w:pPr>
        <w:pStyle w:val="Parasts1"/>
        <w:jc w:val="both"/>
        <w:rPr>
          <w:sz w:val="20"/>
          <w:szCs w:val="20"/>
        </w:rPr>
      </w:pPr>
      <w:proofErr w:type="spellStart"/>
      <w:r w:rsidRPr="000657BB">
        <w:rPr>
          <w:sz w:val="20"/>
          <w:szCs w:val="20"/>
        </w:rPr>
        <w:t>D.Voitiņa</w:t>
      </w:r>
      <w:proofErr w:type="spellEnd"/>
    </w:p>
    <w:p w:rsidR="00506653" w:rsidRPr="000657BB" w:rsidRDefault="00506653" w:rsidP="00506653">
      <w:pPr>
        <w:pStyle w:val="Parasts1"/>
        <w:jc w:val="both"/>
        <w:rPr>
          <w:sz w:val="20"/>
          <w:szCs w:val="20"/>
        </w:rPr>
      </w:pPr>
      <w:r w:rsidRPr="000657BB">
        <w:rPr>
          <w:sz w:val="20"/>
          <w:szCs w:val="20"/>
        </w:rPr>
        <w:t xml:space="preserve">67046135, </w:t>
      </w:r>
      <w:hyperlink r:id="rId8" w:history="1">
        <w:r w:rsidRPr="000657BB">
          <w:rPr>
            <w:rStyle w:val="Hyperlink"/>
            <w:color w:val="auto"/>
            <w:sz w:val="20"/>
            <w:szCs w:val="20"/>
            <w:u w:val="none"/>
          </w:rPr>
          <w:t>Dana.Voitina@tm.gov.lv</w:t>
        </w:r>
      </w:hyperlink>
    </w:p>
    <w:p w:rsidR="00506653" w:rsidRPr="000657BB" w:rsidRDefault="00506653" w:rsidP="00506653">
      <w:pPr>
        <w:pStyle w:val="Parasts1"/>
        <w:jc w:val="both"/>
        <w:rPr>
          <w:sz w:val="20"/>
          <w:szCs w:val="20"/>
        </w:rPr>
      </w:pPr>
      <w:r w:rsidRPr="000657BB">
        <w:rPr>
          <w:sz w:val="20"/>
          <w:szCs w:val="20"/>
        </w:rPr>
        <w:t>Z.Ozola,</w:t>
      </w:r>
    </w:p>
    <w:p w:rsidR="00506653" w:rsidRDefault="00506653" w:rsidP="00506653">
      <w:pPr>
        <w:pStyle w:val="Parasts1"/>
        <w:jc w:val="both"/>
        <w:rPr>
          <w:sz w:val="20"/>
          <w:szCs w:val="20"/>
          <w:lang w:eastAsia="lv-LV"/>
        </w:rPr>
      </w:pPr>
      <w:r w:rsidRPr="000657BB">
        <w:rPr>
          <w:sz w:val="20"/>
          <w:szCs w:val="20"/>
          <w:lang w:eastAsia="lv-LV"/>
        </w:rPr>
        <w:t xml:space="preserve">67036912, </w:t>
      </w:r>
      <w:hyperlink r:id="rId9" w:history="1">
        <w:r w:rsidRPr="000657BB">
          <w:rPr>
            <w:rStyle w:val="Hyperlink"/>
            <w:color w:val="auto"/>
            <w:sz w:val="20"/>
            <w:szCs w:val="20"/>
            <w:u w:val="none"/>
            <w:lang w:eastAsia="lv-LV"/>
          </w:rPr>
          <w:t>Zane.Ozola@tm.gov.lv</w:t>
        </w:r>
      </w:hyperlink>
    </w:p>
    <w:p w:rsidR="00506653" w:rsidRPr="000657BB" w:rsidRDefault="00506653" w:rsidP="00506653">
      <w:pPr>
        <w:pStyle w:val="Parasts1"/>
        <w:jc w:val="both"/>
        <w:rPr>
          <w:sz w:val="20"/>
          <w:szCs w:val="20"/>
        </w:rPr>
      </w:pPr>
    </w:p>
    <w:p w:rsidR="00506653" w:rsidRPr="000657BB" w:rsidRDefault="00506653" w:rsidP="00506653">
      <w:pPr>
        <w:rPr>
          <w:sz w:val="20"/>
          <w:szCs w:val="20"/>
        </w:rPr>
      </w:pPr>
    </w:p>
    <w:p w:rsidR="001A5A29" w:rsidRDefault="001A5A29" w:rsidP="00506653">
      <w:pPr>
        <w:ind w:left="567" w:right="-2"/>
      </w:pPr>
    </w:p>
    <w:sectPr w:rsidR="001A5A29" w:rsidSect="00715FE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52" w:rsidRDefault="00760B52" w:rsidP="00506653">
      <w:r>
        <w:separator/>
      </w:r>
    </w:p>
  </w:endnote>
  <w:endnote w:type="continuationSeparator" w:id="0">
    <w:p w:rsidR="00760B52" w:rsidRDefault="00760B52" w:rsidP="0050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8" w:rsidRPr="00506653" w:rsidRDefault="00FE0538" w:rsidP="005F3751">
    <w:pPr>
      <w:pStyle w:val="Footer"/>
      <w:jc w:val="both"/>
      <w:rPr>
        <w:sz w:val="20"/>
        <w:szCs w:val="20"/>
      </w:rPr>
    </w:pPr>
    <w:r>
      <w:rPr>
        <w:sz w:val="20"/>
        <w:szCs w:val="20"/>
      </w:rPr>
      <w:t>TMZino_</w:t>
    </w:r>
    <w:r w:rsidR="0003115A">
      <w:rPr>
        <w:sz w:val="20"/>
        <w:szCs w:val="20"/>
      </w:rPr>
      <w:t>13</w:t>
    </w:r>
    <w:r>
      <w:rPr>
        <w:sz w:val="20"/>
        <w:szCs w:val="20"/>
      </w:rPr>
      <w:t>0213_</w:t>
    </w:r>
    <w:r w:rsidRPr="001474BA">
      <w:rPr>
        <w:sz w:val="20"/>
        <w:szCs w:val="20"/>
      </w:rPr>
      <w:t xml:space="preserve">dati; </w:t>
    </w:r>
    <w:r w:rsidR="00715FEC">
      <w:rPr>
        <w:sz w:val="20"/>
        <w:szCs w:val="20"/>
      </w:rPr>
      <w:t>I</w:t>
    </w:r>
    <w:r w:rsidR="00D15212" w:rsidRPr="00D15212">
      <w:rPr>
        <w:sz w:val="20"/>
        <w:szCs w:val="20"/>
      </w:rPr>
      <w:t>nformatīvais ziņojums „Par Latvijas Repu</w:t>
    </w:r>
    <w:r w:rsidR="00D15212">
      <w:rPr>
        <w:sz w:val="20"/>
        <w:szCs w:val="20"/>
      </w:rPr>
      <w:t>blikas N</w:t>
    </w:r>
    <w:r w:rsidR="00D15212" w:rsidRPr="00D15212">
      <w:rPr>
        <w:sz w:val="20"/>
        <w:szCs w:val="20"/>
      </w:rPr>
      <w:t>acionālo pozīciju Nr. 1 par priekšlikumu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8" w:rsidRPr="001474BA" w:rsidRDefault="00FE0538" w:rsidP="005F3751">
    <w:pPr>
      <w:pStyle w:val="Footer"/>
      <w:jc w:val="both"/>
      <w:rPr>
        <w:sz w:val="20"/>
        <w:szCs w:val="20"/>
      </w:rPr>
    </w:pPr>
    <w:r>
      <w:rPr>
        <w:sz w:val="20"/>
        <w:szCs w:val="20"/>
      </w:rPr>
      <w:t>TMZino_</w:t>
    </w:r>
    <w:r w:rsidR="0003115A">
      <w:rPr>
        <w:sz w:val="20"/>
        <w:szCs w:val="20"/>
      </w:rPr>
      <w:t>13</w:t>
    </w:r>
    <w:r>
      <w:rPr>
        <w:sz w:val="20"/>
        <w:szCs w:val="20"/>
      </w:rPr>
      <w:t>0213_</w:t>
    </w:r>
    <w:r w:rsidRPr="001474BA">
      <w:rPr>
        <w:sz w:val="20"/>
        <w:szCs w:val="20"/>
      </w:rPr>
      <w:t xml:space="preserve">dati; </w:t>
    </w:r>
    <w:r w:rsidR="00715FEC">
      <w:rPr>
        <w:sz w:val="20"/>
        <w:szCs w:val="20"/>
      </w:rPr>
      <w:t>I</w:t>
    </w:r>
    <w:r w:rsidR="00D15212" w:rsidRPr="00D15212">
      <w:rPr>
        <w:sz w:val="20"/>
        <w:szCs w:val="20"/>
      </w:rPr>
      <w:t>nformatīvais ziņojums „Par Latvijas Repu</w:t>
    </w:r>
    <w:r w:rsidR="00D15212">
      <w:rPr>
        <w:sz w:val="20"/>
        <w:szCs w:val="20"/>
      </w:rPr>
      <w:t>blikas N</w:t>
    </w:r>
    <w:r w:rsidR="00D15212" w:rsidRPr="00D15212">
      <w:rPr>
        <w:sz w:val="20"/>
        <w:szCs w:val="20"/>
      </w:rPr>
      <w:t>acionālo pozīciju Nr. 1 par priekšlikumu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52" w:rsidRDefault="00760B52" w:rsidP="00506653">
      <w:r>
        <w:separator/>
      </w:r>
    </w:p>
  </w:footnote>
  <w:footnote w:type="continuationSeparator" w:id="0">
    <w:p w:rsidR="00760B52" w:rsidRDefault="00760B52" w:rsidP="0050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38" w:rsidRDefault="00D15212">
    <w:pPr>
      <w:pStyle w:val="Header"/>
      <w:jc w:val="center"/>
    </w:pPr>
    <w:r>
      <w:fldChar w:fldCharType="begin"/>
    </w:r>
    <w:r>
      <w:instrText xml:space="preserve"> PAGE   \* MERGEFORMAT </w:instrText>
    </w:r>
    <w:r>
      <w:fldChar w:fldCharType="separate"/>
    </w:r>
    <w:r w:rsidR="003F49A0">
      <w:rPr>
        <w:noProof/>
      </w:rPr>
      <w:t>2</w:t>
    </w:r>
    <w:r>
      <w:rPr>
        <w:noProof/>
      </w:rPr>
      <w:fldChar w:fldCharType="end"/>
    </w:r>
  </w:p>
  <w:p w:rsidR="00FE0538" w:rsidRDefault="00FE0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2AF5"/>
    <w:multiLevelType w:val="hybridMultilevel"/>
    <w:tmpl w:val="98F2F7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6653"/>
    <w:rsid w:val="00015151"/>
    <w:rsid w:val="0003115A"/>
    <w:rsid w:val="000322F3"/>
    <w:rsid w:val="00054C71"/>
    <w:rsid w:val="00060666"/>
    <w:rsid w:val="00064613"/>
    <w:rsid w:val="00067E2C"/>
    <w:rsid w:val="00072719"/>
    <w:rsid w:val="00082C8E"/>
    <w:rsid w:val="00090D5B"/>
    <w:rsid w:val="000F2372"/>
    <w:rsid w:val="000F7C1E"/>
    <w:rsid w:val="00100FA3"/>
    <w:rsid w:val="00112E8C"/>
    <w:rsid w:val="0011677F"/>
    <w:rsid w:val="00124397"/>
    <w:rsid w:val="001244A3"/>
    <w:rsid w:val="00135A07"/>
    <w:rsid w:val="001511EE"/>
    <w:rsid w:val="001725E0"/>
    <w:rsid w:val="0017658B"/>
    <w:rsid w:val="00186C99"/>
    <w:rsid w:val="001A5A29"/>
    <w:rsid w:val="001E4625"/>
    <w:rsid w:val="002051D0"/>
    <w:rsid w:val="00221E34"/>
    <w:rsid w:val="00250A78"/>
    <w:rsid w:val="002C3D8E"/>
    <w:rsid w:val="002D1312"/>
    <w:rsid w:val="002F0B89"/>
    <w:rsid w:val="003044CC"/>
    <w:rsid w:val="00313250"/>
    <w:rsid w:val="003537D4"/>
    <w:rsid w:val="00397CF5"/>
    <w:rsid w:val="003C0207"/>
    <w:rsid w:val="003D2E15"/>
    <w:rsid w:val="003E34A1"/>
    <w:rsid w:val="003E6838"/>
    <w:rsid w:val="003F49A0"/>
    <w:rsid w:val="00401D6C"/>
    <w:rsid w:val="00412B1B"/>
    <w:rsid w:val="004536D3"/>
    <w:rsid w:val="00461090"/>
    <w:rsid w:val="0046276C"/>
    <w:rsid w:val="00482BE2"/>
    <w:rsid w:val="004B5875"/>
    <w:rsid w:val="004B79BD"/>
    <w:rsid w:val="004B7D4C"/>
    <w:rsid w:val="004C332C"/>
    <w:rsid w:val="004C5218"/>
    <w:rsid w:val="004D1035"/>
    <w:rsid w:val="004D4C54"/>
    <w:rsid w:val="004E40C1"/>
    <w:rsid w:val="004F5E81"/>
    <w:rsid w:val="00506653"/>
    <w:rsid w:val="00507A42"/>
    <w:rsid w:val="00521E07"/>
    <w:rsid w:val="00525FA7"/>
    <w:rsid w:val="0053336B"/>
    <w:rsid w:val="00533FE3"/>
    <w:rsid w:val="005770A1"/>
    <w:rsid w:val="00591289"/>
    <w:rsid w:val="005A55CA"/>
    <w:rsid w:val="005F3751"/>
    <w:rsid w:val="005F789B"/>
    <w:rsid w:val="006258C1"/>
    <w:rsid w:val="00633015"/>
    <w:rsid w:val="00636096"/>
    <w:rsid w:val="00670CEA"/>
    <w:rsid w:val="00677FF6"/>
    <w:rsid w:val="006857BE"/>
    <w:rsid w:val="006C3BF3"/>
    <w:rsid w:val="006C420D"/>
    <w:rsid w:val="0070713F"/>
    <w:rsid w:val="00715FEC"/>
    <w:rsid w:val="00720B1C"/>
    <w:rsid w:val="00725C01"/>
    <w:rsid w:val="00744A36"/>
    <w:rsid w:val="00760B52"/>
    <w:rsid w:val="0078541A"/>
    <w:rsid w:val="007E1611"/>
    <w:rsid w:val="0081016B"/>
    <w:rsid w:val="00813E1C"/>
    <w:rsid w:val="00845F3D"/>
    <w:rsid w:val="00847F91"/>
    <w:rsid w:val="008868CE"/>
    <w:rsid w:val="0089043D"/>
    <w:rsid w:val="008917DD"/>
    <w:rsid w:val="00895516"/>
    <w:rsid w:val="008C58AC"/>
    <w:rsid w:val="00904312"/>
    <w:rsid w:val="009371CE"/>
    <w:rsid w:val="009510F8"/>
    <w:rsid w:val="00980C0F"/>
    <w:rsid w:val="00982BB2"/>
    <w:rsid w:val="00984064"/>
    <w:rsid w:val="00990A64"/>
    <w:rsid w:val="009A07F6"/>
    <w:rsid w:val="009B1463"/>
    <w:rsid w:val="009B1752"/>
    <w:rsid w:val="009B3ADE"/>
    <w:rsid w:val="009B590E"/>
    <w:rsid w:val="009D1FEA"/>
    <w:rsid w:val="009D7653"/>
    <w:rsid w:val="009E0A2D"/>
    <w:rsid w:val="009E7C5E"/>
    <w:rsid w:val="00A22B72"/>
    <w:rsid w:val="00A23D5D"/>
    <w:rsid w:val="00A24C8B"/>
    <w:rsid w:val="00A4159F"/>
    <w:rsid w:val="00A41C90"/>
    <w:rsid w:val="00A45184"/>
    <w:rsid w:val="00A47562"/>
    <w:rsid w:val="00A47B4A"/>
    <w:rsid w:val="00A56BE8"/>
    <w:rsid w:val="00A61043"/>
    <w:rsid w:val="00A77755"/>
    <w:rsid w:val="00A8525F"/>
    <w:rsid w:val="00AA312F"/>
    <w:rsid w:val="00AC64A6"/>
    <w:rsid w:val="00AD32C3"/>
    <w:rsid w:val="00B4337B"/>
    <w:rsid w:val="00B521FC"/>
    <w:rsid w:val="00B61FB6"/>
    <w:rsid w:val="00BC24C1"/>
    <w:rsid w:val="00BE0F9A"/>
    <w:rsid w:val="00C03F4B"/>
    <w:rsid w:val="00C1502A"/>
    <w:rsid w:val="00C245ED"/>
    <w:rsid w:val="00C71585"/>
    <w:rsid w:val="00C85C91"/>
    <w:rsid w:val="00C87901"/>
    <w:rsid w:val="00CB1527"/>
    <w:rsid w:val="00CB56E9"/>
    <w:rsid w:val="00CB68CC"/>
    <w:rsid w:val="00CC7C18"/>
    <w:rsid w:val="00CF1231"/>
    <w:rsid w:val="00D06FE6"/>
    <w:rsid w:val="00D15212"/>
    <w:rsid w:val="00D21F53"/>
    <w:rsid w:val="00D25849"/>
    <w:rsid w:val="00D42031"/>
    <w:rsid w:val="00D5179C"/>
    <w:rsid w:val="00D52502"/>
    <w:rsid w:val="00D52B81"/>
    <w:rsid w:val="00D95098"/>
    <w:rsid w:val="00DB7230"/>
    <w:rsid w:val="00DC4C40"/>
    <w:rsid w:val="00E01E9B"/>
    <w:rsid w:val="00E05933"/>
    <w:rsid w:val="00E60BE3"/>
    <w:rsid w:val="00E95F73"/>
    <w:rsid w:val="00F21EB3"/>
    <w:rsid w:val="00F246D0"/>
    <w:rsid w:val="00F3340A"/>
    <w:rsid w:val="00F353CC"/>
    <w:rsid w:val="00F42197"/>
    <w:rsid w:val="00F4343B"/>
    <w:rsid w:val="00F52791"/>
    <w:rsid w:val="00F67E3D"/>
    <w:rsid w:val="00FB50A0"/>
    <w:rsid w:val="00FC2049"/>
    <w:rsid w:val="00FD676D"/>
    <w:rsid w:val="00FE0538"/>
    <w:rsid w:val="00FF3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53"/>
    <w:pPr>
      <w:suppressAutoHyphens/>
      <w:ind w:firstLine="0"/>
      <w:jc w:val="left"/>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06653"/>
  </w:style>
  <w:style w:type="paragraph" w:styleId="Header">
    <w:name w:val="header"/>
    <w:basedOn w:val="Normal"/>
    <w:link w:val="HeaderChar"/>
    <w:uiPriority w:val="99"/>
    <w:unhideWhenUsed/>
    <w:rsid w:val="00506653"/>
    <w:pPr>
      <w:tabs>
        <w:tab w:val="center" w:pos="4153"/>
        <w:tab w:val="right" w:pos="8306"/>
      </w:tabs>
    </w:pPr>
  </w:style>
  <w:style w:type="character" w:customStyle="1" w:styleId="HeaderChar">
    <w:name w:val="Header Char"/>
    <w:basedOn w:val="DefaultParagraphFont"/>
    <w:link w:val="Header"/>
    <w:uiPriority w:val="99"/>
    <w:rsid w:val="00506653"/>
    <w:rPr>
      <w:rFonts w:eastAsia="Times New Roman" w:cs="Times New Roman"/>
      <w:szCs w:val="24"/>
      <w:lang w:eastAsia="ar-SA"/>
    </w:rPr>
  </w:style>
  <w:style w:type="paragraph" w:styleId="Footer">
    <w:name w:val="footer"/>
    <w:basedOn w:val="Normal"/>
    <w:link w:val="FooterChar"/>
    <w:uiPriority w:val="99"/>
    <w:unhideWhenUsed/>
    <w:rsid w:val="00506653"/>
    <w:pPr>
      <w:tabs>
        <w:tab w:val="center" w:pos="4153"/>
        <w:tab w:val="right" w:pos="8306"/>
      </w:tabs>
    </w:pPr>
  </w:style>
  <w:style w:type="character" w:customStyle="1" w:styleId="FooterChar">
    <w:name w:val="Footer Char"/>
    <w:basedOn w:val="DefaultParagraphFont"/>
    <w:link w:val="Footer"/>
    <w:uiPriority w:val="99"/>
    <w:rsid w:val="00506653"/>
    <w:rPr>
      <w:rFonts w:eastAsia="Times New Roman" w:cs="Times New Roman"/>
      <w:szCs w:val="24"/>
      <w:lang w:eastAsia="ar-SA"/>
    </w:rPr>
  </w:style>
  <w:style w:type="paragraph" w:customStyle="1" w:styleId="Parasts1">
    <w:name w:val="Parasts1"/>
    <w:qFormat/>
    <w:rsid w:val="00506653"/>
    <w:pPr>
      <w:suppressAutoHyphens/>
      <w:ind w:firstLine="0"/>
      <w:jc w:val="left"/>
    </w:pPr>
    <w:rPr>
      <w:rFonts w:eastAsia="Times New Roman" w:cs="Times New Roman"/>
      <w:szCs w:val="24"/>
      <w:lang w:eastAsia="ar-SA"/>
    </w:rPr>
  </w:style>
  <w:style w:type="character" w:styleId="Hyperlink">
    <w:name w:val="Hyperlink"/>
    <w:rsid w:val="00506653"/>
    <w:rPr>
      <w:rFonts w:cs="Times New Roman"/>
      <w:color w:val="0000FF"/>
      <w:u w:val="single"/>
    </w:rPr>
  </w:style>
  <w:style w:type="paragraph" w:customStyle="1" w:styleId="naiskr">
    <w:name w:val="naiskr"/>
    <w:basedOn w:val="Parasts1"/>
    <w:rsid w:val="00506653"/>
    <w:pPr>
      <w:spacing w:before="280" w:after="280"/>
    </w:pPr>
  </w:style>
  <w:style w:type="paragraph" w:customStyle="1" w:styleId="EntEmet">
    <w:name w:val="EntEmet"/>
    <w:basedOn w:val="Parasts1"/>
    <w:rsid w:val="00FE0538"/>
    <w:pPr>
      <w:tabs>
        <w:tab w:val="left" w:pos="284"/>
        <w:tab w:val="left" w:pos="567"/>
        <w:tab w:val="left" w:pos="851"/>
        <w:tab w:val="left" w:pos="1134"/>
        <w:tab w:val="left" w:pos="1418"/>
      </w:tabs>
      <w:suppressAutoHyphens w:val="0"/>
      <w:spacing w:before="40"/>
    </w:pPr>
    <w:rPr>
      <w:szCs w:val="20"/>
      <w:lang w:eastAsia="fr-BE"/>
    </w:rPr>
  </w:style>
  <w:style w:type="paragraph" w:styleId="CommentText">
    <w:name w:val="annotation text"/>
    <w:basedOn w:val="Parasts1"/>
    <w:link w:val="CommentTextChar"/>
    <w:rsid w:val="00FE0538"/>
    <w:rPr>
      <w:sz w:val="20"/>
      <w:szCs w:val="20"/>
      <w:lang w:val="en-GB"/>
    </w:rPr>
  </w:style>
  <w:style w:type="character" w:customStyle="1" w:styleId="CommentTextChar">
    <w:name w:val="Comment Text Char"/>
    <w:basedOn w:val="DefaultParagraphFont"/>
    <w:link w:val="CommentText"/>
    <w:rsid w:val="00FE0538"/>
    <w:rPr>
      <w:rFonts w:eastAsia="Times New Roman" w:cs="Times New Roman"/>
      <w:sz w:val="20"/>
      <w:szCs w:val="20"/>
      <w:lang w:val="en-GB" w:eastAsia="ar-SA"/>
    </w:rPr>
  </w:style>
  <w:style w:type="paragraph" w:styleId="BalloonText">
    <w:name w:val="Balloon Text"/>
    <w:basedOn w:val="Normal"/>
    <w:link w:val="BalloonTextChar"/>
    <w:uiPriority w:val="99"/>
    <w:semiHidden/>
    <w:unhideWhenUsed/>
    <w:rsid w:val="00715FEC"/>
    <w:rPr>
      <w:rFonts w:ascii="Tahoma" w:hAnsi="Tahoma" w:cs="Tahoma"/>
      <w:sz w:val="16"/>
      <w:szCs w:val="16"/>
    </w:rPr>
  </w:style>
  <w:style w:type="character" w:customStyle="1" w:styleId="BalloonTextChar">
    <w:name w:val="Balloon Text Char"/>
    <w:basedOn w:val="DefaultParagraphFont"/>
    <w:link w:val="BalloonText"/>
    <w:uiPriority w:val="99"/>
    <w:semiHidden/>
    <w:rsid w:val="00715FE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Voitina@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Ozol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2755</Words>
  <Characters>1571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nacionālā pozīcija par Eiropas Komisijas priekšlikumu Eiropas Parlamenta un Padomes direktīvai par fizisku personu aizsardzību attiecībā uz personas datu apstrādi, ko veic kompetentas iestādes, lai novērstu, izmeklētu, atklātu noziedzīgus nodarīj</vt:lpstr>
      <vt:lpstr>Latvijas nacionālā pozīcija par Eiropas Komisijas priekšlikumu Eiropas Parlamenta un Padomes direktīvai par fizisku personu aizsardzību attiecībā uz personas datu apstrādi, ko veic kompetentas iestādes, lai novērstu, izmeklētu, atklātu noziedzīgus nodarīj</vt:lpstr>
    </vt:vector>
  </TitlesOfParts>
  <Company>Tieslietu Ministrija</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Nacionālo pozīciju Nr. 1 par priekšlikumu Eiropas Parlamenta un Padomes direktīvai par fizisku personu aizsardzību attiecībā uz personas datu apstrādi, ko veic kompetentās iestādes, lai novērstu, izmeklētu, atklātu noziedzīgus nodarījumus, sauktu pie atbildības par tiem vai izpildītu kriminālsodus, un par šādu datu brīvu apriti </dc:title>
  <dc:subject>Informatīvais ziņojums</dc:subject>
  <dc:creator>Tieslietu ministrija</dc:creator>
  <cp:keywords/>
  <dc:description>Dana Voitiņa; 67046135; Dana.Voitina@tm.gov.lv;
Zane Ozola; 67036912; Zane.Ozola@tm.gov.lv</dc:description>
  <cp:lastModifiedBy>Padome</cp:lastModifiedBy>
  <cp:revision>8</cp:revision>
  <cp:lastPrinted>2013-02-01T07:38:00Z</cp:lastPrinted>
  <dcterms:created xsi:type="dcterms:W3CDTF">2013-02-01T07:06:00Z</dcterms:created>
  <dcterms:modified xsi:type="dcterms:W3CDTF">2013-02-13T12:54:00Z</dcterms:modified>
</cp:coreProperties>
</file>