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73" w:rsidRPr="00C34B3D" w:rsidRDefault="00D13711" w:rsidP="00D13711">
      <w:pPr>
        <w:jc w:val="center"/>
        <w:rPr>
          <w:b/>
          <w:sz w:val="26"/>
          <w:szCs w:val="26"/>
        </w:rPr>
      </w:pPr>
      <w:r w:rsidRPr="00C34B3D">
        <w:rPr>
          <w:b/>
          <w:sz w:val="26"/>
          <w:szCs w:val="26"/>
        </w:rPr>
        <w:t>INFORMATĪVAIS ZIŅOJUMS</w:t>
      </w:r>
    </w:p>
    <w:p w:rsidR="00CB5163" w:rsidRPr="00C34B3D" w:rsidRDefault="00CB5163" w:rsidP="00D13711">
      <w:pPr>
        <w:jc w:val="center"/>
        <w:rPr>
          <w:b/>
          <w:sz w:val="26"/>
          <w:szCs w:val="26"/>
        </w:rPr>
      </w:pPr>
    </w:p>
    <w:p w:rsidR="00BC0E7D" w:rsidRPr="00C34B3D" w:rsidRDefault="001F44FA" w:rsidP="00D13711">
      <w:pPr>
        <w:jc w:val="center"/>
        <w:rPr>
          <w:b/>
          <w:sz w:val="26"/>
          <w:szCs w:val="26"/>
        </w:rPr>
      </w:pPr>
      <w:r w:rsidRPr="00C34B3D">
        <w:rPr>
          <w:b/>
          <w:sz w:val="26"/>
          <w:szCs w:val="26"/>
        </w:rPr>
        <w:t>P</w:t>
      </w:r>
      <w:r w:rsidR="00BC0E7D" w:rsidRPr="00C34B3D">
        <w:rPr>
          <w:b/>
          <w:sz w:val="26"/>
          <w:szCs w:val="26"/>
        </w:rPr>
        <w:t>ar prokuratū</w:t>
      </w:r>
      <w:r w:rsidR="000C7CEA" w:rsidRPr="00C34B3D">
        <w:rPr>
          <w:b/>
          <w:sz w:val="26"/>
          <w:szCs w:val="26"/>
        </w:rPr>
        <w:t>ras struktūrvienību tehnoloģiskā aprīkojuma stāvokli</w:t>
      </w:r>
      <w:r w:rsidR="00EE2A85" w:rsidRPr="00C34B3D">
        <w:rPr>
          <w:b/>
          <w:sz w:val="26"/>
          <w:szCs w:val="26"/>
        </w:rPr>
        <w:t xml:space="preserve"> un iespējamu risinājumu tā uzlabošanai</w:t>
      </w:r>
    </w:p>
    <w:p w:rsidR="004C6917" w:rsidRPr="00C34B3D" w:rsidRDefault="004C6917" w:rsidP="00D13711">
      <w:pPr>
        <w:jc w:val="center"/>
        <w:rPr>
          <w:b/>
          <w:sz w:val="26"/>
          <w:szCs w:val="26"/>
        </w:rPr>
      </w:pPr>
    </w:p>
    <w:p w:rsidR="0052128C" w:rsidRPr="00C34B3D" w:rsidRDefault="00614A94" w:rsidP="0052128C">
      <w:pPr>
        <w:pStyle w:val="Style1"/>
        <w:numPr>
          <w:ilvl w:val="0"/>
          <w:numId w:val="1"/>
        </w:numPr>
        <w:rPr>
          <w:sz w:val="26"/>
          <w:szCs w:val="26"/>
          <w:lang w:val="lv-LV"/>
        </w:rPr>
      </w:pPr>
      <w:r w:rsidRPr="00C34B3D">
        <w:rPr>
          <w:b/>
          <w:sz w:val="26"/>
          <w:szCs w:val="26"/>
          <w:lang w:val="lv-LV"/>
        </w:rPr>
        <w:t>Situācijas raksturojums</w:t>
      </w:r>
      <w:r w:rsidR="0052128C" w:rsidRPr="00C34B3D">
        <w:rPr>
          <w:sz w:val="26"/>
          <w:szCs w:val="26"/>
          <w:lang w:val="lv-LV"/>
        </w:rPr>
        <w:t xml:space="preserve"> </w:t>
      </w:r>
    </w:p>
    <w:p w:rsidR="000653ED" w:rsidRPr="00C34B3D" w:rsidRDefault="00B0610F" w:rsidP="000653ED">
      <w:pPr>
        <w:pStyle w:val="Style1"/>
        <w:rPr>
          <w:sz w:val="26"/>
          <w:szCs w:val="26"/>
          <w:lang w:val="lv-LV"/>
        </w:rPr>
      </w:pPr>
      <w:r w:rsidRPr="00C34B3D">
        <w:rPr>
          <w:sz w:val="26"/>
          <w:szCs w:val="26"/>
          <w:lang w:val="lv-LV"/>
        </w:rPr>
        <w:t>Latvijas Republikas Prokuratūru (turpmāk – prokuratūra)  veido Ģenerālprokuratūra, tiesu apgabalu prokuratūras, rajonu (pilsētu) prokuratūras un specializētās prokuratūras</w:t>
      </w:r>
      <w:r w:rsidR="00121A47" w:rsidRPr="00C34B3D">
        <w:rPr>
          <w:sz w:val="26"/>
          <w:szCs w:val="26"/>
          <w:lang w:val="lv-LV"/>
        </w:rPr>
        <w:t xml:space="preserve"> (kopumā 44 prokuratūras struktūrvienības)</w:t>
      </w:r>
      <w:r w:rsidRPr="00C34B3D">
        <w:rPr>
          <w:sz w:val="26"/>
          <w:szCs w:val="26"/>
          <w:lang w:val="lv-LV"/>
        </w:rPr>
        <w:t>, kā arī Administratīvā direktora dienests, kas nodrošina prokuratūras</w:t>
      </w:r>
      <w:r w:rsidR="00121A47" w:rsidRPr="00C34B3D">
        <w:rPr>
          <w:sz w:val="26"/>
          <w:szCs w:val="26"/>
          <w:lang w:val="lv-LV"/>
        </w:rPr>
        <w:t xml:space="preserve"> struktūrvienību</w:t>
      </w:r>
      <w:r w:rsidRPr="00C34B3D">
        <w:rPr>
          <w:sz w:val="26"/>
          <w:szCs w:val="26"/>
          <w:lang w:val="lv-LV"/>
        </w:rPr>
        <w:t xml:space="preserve"> finansiālo un saimniecisko darbību</w:t>
      </w:r>
      <w:r w:rsidR="00121A47" w:rsidRPr="00C34B3D">
        <w:rPr>
          <w:sz w:val="26"/>
          <w:szCs w:val="26"/>
          <w:lang w:val="lv-LV"/>
        </w:rPr>
        <w:t>.</w:t>
      </w:r>
      <w:r w:rsidR="00C96CB1" w:rsidRPr="00C34B3D">
        <w:rPr>
          <w:sz w:val="26"/>
          <w:szCs w:val="26"/>
          <w:lang w:val="lv-LV"/>
        </w:rPr>
        <w:t xml:space="preserve"> </w:t>
      </w:r>
    </w:p>
    <w:p w:rsidR="000653ED" w:rsidRPr="00C34B3D" w:rsidRDefault="00C96CB1" w:rsidP="002C3012">
      <w:pPr>
        <w:pStyle w:val="Style1"/>
        <w:rPr>
          <w:sz w:val="26"/>
          <w:szCs w:val="26"/>
          <w:lang w:val="lv-LV"/>
        </w:rPr>
      </w:pPr>
      <w:r w:rsidRPr="00C34B3D">
        <w:rPr>
          <w:sz w:val="26"/>
          <w:szCs w:val="26"/>
          <w:lang w:val="lv-LV"/>
        </w:rPr>
        <w:t xml:space="preserve">Pildot </w:t>
      </w:r>
      <w:r w:rsidR="00692C98">
        <w:rPr>
          <w:sz w:val="26"/>
          <w:szCs w:val="26"/>
          <w:lang w:val="lv-LV"/>
        </w:rPr>
        <w:t xml:space="preserve">amata </w:t>
      </w:r>
      <w:r w:rsidRPr="00C34B3D">
        <w:rPr>
          <w:sz w:val="26"/>
          <w:szCs w:val="26"/>
          <w:lang w:val="lv-LV"/>
        </w:rPr>
        <w:t xml:space="preserve">pienākumus, gan prokurori, gan prokuratūras administratīvie darbinieki izmanto ikdienas darbā datortehniku. </w:t>
      </w:r>
      <w:r w:rsidR="0052128C" w:rsidRPr="00C34B3D">
        <w:rPr>
          <w:sz w:val="26"/>
          <w:szCs w:val="26"/>
          <w:lang w:val="lv-LV"/>
        </w:rPr>
        <w:t xml:space="preserve">Prokuroru amata pienākumu veikšanai ir nepieciešams izmantot dažādas informācijas sistēmas, tai skaitā valsts reģistrus, piemēram, tiesu informācijas sistēmu, kriminālprocesa informācijas sistēmu, Šengena informācijas sistēmu un citas. Administratīvā direktora dienesta darbinieki, nodrošinot prokuratūras </w:t>
      </w:r>
      <w:r w:rsidR="000653ED" w:rsidRPr="00C34B3D">
        <w:rPr>
          <w:sz w:val="26"/>
          <w:szCs w:val="26"/>
          <w:lang w:val="lv-LV"/>
        </w:rPr>
        <w:t xml:space="preserve">struktūrvienību </w:t>
      </w:r>
      <w:r w:rsidR="0052128C" w:rsidRPr="00C34B3D">
        <w:rPr>
          <w:sz w:val="26"/>
          <w:szCs w:val="26"/>
          <w:lang w:val="lv-LV"/>
        </w:rPr>
        <w:t xml:space="preserve">finansiālo un saimniecisko darbību, darba pienākumu ietvaros izmanto dažādas informācijas sistēmas, piemēram, lietvedības sistēmu, grāmatvedības sistēmu, elektronisko iepirkumu sistēmu, Uzņēmumu reģistra datu bāzi un citas. </w:t>
      </w:r>
      <w:r w:rsidR="002C3012" w:rsidRPr="00C34B3D">
        <w:rPr>
          <w:sz w:val="26"/>
          <w:szCs w:val="26"/>
          <w:lang w:val="lv-LV"/>
        </w:rPr>
        <w:t>Līdz ar to, lai nodrošinātu p</w:t>
      </w:r>
      <w:r w:rsidR="000653ED" w:rsidRPr="00C34B3D">
        <w:rPr>
          <w:sz w:val="26"/>
          <w:szCs w:val="26"/>
          <w:lang w:val="lv-LV"/>
        </w:rPr>
        <w:t>rokuratūras</w:t>
      </w:r>
      <w:r w:rsidR="002C3012" w:rsidRPr="00C34B3D">
        <w:rPr>
          <w:sz w:val="26"/>
          <w:szCs w:val="26"/>
          <w:lang w:val="lv-LV"/>
        </w:rPr>
        <w:t xml:space="preserve"> darbību un</w:t>
      </w:r>
      <w:r w:rsidR="000653ED" w:rsidRPr="00C34B3D">
        <w:rPr>
          <w:sz w:val="26"/>
          <w:szCs w:val="26"/>
          <w:lang w:val="lv-LV"/>
        </w:rPr>
        <w:t xml:space="preserve"> likumā noteikto funkciju izpildi, </w:t>
      </w:r>
      <w:r w:rsidR="0052128C" w:rsidRPr="00C34B3D">
        <w:rPr>
          <w:sz w:val="26"/>
          <w:szCs w:val="26"/>
          <w:lang w:val="lv-LV"/>
        </w:rPr>
        <w:t>datortehnika ir kritisks resurss, bez kura</w:t>
      </w:r>
      <w:r w:rsidR="000653ED" w:rsidRPr="00C34B3D">
        <w:rPr>
          <w:sz w:val="26"/>
          <w:szCs w:val="26"/>
          <w:lang w:val="lv-LV"/>
        </w:rPr>
        <w:t xml:space="preserve"> noteikto </w:t>
      </w:r>
      <w:r w:rsidR="0052128C" w:rsidRPr="00C34B3D">
        <w:rPr>
          <w:sz w:val="26"/>
          <w:szCs w:val="26"/>
          <w:lang w:val="lv-LV"/>
        </w:rPr>
        <w:t xml:space="preserve">funkciju </w:t>
      </w:r>
      <w:r w:rsidR="000653ED" w:rsidRPr="00C34B3D">
        <w:rPr>
          <w:sz w:val="26"/>
          <w:szCs w:val="26"/>
          <w:lang w:val="lv-LV"/>
        </w:rPr>
        <w:t>izpilde</w:t>
      </w:r>
      <w:r w:rsidR="0052128C" w:rsidRPr="00C34B3D">
        <w:rPr>
          <w:sz w:val="26"/>
          <w:szCs w:val="26"/>
          <w:lang w:val="lv-LV"/>
        </w:rPr>
        <w:t xml:space="preserve"> nav iespējama. Prokuratūras 44 struktūrvienību lietošanā kopumā atrodas aptuveni 800 datortehnikas komplekti. </w:t>
      </w:r>
    </w:p>
    <w:p w:rsidR="0052128C" w:rsidRPr="00C34B3D" w:rsidRDefault="0052128C" w:rsidP="002C3012">
      <w:pPr>
        <w:pStyle w:val="Style1"/>
        <w:rPr>
          <w:sz w:val="26"/>
          <w:szCs w:val="26"/>
          <w:lang w:val="lv-LV"/>
        </w:rPr>
      </w:pPr>
      <w:r w:rsidRPr="00C34B3D">
        <w:rPr>
          <w:sz w:val="26"/>
          <w:szCs w:val="26"/>
          <w:lang w:val="lv-LV"/>
        </w:rPr>
        <w:t xml:space="preserve">Lai nodrošinātu efektīvu darbu visās prokuratūras struktūrvienībās, darbinieku lietošanā esošo datortehniku nepieciešams regulāri pakāpeniski atjaunot un uzturēt atbilstošā tehniskā stāvoklī. Pakāpeniskai novecojušās datortehnikas nomaiņai Prokuratūrai katru gadu būtu nepieciešams veikt aptuveni 150 jaunu datortehnikas komplektu iegādi (atbilstoši pašreizējai tirgus situācijai kopsummā par 127 500 latiem gadā). </w:t>
      </w:r>
    </w:p>
    <w:p w:rsidR="0052128C" w:rsidRPr="00C34B3D" w:rsidRDefault="0052128C" w:rsidP="00A2735C">
      <w:pPr>
        <w:pStyle w:val="Style1"/>
        <w:rPr>
          <w:sz w:val="26"/>
          <w:szCs w:val="26"/>
          <w:lang w:val="lv-LV"/>
        </w:rPr>
      </w:pPr>
      <w:r w:rsidRPr="00C34B3D">
        <w:rPr>
          <w:sz w:val="26"/>
          <w:szCs w:val="26"/>
          <w:lang w:val="lv-LV"/>
        </w:rPr>
        <w:lastRenderedPageBreak/>
        <w:t xml:space="preserve">Kopš 2009.gada </w:t>
      </w:r>
      <w:r w:rsidR="004E7468">
        <w:rPr>
          <w:sz w:val="26"/>
          <w:szCs w:val="26"/>
          <w:lang w:val="lv-LV"/>
        </w:rPr>
        <w:t>p</w:t>
      </w:r>
      <w:r w:rsidRPr="00C34B3D">
        <w:rPr>
          <w:sz w:val="26"/>
          <w:szCs w:val="26"/>
          <w:lang w:val="lv-LV"/>
        </w:rPr>
        <w:t>rokuratūras pamatbudžeta programmā 01.00.00 „Prokuratūras iestāžu uztu</w:t>
      </w:r>
      <w:r w:rsidR="002C3012" w:rsidRPr="00C34B3D">
        <w:rPr>
          <w:sz w:val="26"/>
          <w:szCs w:val="26"/>
          <w:lang w:val="lv-LV"/>
        </w:rPr>
        <w:t xml:space="preserve">rēšana” kapitālajiem izdevumiem, </w:t>
      </w:r>
      <w:proofErr w:type="spellStart"/>
      <w:r w:rsidR="002C3012" w:rsidRPr="00C34B3D">
        <w:rPr>
          <w:sz w:val="26"/>
          <w:szCs w:val="26"/>
          <w:lang w:val="lv-LV"/>
        </w:rPr>
        <w:t>t.i</w:t>
      </w:r>
      <w:proofErr w:type="spellEnd"/>
      <w:r w:rsidR="002C3012" w:rsidRPr="00C34B3D">
        <w:rPr>
          <w:sz w:val="26"/>
          <w:szCs w:val="26"/>
          <w:lang w:val="lv-LV"/>
        </w:rPr>
        <w:t xml:space="preserve">. visu </w:t>
      </w:r>
      <w:r w:rsidR="00C37E29" w:rsidRPr="00C34B3D">
        <w:rPr>
          <w:sz w:val="26"/>
          <w:szCs w:val="26"/>
          <w:lang w:val="lv-LV"/>
        </w:rPr>
        <w:t xml:space="preserve">nemateriālo ieguldījumu (licenču, datorprogrammu </w:t>
      </w:r>
      <w:proofErr w:type="spellStart"/>
      <w:r w:rsidR="00C37E29" w:rsidRPr="00C34B3D">
        <w:rPr>
          <w:sz w:val="26"/>
          <w:szCs w:val="26"/>
          <w:lang w:val="lv-LV"/>
        </w:rPr>
        <w:t>utml</w:t>
      </w:r>
      <w:proofErr w:type="spellEnd"/>
      <w:r w:rsidR="00C37E29" w:rsidRPr="00C34B3D">
        <w:rPr>
          <w:sz w:val="26"/>
          <w:szCs w:val="26"/>
          <w:lang w:val="lv-LV"/>
        </w:rPr>
        <w:t xml:space="preserve">. ) un pamatlīdzekļu (saimniecības pamatlīdzekļu, datortehnikas un citas biroja tehnikas) iegādei </w:t>
      </w:r>
      <w:r w:rsidRPr="00C34B3D">
        <w:rPr>
          <w:sz w:val="26"/>
          <w:szCs w:val="26"/>
          <w:lang w:val="lv-LV"/>
        </w:rPr>
        <w:t>tiek apstiprināti tikai 37 643</w:t>
      </w:r>
      <w:r w:rsidR="00C37E29" w:rsidRPr="00C34B3D">
        <w:rPr>
          <w:sz w:val="26"/>
          <w:szCs w:val="26"/>
          <w:lang w:val="lv-LV"/>
        </w:rPr>
        <w:t xml:space="preserve"> </w:t>
      </w:r>
      <w:r w:rsidRPr="00C34B3D">
        <w:rPr>
          <w:sz w:val="26"/>
          <w:szCs w:val="26"/>
          <w:lang w:val="lv-LV"/>
        </w:rPr>
        <w:t>lati, jeb vidēji uz vienu prokuratūras stru</w:t>
      </w:r>
      <w:r w:rsidR="00C37E29" w:rsidRPr="00C34B3D">
        <w:rPr>
          <w:sz w:val="26"/>
          <w:szCs w:val="26"/>
          <w:lang w:val="lv-LV"/>
        </w:rPr>
        <w:t xml:space="preserve">ktūrvienību tikai 855 lati gadā. </w:t>
      </w:r>
      <w:r w:rsidRPr="00C34B3D">
        <w:rPr>
          <w:sz w:val="26"/>
          <w:szCs w:val="26"/>
          <w:lang w:val="lv-LV"/>
        </w:rPr>
        <w:t xml:space="preserve"> </w:t>
      </w:r>
      <w:r w:rsidR="00692C98">
        <w:rPr>
          <w:sz w:val="26"/>
          <w:szCs w:val="26"/>
          <w:lang w:val="lv-LV"/>
        </w:rPr>
        <w:t>Tādēļ</w:t>
      </w:r>
      <w:r w:rsidR="00C37E29" w:rsidRPr="00C34B3D">
        <w:rPr>
          <w:sz w:val="26"/>
          <w:szCs w:val="26"/>
          <w:lang w:val="lv-LV"/>
        </w:rPr>
        <w:t>, ar p</w:t>
      </w:r>
      <w:r w:rsidRPr="00C34B3D">
        <w:rPr>
          <w:sz w:val="26"/>
          <w:szCs w:val="26"/>
          <w:lang w:val="lv-LV"/>
        </w:rPr>
        <w:t>rokuratūrai piešķirtajiem finanšu līdzekļiem nav iespējams nodrošināt novecojušās datortehnikas nomaiņu</w:t>
      </w:r>
      <w:r w:rsidR="00692C98">
        <w:rPr>
          <w:sz w:val="26"/>
          <w:szCs w:val="26"/>
          <w:lang w:val="lv-LV"/>
        </w:rPr>
        <w:t>,</w:t>
      </w:r>
      <w:r w:rsidR="00C37E29" w:rsidRPr="00C34B3D">
        <w:rPr>
          <w:sz w:val="26"/>
          <w:szCs w:val="26"/>
          <w:lang w:val="lv-LV"/>
        </w:rPr>
        <w:t xml:space="preserve"> un prokuratūras attīstība vispār nav iespējama</w:t>
      </w:r>
      <w:r w:rsidRPr="00C34B3D">
        <w:rPr>
          <w:sz w:val="26"/>
          <w:szCs w:val="26"/>
          <w:lang w:val="lv-LV"/>
        </w:rPr>
        <w:t xml:space="preserve">. </w:t>
      </w:r>
    </w:p>
    <w:p w:rsidR="004C6917" w:rsidRPr="00C34B3D" w:rsidRDefault="0052128C" w:rsidP="0052128C">
      <w:pPr>
        <w:pStyle w:val="Style1"/>
        <w:rPr>
          <w:sz w:val="26"/>
          <w:szCs w:val="26"/>
          <w:lang w:val="lv-LV"/>
        </w:rPr>
      </w:pPr>
      <w:r w:rsidRPr="00C34B3D">
        <w:rPr>
          <w:sz w:val="26"/>
          <w:szCs w:val="26"/>
          <w:lang w:val="lv-LV"/>
        </w:rPr>
        <w:t xml:space="preserve">Šobrīd liela daļa </w:t>
      </w:r>
      <w:r w:rsidR="004E7468">
        <w:rPr>
          <w:sz w:val="26"/>
          <w:szCs w:val="26"/>
          <w:lang w:val="lv-LV"/>
        </w:rPr>
        <w:t>p</w:t>
      </w:r>
      <w:r w:rsidRPr="00C34B3D">
        <w:rPr>
          <w:sz w:val="26"/>
          <w:szCs w:val="26"/>
          <w:lang w:val="lv-LV"/>
        </w:rPr>
        <w:t>rokuratūras darbinieku lietošanā esoš</w:t>
      </w:r>
      <w:r w:rsidR="00692C98">
        <w:rPr>
          <w:sz w:val="26"/>
          <w:szCs w:val="26"/>
          <w:lang w:val="lv-LV"/>
        </w:rPr>
        <w:t>ie</w:t>
      </w:r>
      <w:r w:rsidRPr="00C34B3D">
        <w:rPr>
          <w:sz w:val="26"/>
          <w:szCs w:val="26"/>
          <w:lang w:val="lv-LV"/>
        </w:rPr>
        <w:t xml:space="preserve"> dator</w:t>
      </w:r>
      <w:r w:rsidR="00692C98">
        <w:rPr>
          <w:sz w:val="26"/>
          <w:szCs w:val="26"/>
          <w:lang w:val="lv-LV"/>
        </w:rPr>
        <w:t>i</w:t>
      </w:r>
      <w:r w:rsidRPr="00C34B3D">
        <w:rPr>
          <w:sz w:val="26"/>
          <w:szCs w:val="26"/>
          <w:lang w:val="lv-LV"/>
        </w:rPr>
        <w:t xml:space="preserve"> ir piecus vai vairāk gadus veci un nenodrošina prokuratūras darbam nepieciešamo informācijas sistēmu pilnvērtīgu izmantošanu. Datori, kas ražoti pirms pieciem vai vairāk gadiem, bieži bojājas, iziet no ierindas dažādas to komponentes, piemēram, barošanas bloki, cietie diski, optiskās ierīces, mātes plates un citas komponentes. Atsevišķas datortehnikas komponentes ir tādas, kuras mūsdienās nav iespējams aizvietot ar līdzvērtīgu jaunu komponenti, jo vecākas paaudzes komponentes, kuras atbilst novecojušiem un mūsdienās vairs neizmantotiem tehnoloģiskiem standartiem, vairs netiek ražotas, bet tās, kuras iespējams iegādāties pēc īpaša pasūtījuma, ir būtiski dārgākas par jaunās paaudzes komponentēm. Šādas novecojušas tehnikas remonts, izmantojot īpaši pasūtītas vecās paaudzes komponentes, ir ļoti dārgs un nelietderīgs</w:t>
      </w:r>
      <w:r w:rsidR="0094394F" w:rsidRPr="00C34B3D">
        <w:rPr>
          <w:sz w:val="26"/>
          <w:szCs w:val="26"/>
          <w:lang w:val="lv-LV"/>
        </w:rPr>
        <w:t>,</w:t>
      </w:r>
      <w:r w:rsidRPr="00C34B3D">
        <w:rPr>
          <w:sz w:val="26"/>
          <w:szCs w:val="26"/>
          <w:lang w:val="lv-LV"/>
        </w:rPr>
        <w:t xml:space="preserve"> īpaši ņemot vērā vecās paaudzes datortehnikas neatbilstību mūsdienu prasībām. Ar novecojušo tehniku, pat ja tā tiek uzturēta pastāvīgi labā stāvoklī, nav iespējams pilnvērtīgi izmantot jaunākās paaudzes programmnodrošinājumu, tai skaitā nav iespējams izmantot darba pienākumu veikšanai nepieciešamās informācijas sistēmas, kuras ir izstrādātas, balstoties uz pieņēmumu, ka lietotāju datortehnika būs atbilstoša mūsdienu prasībām. Tāpat uz vecās paaudzes datortehnikas nav iespējams izmantot tos programmatūras drošības risinājumus, kas mūsdienās ir nepieciešami, kā rezultātā, pēc datoru aprīkošanas ar visu nepieciešamo drošības programmatūru un darbam nepieciešamo programmatūras un tehnisko </w:t>
      </w:r>
      <w:proofErr w:type="spellStart"/>
      <w:r w:rsidRPr="00C34B3D">
        <w:rPr>
          <w:sz w:val="26"/>
          <w:szCs w:val="26"/>
          <w:lang w:val="lv-LV"/>
        </w:rPr>
        <w:t>papildaprīkojumu</w:t>
      </w:r>
      <w:proofErr w:type="spellEnd"/>
      <w:r w:rsidRPr="00C34B3D">
        <w:rPr>
          <w:sz w:val="26"/>
          <w:szCs w:val="26"/>
          <w:lang w:val="lv-LV"/>
        </w:rPr>
        <w:t>, vecās paaudzes datoru darbība tiek degradēta līdz prak</w:t>
      </w:r>
      <w:r w:rsidR="00C27EC7" w:rsidRPr="00C34B3D">
        <w:rPr>
          <w:sz w:val="26"/>
          <w:szCs w:val="26"/>
          <w:lang w:val="lv-LV"/>
        </w:rPr>
        <w:t>tiski nelietojamai pakāpei.</w:t>
      </w:r>
      <w:r w:rsidR="0094394F" w:rsidRPr="00C34B3D">
        <w:rPr>
          <w:sz w:val="26"/>
          <w:szCs w:val="26"/>
          <w:lang w:val="lv-LV"/>
        </w:rPr>
        <w:t xml:space="preserve"> </w:t>
      </w:r>
    </w:p>
    <w:p w:rsidR="003435E6" w:rsidRPr="00C34B3D" w:rsidRDefault="0094394F" w:rsidP="003435E6">
      <w:pPr>
        <w:pStyle w:val="Style1"/>
        <w:rPr>
          <w:sz w:val="26"/>
          <w:szCs w:val="26"/>
          <w:lang w:val="lv-LV"/>
        </w:rPr>
      </w:pPr>
      <w:r w:rsidRPr="00C34B3D">
        <w:rPr>
          <w:sz w:val="26"/>
          <w:szCs w:val="26"/>
          <w:lang w:val="lv-LV"/>
        </w:rPr>
        <w:lastRenderedPageBreak/>
        <w:t xml:space="preserve">Neveicot </w:t>
      </w:r>
      <w:r w:rsidR="00C27EC7" w:rsidRPr="00C34B3D">
        <w:rPr>
          <w:sz w:val="26"/>
          <w:szCs w:val="26"/>
          <w:lang w:val="lv-LV"/>
        </w:rPr>
        <w:t xml:space="preserve">regulāri </w:t>
      </w:r>
      <w:r w:rsidRPr="00C34B3D">
        <w:rPr>
          <w:sz w:val="26"/>
          <w:szCs w:val="26"/>
          <w:lang w:val="lv-LV"/>
        </w:rPr>
        <w:t xml:space="preserve">prokuratūras struktūrvienību lietošanā esošās datortehnikas pakāpenisku atjaunošanu, </w:t>
      </w:r>
      <w:r w:rsidR="00C27EC7" w:rsidRPr="00C34B3D">
        <w:rPr>
          <w:sz w:val="26"/>
          <w:szCs w:val="26"/>
          <w:lang w:val="lv-LV"/>
        </w:rPr>
        <w:t xml:space="preserve">prokuratūras darbinieku darba pienākumu izpilde tiek kavēta un prokuratūrai noteikto funkciju izpilde tiek apdraudēta. </w:t>
      </w:r>
    </w:p>
    <w:p w:rsidR="0052128C" w:rsidRPr="00C34B3D" w:rsidRDefault="0052128C" w:rsidP="004C6917">
      <w:pPr>
        <w:pStyle w:val="Style1"/>
        <w:rPr>
          <w:b/>
          <w:sz w:val="26"/>
          <w:szCs w:val="26"/>
          <w:lang w:val="lv-LV"/>
        </w:rPr>
      </w:pPr>
      <w:r w:rsidRPr="00C34B3D">
        <w:rPr>
          <w:b/>
          <w:sz w:val="26"/>
          <w:szCs w:val="26"/>
          <w:lang w:val="lv-LV"/>
        </w:rPr>
        <w:t>2. Risinājumi un finansējuma avoti</w:t>
      </w:r>
    </w:p>
    <w:p w:rsidR="001367DE" w:rsidRPr="00C34B3D" w:rsidRDefault="004C6917" w:rsidP="007D484F">
      <w:pPr>
        <w:pStyle w:val="Style1"/>
        <w:spacing w:before="0" w:beforeAutospacing="0" w:after="0" w:afterAutospacing="0"/>
        <w:rPr>
          <w:sz w:val="26"/>
          <w:szCs w:val="26"/>
          <w:lang w:val="lv-LV"/>
        </w:rPr>
      </w:pPr>
      <w:r w:rsidRPr="00C34B3D">
        <w:rPr>
          <w:sz w:val="26"/>
          <w:szCs w:val="26"/>
          <w:lang w:val="lv-LV"/>
        </w:rPr>
        <w:t xml:space="preserve">Lai nodrošinātu </w:t>
      </w:r>
      <w:r w:rsidR="004E7468">
        <w:rPr>
          <w:sz w:val="26"/>
          <w:szCs w:val="26"/>
          <w:lang w:val="lv-LV"/>
        </w:rPr>
        <w:t>p</w:t>
      </w:r>
      <w:r w:rsidRPr="00C34B3D">
        <w:rPr>
          <w:sz w:val="26"/>
          <w:szCs w:val="26"/>
          <w:lang w:val="lv-LV"/>
        </w:rPr>
        <w:t xml:space="preserve">rokuratūras darbiniekus ar darba pienākumu izpildei piemērotu datortehniku, </w:t>
      </w:r>
      <w:r w:rsidRPr="00C34B3D">
        <w:rPr>
          <w:b/>
          <w:sz w:val="26"/>
          <w:szCs w:val="26"/>
          <w:lang w:val="lv-LV"/>
        </w:rPr>
        <w:t xml:space="preserve">2013.gadā </w:t>
      </w:r>
      <w:r w:rsidR="004E7468">
        <w:rPr>
          <w:b/>
          <w:sz w:val="26"/>
          <w:szCs w:val="26"/>
          <w:lang w:val="lv-LV"/>
        </w:rPr>
        <w:t>p</w:t>
      </w:r>
      <w:r w:rsidRPr="00C34B3D">
        <w:rPr>
          <w:b/>
          <w:sz w:val="26"/>
          <w:szCs w:val="26"/>
          <w:lang w:val="lv-LV"/>
        </w:rPr>
        <w:t>rokuratūrai neatliekami jāveic vismaz 115 novecojušu un nolietojušos datortehnikas komplektu nomaiņa pret jauniem, kopsummā par 97 750 latiem</w:t>
      </w:r>
      <w:r w:rsidR="001367DE" w:rsidRPr="00C34B3D">
        <w:rPr>
          <w:sz w:val="26"/>
          <w:szCs w:val="26"/>
          <w:lang w:val="lv-LV"/>
        </w:rPr>
        <w:t>.</w:t>
      </w:r>
    </w:p>
    <w:p w:rsidR="00BA6F99" w:rsidRPr="00C34B3D" w:rsidRDefault="00BA6F99" w:rsidP="00C63986">
      <w:pPr>
        <w:ind w:firstLine="720"/>
        <w:jc w:val="both"/>
        <w:rPr>
          <w:i/>
          <w:sz w:val="26"/>
          <w:szCs w:val="26"/>
        </w:rPr>
      </w:pPr>
      <w:r w:rsidRPr="00C34B3D">
        <w:rPr>
          <w:i/>
          <w:sz w:val="26"/>
          <w:szCs w:val="26"/>
        </w:rPr>
        <w:t>Aprēķins:</w:t>
      </w:r>
    </w:p>
    <w:p w:rsidR="00BA6F99" w:rsidRPr="00C34B3D" w:rsidRDefault="00BA6F99" w:rsidP="00C63986">
      <w:pPr>
        <w:ind w:firstLine="720"/>
        <w:jc w:val="both"/>
        <w:rPr>
          <w:sz w:val="26"/>
          <w:szCs w:val="26"/>
        </w:rPr>
      </w:pPr>
      <w:r w:rsidRPr="00C34B3D">
        <w:rPr>
          <w:sz w:val="26"/>
          <w:szCs w:val="26"/>
        </w:rPr>
        <w:t xml:space="preserve">Atbilstoši pašreizējai tirgus situācijai viena </w:t>
      </w:r>
      <w:proofErr w:type="spellStart"/>
      <w:r w:rsidRPr="00C34B3D">
        <w:rPr>
          <w:sz w:val="26"/>
          <w:szCs w:val="26"/>
        </w:rPr>
        <w:t>datorkomplekta</w:t>
      </w:r>
      <w:proofErr w:type="spellEnd"/>
      <w:r w:rsidRPr="00C34B3D">
        <w:rPr>
          <w:sz w:val="26"/>
          <w:szCs w:val="26"/>
        </w:rPr>
        <w:t xml:space="preserve"> cena, ieskaitot </w:t>
      </w:r>
      <w:proofErr w:type="spellStart"/>
      <w:r w:rsidRPr="00C34B3D">
        <w:rPr>
          <w:sz w:val="26"/>
          <w:szCs w:val="26"/>
        </w:rPr>
        <w:t>sistēmbloku</w:t>
      </w:r>
      <w:proofErr w:type="spellEnd"/>
      <w:r w:rsidRPr="00C34B3D">
        <w:rPr>
          <w:sz w:val="26"/>
          <w:szCs w:val="26"/>
        </w:rPr>
        <w:t>, monitoru, operētājsistēmu, ofisa un antivīrusa programmatūru ir 850 Ls (ar PVN).</w:t>
      </w:r>
    </w:p>
    <w:p w:rsidR="00BA6F99" w:rsidRPr="00C34B3D" w:rsidRDefault="00BA6F99" w:rsidP="00C63986">
      <w:pPr>
        <w:ind w:firstLine="720"/>
        <w:jc w:val="both"/>
        <w:rPr>
          <w:sz w:val="26"/>
          <w:szCs w:val="26"/>
        </w:rPr>
      </w:pPr>
      <w:r w:rsidRPr="00C34B3D">
        <w:rPr>
          <w:sz w:val="26"/>
          <w:szCs w:val="26"/>
        </w:rPr>
        <w:t xml:space="preserve">115 </w:t>
      </w:r>
      <w:proofErr w:type="spellStart"/>
      <w:r w:rsidRPr="00C34B3D">
        <w:rPr>
          <w:sz w:val="26"/>
          <w:szCs w:val="26"/>
        </w:rPr>
        <w:t>datorkomplekti</w:t>
      </w:r>
      <w:proofErr w:type="spellEnd"/>
      <w:r w:rsidRPr="00C34B3D">
        <w:rPr>
          <w:sz w:val="26"/>
          <w:szCs w:val="26"/>
        </w:rPr>
        <w:t xml:space="preserve"> x 850 Ls = 97 750 Ls (ar PVN).</w:t>
      </w:r>
    </w:p>
    <w:p w:rsidR="004C6917" w:rsidRPr="00C34B3D" w:rsidRDefault="004C6917" w:rsidP="007D484F">
      <w:pPr>
        <w:pStyle w:val="Style1"/>
        <w:spacing w:before="0" w:beforeAutospacing="0" w:after="0" w:afterAutospacing="0"/>
        <w:rPr>
          <w:sz w:val="26"/>
          <w:szCs w:val="26"/>
          <w:lang w:val="lv-LV"/>
        </w:rPr>
      </w:pPr>
      <w:r w:rsidRPr="00C34B3D">
        <w:rPr>
          <w:sz w:val="26"/>
          <w:szCs w:val="26"/>
          <w:lang w:val="lv-LV"/>
        </w:rPr>
        <w:t xml:space="preserve">Piešķirtā valsts budžeta finansējuma ietvaros veikt nepieciešamo datortehnikas komplektu iegādi </w:t>
      </w:r>
      <w:r w:rsidR="004E7468">
        <w:rPr>
          <w:sz w:val="26"/>
          <w:szCs w:val="26"/>
          <w:lang w:val="lv-LV"/>
        </w:rPr>
        <w:t>p</w:t>
      </w:r>
      <w:r w:rsidRPr="00C34B3D">
        <w:rPr>
          <w:sz w:val="26"/>
          <w:szCs w:val="26"/>
          <w:lang w:val="lv-LV"/>
        </w:rPr>
        <w:t xml:space="preserve">rokuratūrai nav iespējams. </w:t>
      </w:r>
    </w:p>
    <w:p w:rsidR="004C6917" w:rsidRPr="00C34B3D" w:rsidRDefault="004C6917" w:rsidP="007D484F">
      <w:pPr>
        <w:pStyle w:val="Style1"/>
        <w:spacing w:before="0" w:beforeAutospacing="0" w:after="0" w:afterAutospacing="0"/>
        <w:rPr>
          <w:sz w:val="26"/>
          <w:szCs w:val="26"/>
          <w:lang w:val="lv-LV"/>
        </w:rPr>
      </w:pPr>
      <w:r w:rsidRPr="00C34B3D">
        <w:rPr>
          <w:sz w:val="26"/>
          <w:szCs w:val="26"/>
          <w:lang w:val="lv-LV"/>
        </w:rPr>
        <w:t>Ņemot vērā</w:t>
      </w:r>
      <w:r w:rsidR="00D61F2C" w:rsidRPr="00C34B3D">
        <w:rPr>
          <w:sz w:val="26"/>
          <w:szCs w:val="26"/>
          <w:lang w:val="lv-LV"/>
        </w:rPr>
        <w:t>, ka prokuratūra nesniedz maksas pakalpojumus un tai nav pašu ieņēmumu, prokuratūra</w:t>
      </w:r>
      <w:r w:rsidR="00A004AF" w:rsidRPr="00C34B3D">
        <w:rPr>
          <w:sz w:val="26"/>
          <w:szCs w:val="26"/>
          <w:lang w:val="lv-LV"/>
        </w:rPr>
        <w:t>i ir nepieciešams</w:t>
      </w:r>
      <w:r w:rsidR="00D61F2C" w:rsidRPr="00C34B3D">
        <w:rPr>
          <w:sz w:val="26"/>
          <w:szCs w:val="26"/>
          <w:lang w:val="lv-LV"/>
        </w:rPr>
        <w:t xml:space="preserve"> </w:t>
      </w:r>
      <w:r w:rsidR="00A004AF" w:rsidRPr="00C34B3D">
        <w:rPr>
          <w:sz w:val="26"/>
          <w:szCs w:val="26"/>
          <w:lang w:val="lv-LV"/>
        </w:rPr>
        <w:t>papildu finansējums</w:t>
      </w:r>
      <w:r w:rsidRPr="00C34B3D">
        <w:rPr>
          <w:sz w:val="26"/>
          <w:szCs w:val="26"/>
          <w:lang w:val="lv-LV"/>
        </w:rPr>
        <w:t xml:space="preserve"> no valsts budžeta</w:t>
      </w:r>
      <w:r w:rsidR="00D61F2C" w:rsidRPr="00C34B3D">
        <w:rPr>
          <w:sz w:val="26"/>
          <w:szCs w:val="26"/>
          <w:lang w:val="lv-LV"/>
        </w:rPr>
        <w:t xml:space="preserve"> līdzekļiem</w:t>
      </w:r>
      <w:r w:rsidRPr="00C34B3D">
        <w:rPr>
          <w:sz w:val="26"/>
          <w:szCs w:val="26"/>
          <w:lang w:val="lv-LV"/>
        </w:rPr>
        <w:t xml:space="preserve"> 115 datortehnikas komplektu iegādei, kopsummā par</w:t>
      </w:r>
      <w:r w:rsidR="00692C98">
        <w:rPr>
          <w:sz w:val="26"/>
          <w:szCs w:val="26"/>
          <w:lang w:val="lv-LV"/>
        </w:rPr>
        <w:t xml:space="preserve"> </w:t>
      </w:r>
      <w:r w:rsidRPr="00C34B3D">
        <w:rPr>
          <w:sz w:val="26"/>
          <w:szCs w:val="26"/>
          <w:lang w:val="lv-LV"/>
        </w:rPr>
        <w:t>97 750 latiem –</w:t>
      </w:r>
      <w:r w:rsidR="00D61F2C" w:rsidRPr="00C34B3D">
        <w:rPr>
          <w:sz w:val="26"/>
          <w:szCs w:val="26"/>
          <w:lang w:val="lv-LV"/>
        </w:rPr>
        <w:t xml:space="preserve"> </w:t>
      </w:r>
      <w:r w:rsidRPr="00C34B3D">
        <w:rPr>
          <w:sz w:val="26"/>
          <w:szCs w:val="26"/>
          <w:lang w:val="lv-LV"/>
        </w:rPr>
        <w:t xml:space="preserve">prokuratūras struktūrvienību tehnoloģiskā aprīkojuma daļējai atjaunošanai. </w:t>
      </w:r>
    </w:p>
    <w:p w:rsidR="007D484F" w:rsidRDefault="007D484F" w:rsidP="007D484F">
      <w:pPr>
        <w:pStyle w:val="Style1"/>
        <w:spacing w:before="0" w:beforeAutospacing="0" w:after="0" w:afterAutospacing="0"/>
        <w:ind w:firstLine="0"/>
        <w:rPr>
          <w:sz w:val="26"/>
          <w:szCs w:val="26"/>
          <w:lang w:val="lv-LV"/>
        </w:rPr>
      </w:pPr>
    </w:p>
    <w:p w:rsidR="00CF1681" w:rsidRPr="00C34B3D" w:rsidRDefault="00CF1681" w:rsidP="00C63986">
      <w:pPr>
        <w:pStyle w:val="Style1"/>
        <w:tabs>
          <w:tab w:val="right" w:pos="9072"/>
        </w:tabs>
        <w:spacing w:before="0" w:beforeAutospacing="0" w:after="0" w:afterAutospacing="0"/>
        <w:ind w:firstLine="0"/>
        <w:rPr>
          <w:sz w:val="26"/>
          <w:szCs w:val="26"/>
          <w:lang w:val="lv-LV"/>
        </w:rPr>
      </w:pPr>
      <w:r w:rsidRPr="00C34B3D">
        <w:rPr>
          <w:sz w:val="26"/>
          <w:szCs w:val="26"/>
          <w:lang w:val="lv-LV"/>
        </w:rPr>
        <w:t>Tieslietu ministr</w:t>
      </w:r>
      <w:r w:rsidR="00692C98">
        <w:rPr>
          <w:sz w:val="26"/>
          <w:szCs w:val="26"/>
          <w:lang w:val="lv-LV"/>
        </w:rPr>
        <w:t>s</w:t>
      </w:r>
      <w:r w:rsidR="00C63986">
        <w:rPr>
          <w:sz w:val="26"/>
          <w:szCs w:val="26"/>
          <w:lang w:val="lv-LV"/>
        </w:rPr>
        <w:tab/>
      </w:r>
      <w:proofErr w:type="spellStart"/>
      <w:r w:rsidR="00692C98">
        <w:rPr>
          <w:sz w:val="26"/>
          <w:szCs w:val="26"/>
          <w:lang w:val="lv-LV"/>
        </w:rPr>
        <w:t>J.Bordāns</w:t>
      </w:r>
      <w:proofErr w:type="spellEnd"/>
    </w:p>
    <w:p w:rsidR="007D484F" w:rsidRDefault="007D484F" w:rsidP="007D484F">
      <w:pPr>
        <w:pStyle w:val="naisf"/>
        <w:tabs>
          <w:tab w:val="right" w:pos="9356"/>
        </w:tabs>
        <w:spacing w:before="0" w:after="0"/>
        <w:ind w:firstLine="0"/>
        <w:rPr>
          <w:sz w:val="20"/>
          <w:szCs w:val="20"/>
        </w:rPr>
      </w:pPr>
    </w:p>
    <w:p w:rsidR="007D484F" w:rsidRDefault="007D484F" w:rsidP="007D484F">
      <w:pPr>
        <w:pStyle w:val="naisf"/>
        <w:tabs>
          <w:tab w:val="right" w:pos="9356"/>
        </w:tabs>
        <w:spacing w:before="0" w:after="0"/>
        <w:ind w:firstLine="0"/>
        <w:rPr>
          <w:sz w:val="20"/>
          <w:szCs w:val="20"/>
        </w:rPr>
      </w:pPr>
    </w:p>
    <w:p w:rsidR="007D484F" w:rsidRDefault="007D484F" w:rsidP="007D484F">
      <w:pPr>
        <w:pStyle w:val="naisf"/>
        <w:tabs>
          <w:tab w:val="right" w:pos="9356"/>
        </w:tabs>
        <w:spacing w:before="0" w:after="0"/>
        <w:ind w:firstLine="0"/>
        <w:rPr>
          <w:sz w:val="20"/>
          <w:szCs w:val="20"/>
        </w:rPr>
      </w:pPr>
    </w:p>
    <w:p w:rsidR="007D484F" w:rsidRPr="00C716F2" w:rsidRDefault="003713D6" w:rsidP="007D484F">
      <w:pPr>
        <w:pStyle w:val="naisf"/>
        <w:tabs>
          <w:tab w:val="right" w:pos="9356"/>
        </w:tabs>
        <w:spacing w:before="0" w:after="0"/>
        <w:ind w:firstLine="0"/>
        <w:rPr>
          <w:sz w:val="20"/>
          <w:szCs w:val="20"/>
        </w:rPr>
      </w:pPr>
      <w:r>
        <w:rPr>
          <w:sz w:val="20"/>
          <w:szCs w:val="20"/>
        </w:rPr>
        <w:t>30</w:t>
      </w:r>
      <w:r w:rsidR="007D484F">
        <w:rPr>
          <w:sz w:val="20"/>
          <w:szCs w:val="20"/>
        </w:rPr>
        <w:t>.08.2013. 09:00</w:t>
      </w:r>
    </w:p>
    <w:p w:rsidR="007D484F" w:rsidRPr="00C716F2" w:rsidRDefault="009D7277" w:rsidP="007D484F">
      <w:pPr>
        <w:pStyle w:val="naisf"/>
        <w:tabs>
          <w:tab w:val="right" w:pos="9356"/>
        </w:tabs>
        <w:spacing w:before="0" w:after="0"/>
        <w:ind w:firstLine="0"/>
        <w:rPr>
          <w:sz w:val="20"/>
          <w:szCs w:val="20"/>
        </w:rPr>
      </w:pPr>
      <w:r>
        <w:rPr>
          <w:sz w:val="20"/>
          <w:szCs w:val="20"/>
        </w:rPr>
        <w:t>61</w:t>
      </w:r>
      <w:r w:rsidR="00C63986">
        <w:rPr>
          <w:sz w:val="20"/>
          <w:szCs w:val="20"/>
        </w:rPr>
        <w:t>4</w:t>
      </w:r>
    </w:p>
    <w:p w:rsidR="007D484F" w:rsidRPr="00C716F2" w:rsidRDefault="007D484F" w:rsidP="007D484F">
      <w:pPr>
        <w:pStyle w:val="naisf"/>
        <w:tabs>
          <w:tab w:val="right" w:pos="9356"/>
        </w:tabs>
        <w:spacing w:before="0" w:after="0"/>
        <w:ind w:firstLine="0"/>
        <w:rPr>
          <w:sz w:val="20"/>
          <w:szCs w:val="20"/>
        </w:rPr>
      </w:pPr>
      <w:proofErr w:type="spellStart"/>
      <w:r w:rsidRPr="00C716F2">
        <w:rPr>
          <w:sz w:val="20"/>
          <w:szCs w:val="20"/>
        </w:rPr>
        <w:t>Rēķis</w:t>
      </w:r>
      <w:proofErr w:type="spellEnd"/>
    </w:p>
    <w:p w:rsidR="007D484F" w:rsidRPr="00C716F2" w:rsidRDefault="007D484F" w:rsidP="007D484F">
      <w:pPr>
        <w:pStyle w:val="naisf"/>
        <w:tabs>
          <w:tab w:val="right" w:pos="9356"/>
        </w:tabs>
        <w:spacing w:before="0" w:after="0"/>
        <w:ind w:firstLine="0"/>
        <w:rPr>
          <w:sz w:val="20"/>
          <w:szCs w:val="20"/>
        </w:rPr>
      </w:pPr>
      <w:r w:rsidRPr="00C716F2">
        <w:rPr>
          <w:sz w:val="20"/>
          <w:szCs w:val="20"/>
        </w:rPr>
        <w:t>67</w:t>
      </w:r>
      <w:r>
        <w:rPr>
          <w:sz w:val="20"/>
          <w:szCs w:val="20"/>
        </w:rPr>
        <w:t>036752, Eriks</w:t>
      </w:r>
      <w:r w:rsidRPr="00C716F2">
        <w:rPr>
          <w:sz w:val="20"/>
          <w:szCs w:val="20"/>
        </w:rPr>
        <w:t>.Rekis@tm.gov.lv</w:t>
      </w:r>
      <w:bookmarkStart w:id="0" w:name="_GoBack"/>
      <w:bookmarkEnd w:id="0"/>
    </w:p>
    <w:sectPr w:rsidR="007D484F" w:rsidRPr="00C716F2" w:rsidSect="00C63986">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C7" w:rsidRDefault="00F576C7" w:rsidP="00F576C7">
      <w:r>
        <w:separator/>
      </w:r>
    </w:p>
  </w:endnote>
  <w:endnote w:type="continuationSeparator" w:id="0">
    <w:p w:rsidR="00F576C7" w:rsidRDefault="00F576C7" w:rsidP="00F5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C7" w:rsidRDefault="00C63986" w:rsidP="00F576C7">
    <w:pPr>
      <w:jc w:val="both"/>
    </w:pPr>
    <w:fldSimple w:instr=" FILENAME   \* MERGEFORMAT ">
      <w:r w:rsidR="00F576C7">
        <w:rPr>
          <w:noProof/>
        </w:rPr>
        <w:t>TM</w:t>
      </w:r>
      <w:r w:rsidR="00692C98">
        <w:rPr>
          <w:noProof/>
        </w:rPr>
        <w:t>Z</w:t>
      </w:r>
      <w:r w:rsidR="00F576C7">
        <w:rPr>
          <w:noProof/>
        </w:rPr>
        <w:t>in</w:t>
      </w:r>
      <w:r w:rsidR="00692C98">
        <w:rPr>
          <w:noProof/>
        </w:rPr>
        <w:t>o</w:t>
      </w:r>
      <w:r w:rsidR="00F576C7">
        <w:rPr>
          <w:noProof/>
        </w:rPr>
        <w:t>_290813_GP_dator</w:t>
      </w:r>
    </w:fldSimple>
    <w:r w:rsidR="00F576C7">
      <w:t xml:space="preserve">; </w:t>
    </w:r>
    <w:r w:rsidR="00692C98">
      <w:rPr>
        <w:noProof/>
      </w:rPr>
      <w:t>I</w:t>
    </w:r>
    <w:r w:rsidR="00F576C7">
      <w:rPr>
        <w:noProof/>
      </w:rPr>
      <w:t>nformatīvais ziņojums „</w:t>
    </w:r>
    <w:r w:rsidR="00F576C7" w:rsidRPr="00F576C7">
      <w:rPr>
        <w:noProof/>
      </w:rPr>
      <w:t>Par prokuratūras struktūrvienību tehnoloģiskā aprīkojuma stāvokli un iespējamu risinājumu tā uzlabošanai</w:t>
    </w:r>
    <w:r w:rsidR="00F576C7">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C7" w:rsidRDefault="00F576C7" w:rsidP="00F576C7">
      <w:r>
        <w:separator/>
      </w:r>
    </w:p>
  </w:footnote>
  <w:footnote w:type="continuationSeparator" w:id="0">
    <w:p w:rsidR="00F576C7" w:rsidRDefault="00F576C7" w:rsidP="00F5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A6997"/>
    <w:multiLevelType w:val="hybridMultilevel"/>
    <w:tmpl w:val="F3CC9178"/>
    <w:lvl w:ilvl="0" w:tplc="136A143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11"/>
    <w:rsid w:val="000023B4"/>
    <w:rsid w:val="00006957"/>
    <w:rsid w:val="0000740E"/>
    <w:rsid w:val="00012922"/>
    <w:rsid w:val="00015E51"/>
    <w:rsid w:val="0002302A"/>
    <w:rsid w:val="00025CB9"/>
    <w:rsid w:val="000361B6"/>
    <w:rsid w:val="0005049F"/>
    <w:rsid w:val="000504C8"/>
    <w:rsid w:val="00051BF7"/>
    <w:rsid w:val="00061C31"/>
    <w:rsid w:val="00062B0E"/>
    <w:rsid w:val="000653ED"/>
    <w:rsid w:val="0007086C"/>
    <w:rsid w:val="00076CB0"/>
    <w:rsid w:val="00077460"/>
    <w:rsid w:val="0008405B"/>
    <w:rsid w:val="00092BBE"/>
    <w:rsid w:val="00094BA4"/>
    <w:rsid w:val="00095555"/>
    <w:rsid w:val="000A5F4B"/>
    <w:rsid w:val="000B178B"/>
    <w:rsid w:val="000B2C40"/>
    <w:rsid w:val="000B2F24"/>
    <w:rsid w:val="000C7CEA"/>
    <w:rsid w:val="000D1E90"/>
    <w:rsid w:val="000E3B73"/>
    <w:rsid w:val="000E7BF4"/>
    <w:rsid w:val="001120B7"/>
    <w:rsid w:val="00121A47"/>
    <w:rsid w:val="00126643"/>
    <w:rsid w:val="001313A6"/>
    <w:rsid w:val="001367DE"/>
    <w:rsid w:val="0014619D"/>
    <w:rsid w:val="0015753E"/>
    <w:rsid w:val="00165FCB"/>
    <w:rsid w:val="001817FA"/>
    <w:rsid w:val="00182579"/>
    <w:rsid w:val="00190AE0"/>
    <w:rsid w:val="00194C6F"/>
    <w:rsid w:val="00196638"/>
    <w:rsid w:val="0019714F"/>
    <w:rsid w:val="001A39EC"/>
    <w:rsid w:val="001C2C6C"/>
    <w:rsid w:val="001C44DD"/>
    <w:rsid w:val="001C7633"/>
    <w:rsid w:val="001D62C6"/>
    <w:rsid w:val="001D6AC1"/>
    <w:rsid w:val="001E7499"/>
    <w:rsid w:val="001F18C6"/>
    <w:rsid w:val="001F3918"/>
    <w:rsid w:val="001F44FA"/>
    <w:rsid w:val="001F7FB3"/>
    <w:rsid w:val="00216D4F"/>
    <w:rsid w:val="00221EF8"/>
    <w:rsid w:val="00224BD0"/>
    <w:rsid w:val="00233108"/>
    <w:rsid w:val="0023679D"/>
    <w:rsid w:val="00246FD4"/>
    <w:rsid w:val="0025011E"/>
    <w:rsid w:val="00252E46"/>
    <w:rsid w:val="002556B1"/>
    <w:rsid w:val="00270EC7"/>
    <w:rsid w:val="00274C93"/>
    <w:rsid w:val="00276C82"/>
    <w:rsid w:val="002865E6"/>
    <w:rsid w:val="002947C5"/>
    <w:rsid w:val="00294D0B"/>
    <w:rsid w:val="00297E14"/>
    <w:rsid w:val="002A664A"/>
    <w:rsid w:val="002C3012"/>
    <w:rsid w:val="002D1577"/>
    <w:rsid w:val="0030502F"/>
    <w:rsid w:val="0030657D"/>
    <w:rsid w:val="003107DA"/>
    <w:rsid w:val="00313EEE"/>
    <w:rsid w:val="0032030F"/>
    <w:rsid w:val="00325A5C"/>
    <w:rsid w:val="003435E6"/>
    <w:rsid w:val="003450ED"/>
    <w:rsid w:val="0035292E"/>
    <w:rsid w:val="00360366"/>
    <w:rsid w:val="0036114D"/>
    <w:rsid w:val="00363678"/>
    <w:rsid w:val="003713D6"/>
    <w:rsid w:val="00384AC6"/>
    <w:rsid w:val="003942E5"/>
    <w:rsid w:val="0039445E"/>
    <w:rsid w:val="00394A02"/>
    <w:rsid w:val="0039548F"/>
    <w:rsid w:val="003B45DE"/>
    <w:rsid w:val="003B4C37"/>
    <w:rsid w:val="003C14ED"/>
    <w:rsid w:val="003C6361"/>
    <w:rsid w:val="003D6B84"/>
    <w:rsid w:val="003E4EDE"/>
    <w:rsid w:val="003E6664"/>
    <w:rsid w:val="003E6ACB"/>
    <w:rsid w:val="003F46DF"/>
    <w:rsid w:val="00422B93"/>
    <w:rsid w:val="00425C72"/>
    <w:rsid w:val="00426149"/>
    <w:rsid w:val="00427B3B"/>
    <w:rsid w:val="00430C82"/>
    <w:rsid w:val="00441E17"/>
    <w:rsid w:val="00447DE0"/>
    <w:rsid w:val="00451304"/>
    <w:rsid w:val="0047049C"/>
    <w:rsid w:val="004753D4"/>
    <w:rsid w:val="004805F5"/>
    <w:rsid w:val="00481D69"/>
    <w:rsid w:val="00482157"/>
    <w:rsid w:val="004938C5"/>
    <w:rsid w:val="00495BFC"/>
    <w:rsid w:val="004A2CE4"/>
    <w:rsid w:val="004A3EED"/>
    <w:rsid w:val="004A4A44"/>
    <w:rsid w:val="004B1648"/>
    <w:rsid w:val="004B5514"/>
    <w:rsid w:val="004C6917"/>
    <w:rsid w:val="004D0847"/>
    <w:rsid w:val="004E0BB5"/>
    <w:rsid w:val="004E315C"/>
    <w:rsid w:val="004E7468"/>
    <w:rsid w:val="004F1055"/>
    <w:rsid w:val="004F63D8"/>
    <w:rsid w:val="005108AF"/>
    <w:rsid w:val="005129DF"/>
    <w:rsid w:val="0052128C"/>
    <w:rsid w:val="00532F02"/>
    <w:rsid w:val="00543D5B"/>
    <w:rsid w:val="00550439"/>
    <w:rsid w:val="00556F52"/>
    <w:rsid w:val="005678D6"/>
    <w:rsid w:val="005769DC"/>
    <w:rsid w:val="00582921"/>
    <w:rsid w:val="00594D6A"/>
    <w:rsid w:val="005A2665"/>
    <w:rsid w:val="005A3358"/>
    <w:rsid w:val="005A4750"/>
    <w:rsid w:val="005B2D9E"/>
    <w:rsid w:val="005D2480"/>
    <w:rsid w:val="005E539D"/>
    <w:rsid w:val="00605054"/>
    <w:rsid w:val="00614A94"/>
    <w:rsid w:val="006172BA"/>
    <w:rsid w:val="00624421"/>
    <w:rsid w:val="00627DCE"/>
    <w:rsid w:val="0063143B"/>
    <w:rsid w:val="006341C8"/>
    <w:rsid w:val="00641509"/>
    <w:rsid w:val="00644E0F"/>
    <w:rsid w:val="0064521F"/>
    <w:rsid w:val="00645241"/>
    <w:rsid w:val="00655326"/>
    <w:rsid w:val="00667FD1"/>
    <w:rsid w:val="00681FE2"/>
    <w:rsid w:val="006848A4"/>
    <w:rsid w:val="00692C98"/>
    <w:rsid w:val="00692F92"/>
    <w:rsid w:val="006934A7"/>
    <w:rsid w:val="00695C8F"/>
    <w:rsid w:val="006A704E"/>
    <w:rsid w:val="006A7EDB"/>
    <w:rsid w:val="006C2D9A"/>
    <w:rsid w:val="006C4986"/>
    <w:rsid w:val="00700662"/>
    <w:rsid w:val="00703EC3"/>
    <w:rsid w:val="00707D5B"/>
    <w:rsid w:val="0071069C"/>
    <w:rsid w:val="00713741"/>
    <w:rsid w:val="007151B1"/>
    <w:rsid w:val="007165D2"/>
    <w:rsid w:val="007166DC"/>
    <w:rsid w:val="0072100E"/>
    <w:rsid w:val="007220FC"/>
    <w:rsid w:val="007479A6"/>
    <w:rsid w:val="0075467E"/>
    <w:rsid w:val="00757A98"/>
    <w:rsid w:val="0076314E"/>
    <w:rsid w:val="00773E85"/>
    <w:rsid w:val="00776B96"/>
    <w:rsid w:val="007772AA"/>
    <w:rsid w:val="007877E1"/>
    <w:rsid w:val="00795238"/>
    <w:rsid w:val="00795272"/>
    <w:rsid w:val="00795AEC"/>
    <w:rsid w:val="0079734C"/>
    <w:rsid w:val="007A67A0"/>
    <w:rsid w:val="007B11CA"/>
    <w:rsid w:val="007B417E"/>
    <w:rsid w:val="007B764F"/>
    <w:rsid w:val="007C5730"/>
    <w:rsid w:val="007C70C3"/>
    <w:rsid w:val="007C7E87"/>
    <w:rsid w:val="007D484F"/>
    <w:rsid w:val="007D55ED"/>
    <w:rsid w:val="007F52D1"/>
    <w:rsid w:val="0082144C"/>
    <w:rsid w:val="00823CE5"/>
    <w:rsid w:val="0083085D"/>
    <w:rsid w:val="00833B2D"/>
    <w:rsid w:val="0084747F"/>
    <w:rsid w:val="0087049C"/>
    <w:rsid w:val="0087494B"/>
    <w:rsid w:val="0087742C"/>
    <w:rsid w:val="0089143B"/>
    <w:rsid w:val="00891B75"/>
    <w:rsid w:val="008A0074"/>
    <w:rsid w:val="008A7AA0"/>
    <w:rsid w:val="008B733D"/>
    <w:rsid w:val="008C195C"/>
    <w:rsid w:val="008C3E63"/>
    <w:rsid w:val="008C43EB"/>
    <w:rsid w:val="008D37AB"/>
    <w:rsid w:val="008F69FE"/>
    <w:rsid w:val="00900959"/>
    <w:rsid w:val="009042D2"/>
    <w:rsid w:val="00906B1F"/>
    <w:rsid w:val="00913E2B"/>
    <w:rsid w:val="009201A2"/>
    <w:rsid w:val="0092704C"/>
    <w:rsid w:val="00935223"/>
    <w:rsid w:val="00940D50"/>
    <w:rsid w:val="00942F12"/>
    <w:rsid w:val="0094394F"/>
    <w:rsid w:val="00943EDA"/>
    <w:rsid w:val="00945D32"/>
    <w:rsid w:val="009519B8"/>
    <w:rsid w:val="00960D77"/>
    <w:rsid w:val="0096421E"/>
    <w:rsid w:val="009650E0"/>
    <w:rsid w:val="00972D8A"/>
    <w:rsid w:val="00974E50"/>
    <w:rsid w:val="009830DC"/>
    <w:rsid w:val="009A10A9"/>
    <w:rsid w:val="009A1C8C"/>
    <w:rsid w:val="009B04FA"/>
    <w:rsid w:val="009B1AA7"/>
    <w:rsid w:val="009B51DC"/>
    <w:rsid w:val="009B64DF"/>
    <w:rsid w:val="009C28E1"/>
    <w:rsid w:val="009C2D91"/>
    <w:rsid w:val="009C3E99"/>
    <w:rsid w:val="009D098D"/>
    <w:rsid w:val="009D7277"/>
    <w:rsid w:val="009F1F1B"/>
    <w:rsid w:val="00A004AF"/>
    <w:rsid w:val="00A056E0"/>
    <w:rsid w:val="00A14B27"/>
    <w:rsid w:val="00A15850"/>
    <w:rsid w:val="00A17DBD"/>
    <w:rsid w:val="00A26AC9"/>
    <w:rsid w:val="00A2735C"/>
    <w:rsid w:val="00A30363"/>
    <w:rsid w:val="00A525E0"/>
    <w:rsid w:val="00A54573"/>
    <w:rsid w:val="00A54644"/>
    <w:rsid w:val="00A61661"/>
    <w:rsid w:val="00A61E17"/>
    <w:rsid w:val="00A65005"/>
    <w:rsid w:val="00A72034"/>
    <w:rsid w:val="00A73B10"/>
    <w:rsid w:val="00A74FDD"/>
    <w:rsid w:val="00A761FC"/>
    <w:rsid w:val="00A76CD6"/>
    <w:rsid w:val="00A773FC"/>
    <w:rsid w:val="00A870B7"/>
    <w:rsid w:val="00A94498"/>
    <w:rsid w:val="00AA12B2"/>
    <w:rsid w:val="00AA5E21"/>
    <w:rsid w:val="00AA6CD3"/>
    <w:rsid w:val="00AA6D76"/>
    <w:rsid w:val="00AB0FBC"/>
    <w:rsid w:val="00AB3909"/>
    <w:rsid w:val="00AC6931"/>
    <w:rsid w:val="00AD35A4"/>
    <w:rsid w:val="00AD5485"/>
    <w:rsid w:val="00AE01C8"/>
    <w:rsid w:val="00B05E78"/>
    <w:rsid w:val="00B0610F"/>
    <w:rsid w:val="00B26A07"/>
    <w:rsid w:val="00B315BC"/>
    <w:rsid w:val="00B330D9"/>
    <w:rsid w:val="00B52840"/>
    <w:rsid w:val="00B546CA"/>
    <w:rsid w:val="00B957D1"/>
    <w:rsid w:val="00BA0724"/>
    <w:rsid w:val="00BA6F99"/>
    <w:rsid w:val="00BC0E7D"/>
    <w:rsid w:val="00BC1FB0"/>
    <w:rsid w:val="00BC6243"/>
    <w:rsid w:val="00BE5B17"/>
    <w:rsid w:val="00BF409B"/>
    <w:rsid w:val="00BF5D05"/>
    <w:rsid w:val="00C169E2"/>
    <w:rsid w:val="00C27EC7"/>
    <w:rsid w:val="00C30D3A"/>
    <w:rsid w:val="00C329CA"/>
    <w:rsid w:val="00C32E89"/>
    <w:rsid w:val="00C34626"/>
    <w:rsid w:val="00C34B3D"/>
    <w:rsid w:val="00C37E29"/>
    <w:rsid w:val="00C434C6"/>
    <w:rsid w:val="00C53749"/>
    <w:rsid w:val="00C564BB"/>
    <w:rsid w:val="00C63986"/>
    <w:rsid w:val="00C63C0B"/>
    <w:rsid w:val="00C83941"/>
    <w:rsid w:val="00C854EE"/>
    <w:rsid w:val="00C85C18"/>
    <w:rsid w:val="00C96CB1"/>
    <w:rsid w:val="00CA456E"/>
    <w:rsid w:val="00CA5D1B"/>
    <w:rsid w:val="00CB3364"/>
    <w:rsid w:val="00CB5163"/>
    <w:rsid w:val="00CD5B3B"/>
    <w:rsid w:val="00CE15A1"/>
    <w:rsid w:val="00CE4886"/>
    <w:rsid w:val="00CE53FA"/>
    <w:rsid w:val="00CF1681"/>
    <w:rsid w:val="00D13711"/>
    <w:rsid w:val="00D26EFC"/>
    <w:rsid w:val="00D367AC"/>
    <w:rsid w:val="00D4728F"/>
    <w:rsid w:val="00D527A0"/>
    <w:rsid w:val="00D600FA"/>
    <w:rsid w:val="00D61F2C"/>
    <w:rsid w:val="00D73BC0"/>
    <w:rsid w:val="00D74D77"/>
    <w:rsid w:val="00D8634B"/>
    <w:rsid w:val="00DA0DE8"/>
    <w:rsid w:val="00DB39B3"/>
    <w:rsid w:val="00DB562E"/>
    <w:rsid w:val="00DB675E"/>
    <w:rsid w:val="00DD7783"/>
    <w:rsid w:val="00DF74E4"/>
    <w:rsid w:val="00E14A1F"/>
    <w:rsid w:val="00E2264B"/>
    <w:rsid w:val="00E262E1"/>
    <w:rsid w:val="00E366C8"/>
    <w:rsid w:val="00E57423"/>
    <w:rsid w:val="00E57E7F"/>
    <w:rsid w:val="00E80535"/>
    <w:rsid w:val="00E8440E"/>
    <w:rsid w:val="00E91DCA"/>
    <w:rsid w:val="00EA32DB"/>
    <w:rsid w:val="00EB427A"/>
    <w:rsid w:val="00ED3209"/>
    <w:rsid w:val="00EE2A85"/>
    <w:rsid w:val="00EE3C4F"/>
    <w:rsid w:val="00EF1755"/>
    <w:rsid w:val="00EF3CFD"/>
    <w:rsid w:val="00F0320B"/>
    <w:rsid w:val="00F05FD4"/>
    <w:rsid w:val="00F06B02"/>
    <w:rsid w:val="00F144F7"/>
    <w:rsid w:val="00F20420"/>
    <w:rsid w:val="00F21BD0"/>
    <w:rsid w:val="00F22899"/>
    <w:rsid w:val="00F3234F"/>
    <w:rsid w:val="00F32A1E"/>
    <w:rsid w:val="00F37A55"/>
    <w:rsid w:val="00F452FA"/>
    <w:rsid w:val="00F576C7"/>
    <w:rsid w:val="00F57D4C"/>
    <w:rsid w:val="00F612F4"/>
    <w:rsid w:val="00F64A83"/>
    <w:rsid w:val="00F70C04"/>
    <w:rsid w:val="00F80227"/>
    <w:rsid w:val="00F860E5"/>
    <w:rsid w:val="00F93683"/>
    <w:rsid w:val="00F94B3F"/>
    <w:rsid w:val="00F95E55"/>
    <w:rsid w:val="00FA73ED"/>
    <w:rsid w:val="00FB181B"/>
    <w:rsid w:val="00FB2D15"/>
    <w:rsid w:val="00FB7459"/>
    <w:rsid w:val="00FD62D1"/>
    <w:rsid w:val="00FF6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link w:val="tv213Char"/>
    <w:rsid w:val="004C6917"/>
    <w:pPr>
      <w:spacing w:before="100" w:beforeAutospacing="1" w:after="100" w:afterAutospacing="1"/>
      <w:jc w:val="both"/>
    </w:pPr>
    <w:rPr>
      <w:rFonts w:eastAsia="Times New Roman" w:cs="Times New Roman"/>
      <w:szCs w:val="24"/>
      <w:lang w:val="en-US"/>
    </w:rPr>
  </w:style>
  <w:style w:type="paragraph" w:customStyle="1" w:styleId="Style1">
    <w:name w:val="Style1"/>
    <w:basedOn w:val="tv213"/>
    <w:link w:val="Style1Char"/>
    <w:qFormat/>
    <w:rsid w:val="004C6917"/>
    <w:pPr>
      <w:spacing w:line="360" w:lineRule="auto"/>
      <w:ind w:firstLine="720"/>
    </w:pPr>
    <w:rPr>
      <w:sz w:val="28"/>
      <w:szCs w:val="28"/>
    </w:rPr>
  </w:style>
  <w:style w:type="character" w:customStyle="1" w:styleId="tv213Char">
    <w:name w:val="tv213 Char"/>
    <w:basedOn w:val="DefaultParagraphFont"/>
    <w:link w:val="tv213"/>
    <w:rsid w:val="004C6917"/>
    <w:rPr>
      <w:rFonts w:eastAsia="Times New Roman" w:cs="Times New Roman"/>
      <w:szCs w:val="24"/>
      <w:lang w:val="en-US"/>
    </w:rPr>
  </w:style>
  <w:style w:type="character" w:customStyle="1" w:styleId="Style1Char">
    <w:name w:val="Style1 Char"/>
    <w:basedOn w:val="tv213Char"/>
    <w:link w:val="Style1"/>
    <w:rsid w:val="004C6917"/>
    <w:rPr>
      <w:rFonts w:eastAsia="Times New Roman" w:cs="Times New Roman"/>
      <w:sz w:val="28"/>
      <w:szCs w:val="28"/>
      <w:lang w:val="en-US"/>
    </w:rPr>
  </w:style>
  <w:style w:type="character" w:styleId="Hyperlink">
    <w:name w:val="Hyperlink"/>
    <w:basedOn w:val="DefaultParagraphFont"/>
    <w:rsid w:val="00FB7459"/>
    <w:rPr>
      <w:color w:val="0000FF"/>
      <w:u w:val="single"/>
    </w:rPr>
  </w:style>
  <w:style w:type="paragraph" w:styleId="BalloonText">
    <w:name w:val="Balloon Text"/>
    <w:basedOn w:val="Normal"/>
    <w:link w:val="BalloonTextChar"/>
    <w:uiPriority w:val="99"/>
    <w:semiHidden/>
    <w:unhideWhenUsed/>
    <w:rsid w:val="00C34B3D"/>
    <w:rPr>
      <w:rFonts w:ascii="Tahoma" w:hAnsi="Tahoma" w:cs="Tahoma"/>
      <w:sz w:val="16"/>
      <w:szCs w:val="16"/>
    </w:rPr>
  </w:style>
  <w:style w:type="character" w:customStyle="1" w:styleId="BalloonTextChar">
    <w:name w:val="Balloon Text Char"/>
    <w:basedOn w:val="DefaultParagraphFont"/>
    <w:link w:val="BalloonText"/>
    <w:uiPriority w:val="99"/>
    <w:semiHidden/>
    <w:rsid w:val="00C34B3D"/>
    <w:rPr>
      <w:rFonts w:ascii="Tahoma" w:hAnsi="Tahoma" w:cs="Tahoma"/>
      <w:sz w:val="16"/>
      <w:szCs w:val="16"/>
    </w:rPr>
  </w:style>
  <w:style w:type="paragraph" w:customStyle="1" w:styleId="naisf">
    <w:name w:val="naisf"/>
    <w:basedOn w:val="Normal"/>
    <w:rsid w:val="007D484F"/>
    <w:pPr>
      <w:spacing w:before="75" w:after="75"/>
      <w:ind w:firstLine="375"/>
      <w:jc w:val="both"/>
    </w:pPr>
    <w:rPr>
      <w:rFonts w:eastAsia="Times New Roman" w:cs="Times New Roman"/>
      <w:szCs w:val="24"/>
      <w:lang w:eastAsia="lv-LV"/>
    </w:rPr>
  </w:style>
  <w:style w:type="paragraph" w:styleId="Header">
    <w:name w:val="header"/>
    <w:basedOn w:val="Normal"/>
    <w:link w:val="HeaderChar"/>
    <w:uiPriority w:val="99"/>
    <w:unhideWhenUsed/>
    <w:rsid w:val="00F576C7"/>
    <w:pPr>
      <w:tabs>
        <w:tab w:val="center" w:pos="4153"/>
        <w:tab w:val="right" w:pos="8306"/>
      </w:tabs>
    </w:pPr>
  </w:style>
  <w:style w:type="character" w:customStyle="1" w:styleId="HeaderChar">
    <w:name w:val="Header Char"/>
    <w:basedOn w:val="DefaultParagraphFont"/>
    <w:link w:val="Header"/>
    <w:uiPriority w:val="99"/>
    <w:rsid w:val="00F576C7"/>
  </w:style>
  <w:style w:type="paragraph" w:styleId="Footer">
    <w:name w:val="footer"/>
    <w:basedOn w:val="Normal"/>
    <w:link w:val="FooterChar"/>
    <w:uiPriority w:val="99"/>
    <w:unhideWhenUsed/>
    <w:rsid w:val="00F576C7"/>
    <w:pPr>
      <w:tabs>
        <w:tab w:val="center" w:pos="4153"/>
        <w:tab w:val="right" w:pos="8306"/>
      </w:tabs>
    </w:pPr>
  </w:style>
  <w:style w:type="character" w:customStyle="1" w:styleId="FooterChar">
    <w:name w:val="Footer Char"/>
    <w:basedOn w:val="DefaultParagraphFont"/>
    <w:link w:val="Footer"/>
    <w:uiPriority w:val="99"/>
    <w:rsid w:val="00F57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link w:val="tv213Char"/>
    <w:rsid w:val="004C6917"/>
    <w:pPr>
      <w:spacing w:before="100" w:beforeAutospacing="1" w:after="100" w:afterAutospacing="1"/>
      <w:jc w:val="both"/>
    </w:pPr>
    <w:rPr>
      <w:rFonts w:eastAsia="Times New Roman" w:cs="Times New Roman"/>
      <w:szCs w:val="24"/>
      <w:lang w:val="en-US"/>
    </w:rPr>
  </w:style>
  <w:style w:type="paragraph" w:customStyle="1" w:styleId="Style1">
    <w:name w:val="Style1"/>
    <w:basedOn w:val="tv213"/>
    <w:link w:val="Style1Char"/>
    <w:qFormat/>
    <w:rsid w:val="004C6917"/>
    <w:pPr>
      <w:spacing w:line="360" w:lineRule="auto"/>
      <w:ind w:firstLine="720"/>
    </w:pPr>
    <w:rPr>
      <w:sz w:val="28"/>
      <w:szCs w:val="28"/>
    </w:rPr>
  </w:style>
  <w:style w:type="character" w:customStyle="1" w:styleId="tv213Char">
    <w:name w:val="tv213 Char"/>
    <w:basedOn w:val="DefaultParagraphFont"/>
    <w:link w:val="tv213"/>
    <w:rsid w:val="004C6917"/>
    <w:rPr>
      <w:rFonts w:eastAsia="Times New Roman" w:cs="Times New Roman"/>
      <w:szCs w:val="24"/>
      <w:lang w:val="en-US"/>
    </w:rPr>
  </w:style>
  <w:style w:type="character" w:customStyle="1" w:styleId="Style1Char">
    <w:name w:val="Style1 Char"/>
    <w:basedOn w:val="tv213Char"/>
    <w:link w:val="Style1"/>
    <w:rsid w:val="004C6917"/>
    <w:rPr>
      <w:rFonts w:eastAsia="Times New Roman" w:cs="Times New Roman"/>
      <w:sz w:val="28"/>
      <w:szCs w:val="28"/>
      <w:lang w:val="en-US"/>
    </w:rPr>
  </w:style>
  <w:style w:type="character" w:styleId="Hyperlink">
    <w:name w:val="Hyperlink"/>
    <w:basedOn w:val="DefaultParagraphFont"/>
    <w:rsid w:val="00FB7459"/>
    <w:rPr>
      <w:color w:val="0000FF"/>
      <w:u w:val="single"/>
    </w:rPr>
  </w:style>
  <w:style w:type="paragraph" w:styleId="BalloonText">
    <w:name w:val="Balloon Text"/>
    <w:basedOn w:val="Normal"/>
    <w:link w:val="BalloonTextChar"/>
    <w:uiPriority w:val="99"/>
    <w:semiHidden/>
    <w:unhideWhenUsed/>
    <w:rsid w:val="00C34B3D"/>
    <w:rPr>
      <w:rFonts w:ascii="Tahoma" w:hAnsi="Tahoma" w:cs="Tahoma"/>
      <w:sz w:val="16"/>
      <w:szCs w:val="16"/>
    </w:rPr>
  </w:style>
  <w:style w:type="character" w:customStyle="1" w:styleId="BalloonTextChar">
    <w:name w:val="Balloon Text Char"/>
    <w:basedOn w:val="DefaultParagraphFont"/>
    <w:link w:val="BalloonText"/>
    <w:uiPriority w:val="99"/>
    <w:semiHidden/>
    <w:rsid w:val="00C34B3D"/>
    <w:rPr>
      <w:rFonts w:ascii="Tahoma" w:hAnsi="Tahoma" w:cs="Tahoma"/>
      <w:sz w:val="16"/>
      <w:szCs w:val="16"/>
    </w:rPr>
  </w:style>
  <w:style w:type="paragraph" w:customStyle="1" w:styleId="naisf">
    <w:name w:val="naisf"/>
    <w:basedOn w:val="Normal"/>
    <w:rsid w:val="007D484F"/>
    <w:pPr>
      <w:spacing w:before="75" w:after="75"/>
      <w:ind w:firstLine="375"/>
      <w:jc w:val="both"/>
    </w:pPr>
    <w:rPr>
      <w:rFonts w:eastAsia="Times New Roman" w:cs="Times New Roman"/>
      <w:szCs w:val="24"/>
      <w:lang w:eastAsia="lv-LV"/>
    </w:rPr>
  </w:style>
  <w:style w:type="paragraph" w:styleId="Header">
    <w:name w:val="header"/>
    <w:basedOn w:val="Normal"/>
    <w:link w:val="HeaderChar"/>
    <w:uiPriority w:val="99"/>
    <w:unhideWhenUsed/>
    <w:rsid w:val="00F576C7"/>
    <w:pPr>
      <w:tabs>
        <w:tab w:val="center" w:pos="4153"/>
        <w:tab w:val="right" w:pos="8306"/>
      </w:tabs>
    </w:pPr>
  </w:style>
  <w:style w:type="character" w:customStyle="1" w:styleId="HeaderChar">
    <w:name w:val="Header Char"/>
    <w:basedOn w:val="DefaultParagraphFont"/>
    <w:link w:val="Header"/>
    <w:uiPriority w:val="99"/>
    <w:rsid w:val="00F576C7"/>
  </w:style>
  <w:style w:type="paragraph" w:styleId="Footer">
    <w:name w:val="footer"/>
    <w:basedOn w:val="Normal"/>
    <w:link w:val="FooterChar"/>
    <w:uiPriority w:val="99"/>
    <w:unhideWhenUsed/>
    <w:rsid w:val="00F576C7"/>
    <w:pPr>
      <w:tabs>
        <w:tab w:val="center" w:pos="4153"/>
        <w:tab w:val="right" w:pos="8306"/>
      </w:tabs>
    </w:pPr>
  </w:style>
  <w:style w:type="character" w:customStyle="1" w:styleId="FooterChar">
    <w:name w:val="Footer Char"/>
    <w:basedOn w:val="DefaultParagraphFont"/>
    <w:link w:val="Footer"/>
    <w:uiPriority w:val="99"/>
    <w:rsid w:val="00F5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CA62-30AC-4E8F-8E72-9FBAEB35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601</Words>
  <Characters>4736</Characters>
  <Application>Microsoft Office Word</Application>
  <DocSecurity>0</DocSecurity>
  <Lines>205</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prokuratūras struktūrvienību tehnoloģiskā aprīkojuma stāvokli un iespējamu risinājumu tā uzlabošanai" </vt:lpstr>
      <vt:lpstr/>
    </vt:vector>
  </TitlesOfParts>
  <Company>Tieslietu ministrija</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prokuratūras struktūrvienību tehnoloģiskā aprīkojuma stāvokli un iespējamu risinājumu tā uzlabošanai" </dc:title>
  <dc:subject>Informatīvais ziņojums</dc:subject>
  <dc:creator>Ēriks Rēķis</dc:creator>
  <dc:description>67036752, Eriks.Rekis@tm.gov.lv</dc:description>
  <cp:lastModifiedBy>er1201</cp:lastModifiedBy>
  <cp:revision>10</cp:revision>
  <cp:lastPrinted>2013-08-29T06:14:00Z</cp:lastPrinted>
  <dcterms:created xsi:type="dcterms:W3CDTF">2013-08-29T06:30:00Z</dcterms:created>
  <dcterms:modified xsi:type="dcterms:W3CDTF">2013-08-30T05:38:00Z</dcterms:modified>
</cp:coreProperties>
</file>