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AB" w:rsidRPr="005A52D5" w:rsidRDefault="004D796D" w:rsidP="004958AB">
      <w:pPr>
        <w:pStyle w:val="Header"/>
        <w:pBdr>
          <w:bottom w:val="single" w:sz="4" w:space="1" w:color="auto"/>
        </w:pBdr>
        <w:jc w:val="right"/>
        <w:outlineLvl w:val="0"/>
        <w:rPr>
          <w:bCs/>
          <w:sz w:val="28"/>
          <w:szCs w:val="28"/>
          <w:lang w:val="lv-LV"/>
        </w:rPr>
      </w:pPr>
      <w:r w:rsidRPr="005A52D5">
        <w:rPr>
          <w:bCs/>
          <w:sz w:val="28"/>
          <w:szCs w:val="28"/>
          <w:lang w:val="lv-LV"/>
        </w:rPr>
        <w:t>Projekts</w:t>
      </w:r>
    </w:p>
    <w:p w:rsidR="004958AB" w:rsidRPr="005A52D5" w:rsidRDefault="004958AB" w:rsidP="004958AB">
      <w:pPr>
        <w:pStyle w:val="Header"/>
        <w:pBdr>
          <w:bottom w:val="single" w:sz="4" w:space="1" w:color="auto"/>
        </w:pBdr>
        <w:jc w:val="right"/>
        <w:rPr>
          <w:bCs/>
          <w:sz w:val="28"/>
          <w:szCs w:val="28"/>
          <w:lang w:val="lv-LV"/>
        </w:rPr>
      </w:pPr>
    </w:p>
    <w:p w:rsidR="004958AB" w:rsidRPr="005A52D5" w:rsidRDefault="004D796D" w:rsidP="004958AB">
      <w:pPr>
        <w:pStyle w:val="Header"/>
        <w:pBdr>
          <w:bottom w:val="single" w:sz="4" w:space="1" w:color="auto"/>
        </w:pBdr>
        <w:jc w:val="center"/>
        <w:outlineLvl w:val="0"/>
        <w:rPr>
          <w:bCs/>
          <w:sz w:val="28"/>
          <w:szCs w:val="28"/>
          <w:lang w:val="lv-LV"/>
        </w:rPr>
      </w:pPr>
      <w:r w:rsidRPr="005A52D5">
        <w:rPr>
          <w:bCs/>
          <w:sz w:val="28"/>
          <w:szCs w:val="28"/>
          <w:lang w:val="lv-LV"/>
        </w:rPr>
        <w:t>LATVIJAS REPUBLIKAS MINISTRU KABINETA</w:t>
      </w:r>
    </w:p>
    <w:p w:rsidR="004958AB" w:rsidRPr="005A52D5" w:rsidRDefault="004D796D" w:rsidP="004958AB">
      <w:pPr>
        <w:pStyle w:val="Header"/>
        <w:pBdr>
          <w:bottom w:val="single" w:sz="4" w:space="1" w:color="auto"/>
        </w:pBdr>
        <w:jc w:val="center"/>
        <w:outlineLvl w:val="0"/>
        <w:rPr>
          <w:bCs/>
          <w:sz w:val="28"/>
          <w:szCs w:val="28"/>
          <w:lang w:val="lv-LV"/>
        </w:rPr>
      </w:pPr>
      <w:r w:rsidRPr="005A52D5">
        <w:rPr>
          <w:bCs/>
          <w:sz w:val="28"/>
          <w:szCs w:val="28"/>
          <w:lang w:val="lv-LV"/>
        </w:rPr>
        <w:t>SĒDES PROTOKOLLĒMUMS</w:t>
      </w:r>
    </w:p>
    <w:p w:rsidR="004958AB" w:rsidRPr="005A52D5" w:rsidRDefault="004958AB" w:rsidP="004958AB">
      <w:pPr>
        <w:pStyle w:val="Header"/>
        <w:pBdr>
          <w:bottom w:val="single" w:sz="4" w:space="1" w:color="auto"/>
        </w:pBdr>
        <w:jc w:val="center"/>
        <w:outlineLvl w:val="0"/>
        <w:rPr>
          <w:sz w:val="28"/>
          <w:szCs w:val="28"/>
          <w:lang w:val="lv-LV"/>
        </w:rPr>
      </w:pPr>
    </w:p>
    <w:p w:rsidR="004958AB" w:rsidRPr="005A52D5" w:rsidRDefault="004958AB" w:rsidP="004958AB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4958AB" w:rsidRPr="004958AB" w:rsidTr="00CB4777">
        <w:trPr>
          <w:cantSplit/>
        </w:trPr>
        <w:tc>
          <w:tcPr>
            <w:tcW w:w="3967" w:type="dxa"/>
            <w:hideMark/>
          </w:tcPr>
          <w:p w:rsidR="004958AB" w:rsidRPr="005A52D5" w:rsidRDefault="004D796D" w:rsidP="00CB4777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5A52D5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4958AB" w:rsidRPr="005A52D5" w:rsidRDefault="004D796D" w:rsidP="00CB4777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5A52D5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  <w:hideMark/>
          </w:tcPr>
          <w:p w:rsidR="004958AB" w:rsidRPr="005A52D5" w:rsidRDefault="004D796D" w:rsidP="00CB4777">
            <w:pPr>
              <w:spacing w:line="276" w:lineRule="auto"/>
              <w:jc w:val="right"/>
              <w:rPr>
                <w:sz w:val="28"/>
                <w:szCs w:val="28"/>
                <w:lang w:val="lv-LV"/>
              </w:rPr>
            </w:pPr>
            <w:r w:rsidRPr="005A52D5">
              <w:rPr>
                <w:sz w:val="28"/>
                <w:szCs w:val="28"/>
                <w:lang w:val="lv-LV"/>
              </w:rPr>
              <w:t xml:space="preserve">  2012. gada   .________</w:t>
            </w:r>
          </w:p>
        </w:tc>
      </w:tr>
    </w:tbl>
    <w:p w:rsidR="004958AB" w:rsidRPr="005A52D5" w:rsidRDefault="004958AB" w:rsidP="004958AB">
      <w:pPr>
        <w:jc w:val="center"/>
        <w:rPr>
          <w:sz w:val="28"/>
          <w:szCs w:val="28"/>
          <w:lang w:val="lv-LV"/>
        </w:rPr>
      </w:pPr>
    </w:p>
    <w:p w:rsidR="004958AB" w:rsidRPr="005A52D5" w:rsidRDefault="004D796D" w:rsidP="004958AB">
      <w:pPr>
        <w:jc w:val="center"/>
        <w:rPr>
          <w:sz w:val="28"/>
          <w:szCs w:val="28"/>
          <w:lang w:val="lv-LV"/>
        </w:rPr>
      </w:pPr>
      <w:r w:rsidRPr="005A52D5">
        <w:rPr>
          <w:sz w:val="28"/>
          <w:szCs w:val="28"/>
          <w:lang w:val="lv-LV"/>
        </w:rPr>
        <w:t>.§</w:t>
      </w:r>
    </w:p>
    <w:p w:rsidR="0038657A" w:rsidRPr="007B6BCF" w:rsidRDefault="0038657A" w:rsidP="0038657A">
      <w:pPr>
        <w:rPr>
          <w:sz w:val="28"/>
          <w:lang w:val="lv-LV"/>
        </w:rPr>
      </w:pPr>
    </w:p>
    <w:p w:rsidR="0038657A" w:rsidRPr="007B6BCF" w:rsidRDefault="00750619" w:rsidP="0038657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</w:t>
      </w:r>
      <w:r w:rsidR="0038657A" w:rsidRPr="007B6BCF">
        <w:rPr>
          <w:b/>
          <w:sz w:val="28"/>
          <w:szCs w:val="28"/>
          <w:lang w:val="lv-LV"/>
        </w:rPr>
        <w:t xml:space="preserve"> Ministru kabineta 20</w:t>
      </w:r>
      <w:r w:rsidR="008149D8">
        <w:rPr>
          <w:b/>
          <w:sz w:val="28"/>
          <w:szCs w:val="28"/>
          <w:lang w:val="lv-LV"/>
        </w:rPr>
        <w:t>12</w:t>
      </w:r>
      <w:r w:rsidR="0038657A" w:rsidRPr="007B6BCF">
        <w:rPr>
          <w:b/>
          <w:sz w:val="28"/>
          <w:szCs w:val="28"/>
          <w:lang w:val="lv-LV"/>
        </w:rPr>
        <w:t xml:space="preserve">. gada </w:t>
      </w:r>
      <w:r w:rsidR="008149D8">
        <w:rPr>
          <w:b/>
          <w:sz w:val="28"/>
          <w:szCs w:val="28"/>
          <w:lang w:val="lv-LV"/>
        </w:rPr>
        <w:t>20</w:t>
      </w:r>
      <w:r w:rsidR="0038657A">
        <w:rPr>
          <w:b/>
          <w:sz w:val="28"/>
          <w:szCs w:val="28"/>
          <w:lang w:val="lv-LV"/>
        </w:rPr>
        <w:t>. </w:t>
      </w:r>
      <w:r w:rsidR="008149D8">
        <w:rPr>
          <w:b/>
          <w:sz w:val="28"/>
          <w:szCs w:val="28"/>
          <w:lang w:val="lv-LV"/>
        </w:rPr>
        <w:t>marta</w:t>
      </w:r>
      <w:r w:rsidR="0038657A" w:rsidRPr="007B6BCF">
        <w:rPr>
          <w:b/>
          <w:sz w:val="28"/>
          <w:szCs w:val="28"/>
          <w:lang w:val="lv-LV"/>
        </w:rPr>
        <w:t xml:space="preserve"> </w:t>
      </w:r>
      <w:proofErr w:type="spellStart"/>
      <w:r w:rsidR="008149D8">
        <w:rPr>
          <w:b/>
          <w:sz w:val="28"/>
          <w:szCs w:val="28"/>
          <w:lang w:val="lv-LV"/>
        </w:rPr>
        <w:t>protokol</w:t>
      </w:r>
      <w:r w:rsidR="00B6017A">
        <w:rPr>
          <w:b/>
          <w:sz w:val="28"/>
          <w:szCs w:val="28"/>
          <w:lang w:val="lv-LV"/>
        </w:rPr>
        <w:t>lēmuma</w:t>
      </w:r>
      <w:proofErr w:type="spellEnd"/>
      <w:r w:rsidR="0038657A">
        <w:rPr>
          <w:b/>
          <w:sz w:val="28"/>
          <w:szCs w:val="28"/>
          <w:lang w:val="lv-LV"/>
        </w:rPr>
        <w:t xml:space="preserve"> </w:t>
      </w:r>
      <w:r w:rsidR="00491277">
        <w:rPr>
          <w:b/>
          <w:sz w:val="28"/>
          <w:szCs w:val="28"/>
          <w:lang w:val="lv-LV"/>
        </w:rPr>
        <w:t xml:space="preserve">(prot. </w:t>
      </w:r>
      <w:r w:rsidR="0038657A">
        <w:rPr>
          <w:b/>
          <w:sz w:val="28"/>
          <w:szCs w:val="28"/>
          <w:lang w:val="lv-LV"/>
        </w:rPr>
        <w:t>Nr.</w:t>
      </w:r>
      <w:r w:rsidR="008149D8">
        <w:rPr>
          <w:b/>
          <w:sz w:val="28"/>
          <w:szCs w:val="28"/>
          <w:lang w:val="lv-LV"/>
        </w:rPr>
        <w:t>16 30.§</w:t>
      </w:r>
      <w:r w:rsidR="00491277">
        <w:rPr>
          <w:b/>
          <w:sz w:val="28"/>
          <w:szCs w:val="28"/>
          <w:lang w:val="lv-LV"/>
        </w:rPr>
        <w:t>)</w:t>
      </w:r>
      <w:r w:rsidR="008149D8">
        <w:rPr>
          <w:b/>
          <w:sz w:val="28"/>
          <w:szCs w:val="28"/>
          <w:lang w:val="lv-LV"/>
        </w:rPr>
        <w:t xml:space="preserve"> </w:t>
      </w:r>
      <w:r w:rsidR="008149D8" w:rsidRPr="007B6BCF">
        <w:rPr>
          <w:b/>
          <w:sz w:val="28"/>
          <w:szCs w:val="28"/>
          <w:lang w:val="lv-LV"/>
        </w:rPr>
        <w:t>„</w:t>
      </w:r>
      <w:r w:rsidR="008149D8">
        <w:rPr>
          <w:b/>
          <w:sz w:val="28"/>
          <w:szCs w:val="28"/>
          <w:lang w:val="lv-LV"/>
        </w:rPr>
        <w:t>Informatīvais zi</w:t>
      </w:r>
      <w:bookmarkStart w:id="0" w:name="_GoBack"/>
      <w:bookmarkEnd w:id="0"/>
      <w:r w:rsidR="008149D8">
        <w:rPr>
          <w:b/>
          <w:sz w:val="28"/>
          <w:szCs w:val="28"/>
          <w:lang w:val="lv-LV"/>
        </w:rPr>
        <w:t xml:space="preserve">ņojums „Par pasākumiem ar dzīvokļa īpašuma lietošanu saistīto parādu problēmas risināšanai </w:t>
      </w:r>
      <w:r w:rsidR="008149D8" w:rsidRPr="007B6BCF">
        <w:rPr>
          <w:b/>
          <w:sz w:val="28"/>
          <w:szCs w:val="28"/>
          <w:lang w:val="lv-LV"/>
        </w:rPr>
        <w:t>”</w:t>
      </w:r>
      <w:r w:rsidR="004958AB">
        <w:rPr>
          <w:b/>
          <w:sz w:val="28"/>
          <w:szCs w:val="28"/>
          <w:lang w:val="lv-LV"/>
        </w:rPr>
        <w:t>”</w:t>
      </w:r>
      <w:r w:rsidR="008149D8">
        <w:rPr>
          <w:b/>
          <w:sz w:val="28"/>
          <w:szCs w:val="28"/>
          <w:lang w:val="lv-LV"/>
        </w:rPr>
        <w:t xml:space="preserve"> 3.2. apakšpunkt</w:t>
      </w:r>
      <w:r>
        <w:rPr>
          <w:b/>
          <w:sz w:val="28"/>
          <w:szCs w:val="28"/>
          <w:lang w:val="lv-LV"/>
        </w:rPr>
        <w:t>ā dotā uzdevuma atzīšanu par aktualitāti zaudējušu</w:t>
      </w:r>
      <w:r w:rsidR="0038657A" w:rsidRPr="007B6BCF">
        <w:rPr>
          <w:b/>
          <w:sz w:val="28"/>
          <w:szCs w:val="28"/>
          <w:lang w:val="lv-LV"/>
        </w:rPr>
        <w:t xml:space="preserve"> </w:t>
      </w:r>
    </w:p>
    <w:p w:rsidR="0038657A" w:rsidRPr="007B6BCF" w:rsidRDefault="0038657A" w:rsidP="0038657A">
      <w:pPr>
        <w:jc w:val="center"/>
        <w:rPr>
          <w:sz w:val="28"/>
          <w:lang w:val="lv-LV"/>
        </w:rPr>
      </w:pPr>
    </w:p>
    <w:p w:rsidR="0038657A" w:rsidRPr="007B6BCF" w:rsidRDefault="0038657A" w:rsidP="0038657A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8657A" w:rsidRDefault="00B6017A" w:rsidP="0038657A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Ņemot vērā iesniegto informāciju, atzīt </w:t>
      </w:r>
      <w:r w:rsidR="008149D8" w:rsidRPr="008149D8">
        <w:rPr>
          <w:sz w:val="28"/>
          <w:szCs w:val="28"/>
        </w:rPr>
        <w:t>Ministru kabineta 2012. gada 20.</w:t>
      </w:r>
      <w:r>
        <w:rPr>
          <w:sz w:val="28"/>
          <w:szCs w:val="28"/>
        </w:rPr>
        <w:t> </w:t>
      </w:r>
      <w:r w:rsidR="008149D8" w:rsidRPr="008149D8">
        <w:rPr>
          <w:sz w:val="28"/>
          <w:szCs w:val="28"/>
        </w:rPr>
        <w:t xml:space="preserve">marta </w:t>
      </w:r>
      <w:proofErr w:type="spellStart"/>
      <w:r w:rsidR="008149D8" w:rsidRPr="008149D8">
        <w:rPr>
          <w:sz w:val="28"/>
          <w:szCs w:val="28"/>
        </w:rPr>
        <w:t>protokol</w:t>
      </w:r>
      <w:r>
        <w:rPr>
          <w:sz w:val="28"/>
          <w:szCs w:val="28"/>
        </w:rPr>
        <w:t>lēmuma</w:t>
      </w:r>
      <w:proofErr w:type="spellEnd"/>
      <w:r w:rsidR="008149D8" w:rsidRPr="00814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(prot. </w:t>
      </w:r>
      <w:r w:rsidR="008149D8" w:rsidRPr="008149D8">
        <w:rPr>
          <w:sz w:val="28"/>
          <w:szCs w:val="28"/>
        </w:rPr>
        <w:t>Nr.16 30.§</w:t>
      </w:r>
      <w:r>
        <w:rPr>
          <w:sz w:val="28"/>
          <w:szCs w:val="28"/>
        </w:rPr>
        <w:t>)</w:t>
      </w:r>
      <w:r w:rsidR="008149D8" w:rsidRPr="008149D8">
        <w:rPr>
          <w:sz w:val="28"/>
          <w:szCs w:val="28"/>
        </w:rPr>
        <w:t xml:space="preserve"> „Informatīvais ziņojums „Par pasākumiem ar dzīvokļa īpašuma lietošanu saistīto parādu problēmas risināšanai”</w:t>
      </w:r>
      <w:r w:rsidR="000D1D6F">
        <w:rPr>
          <w:sz w:val="28"/>
          <w:szCs w:val="28"/>
        </w:rPr>
        <w:t>”</w:t>
      </w:r>
      <w:r w:rsidR="008149D8" w:rsidRPr="008149D8">
        <w:rPr>
          <w:sz w:val="28"/>
          <w:szCs w:val="28"/>
        </w:rPr>
        <w:t xml:space="preserve"> 3.2. apakšpunkt</w:t>
      </w:r>
      <w:r>
        <w:rPr>
          <w:sz w:val="28"/>
          <w:szCs w:val="28"/>
        </w:rPr>
        <w:t>ā doto uzdevumu par</w:t>
      </w:r>
      <w:r w:rsidR="008149D8">
        <w:rPr>
          <w:sz w:val="28"/>
          <w:szCs w:val="28"/>
        </w:rPr>
        <w:t xml:space="preserve"> aktualitāti zaudējušu</w:t>
      </w:r>
      <w:r w:rsidR="0038657A">
        <w:rPr>
          <w:sz w:val="28"/>
          <w:szCs w:val="28"/>
        </w:rPr>
        <w:t>.</w:t>
      </w:r>
    </w:p>
    <w:p w:rsidR="00750619" w:rsidRDefault="00750619" w:rsidP="0038657A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619" w:rsidRDefault="00750619" w:rsidP="00750619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8657A" w:rsidRPr="006013D4" w:rsidRDefault="0038657A" w:rsidP="0038657A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8657A" w:rsidRDefault="0038657A" w:rsidP="007F37AD">
      <w:pPr>
        <w:ind w:firstLine="720"/>
        <w:rPr>
          <w:sz w:val="28"/>
          <w:szCs w:val="28"/>
          <w:lang w:val="lv-LV"/>
        </w:rPr>
      </w:pPr>
      <w:r w:rsidRPr="006013D4">
        <w:rPr>
          <w:sz w:val="28"/>
          <w:szCs w:val="28"/>
          <w:lang w:val="lv-LV"/>
        </w:rPr>
        <w:t xml:space="preserve">Ministru prezidents </w:t>
      </w:r>
      <w:r w:rsidRPr="006013D4">
        <w:rPr>
          <w:sz w:val="28"/>
          <w:szCs w:val="28"/>
          <w:lang w:val="lv-LV"/>
        </w:rPr>
        <w:tab/>
      </w:r>
      <w:r w:rsidRPr="006013D4">
        <w:rPr>
          <w:sz w:val="28"/>
          <w:szCs w:val="28"/>
          <w:lang w:val="lv-LV"/>
        </w:rPr>
        <w:tab/>
      </w:r>
      <w:r w:rsidRPr="006013D4">
        <w:rPr>
          <w:sz w:val="28"/>
          <w:szCs w:val="28"/>
          <w:lang w:val="lv-LV"/>
        </w:rPr>
        <w:tab/>
      </w:r>
      <w:r w:rsidRPr="006013D4">
        <w:rPr>
          <w:sz w:val="28"/>
          <w:szCs w:val="28"/>
          <w:lang w:val="lv-LV"/>
        </w:rPr>
        <w:tab/>
      </w:r>
      <w:r w:rsidRPr="006013D4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V.</w:t>
      </w:r>
      <w:r w:rsidRPr="006013D4">
        <w:rPr>
          <w:sz w:val="28"/>
          <w:szCs w:val="28"/>
          <w:lang w:val="lv-LV"/>
        </w:rPr>
        <w:t>Dombrovskis</w:t>
      </w:r>
    </w:p>
    <w:p w:rsidR="004958AB" w:rsidRDefault="004958AB" w:rsidP="007F37AD">
      <w:pPr>
        <w:ind w:firstLine="720"/>
        <w:rPr>
          <w:sz w:val="28"/>
          <w:szCs w:val="28"/>
          <w:lang w:val="lv-LV"/>
        </w:rPr>
      </w:pPr>
    </w:p>
    <w:p w:rsidR="004958AB" w:rsidRPr="006013D4" w:rsidRDefault="004958AB" w:rsidP="007F37AD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E.Dreimane</w:t>
      </w:r>
    </w:p>
    <w:p w:rsidR="0038657A" w:rsidRPr="006013D4" w:rsidRDefault="0038657A" w:rsidP="007F37AD">
      <w:pPr>
        <w:ind w:firstLine="720"/>
        <w:rPr>
          <w:sz w:val="28"/>
          <w:szCs w:val="28"/>
          <w:lang w:val="lv-LV"/>
        </w:rPr>
      </w:pPr>
    </w:p>
    <w:p w:rsidR="0038657A" w:rsidRDefault="0038657A" w:rsidP="007F37AD">
      <w:pPr>
        <w:pStyle w:val="naisf"/>
        <w:spacing w:before="0" w:after="0"/>
        <w:ind w:firstLine="720"/>
        <w:rPr>
          <w:sz w:val="28"/>
          <w:szCs w:val="28"/>
        </w:rPr>
      </w:pPr>
      <w:r w:rsidRPr="006013D4">
        <w:rPr>
          <w:sz w:val="28"/>
          <w:szCs w:val="28"/>
        </w:rPr>
        <w:t>Tieslietu ministrs</w:t>
      </w:r>
      <w:r w:rsidRPr="006013D4">
        <w:rPr>
          <w:sz w:val="28"/>
          <w:szCs w:val="28"/>
        </w:rPr>
        <w:tab/>
      </w:r>
      <w:r w:rsidRPr="006013D4">
        <w:rPr>
          <w:sz w:val="28"/>
          <w:szCs w:val="28"/>
        </w:rPr>
        <w:tab/>
      </w:r>
      <w:r w:rsidRPr="006013D4">
        <w:rPr>
          <w:sz w:val="28"/>
          <w:szCs w:val="28"/>
        </w:rPr>
        <w:tab/>
      </w:r>
      <w:r w:rsidRPr="006013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57CCF">
        <w:rPr>
          <w:sz w:val="28"/>
          <w:szCs w:val="28"/>
        </w:rPr>
        <w:t>J.Bordāns</w:t>
      </w:r>
      <w:proofErr w:type="spellEnd"/>
    </w:p>
    <w:p w:rsidR="0038657A" w:rsidRPr="006013D4" w:rsidRDefault="0038657A" w:rsidP="0038657A">
      <w:pPr>
        <w:rPr>
          <w:sz w:val="28"/>
          <w:szCs w:val="28"/>
          <w:lang w:val="de-DE"/>
        </w:rPr>
      </w:pPr>
    </w:p>
    <w:p w:rsidR="0038657A" w:rsidRDefault="0038657A" w:rsidP="0038657A">
      <w:pPr>
        <w:rPr>
          <w:lang w:val="lv-LV"/>
        </w:rPr>
      </w:pPr>
    </w:p>
    <w:p w:rsidR="00027179" w:rsidRDefault="005A52D5" w:rsidP="0038657A">
      <w:pPr>
        <w:jc w:val="both"/>
        <w:rPr>
          <w:sz w:val="20"/>
          <w:lang w:val="lv-LV"/>
        </w:rPr>
      </w:pPr>
      <w:r>
        <w:rPr>
          <w:sz w:val="20"/>
          <w:lang w:val="en-US"/>
        </w:rPr>
        <w:t>16</w:t>
      </w:r>
      <w:r w:rsidR="008149D8">
        <w:rPr>
          <w:sz w:val="20"/>
          <w:lang w:val="en-US"/>
        </w:rPr>
        <w:t>.11</w:t>
      </w:r>
      <w:r w:rsidR="00027179" w:rsidRPr="007F37AD">
        <w:rPr>
          <w:sz w:val="20"/>
          <w:lang w:val="en-US"/>
        </w:rPr>
        <w:t xml:space="preserve">.2012 </w:t>
      </w:r>
      <w:r w:rsidR="008149D8">
        <w:rPr>
          <w:sz w:val="20"/>
          <w:lang w:val="en-US"/>
        </w:rPr>
        <w:t>1</w:t>
      </w:r>
      <w:r>
        <w:rPr>
          <w:sz w:val="20"/>
          <w:lang w:val="en-US"/>
        </w:rPr>
        <w:t>4</w:t>
      </w:r>
      <w:r w:rsidR="00027179" w:rsidRPr="007F37AD">
        <w:rPr>
          <w:sz w:val="20"/>
          <w:lang w:val="en-US"/>
        </w:rPr>
        <w:t>:</w:t>
      </w:r>
      <w:r>
        <w:rPr>
          <w:sz w:val="20"/>
          <w:lang w:val="en-US"/>
        </w:rPr>
        <w:t>0</w:t>
      </w:r>
      <w:r w:rsidRPr="007F37AD">
        <w:rPr>
          <w:sz w:val="20"/>
          <w:lang w:val="en-US"/>
        </w:rPr>
        <w:t>4</w:t>
      </w:r>
    </w:p>
    <w:p w:rsidR="0038657A" w:rsidRPr="00A838AA" w:rsidRDefault="0012209B" w:rsidP="0038657A">
      <w:pPr>
        <w:jc w:val="both"/>
        <w:rPr>
          <w:sz w:val="20"/>
        </w:rPr>
      </w:pPr>
      <w:r>
        <w:rPr>
          <w:sz w:val="20"/>
        </w:rPr>
        <w:t>9</w:t>
      </w:r>
      <w:r w:rsidR="004958AB">
        <w:rPr>
          <w:sz w:val="20"/>
        </w:rPr>
        <w:t>5</w:t>
      </w:r>
    </w:p>
    <w:p w:rsidR="0038657A" w:rsidRPr="00CB7FD1" w:rsidRDefault="008149D8" w:rsidP="0038657A">
      <w:pPr>
        <w:tabs>
          <w:tab w:val="center" w:pos="4394"/>
        </w:tabs>
        <w:ind w:right="-483"/>
        <w:rPr>
          <w:sz w:val="20"/>
        </w:rPr>
      </w:pPr>
      <w:proofErr w:type="spellStart"/>
      <w:r>
        <w:rPr>
          <w:sz w:val="20"/>
        </w:rPr>
        <w:t>Gutāne</w:t>
      </w:r>
      <w:proofErr w:type="spellEnd"/>
      <w:r w:rsidR="0038657A" w:rsidRPr="00CB7FD1">
        <w:rPr>
          <w:sz w:val="20"/>
        </w:rPr>
        <w:tab/>
      </w:r>
    </w:p>
    <w:p w:rsidR="0038657A" w:rsidRPr="00CB7FD1" w:rsidRDefault="00027179" w:rsidP="0038657A">
      <w:pPr>
        <w:tabs>
          <w:tab w:val="left" w:pos="7560"/>
        </w:tabs>
        <w:ind w:right="-483"/>
        <w:rPr>
          <w:sz w:val="20"/>
        </w:rPr>
      </w:pPr>
      <w:r>
        <w:rPr>
          <w:sz w:val="20"/>
        </w:rPr>
        <w:t>670</w:t>
      </w:r>
      <w:r w:rsidR="008149D8">
        <w:rPr>
          <w:sz w:val="20"/>
        </w:rPr>
        <w:t>36993</w:t>
      </w:r>
      <w:r w:rsidR="0038657A" w:rsidRPr="00CB7FD1">
        <w:rPr>
          <w:sz w:val="20"/>
        </w:rPr>
        <w:t xml:space="preserve">, </w:t>
      </w:r>
      <w:hyperlink r:id="rId7" w:history="1">
        <w:r w:rsidR="008149D8" w:rsidRPr="00510EDA">
          <w:rPr>
            <w:rStyle w:val="Hyperlink"/>
            <w:sz w:val="20"/>
          </w:rPr>
          <w:t>silvija.gutane@tm.gov.lv</w:t>
        </w:r>
      </w:hyperlink>
    </w:p>
    <w:p w:rsidR="0038657A" w:rsidRDefault="0038657A" w:rsidP="0038657A"/>
    <w:p w:rsidR="0038657A" w:rsidRPr="00B76F82" w:rsidRDefault="0038657A" w:rsidP="0038657A">
      <w:pPr>
        <w:rPr>
          <w:lang w:val="lv-LV"/>
        </w:rPr>
      </w:pPr>
    </w:p>
    <w:p w:rsidR="0038657A" w:rsidRPr="00B76F82" w:rsidRDefault="0038657A" w:rsidP="0038657A">
      <w:pPr>
        <w:tabs>
          <w:tab w:val="left" w:pos="1305"/>
        </w:tabs>
        <w:rPr>
          <w:lang w:val="lv-LV"/>
        </w:rPr>
      </w:pPr>
    </w:p>
    <w:p w:rsidR="0038657A" w:rsidRPr="006013D4" w:rsidRDefault="0038657A" w:rsidP="0038657A">
      <w:pPr>
        <w:rPr>
          <w:lang w:val="lv-LV"/>
        </w:rPr>
      </w:pPr>
    </w:p>
    <w:p w:rsidR="00641C5E" w:rsidRPr="0038657A" w:rsidRDefault="00641C5E">
      <w:pPr>
        <w:rPr>
          <w:lang w:val="lv-LV"/>
        </w:rPr>
      </w:pPr>
    </w:p>
    <w:sectPr w:rsidR="00641C5E" w:rsidRPr="0038657A" w:rsidSect="00616972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AE" w:rsidRDefault="00724AAE" w:rsidP="0038657A">
      <w:r>
        <w:separator/>
      </w:r>
    </w:p>
  </w:endnote>
  <w:endnote w:type="continuationSeparator" w:id="0">
    <w:p w:rsidR="00724AAE" w:rsidRDefault="00724AAE" w:rsidP="0038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F7" w:rsidRPr="008149D8" w:rsidRDefault="000A15F7" w:rsidP="007F37AD">
    <w:pPr>
      <w:pStyle w:val="Footer"/>
      <w:jc w:val="both"/>
      <w:rPr>
        <w:lang w:val="lv-LV"/>
      </w:rPr>
    </w:pPr>
    <w:r>
      <w:rPr>
        <w:sz w:val="20"/>
        <w:szCs w:val="20"/>
        <w:lang w:val="lv-LV"/>
      </w:rPr>
      <w:t>TMprot_</w:t>
    </w:r>
    <w:r w:rsidR="005A52D5">
      <w:rPr>
        <w:sz w:val="20"/>
        <w:szCs w:val="20"/>
        <w:lang w:val="lv-LV"/>
      </w:rPr>
      <w:t>161112</w:t>
    </w:r>
    <w:r w:rsidRPr="006013D4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paradu_prob</w:t>
    </w:r>
    <w:r w:rsidRPr="006013D4">
      <w:rPr>
        <w:sz w:val="20"/>
        <w:szCs w:val="20"/>
        <w:lang w:val="lv-LV"/>
      </w:rPr>
      <w:t xml:space="preserve">; </w:t>
    </w:r>
    <w:r w:rsidR="004958AB">
      <w:rPr>
        <w:sz w:val="20"/>
        <w:szCs w:val="20"/>
        <w:lang w:val="lv-LV"/>
      </w:rPr>
      <w:t xml:space="preserve">Ministru kabineta </w:t>
    </w:r>
    <w:proofErr w:type="spellStart"/>
    <w:r w:rsidR="004958AB">
      <w:rPr>
        <w:sz w:val="20"/>
        <w:szCs w:val="20"/>
        <w:lang w:val="lv-LV"/>
      </w:rPr>
      <w:t>protokollēmuma</w:t>
    </w:r>
    <w:proofErr w:type="spellEnd"/>
    <w:r w:rsidR="004958AB">
      <w:rPr>
        <w:sz w:val="20"/>
        <w:szCs w:val="20"/>
        <w:lang w:val="lv-LV"/>
      </w:rPr>
      <w:t xml:space="preserve"> projekts „</w:t>
    </w:r>
    <w:r w:rsidR="00EF5461" w:rsidRPr="00EF5461">
      <w:rPr>
        <w:sz w:val="20"/>
        <w:szCs w:val="20"/>
        <w:lang w:val="lv-LV"/>
      </w:rPr>
      <w:t xml:space="preserve">Par Ministru kabineta 2012. gada 20. marta </w:t>
    </w:r>
    <w:proofErr w:type="spellStart"/>
    <w:r w:rsidR="00EF5461" w:rsidRPr="00EF5461">
      <w:rPr>
        <w:sz w:val="20"/>
        <w:szCs w:val="20"/>
        <w:lang w:val="lv-LV"/>
      </w:rPr>
      <w:t>protokollēmuma</w:t>
    </w:r>
    <w:proofErr w:type="spellEnd"/>
    <w:r w:rsidR="00EF5461" w:rsidRPr="00EF5461">
      <w:rPr>
        <w:sz w:val="20"/>
        <w:szCs w:val="20"/>
        <w:lang w:val="lv-LV"/>
      </w:rPr>
      <w:t xml:space="preserve"> (prot. Nr.16 30.§) „Informatīvais ziņojums „Par pasākumiem ar dzīvokļa īpašuma lietošanu saistīto parādu problēmas risināšanai ”</w:t>
    </w:r>
    <w:r w:rsidR="004958AB">
      <w:rPr>
        <w:sz w:val="20"/>
        <w:szCs w:val="20"/>
        <w:lang w:val="lv-LV"/>
      </w:rPr>
      <w:t>’’</w:t>
    </w:r>
    <w:r w:rsidR="00EF5461" w:rsidRPr="00EF5461">
      <w:rPr>
        <w:sz w:val="20"/>
        <w:szCs w:val="20"/>
        <w:lang w:val="lv-LV"/>
      </w:rPr>
      <w:t xml:space="preserve"> 3.2. apakšpunktā dotā uzdevuma atzīšanu par aktualitāti zaudējušu</w:t>
    </w:r>
    <w:r w:rsidR="004958AB">
      <w:rPr>
        <w:sz w:val="20"/>
        <w:szCs w:val="20"/>
        <w:lang w:val="lv-LV"/>
      </w:rPr>
      <w:t>’’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AE" w:rsidRDefault="00724AAE" w:rsidP="0038657A">
      <w:r>
        <w:separator/>
      </w:r>
    </w:p>
  </w:footnote>
  <w:footnote w:type="continuationSeparator" w:id="0">
    <w:p w:rsidR="00724AAE" w:rsidRDefault="00724AAE" w:rsidP="0038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57A"/>
    <w:rsid w:val="00027179"/>
    <w:rsid w:val="00061C2F"/>
    <w:rsid w:val="000A15F7"/>
    <w:rsid w:val="000B2266"/>
    <w:rsid w:val="000D1D6F"/>
    <w:rsid w:val="0012209B"/>
    <w:rsid w:val="00147FD1"/>
    <w:rsid w:val="002E772D"/>
    <w:rsid w:val="00357CCF"/>
    <w:rsid w:val="0038657A"/>
    <w:rsid w:val="00491277"/>
    <w:rsid w:val="004958AB"/>
    <w:rsid w:val="004D796D"/>
    <w:rsid w:val="005A52D5"/>
    <w:rsid w:val="00616972"/>
    <w:rsid w:val="00641C5E"/>
    <w:rsid w:val="00724AAE"/>
    <w:rsid w:val="00750619"/>
    <w:rsid w:val="007876E7"/>
    <w:rsid w:val="007F37AD"/>
    <w:rsid w:val="008149D8"/>
    <w:rsid w:val="00984C8F"/>
    <w:rsid w:val="009B33BF"/>
    <w:rsid w:val="009B7FF5"/>
    <w:rsid w:val="00A34DEF"/>
    <w:rsid w:val="00A47213"/>
    <w:rsid w:val="00A72635"/>
    <w:rsid w:val="00B6017A"/>
    <w:rsid w:val="00ED2A80"/>
    <w:rsid w:val="00EF5461"/>
    <w:rsid w:val="00F12A69"/>
    <w:rsid w:val="00F602D3"/>
    <w:rsid w:val="00F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38657A"/>
    <w:pPr>
      <w:spacing w:before="100" w:beforeAutospacing="1" w:after="100" w:afterAutospacing="1"/>
    </w:pPr>
    <w:rPr>
      <w:lang w:val="lv-LV" w:eastAsia="lv-LV"/>
    </w:rPr>
  </w:style>
  <w:style w:type="paragraph" w:styleId="Footer">
    <w:name w:val="footer"/>
    <w:basedOn w:val="Normal"/>
    <w:link w:val="FooterChar"/>
    <w:unhideWhenUsed/>
    <w:rsid w:val="003865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38657A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86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865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38657A"/>
    <w:pPr>
      <w:spacing w:before="100" w:beforeAutospacing="1" w:after="100" w:afterAutospacing="1"/>
    </w:pPr>
    <w:rPr>
      <w:lang w:val="lv-LV" w:eastAsia="lv-LV"/>
    </w:rPr>
  </w:style>
  <w:style w:type="paragraph" w:styleId="Footer">
    <w:name w:val="footer"/>
    <w:basedOn w:val="Normal"/>
    <w:link w:val="FooterChar"/>
    <w:unhideWhenUsed/>
    <w:rsid w:val="0038657A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38657A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86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57A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72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6169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lvija.gutane@t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2012. gada 20. marta protokollēmuma (prot. Nr.16 30.§) „Informatīvais ziņojums „Par pasākumiem ar dzīvokļa īpašuma lietošanu saistīto parādu problēmas risināšanai ” 3.2. apakšpunktā dotā uzdevuma atzīšanu par aktualitāti zaudējušu </vt:lpstr>
      <vt:lpstr>Grozījums Ministru kabineta 2012. gada 20. marta protokolā Nr.16 30.§ „Informatīvais ziņojums „Par pasākumiem ar dzīvokļa īpašuma lietošanu saistīto parādu problēmas risināšanai ” 3.2. apakšpunktā </vt:lpstr>
    </vt:vector>
  </TitlesOfParts>
  <Company>Tieslietu Sektors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 gada 20. marta protokollēmuma (prot. Nr.16 30.§) „Informatīvais ziņojums „Par pasākumiem ar dzīvokļa īpašuma lietošanu saistīto parādu problēmas risināšanai ” 3.2. apakšpunktā dotā uzdevuma atzīšanu par aktualitāti zaudējušu </dc:title>
  <dc:subject>Rīkojuma projekts</dc:subject>
  <dc:creator>Olga Paipala</dc:creator>
  <dc:description>olga.paipala@tm.gov.lv
67046107</dc:description>
  <cp:lastModifiedBy>Marika Pudāne</cp:lastModifiedBy>
  <cp:revision>16</cp:revision>
  <cp:lastPrinted>2012-11-23T10:41:00Z</cp:lastPrinted>
  <dcterms:created xsi:type="dcterms:W3CDTF">2012-11-08T16:31:00Z</dcterms:created>
  <dcterms:modified xsi:type="dcterms:W3CDTF">2012-11-23T10:41:00Z</dcterms:modified>
</cp:coreProperties>
</file>