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EFE" w:rsidRPr="00EF59C6" w:rsidRDefault="00AF3EFE" w:rsidP="00AF3EFE">
      <w:pPr>
        <w:pStyle w:val="Nosaukums"/>
        <w:outlineLvl w:val="0"/>
      </w:pPr>
      <w:bookmarkStart w:id="0" w:name="OLE_LINK7"/>
      <w:bookmarkStart w:id="1" w:name="OLE_LINK8"/>
      <w:bookmarkStart w:id="2" w:name="OLE_LINK9"/>
      <w:bookmarkStart w:id="3" w:name="OLE_LINK10"/>
      <w:r w:rsidRPr="00EF59C6">
        <w:t>Informatīvais ziņojums</w:t>
      </w:r>
    </w:p>
    <w:p w:rsidR="00AF3EFE" w:rsidRPr="00EF59C6" w:rsidRDefault="00BB5407" w:rsidP="00AF3EFE">
      <w:pPr>
        <w:jc w:val="center"/>
        <w:rPr>
          <w:b/>
          <w:bCs/>
        </w:rPr>
      </w:pPr>
      <w:bookmarkStart w:id="4" w:name="OLE_LINK5"/>
      <w:bookmarkStart w:id="5" w:name="OLE_LINK6"/>
      <w:bookmarkStart w:id="6" w:name="OLE_LINK1"/>
      <w:bookmarkEnd w:id="0"/>
      <w:bookmarkEnd w:id="1"/>
      <w:r w:rsidRPr="00EF59C6">
        <w:rPr>
          <w:b/>
          <w:bCs/>
        </w:rPr>
        <w:t xml:space="preserve">par </w:t>
      </w:r>
      <w:r w:rsidR="00AF3EFE" w:rsidRPr="00EF59C6">
        <w:rPr>
          <w:b/>
        </w:rPr>
        <w:t xml:space="preserve">Tieslietu un iekšlietu ministru padomes </w:t>
      </w:r>
      <w:r w:rsidR="00AF3EFE" w:rsidRPr="00EF59C6">
        <w:rPr>
          <w:b/>
          <w:bCs/>
        </w:rPr>
        <w:t>201</w:t>
      </w:r>
      <w:r w:rsidR="00096204" w:rsidRPr="00EF59C6">
        <w:rPr>
          <w:b/>
          <w:bCs/>
        </w:rPr>
        <w:t>1</w:t>
      </w:r>
      <w:r w:rsidR="00AF3EFE" w:rsidRPr="00EF59C6">
        <w:rPr>
          <w:b/>
          <w:bCs/>
        </w:rPr>
        <w:t>. </w:t>
      </w:r>
      <w:r w:rsidR="00606F89" w:rsidRPr="00EF59C6">
        <w:rPr>
          <w:b/>
          <w:bCs/>
        </w:rPr>
        <w:t>g</w:t>
      </w:r>
      <w:r w:rsidR="00AF3EFE" w:rsidRPr="00EF59C6">
        <w:rPr>
          <w:b/>
          <w:bCs/>
        </w:rPr>
        <w:t>ada</w:t>
      </w:r>
      <w:r w:rsidR="00606F89" w:rsidRPr="00EF59C6">
        <w:rPr>
          <w:b/>
          <w:bCs/>
        </w:rPr>
        <w:t xml:space="preserve"> </w:t>
      </w:r>
      <w:r w:rsidR="00AA6241">
        <w:rPr>
          <w:b/>
          <w:bCs/>
        </w:rPr>
        <w:t>22</w:t>
      </w:r>
      <w:r w:rsidR="00096204" w:rsidRPr="00EF59C6">
        <w:rPr>
          <w:b/>
          <w:bCs/>
        </w:rPr>
        <w:t>.-</w:t>
      </w:r>
      <w:r w:rsidR="00AA6241">
        <w:rPr>
          <w:b/>
          <w:bCs/>
        </w:rPr>
        <w:t>23</w:t>
      </w:r>
      <w:r w:rsidR="00AF3EFE" w:rsidRPr="00EF59C6">
        <w:rPr>
          <w:b/>
          <w:bCs/>
        </w:rPr>
        <w:t>.</w:t>
      </w:r>
      <w:r w:rsidR="00606F89" w:rsidRPr="00EF59C6">
        <w:rPr>
          <w:b/>
          <w:bCs/>
        </w:rPr>
        <w:t> </w:t>
      </w:r>
      <w:r w:rsidR="00AA6241">
        <w:rPr>
          <w:b/>
          <w:bCs/>
        </w:rPr>
        <w:t>septembra</w:t>
      </w:r>
      <w:r w:rsidR="00AF3EFE" w:rsidRPr="00EF59C6">
        <w:rPr>
          <w:b/>
          <w:bCs/>
        </w:rPr>
        <w:t xml:space="preserve"> </w:t>
      </w:r>
      <w:r w:rsidR="00AF3EFE" w:rsidRPr="00EF59C6">
        <w:rPr>
          <w:b/>
        </w:rPr>
        <w:t>sanāksm</w:t>
      </w:r>
      <w:r w:rsidR="00AF3EFE" w:rsidRPr="00EF59C6">
        <w:rPr>
          <w:b/>
          <w:bCs/>
        </w:rPr>
        <w:t xml:space="preserve">ē izskatāmajiem jautājumiem </w:t>
      </w:r>
    </w:p>
    <w:bookmarkEnd w:id="4"/>
    <w:bookmarkEnd w:id="5"/>
    <w:bookmarkEnd w:id="6"/>
    <w:bookmarkEnd w:id="2"/>
    <w:bookmarkEnd w:id="3"/>
    <w:p w:rsidR="00AF3EFE" w:rsidRPr="00EF59C6" w:rsidRDefault="00AF3EFE" w:rsidP="00AF3EFE">
      <w:pPr>
        <w:jc w:val="center"/>
      </w:pPr>
    </w:p>
    <w:p w:rsidR="00E0698D" w:rsidRPr="00EF59C6" w:rsidRDefault="00E0698D" w:rsidP="00E0698D">
      <w:pPr>
        <w:pStyle w:val="Virsraksts5"/>
        <w:jc w:val="both"/>
      </w:pPr>
      <w:r w:rsidRPr="00EF59C6">
        <w:t>I Ministru padomes sanāksmes darba kārtība</w:t>
      </w:r>
    </w:p>
    <w:p w:rsidR="00E0698D" w:rsidRPr="00EF59C6" w:rsidRDefault="00E0698D" w:rsidP="00AF3EFE">
      <w:pPr>
        <w:jc w:val="center"/>
      </w:pPr>
    </w:p>
    <w:p w:rsidR="004D32DC" w:rsidRPr="00EF59C6" w:rsidRDefault="00832E5B" w:rsidP="00AF3EFE">
      <w:pPr>
        <w:ind w:firstLine="720"/>
        <w:jc w:val="both"/>
      </w:pPr>
      <w:r>
        <w:t xml:space="preserve">Briselē, Beļģijā </w:t>
      </w:r>
      <w:r w:rsidR="00AF3EFE" w:rsidRPr="00EF59C6">
        <w:t>201</w:t>
      </w:r>
      <w:r w:rsidR="00096204" w:rsidRPr="00EF59C6">
        <w:t>1</w:t>
      </w:r>
      <w:r w:rsidR="00AF3EFE" w:rsidRPr="00EF59C6">
        <w:t>.</w:t>
      </w:r>
      <w:r w:rsidR="00D61135" w:rsidRPr="00EF59C6">
        <w:t> </w:t>
      </w:r>
      <w:r w:rsidR="00AF3EFE" w:rsidRPr="00EF59C6">
        <w:rPr>
          <w:bCs/>
        </w:rPr>
        <w:t xml:space="preserve">gada </w:t>
      </w:r>
      <w:r w:rsidR="00AA6241">
        <w:rPr>
          <w:bCs/>
        </w:rPr>
        <w:t>22</w:t>
      </w:r>
      <w:r w:rsidR="00AF3EFE" w:rsidRPr="00EF59C6">
        <w:rPr>
          <w:bCs/>
        </w:rPr>
        <w:t>.-</w:t>
      </w:r>
      <w:r w:rsidR="00AA6241">
        <w:rPr>
          <w:bCs/>
        </w:rPr>
        <w:t>23</w:t>
      </w:r>
      <w:r w:rsidR="00AF3EFE" w:rsidRPr="00EF59C6">
        <w:rPr>
          <w:bCs/>
        </w:rPr>
        <w:t>.</w:t>
      </w:r>
      <w:r w:rsidR="003C0458" w:rsidRPr="00EF59C6">
        <w:rPr>
          <w:bCs/>
        </w:rPr>
        <w:t> </w:t>
      </w:r>
      <w:r w:rsidR="00AA6241">
        <w:rPr>
          <w:bCs/>
        </w:rPr>
        <w:t>septembrī</w:t>
      </w:r>
      <w:r w:rsidR="003C0458" w:rsidRPr="00EF59C6">
        <w:rPr>
          <w:bCs/>
        </w:rPr>
        <w:t xml:space="preserve"> </w:t>
      </w:r>
      <w:r w:rsidR="00AF3EFE" w:rsidRPr="00EF59C6">
        <w:t xml:space="preserve">notiks kārtējā Eiropas Savienības (turpmāk – ES) Tieslietu un iekšlietu ministru padomes </w:t>
      </w:r>
      <w:r w:rsidR="00AF3EFE" w:rsidRPr="00EF59C6">
        <w:rPr>
          <w:iCs/>
        </w:rPr>
        <w:t>(turpmāk – Padome)</w:t>
      </w:r>
      <w:r w:rsidR="00AF3EFE" w:rsidRPr="00EF59C6">
        <w:t xml:space="preserve"> sanāksme, kura</w:t>
      </w:r>
      <w:r w:rsidR="007C2497" w:rsidRPr="00EF59C6">
        <w:t xml:space="preserve">s darba kārtībā ir </w:t>
      </w:r>
      <w:r w:rsidR="004D32DC" w:rsidRPr="00EF59C6">
        <w:t xml:space="preserve">ietverti šādi </w:t>
      </w:r>
      <w:r w:rsidR="00DB1FC3" w:rsidRPr="00EF59C6">
        <w:t>Tieslietu</w:t>
      </w:r>
      <w:r w:rsidR="00AA6241">
        <w:t xml:space="preserve"> </w:t>
      </w:r>
      <w:r w:rsidR="00DB1FC3" w:rsidRPr="00EF59C6">
        <w:t xml:space="preserve">ministrijas kompetencē esošie </w:t>
      </w:r>
      <w:r w:rsidR="004D32DC" w:rsidRPr="00EF59C6">
        <w:t>jautājumi</w:t>
      </w:r>
      <w:r w:rsidR="00DB1FC3" w:rsidRPr="00EF59C6">
        <w:t xml:space="preserve">: </w:t>
      </w:r>
    </w:p>
    <w:p w:rsidR="004D32DC" w:rsidRPr="00EF59C6" w:rsidRDefault="004D32DC" w:rsidP="00AF3EFE">
      <w:pPr>
        <w:ind w:firstLine="720"/>
        <w:jc w:val="both"/>
      </w:pPr>
    </w:p>
    <w:p w:rsidR="00AA6241" w:rsidRPr="00AA6241" w:rsidRDefault="00AA6241" w:rsidP="00AA6241">
      <w:pPr>
        <w:pStyle w:val="Sarakstarindkopa"/>
        <w:numPr>
          <w:ilvl w:val="0"/>
          <w:numId w:val="5"/>
        </w:numPr>
        <w:jc w:val="both"/>
      </w:pPr>
      <w:r w:rsidRPr="00AA6241">
        <w:t>Eiropas Parlamenta un Padomes direktīva</w:t>
      </w:r>
      <w:r w:rsidR="004D162B">
        <w:t xml:space="preserve">s projekts </w:t>
      </w:r>
      <w:r w:rsidRPr="00AA6241">
        <w:t xml:space="preserve">par Eiropas </w:t>
      </w:r>
      <w:r w:rsidR="002F7B4A">
        <w:t>a</w:t>
      </w:r>
      <w:r w:rsidRPr="00AA6241">
        <w:t>izsardzības rīkojumu;</w:t>
      </w:r>
    </w:p>
    <w:p w:rsidR="004D32DC" w:rsidRPr="00AA6241" w:rsidRDefault="007227F1" w:rsidP="00AA6241">
      <w:pPr>
        <w:pStyle w:val="Sarakstarindkopa"/>
        <w:numPr>
          <w:ilvl w:val="0"/>
          <w:numId w:val="5"/>
        </w:numPr>
        <w:jc w:val="both"/>
      </w:pPr>
      <w:r>
        <w:rPr>
          <w:bCs/>
        </w:rPr>
        <w:t>Eiropas Parlamenta un Padomes d</w:t>
      </w:r>
      <w:r w:rsidR="004D32DC" w:rsidRPr="00AA6241">
        <w:rPr>
          <w:bCs/>
        </w:rPr>
        <w:t>irektīva</w:t>
      </w:r>
      <w:r w:rsidR="004D162B">
        <w:rPr>
          <w:bCs/>
        </w:rPr>
        <w:t xml:space="preserve">s projekts </w:t>
      </w:r>
      <w:r w:rsidR="004D32DC" w:rsidRPr="00AA6241">
        <w:rPr>
          <w:bCs/>
        </w:rPr>
        <w:t>par tiesībām uz informāciju kriminālprocesā;</w:t>
      </w:r>
    </w:p>
    <w:p w:rsidR="004D32DC" w:rsidRPr="00EF59C6" w:rsidRDefault="00AA6241" w:rsidP="00AA6241">
      <w:pPr>
        <w:pStyle w:val="Sarakstarindkopa"/>
        <w:numPr>
          <w:ilvl w:val="0"/>
          <w:numId w:val="5"/>
        </w:numPr>
        <w:jc w:val="both"/>
      </w:pPr>
      <w:r w:rsidRPr="00AC41EA">
        <w:t>Eiropas Parlamenta un Padomes direktīva</w:t>
      </w:r>
      <w:r w:rsidR="00832E5B">
        <w:t>s projekts</w:t>
      </w:r>
      <w:r w:rsidRPr="00AC41EA">
        <w:t xml:space="preserve"> par tiesībām piekļūt advokātam kriminālprocesa ietvaros un tiesībām sazināties pēc aizturēšanas</w:t>
      </w:r>
      <w:r w:rsidR="004D32DC" w:rsidRPr="00EF59C6">
        <w:t>;</w:t>
      </w:r>
    </w:p>
    <w:p w:rsidR="004D32DC" w:rsidRPr="00EF59C6" w:rsidRDefault="007227F1" w:rsidP="004D32DC">
      <w:pPr>
        <w:pStyle w:val="Sarakstarindkopa"/>
        <w:numPr>
          <w:ilvl w:val="0"/>
          <w:numId w:val="5"/>
        </w:numPr>
        <w:jc w:val="both"/>
      </w:pPr>
      <w:r w:rsidRPr="007227F1">
        <w:t>Eiropas Parlamenta un Padomes regula</w:t>
      </w:r>
      <w:r w:rsidR="0040296B">
        <w:t>s projekts</w:t>
      </w:r>
      <w:r w:rsidRPr="007227F1">
        <w:t xml:space="preserve"> </w:t>
      </w:r>
      <w:r w:rsidRPr="007227F1">
        <w:rPr>
          <w:lang w:eastAsia="lv-LV"/>
        </w:rPr>
        <w:t>ar ko izveido Eiropas kontu apķīlāšanas rīkojumu, lai atvieglotu pārrobežu parādu piedziņu civillietās un komerclietās</w:t>
      </w:r>
      <w:r w:rsidR="004D32DC" w:rsidRPr="00EF59C6">
        <w:t>;</w:t>
      </w:r>
    </w:p>
    <w:p w:rsidR="004D32DC" w:rsidRPr="000376A8" w:rsidRDefault="000376A8" w:rsidP="000376A8">
      <w:pPr>
        <w:pStyle w:val="Sarakstarindkopa"/>
        <w:numPr>
          <w:ilvl w:val="0"/>
          <w:numId w:val="5"/>
        </w:numPr>
        <w:jc w:val="both"/>
      </w:pPr>
      <w:r w:rsidRPr="000376A8">
        <w:t>Komisijas komunikācija Eiropas Parlamentam, Padomei un Eiropas Ekonomikas un Sociālo lietu komitejai un Reģionu komitejai par tieslietu sistēmas darbinieku apmācībām.</w:t>
      </w:r>
    </w:p>
    <w:p w:rsidR="00A37F6E" w:rsidRPr="00EF59C6" w:rsidRDefault="00A37F6E" w:rsidP="00A37F6E">
      <w:pPr>
        <w:pStyle w:val="Sarakstarindkopa"/>
        <w:ind w:left="709" w:right="-1"/>
        <w:jc w:val="both"/>
      </w:pPr>
      <w:bookmarkStart w:id="7" w:name="OLE_LINK2"/>
    </w:p>
    <w:bookmarkEnd w:id="7"/>
    <w:p w:rsidR="00996994" w:rsidRPr="00EF59C6" w:rsidRDefault="00080FBE" w:rsidP="00996994">
      <w:pPr>
        <w:pStyle w:val="Pamatteksts2"/>
        <w:jc w:val="both"/>
        <w:rPr>
          <w:b/>
          <w:bCs/>
          <w:sz w:val="24"/>
          <w:szCs w:val="24"/>
          <w:u w:val="single"/>
        </w:rPr>
      </w:pPr>
      <w:r w:rsidRPr="00EF59C6">
        <w:rPr>
          <w:b/>
          <w:bCs/>
          <w:sz w:val="24"/>
          <w:szCs w:val="24"/>
          <w:u w:val="single"/>
        </w:rPr>
        <w:t>I</w:t>
      </w:r>
      <w:r w:rsidR="00996994" w:rsidRPr="00EF59C6">
        <w:rPr>
          <w:b/>
          <w:bCs/>
          <w:sz w:val="24"/>
          <w:szCs w:val="24"/>
          <w:u w:val="single"/>
        </w:rPr>
        <w:t xml:space="preserve">I </w:t>
      </w:r>
      <w:r w:rsidRPr="00EF59C6">
        <w:rPr>
          <w:b/>
          <w:bCs/>
          <w:sz w:val="24"/>
          <w:szCs w:val="24"/>
          <w:u w:val="single"/>
        </w:rPr>
        <w:t xml:space="preserve">Jautājumu būtība </w:t>
      </w:r>
    </w:p>
    <w:p w:rsidR="00C655A0" w:rsidRPr="00EF59C6" w:rsidRDefault="00C7575F" w:rsidP="00C7575F">
      <w:pPr>
        <w:pStyle w:val="Sarakstarindkopa"/>
        <w:ind w:left="644"/>
        <w:jc w:val="both"/>
      </w:pPr>
      <w:r w:rsidRPr="00EF59C6">
        <w:t xml:space="preserve">       </w:t>
      </w:r>
    </w:p>
    <w:p w:rsidR="00E51B15" w:rsidRPr="00EF59C6" w:rsidRDefault="00E51B15" w:rsidP="00E51B15">
      <w:pPr>
        <w:pStyle w:val="Sarakstarindkopa"/>
        <w:numPr>
          <w:ilvl w:val="0"/>
          <w:numId w:val="19"/>
        </w:numPr>
        <w:contextualSpacing w:val="0"/>
        <w:jc w:val="both"/>
        <w:rPr>
          <w:b/>
          <w:bCs/>
        </w:rPr>
      </w:pPr>
      <w:r w:rsidRPr="00EF59C6">
        <w:rPr>
          <w:b/>
          <w:bCs/>
        </w:rPr>
        <w:t>Eiropas Parlamenta un Padomes direktīva</w:t>
      </w:r>
      <w:r w:rsidR="004D162B">
        <w:rPr>
          <w:b/>
          <w:bCs/>
        </w:rPr>
        <w:t xml:space="preserve">s projekts </w:t>
      </w:r>
      <w:r w:rsidRPr="00EF59C6">
        <w:rPr>
          <w:b/>
          <w:bCs/>
        </w:rPr>
        <w:t xml:space="preserve">par </w:t>
      </w:r>
      <w:r w:rsidR="00AA6241">
        <w:rPr>
          <w:b/>
          <w:bCs/>
        </w:rPr>
        <w:t xml:space="preserve">Eiropas </w:t>
      </w:r>
      <w:r w:rsidR="002F7B4A">
        <w:rPr>
          <w:b/>
          <w:bCs/>
        </w:rPr>
        <w:t>a</w:t>
      </w:r>
      <w:r w:rsidR="00AA6241">
        <w:rPr>
          <w:b/>
          <w:bCs/>
        </w:rPr>
        <w:t>izsardzības rīkojumu</w:t>
      </w:r>
    </w:p>
    <w:p w:rsidR="00AA6241" w:rsidRPr="003D1167" w:rsidRDefault="00AA6241" w:rsidP="002F7B4A">
      <w:pPr>
        <w:ind w:firstLine="709"/>
        <w:jc w:val="both"/>
      </w:pPr>
      <w:r w:rsidRPr="003D1167">
        <w:t>Padomes sanāksmē dalībvalstu ministri tiek aicināti apstiprināt Padomes pozīciju pirmajā lasījumā</w:t>
      </w:r>
      <w:r w:rsidR="0037551C">
        <w:t xml:space="preserve"> Eiropas </w:t>
      </w:r>
      <w:r w:rsidR="004D162B">
        <w:t>Parlamentā</w:t>
      </w:r>
      <w:r w:rsidRPr="003D1167">
        <w:t xml:space="preserve">. </w:t>
      </w:r>
    </w:p>
    <w:p w:rsidR="00AA6241" w:rsidRPr="003D1167" w:rsidRDefault="00AA6241" w:rsidP="003D1167">
      <w:pPr>
        <w:ind w:firstLine="709"/>
        <w:jc w:val="both"/>
        <w:rPr>
          <w:bCs/>
        </w:rPr>
      </w:pPr>
      <w:r w:rsidRPr="003D1167">
        <w:rPr>
          <w:bCs/>
        </w:rPr>
        <w:t>Direktīva</w:t>
      </w:r>
      <w:r w:rsidR="00BF7587">
        <w:rPr>
          <w:bCs/>
        </w:rPr>
        <w:t>s projekts</w:t>
      </w:r>
      <w:r w:rsidRPr="003D1167">
        <w:rPr>
          <w:bCs/>
        </w:rPr>
        <w:t xml:space="preserve"> paredz Eiropas </w:t>
      </w:r>
      <w:r w:rsidR="002F7B4A">
        <w:rPr>
          <w:bCs/>
        </w:rPr>
        <w:t>a</w:t>
      </w:r>
      <w:r w:rsidRPr="003D1167">
        <w:rPr>
          <w:bCs/>
        </w:rPr>
        <w:t>izsardzības rīkojuma kā sadarbības instrumenta izveidi E</w:t>
      </w:r>
      <w:r w:rsidR="00494DB0">
        <w:rPr>
          <w:bCs/>
        </w:rPr>
        <w:t>S</w:t>
      </w:r>
      <w:r w:rsidRPr="003D1167">
        <w:rPr>
          <w:bCs/>
        </w:rPr>
        <w:t xml:space="preserve"> līmenī</w:t>
      </w:r>
      <w:r w:rsidR="00494DB0">
        <w:rPr>
          <w:bCs/>
        </w:rPr>
        <w:t xml:space="preserve">, </w:t>
      </w:r>
      <w:r w:rsidRPr="003D1167">
        <w:rPr>
          <w:bCs/>
        </w:rPr>
        <w:t>nodrošin</w:t>
      </w:r>
      <w:r w:rsidR="00494DB0">
        <w:rPr>
          <w:bCs/>
        </w:rPr>
        <w:t>ot</w:t>
      </w:r>
      <w:r w:rsidRPr="003D1167">
        <w:rPr>
          <w:bCs/>
        </w:rPr>
        <w:t xml:space="preserve"> vienā dalībvalstī noteikto aizsardzības pasākumu, kas vērsti uz cietušās vai apdraudētās personas aizsardzību, piemērošanu citas dalībvalsts teritorijā. </w:t>
      </w:r>
    </w:p>
    <w:p w:rsidR="009A3340" w:rsidRPr="003D1167" w:rsidRDefault="00494DB0" w:rsidP="00494DB0">
      <w:pPr>
        <w:ind w:firstLine="709"/>
        <w:jc w:val="both"/>
      </w:pPr>
      <w:r>
        <w:t xml:space="preserve">Līdzšinējās diskusijās </w:t>
      </w:r>
      <w:r w:rsidR="009A3340" w:rsidRPr="003D1167">
        <w:t>Latvija, tāpat, kā arī vairākas citas dalībvalstis, pauda viedokli, ka direktīvas</w:t>
      </w:r>
      <w:r>
        <w:t xml:space="preserve"> projekta</w:t>
      </w:r>
      <w:r w:rsidR="009A3340" w:rsidRPr="003D1167">
        <w:t xml:space="preserve"> saturs neatbilda</w:t>
      </w:r>
      <w:r w:rsidR="00AA6241" w:rsidRPr="003D1167">
        <w:t xml:space="preserve"> tā izdošanai piedāvātajam juridiskajām pamatam</w:t>
      </w:r>
      <w:r w:rsidR="009A3340" w:rsidRPr="003D1167">
        <w:t xml:space="preserve">, jo direktīvas </w:t>
      </w:r>
      <w:r>
        <w:t xml:space="preserve">projekta </w:t>
      </w:r>
      <w:r w:rsidR="009A3340" w:rsidRPr="003D1167">
        <w:t>darbības joma attiecās gan uz aizsardzības pasākumiem, kas pieņemti kriminālprocesā, gan uz civiltiesību jomu.</w:t>
      </w:r>
      <w:r w:rsidR="009A3340" w:rsidRPr="003D1167">
        <w:rPr>
          <w:rStyle w:val="Vresatsauce"/>
        </w:rPr>
        <w:footnoteReference w:id="1"/>
      </w:r>
      <w:r w:rsidR="009A3340" w:rsidRPr="003D1167">
        <w:t xml:space="preserve"> </w:t>
      </w:r>
    </w:p>
    <w:p w:rsidR="009A3340" w:rsidRPr="003D1167" w:rsidRDefault="00494DB0" w:rsidP="00494DB0">
      <w:pPr>
        <w:ind w:firstLine="709"/>
        <w:jc w:val="both"/>
        <w:rPr>
          <w:bCs/>
        </w:rPr>
      </w:pPr>
      <w:r>
        <w:rPr>
          <w:bCs/>
        </w:rPr>
        <w:t>Lai risinātu iepriekš minētās dalībva</w:t>
      </w:r>
      <w:r w:rsidR="00EE1D04">
        <w:rPr>
          <w:bCs/>
        </w:rPr>
        <w:t>lstu bažas, direktīvas projekta darbības joma ir sašaurināta un tam</w:t>
      </w:r>
      <w:r>
        <w:rPr>
          <w:bCs/>
        </w:rPr>
        <w:t xml:space="preserve"> ir pievienota </w:t>
      </w:r>
      <w:r w:rsidR="009A3340" w:rsidRPr="003D1167">
        <w:rPr>
          <w:bCs/>
        </w:rPr>
        <w:t>deklarācij</w:t>
      </w:r>
      <w:r>
        <w:rPr>
          <w:bCs/>
        </w:rPr>
        <w:t>a</w:t>
      </w:r>
      <w:r w:rsidR="009A3340" w:rsidRPr="003D1167">
        <w:rPr>
          <w:bCs/>
        </w:rPr>
        <w:t xml:space="preserve">, kas paskaidro, ka Eiropas </w:t>
      </w:r>
      <w:r>
        <w:rPr>
          <w:bCs/>
        </w:rPr>
        <w:t>A</w:t>
      </w:r>
      <w:r w:rsidR="009A3340" w:rsidRPr="003D1167">
        <w:rPr>
          <w:bCs/>
        </w:rPr>
        <w:t>izsardzības rīkojums attiecas tikai uz krimināltiesībām, savukārt civiltiesību jomā izstrādā</w:t>
      </w:r>
      <w:r>
        <w:rPr>
          <w:bCs/>
        </w:rPr>
        <w:t xml:space="preserve">jams </w:t>
      </w:r>
      <w:r w:rsidR="009A3340" w:rsidRPr="003D1167">
        <w:rPr>
          <w:bCs/>
        </w:rPr>
        <w:t xml:space="preserve">jauns </w:t>
      </w:r>
      <w:r>
        <w:rPr>
          <w:bCs/>
        </w:rPr>
        <w:t xml:space="preserve">tiesību </w:t>
      </w:r>
      <w:r w:rsidR="009A3340" w:rsidRPr="003D1167">
        <w:rPr>
          <w:bCs/>
        </w:rPr>
        <w:t xml:space="preserve">instruments. </w:t>
      </w:r>
      <w:r>
        <w:rPr>
          <w:bCs/>
        </w:rPr>
        <w:t>Latvija atbalsta piedāvāto risinājumu un Padomes pozīciju pirmajā lasījumā Eiropas Parlamentā. Latvija uzskata, ka t</w:t>
      </w:r>
      <w:r w:rsidR="009A3340" w:rsidRPr="003D1167">
        <w:rPr>
          <w:bCs/>
        </w:rPr>
        <w:t xml:space="preserve">urpmāko diskusiju laikā </w:t>
      </w:r>
      <w:r>
        <w:rPr>
          <w:bCs/>
        </w:rPr>
        <w:t xml:space="preserve">īpaša uzmanība ir jāvelta direktīvas projekta </w:t>
      </w:r>
      <w:r w:rsidR="009A3340" w:rsidRPr="003D1167">
        <w:t>korelācij</w:t>
      </w:r>
      <w:r>
        <w:t xml:space="preserve">ai </w:t>
      </w:r>
      <w:r w:rsidR="009A3340" w:rsidRPr="003D1167">
        <w:t xml:space="preserve">ar civiltiesību jomā </w:t>
      </w:r>
      <w:r>
        <w:t xml:space="preserve">izstrādājamo tiesību instrumentu, nodrošinot pilnvērtīgu un visaptverošu </w:t>
      </w:r>
      <w:r w:rsidR="003B1875">
        <w:t>noziedzīgos nodarījumos cietušo pārrobežo aizsardzību</w:t>
      </w:r>
      <w:r w:rsidR="00DC5C47">
        <w:t xml:space="preserve"> ES</w:t>
      </w:r>
      <w:r w:rsidR="009A3340" w:rsidRPr="003D1167">
        <w:t>.</w:t>
      </w:r>
    </w:p>
    <w:p w:rsidR="00E51B15" w:rsidRPr="003D1167" w:rsidRDefault="00E51B15" w:rsidP="003D1167">
      <w:pPr>
        <w:jc w:val="both"/>
      </w:pPr>
    </w:p>
    <w:p w:rsidR="00E51B15" w:rsidRPr="003D1167" w:rsidRDefault="007227F1" w:rsidP="003D1167">
      <w:pPr>
        <w:pStyle w:val="Sarakstarindkopa"/>
        <w:numPr>
          <w:ilvl w:val="0"/>
          <w:numId w:val="19"/>
        </w:numPr>
        <w:contextualSpacing w:val="0"/>
        <w:jc w:val="both"/>
      </w:pPr>
      <w:r>
        <w:rPr>
          <w:b/>
          <w:bCs/>
        </w:rPr>
        <w:t>Eiropas Parlamenta un Padomes d</w:t>
      </w:r>
      <w:r w:rsidR="00E51B15" w:rsidRPr="003D1167">
        <w:rPr>
          <w:b/>
          <w:bCs/>
        </w:rPr>
        <w:t>irektīva</w:t>
      </w:r>
      <w:r w:rsidR="002268DD">
        <w:rPr>
          <w:b/>
          <w:bCs/>
        </w:rPr>
        <w:t>s projekts</w:t>
      </w:r>
      <w:r w:rsidR="00E51B15" w:rsidRPr="003D1167">
        <w:rPr>
          <w:b/>
          <w:bCs/>
        </w:rPr>
        <w:t xml:space="preserve"> par tiesībām uz informāciju kriminālprocesā</w:t>
      </w:r>
    </w:p>
    <w:p w:rsidR="002F7B4A" w:rsidRDefault="00E51B15" w:rsidP="003D1167">
      <w:pPr>
        <w:ind w:firstLine="709"/>
        <w:jc w:val="both"/>
      </w:pPr>
      <w:r w:rsidRPr="003D1167">
        <w:t xml:space="preserve">Padomes sanāksmē dalībvalstu ministri tiks informēti par progresu Prezidentūras un </w:t>
      </w:r>
      <w:r w:rsidR="002F7B4A">
        <w:t xml:space="preserve">Eiropas </w:t>
      </w:r>
      <w:r w:rsidRPr="003D1167">
        <w:t xml:space="preserve">Komisijas sarunās ar Eiropas Parlamentu. </w:t>
      </w:r>
    </w:p>
    <w:p w:rsidR="003267DA" w:rsidRPr="003D1167" w:rsidRDefault="003267DA" w:rsidP="003267DA">
      <w:pPr>
        <w:ind w:firstLine="709"/>
        <w:jc w:val="both"/>
      </w:pPr>
      <w:r w:rsidRPr="003D1167">
        <w:lastRenderedPageBreak/>
        <w:t xml:space="preserve">Direktīvas </w:t>
      </w:r>
      <w:r>
        <w:t xml:space="preserve">projekta </w:t>
      </w:r>
      <w:r w:rsidRPr="003D1167">
        <w:t>mērķis ir stiprināt aizdomās turēto un apsūdzēto tiesības kriminālprocesā, nodrošinot šo personu tiesības uz informāciju. Direktīva</w:t>
      </w:r>
      <w:r>
        <w:t xml:space="preserve">s projekts </w:t>
      </w:r>
      <w:r w:rsidRPr="003D1167">
        <w:t>paredz vienotus minimālus standartus attiecībā uz tiesībām uz informāciju kriminālprocesā, kam būtu jāatvieglo savstarpējās atzīšanas principa piemērošana ES, tādējādi uzlabojot ES dalībvalstu tiesu iestāžu sadarbību krimināllietās.</w:t>
      </w:r>
    </w:p>
    <w:p w:rsidR="00E51B15" w:rsidRPr="003D1167" w:rsidRDefault="00E51B15" w:rsidP="003D1167">
      <w:pPr>
        <w:ind w:firstLine="709"/>
        <w:jc w:val="both"/>
      </w:pPr>
      <w:r w:rsidRPr="003D1167">
        <w:t xml:space="preserve">Dalībvalstu vienošanās par </w:t>
      </w:r>
      <w:r w:rsidR="009A3340" w:rsidRPr="003D1167">
        <w:t>vispārēju pieeju attiecībā uz direktīvas</w:t>
      </w:r>
      <w:r w:rsidR="002F7B4A">
        <w:t xml:space="preserve"> projekt</w:t>
      </w:r>
      <w:r w:rsidR="003267DA">
        <w:t xml:space="preserve">u </w:t>
      </w:r>
      <w:r w:rsidR="002F7B4A">
        <w:t xml:space="preserve">tika panākta 2010.gada </w:t>
      </w:r>
      <w:r w:rsidR="00EE1D04">
        <w:t xml:space="preserve">2.-3. decembra </w:t>
      </w:r>
      <w:r w:rsidRPr="003D1167">
        <w:t>ES Tieslietu un iekšlietu ministru padomes sanāksmē.</w:t>
      </w:r>
    </w:p>
    <w:p w:rsidR="003267DA" w:rsidRDefault="009A3340" w:rsidP="00B04AAF">
      <w:pPr>
        <w:ind w:firstLine="709"/>
        <w:jc w:val="both"/>
      </w:pPr>
      <w:r w:rsidRPr="003D1167">
        <w:t>Ungārijas prezidentūras laikā</w:t>
      </w:r>
      <w:r w:rsidR="003267DA">
        <w:t xml:space="preserve"> tika uzsāktas sarunas ar </w:t>
      </w:r>
      <w:r w:rsidRPr="003D1167">
        <w:t>Eiropas Parlamentu</w:t>
      </w:r>
      <w:r w:rsidR="003267DA">
        <w:t xml:space="preserve">, kas turpinās arī Polijas prezidentūras laikā. </w:t>
      </w:r>
      <w:r w:rsidR="002464AA" w:rsidRPr="00CA377C">
        <w:t xml:space="preserve">Kaut gan ir panākts progress par direktīvas </w:t>
      </w:r>
      <w:r w:rsidR="00136F59" w:rsidRPr="00CA377C">
        <w:t xml:space="preserve">projekta </w:t>
      </w:r>
      <w:r w:rsidR="002464AA" w:rsidRPr="00CA377C">
        <w:t>tekstu kopumā, ņ</w:t>
      </w:r>
      <w:r w:rsidR="003267DA" w:rsidRPr="00CA377C">
        <w:t xml:space="preserve">emot vērā Eiropas Parlamenta ambiciozo nostāju </w:t>
      </w:r>
      <w:r w:rsidR="00136F59" w:rsidRPr="00CA377C">
        <w:t xml:space="preserve">jautājumā par </w:t>
      </w:r>
      <w:r w:rsidR="002464AA" w:rsidRPr="00CA377C">
        <w:t>informāciju uz tiesībām un neaizsargāto personu tiesību regulē</w:t>
      </w:r>
      <w:r w:rsidR="00136F59" w:rsidRPr="00CA377C">
        <w:t>juma nepieciešamību</w:t>
      </w:r>
      <w:r w:rsidR="003267DA" w:rsidRPr="00CA377C">
        <w:t xml:space="preserve">, šobrīd ir panākta provizoriska vienošanās par atsevišķiem direktīvas projekta pantiem, kas </w:t>
      </w:r>
      <w:r w:rsidR="002464AA" w:rsidRPr="00CA377C">
        <w:t>attiecas uz</w:t>
      </w:r>
      <w:r w:rsidR="003267DA" w:rsidRPr="00CA377C">
        <w:t xml:space="preserve"> </w:t>
      </w:r>
      <w:r w:rsidR="002464AA" w:rsidRPr="00CA377C">
        <w:t>direktīvas darbības jomu</w:t>
      </w:r>
      <w:r w:rsidR="00136F59" w:rsidRPr="00CA377C">
        <w:t xml:space="preserve">, </w:t>
      </w:r>
      <w:r w:rsidR="002464AA" w:rsidRPr="00CA377C">
        <w:t>apmācīb</w:t>
      </w:r>
      <w:r w:rsidR="00136F59" w:rsidRPr="00CA377C">
        <w:t>ām</w:t>
      </w:r>
      <w:r w:rsidR="002464AA" w:rsidRPr="00CA377C">
        <w:t xml:space="preserve"> policijas darbinie</w:t>
      </w:r>
      <w:r w:rsidR="00136F59" w:rsidRPr="00CA377C">
        <w:t>kiem, prokuroriem un tiesnešiem,</w:t>
      </w:r>
      <w:r w:rsidR="002464AA" w:rsidRPr="00CA377C">
        <w:t xml:space="preserve"> kā arī par noteikumu stingrības nemazināšanas klauzulu</w:t>
      </w:r>
      <w:r w:rsidR="00136F59" w:rsidRPr="00CA377C">
        <w:t xml:space="preserve">. </w:t>
      </w:r>
      <w:r w:rsidR="002464AA" w:rsidRPr="00CA377C">
        <w:t xml:space="preserve">Papildus minētajam, </w:t>
      </w:r>
      <w:r w:rsidR="00AC41EA" w:rsidRPr="00CA377C">
        <w:t xml:space="preserve">Padomes līmenī </w:t>
      </w:r>
      <w:r w:rsidRPr="00CA377C">
        <w:t xml:space="preserve">ir panākta vienošanās </w:t>
      </w:r>
      <w:r w:rsidR="00AC41EA" w:rsidRPr="00CA377C">
        <w:t>attiecībā uz direktīvas pielikumiem</w:t>
      </w:r>
      <w:r w:rsidR="003267DA" w:rsidRPr="00CA377C">
        <w:t>, proti, par pielikumu nesaistošo juridisko statusu.</w:t>
      </w:r>
      <w:r w:rsidR="003267DA">
        <w:t xml:space="preserve"> </w:t>
      </w:r>
    </w:p>
    <w:p w:rsidR="003267DA" w:rsidRDefault="003267DA" w:rsidP="00B04AAF">
      <w:pPr>
        <w:ind w:firstLine="709"/>
        <w:jc w:val="both"/>
      </w:pPr>
    </w:p>
    <w:p w:rsidR="00E51B15" w:rsidRPr="003D1167" w:rsidRDefault="009A3340" w:rsidP="003267DA">
      <w:pPr>
        <w:ind w:firstLine="709"/>
        <w:jc w:val="both"/>
        <w:rPr>
          <w:b/>
          <w:bCs/>
        </w:rPr>
      </w:pPr>
      <w:r w:rsidRPr="009A7FFC">
        <w:rPr>
          <w:b/>
        </w:rPr>
        <w:t xml:space="preserve"> </w:t>
      </w:r>
      <w:r w:rsidR="009A7FFC" w:rsidRPr="009A7FFC">
        <w:rPr>
          <w:b/>
        </w:rPr>
        <w:t>3.</w:t>
      </w:r>
      <w:r w:rsidR="009A7FFC">
        <w:t xml:space="preserve"> </w:t>
      </w:r>
      <w:r w:rsidR="00AC41EA" w:rsidRPr="003D1167">
        <w:rPr>
          <w:b/>
        </w:rPr>
        <w:t>Eiropas Parlamenta un Padomes direktīva</w:t>
      </w:r>
      <w:r w:rsidR="003267DA">
        <w:rPr>
          <w:b/>
        </w:rPr>
        <w:t>s projekts</w:t>
      </w:r>
      <w:r w:rsidR="00AC41EA" w:rsidRPr="003D1167">
        <w:rPr>
          <w:b/>
        </w:rPr>
        <w:t xml:space="preserve"> par tiesībām piekļūt advokātam kriminālprocesa ietvaros un tiesībām sazināties pēc aizturēšanas</w:t>
      </w:r>
    </w:p>
    <w:p w:rsidR="00DE64B5" w:rsidRPr="003D1167" w:rsidRDefault="00DE64B5" w:rsidP="003D1167">
      <w:pPr>
        <w:pStyle w:val="Sarakstarindkopa"/>
        <w:ind w:left="0" w:firstLine="709"/>
        <w:jc w:val="both"/>
        <w:rPr>
          <w:noProof/>
        </w:rPr>
      </w:pPr>
      <w:r w:rsidRPr="003D1167">
        <w:t>2011. gada 8.</w:t>
      </w:r>
      <w:r w:rsidR="003267DA">
        <w:t>j</w:t>
      </w:r>
      <w:r w:rsidRPr="003D1167">
        <w:t xml:space="preserve">ūnijā, atbildot uz dalībvalstu izteikto lūgumu, </w:t>
      </w:r>
      <w:r w:rsidR="003267DA">
        <w:t xml:space="preserve">Eiropas </w:t>
      </w:r>
      <w:r w:rsidRPr="003D1167">
        <w:t xml:space="preserve">Komisija nāca klajā ar </w:t>
      </w:r>
      <w:r w:rsidR="003267DA">
        <w:t>E</w:t>
      </w:r>
      <w:r w:rsidR="00AC41EA" w:rsidRPr="003D1167">
        <w:rPr>
          <w:noProof/>
        </w:rPr>
        <w:t>iropas Parlamenta un Padomes direktīva</w:t>
      </w:r>
      <w:r w:rsidR="003267DA">
        <w:rPr>
          <w:noProof/>
        </w:rPr>
        <w:t xml:space="preserve">s projektu </w:t>
      </w:r>
      <w:r w:rsidR="00AC41EA" w:rsidRPr="003D1167">
        <w:t>par tiesībām piekļūt advokātam kriminālprocesa ietvaros un tiesībām sazināties pēc aizturēšanas</w:t>
      </w:r>
      <w:r w:rsidR="003267DA">
        <w:t xml:space="preserve">. </w:t>
      </w:r>
    </w:p>
    <w:p w:rsidR="00AC41EA" w:rsidRPr="003D1167" w:rsidRDefault="00DE64B5" w:rsidP="003D1167">
      <w:pPr>
        <w:pStyle w:val="Sarakstarindkopa"/>
        <w:ind w:left="0" w:firstLine="709"/>
        <w:jc w:val="both"/>
      </w:pPr>
      <w:r w:rsidRPr="003D1167">
        <w:rPr>
          <w:noProof/>
        </w:rPr>
        <w:t>Direktīvas projekta</w:t>
      </w:r>
      <w:r w:rsidR="00AC41EA" w:rsidRPr="003D1167">
        <w:rPr>
          <w:noProof/>
        </w:rPr>
        <w:t xml:space="preserve"> mērķis ir noteikt kopējus minimuma standartus visā E</w:t>
      </w:r>
      <w:r w:rsidR="002749F7">
        <w:rPr>
          <w:noProof/>
        </w:rPr>
        <w:t>S</w:t>
      </w:r>
      <w:r w:rsidR="00AC41EA" w:rsidRPr="003D1167">
        <w:rPr>
          <w:noProof/>
        </w:rPr>
        <w:t xml:space="preserve"> attiecībā uz aizdomās turētu un apsūdzētu personu tiesībām kriminālprocesa ietvaros piekļūt advokātam un tiesībām pēc aizturēšanas sazināties ar trešo personu. </w:t>
      </w:r>
      <w:r w:rsidR="002749F7">
        <w:rPr>
          <w:noProof/>
        </w:rPr>
        <w:t xml:space="preserve">Dirketīvas projekts </w:t>
      </w:r>
      <w:r w:rsidR="00AC41EA" w:rsidRPr="003D1167">
        <w:rPr>
          <w:noProof/>
        </w:rPr>
        <w:t>ir trešais solis pasākumu kopumā, kas paredzēti E</w:t>
      </w:r>
      <w:r w:rsidR="00297FC2">
        <w:rPr>
          <w:noProof/>
        </w:rPr>
        <w:t>S</w:t>
      </w:r>
      <w:r w:rsidR="00AC41EA" w:rsidRPr="003D1167">
        <w:rPr>
          <w:noProof/>
        </w:rPr>
        <w:t xml:space="preserve"> Padomes Rezolūcijā par Procesuālo tiesību ceļvedi.</w:t>
      </w:r>
      <w:r w:rsidRPr="003D1167">
        <w:rPr>
          <w:rStyle w:val="Vresatsauce"/>
          <w:noProof/>
        </w:rPr>
        <w:footnoteReference w:id="2"/>
      </w:r>
      <w:r w:rsidRPr="003D1167">
        <w:rPr>
          <w:noProof/>
        </w:rPr>
        <w:t xml:space="preserve"> </w:t>
      </w:r>
      <w:r w:rsidR="00297FC2">
        <w:rPr>
          <w:noProof/>
        </w:rPr>
        <w:t>Vi</w:t>
      </w:r>
      <w:r w:rsidR="00AC41EA" w:rsidRPr="003D1167">
        <w:rPr>
          <w:noProof/>
        </w:rPr>
        <w:t>enoti minim</w:t>
      </w:r>
      <w:r w:rsidR="00297FC2">
        <w:rPr>
          <w:noProof/>
        </w:rPr>
        <w:t xml:space="preserve">ālie </w:t>
      </w:r>
      <w:r w:rsidR="00AC41EA" w:rsidRPr="003D1167">
        <w:rPr>
          <w:noProof/>
        </w:rPr>
        <w:t>standarti, kas attieksies uz tiesībām uz advokātu kriminālprocesā un tiesībām informēt par brīvības atņemšanu kriminālprocesā, uzlabo</w:t>
      </w:r>
      <w:r w:rsidR="00297FC2">
        <w:rPr>
          <w:noProof/>
        </w:rPr>
        <w:t>s</w:t>
      </w:r>
      <w:r w:rsidR="00AC41EA" w:rsidRPr="003D1167">
        <w:rPr>
          <w:noProof/>
        </w:rPr>
        <w:t xml:space="preserve"> tiesu iestāžu savstarpēj</w:t>
      </w:r>
      <w:r w:rsidR="00297FC2">
        <w:rPr>
          <w:noProof/>
        </w:rPr>
        <w:t>o</w:t>
      </w:r>
      <w:r w:rsidR="00AC41EA" w:rsidRPr="003D1167">
        <w:rPr>
          <w:noProof/>
        </w:rPr>
        <w:t xml:space="preserve"> uzticēšan</w:t>
      </w:r>
      <w:r w:rsidR="00297FC2">
        <w:rPr>
          <w:noProof/>
        </w:rPr>
        <w:t xml:space="preserve">os </w:t>
      </w:r>
      <w:r w:rsidR="00AC41EA" w:rsidRPr="003D1167">
        <w:rPr>
          <w:noProof/>
        </w:rPr>
        <w:t>un veicin</w:t>
      </w:r>
      <w:r w:rsidR="00297FC2">
        <w:rPr>
          <w:noProof/>
        </w:rPr>
        <w:t>ās</w:t>
      </w:r>
      <w:r w:rsidR="00AC41EA" w:rsidRPr="003D1167">
        <w:rPr>
          <w:noProof/>
        </w:rPr>
        <w:t xml:space="preserve"> savstarpējās atzīšanas principa piemērošan</w:t>
      </w:r>
      <w:r w:rsidR="00297FC2">
        <w:rPr>
          <w:noProof/>
        </w:rPr>
        <w:t>u</w:t>
      </w:r>
      <w:r w:rsidR="00AC41EA" w:rsidRPr="003D1167">
        <w:rPr>
          <w:noProof/>
        </w:rPr>
        <w:t>.</w:t>
      </w:r>
    </w:p>
    <w:p w:rsidR="00AC41EA" w:rsidRPr="003D1167" w:rsidRDefault="00E37B49" w:rsidP="00E37B49">
      <w:pPr>
        <w:ind w:firstLine="720"/>
        <w:jc w:val="both"/>
      </w:pPr>
      <w:r w:rsidRPr="00777A10">
        <w:t xml:space="preserve">Direktīvas projekts paredz </w:t>
      </w:r>
      <w:r w:rsidR="00AC41EA" w:rsidRPr="00777A10">
        <w:t>tiesisk</w:t>
      </w:r>
      <w:r w:rsidRPr="00777A10">
        <w:t xml:space="preserve">o </w:t>
      </w:r>
      <w:r w:rsidR="00AC41EA" w:rsidRPr="00777A10">
        <w:t>regulējum</w:t>
      </w:r>
      <w:r w:rsidRPr="00777A10">
        <w:t xml:space="preserve">u gan attiecībā uz </w:t>
      </w:r>
      <w:r w:rsidR="00AC41EA" w:rsidRPr="00777A10">
        <w:t>personas tiesībām uz piekļuvi advokātam kriminālprocesā</w:t>
      </w:r>
      <w:r w:rsidRPr="00777A10">
        <w:t xml:space="preserve">, gan </w:t>
      </w:r>
      <w:r w:rsidR="00AC41EA" w:rsidRPr="00777A10">
        <w:t xml:space="preserve">personas tiesībām informēt par brīvības atņemšanu. </w:t>
      </w:r>
      <w:r w:rsidRPr="00777A10">
        <w:t xml:space="preserve">Jāatzīmē, ka direktīvas projekta </w:t>
      </w:r>
      <w:r w:rsidR="00AC41EA" w:rsidRPr="00777A10">
        <w:t>darbības joma tiek paredzēta no dienas, kad dalībvalsts kompetentās iestādes informējušas personu par to, ka viņu tur aizdomās par noziedzīga nodarījuma izdarīšanu līdz procesa noslēguma dienai, ieskaitot visas pārsūdzības stadijas.</w:t>
      </w:r>
    </w:p>
    <w:p w:rsidR="00297FC2" w:rsidRDefault="00AC41EA" w:rsidP="003D1167">
      <w:pPr>
        <w:autoSpaceDE w:val="0"/>
        <w:autoSpaceDN w:val="0"/>
        <w:adjustRightInd w:val="0"/>
        <w:ind w:firstLine="720"/>
        <w:jc w:val="both"/>
        <w:rPr>
          <w:bCs/>
        </w:rPr>
      </w:pPr>
      <w:r w:rsidRPr="003D1167">
        <w:t xml:space="preserve">Latvija konceptuāli atbalsta </w:t>
      </w:r>
      <w:r w:rsidR="00297FC2">
        <w:t>direktīvas projektu</w:t>
      </w:r>
      <w:r w:rsidRPr="003D1167">
        <w:t xml:space="preserve">, jo tajā ietvertais regulējums </w:t>
      </w:r>
      <w:r w:rsidRPr="003D1167">
        <w:rPr>
          <w:bCs/>
        </w:rPr>
        <w:t>ir vērsts uz efektīvu un savlaicīgu personas, kurai ir tiesības uz aizstāvību, nodrošināšanu ar šīm tiesībām, kā arī ar tiesībām uz saziņu brīvības atņemšanas gadījumā.</w:t>
      </w:r>
      <w:r w:rsidR="00297FC2">
        <w:rPr>
          <w:bCs/>
        </w:rPr>
        <w:t xml:space="preserve"> </w:t>
      </w:r>
    </w:p>
    <w:p w:rsidR="00297FC2" w:rsidRDefault="00297FC2" w:rsidP="003D1167">
      <w:pPr>
        <w:autoSpaceDE w:val="0"/>
        <w:autoSpaceDN w:val="0"/>
        <w:adjustRightInd w:val="0"/>
        <w:ind w:firstLine="720"/>
        <w:jc w:val="both"/>
        <w:rPr>
          <w:bCs/>
        </w:rPr>
      </w:pPr>
      <w:r>
        <w:rPr>
          <w:bCs/>
        </w:rPr>
        <w:t xml:space="preserve">Detalizēta Latvijas pozīcija par direktīvas projektu ir apstiprināta Ministru kabinetā 2011.gada 28.augustā. </w:t>
      </w:r>
    </w:p>
    <w:p w:rsidR="00DE64B5" w:rsidRPr="003D1167" w:rsidRDefault="00AC41EA" w:rsidP="003D1167">
      <w:pPr>
        <w:autoSpaceDE w:val="0"/>
        <w:autoSpaceDN w:val="0"/>
        <w:adjustRightInd w:val="0"/>
        <w:ind w:firstLine="720"/>
        <w:jc w:val="both"/>
      </w:pPr>
      <w:r w:rsidRPr="003D1167">
        <w:t xml:space="preserve"> </w:t>
      </w:r>
    </w:p>
    <w:p w:rsidR="007227F1" w:rsidRDefault="00F17F11" w:rsidP="007227F1">
      <w:pPr>
        <w:ind w:firstLine="720"/>
        <w:jc w:val="both"/>
        <w:rPr>
          <w:b/>
          <w:lang w:eastAsia="lv-LV"/>
        </w:rPr>
      </w:pPr>
      <w:r>
        <w:rPr>
          <w:b/>
        </w:rPr>
        <w:t xml:space="preserve">4. </w:t>
      </w:r>
      <w:r w:rsidR="007227F1" w:rsidRPr="00F2378E">
        <w:rPr>
          <w:b/>
        </w:rPr>
        <w:t>Eiropas Parlamenta un Padomes regula</w:t>
      </w:r>
      <w:r>
        <w:rPr>
          <w:b/>
        </w:rPr>
        <w:t>s projekts</w:t>
      </w:r>
      <w:r w:rsidR="007227F1" w:rsidRPr="00F2378E">
        <w:rPr>
          <w:b/>
        </w:rPr>
        <w:t xml:space="preserve"> </w:t>
      </w:r>
      <w:r w:rsidR="007227F1" w:rsidRPr="00F2378E">
        <w:rPr>
          <w:b/>
          <w:lang w:eastAsia="lv-LV"/>
        </w:rPr>
        <w:t>ar ko izveido Eiropas kontu apķīlāšanas rīkojumu, lai atvieglotu pārrobežu parādu piedziņu civillietās un komerclietās</w:t>
      </w:r>
    </w:p>
    <w:p w:rsidR="007227F1" w:rsidRPr="007227F1" w:rsidRDefault="007227F1" w:rsidP="007227F1">
      <w:pPr>
        <w:ind w:firstLine="720"/>
        <w:jc w:val="both"/>
        <w:rPr>
          <w:b/>
          <w:lang w:eastAsia="lv-LV"/>
        </w:rPr>
      </w:pPr>
      <w:r w:rsidRPr="00F2378E">
        <w:t xml:space="preserve">Padomes sanāksmes ietvaros dalībvalstu ministri tiks iepazīstināti ar Eiropas Komisijas priekšlikumu </w:t>
      </w:r>
      <w:r w:rsidRPr="007227F1">
        <w:t xml:space="preserve">Eiropas Parlamenta un Padomes regulai, </w:t>
      </w:r>
      <w:r w:rsidRPr="007227F1">
        <w:rPr>
          <w:lang w:eastAsia="lv-LV"/>
        </w:rPr>
        <w:t>ar ko izveido Eiropas kontu apķīlāšanas rīkojumu, lai atvieglotu pārrobežu parādu piedziņu civillietās un komerclietās</w:t>
      </w:r>
      <w:r w:rsidRPr="00F2378E">
        <w:t xml:space="preserve">, kura mērķis ir </w:t>
      </w:r>
      <w:r w:rsidRPr="00F2378E">
        <w:rPr>
          <w:noProof/>
        </w:rPr>
        <w:t>atvieglot parādu piedziņu pārrobežu situācijās, uzlabojot piekļuvi banku kontu apķīlāšanai un apķīlāšanas efektivitāti E</w:t>
      </w:r>
      <w:r w:rsidR="005513E4">
        <w:rPr>
          <w:noProof/>
        </w:rPr>
        <w:t>S</w:t>
      </w:r>
      <w:r w:rsidRPr="00F2378E">
        <w:rPr>
          <w:noProof/>
        </w:rPr>
        <w:t xml:space="preserve">. </w:t>
      </w:r>
    </w:p>
    <w:p w:rsidR="007227F1" w:rsidRPr="00F2378E" w:rsidRDefault="007227F1" w:rsidP="007227F1">
      <w:pPr>
        <w:jc w:val="both"/>
        <w:rPr>
          <w:lang w:eastAsia="lv-LV"/>
        </w:rPr>
      </w:pPr>
    </w:p>
    <w:p w:rsidR="007227F1" w:rsidRPr="00F2378E" w:rsidRDefault="007227F1" w:rsidP="009928EE">
      <w:pPr>
        <w:ind w:firstLine="720"/>
        <w:jc w:val="both"/>
        <w:rPr>
          <w:lang w:eastAsia="lv-LV"/>
        </w:rPr>
      </w:pPr>
      <w:r w:rsidRPr="00F2378E">
        <w:rPr>
          <w:lang w:eastAsia="lv-LV"/>
        </w:rPr>
        <w:t xml:space="preserve">Lai arī kopumā Latvija atbalsta </w:t>
      </w:r>
      <w:r w:rsidR="009928EE">
        <w:rPr>
          <w:lang w:eastAsia="lv-LV"/>
        </w:rPr>
        <w:t xml:space="preserve">ES </w:t>
      </w:r>
      <w:r w:rsidRPr="00F2378E">
        <w:t>instrumenta banku kontu apķīlāšanai izstrādi, ieviešot atsevišķu Eiropas procedūru un Eiropas rīkojumu par bankas kontu apķīlāšanu, kas būtu izpildāms pārējās E</w:t>
      </w:r>
      <w:r w:rsidR="00513508">
        <w:t>S</w:t>
      </w:r>
      <w:r w:rsidRPr="00F2378E">
        <w:t xml:space="preserve"> dalībvalstīs bez īpašas atzīšanas vai izpildes pasludināšanas procedūras</w:t>
      </w:r>
      <w:r w:rsidR="00513508">
        <w:t>,</w:t>
      </w:r>
      <w:r w:rsidRPr="00F2378E">
        <w:rPr>
          <w:lang w:eastAsia="lv-LV"/>
        </w:rPr>
        <w:t xml:space="preserve"> Latvija </w:t>
      </w:r>
      <w:r w:rsidR="00513508">
        <w:rPr>
          <w:lang w:eastAsia="lv-LV"/>
        </w:rPr>
        <w:t xml:space="preserve">šobrīd vēl vērtē regulas projektu. Jāatzīmē, ka Latvija saskata bažas par atsevišķiem regulas projekta aspektiem, proti:  </w:t>
      </w:r>
    </w:p>
    <w:p w:rsidR="00284E43" w:rsidRDefault="00AD6DC3" w:rsidP="00284E43">
      <w:pPr>
        <w:pStyle w:val="Sarakstarindkopa"/>
        <w:numPr>
          <w:ilvl w:val="0"/>
          <w:numId w:val="22"/>
        </w:numPr>
        <w:jc w:val="both"/>
      </w:pPr>
      <w:r>
        <w:t>k</w:t>
      </w:r>
      <w:r w:rsidR="00513508">
        <w:t xml:space="preserve">ompetentās </w:t>
      </w:r>
      <w:r w:rsidR="007227F1" w:rsidRPr="00F2378E">
        <w:t>iestādes funkcij</w:t>
      </w:r>
      <w:r w:rsidR="003D532A">
        <w:t>as</w:t>
      </w:r>
      <w:r w:rsidR="007227F1" w:rsidRPr="00F2378E">
        <w:t xml:space="preserve">, </w:t>
      </w:r>
      <w:r w:rsidR="00E01612">
        <w:t xml:space="preserve">tās </w:t>
      </w:r>
      <w:r w:rsidR="007227F1" w:rsidRPr="00F2378E">
        <w:t xml:space="preserve">iesaisti izpildu procesā, </w:t>
      </w:r>
      <w:r w:rsidR="00284E43">
        <w:t xml:space="preserve">kā arī </w:t>
      </w:r>
      <w:r w:rsidR="007227F1" w:rsidRPr="00F2378E">
        <w:t xml:space="preserve">konkrētas iestādes izvēli. Tāpat </w:t>
      </w:r>
      <w:r w:rsidR="00284E43">
        <w:t xml:space="preserve">neskaidrības rada regulas projektā </w:t>
      </w:r>
      <w:r w:rsidR="007227F1" w:rsidRPr="00F2378E">
        <w:t>piedāvātā izpildes procesa struktūr</w:t>
      </w:r>
      <w:r w:rsidR="00284E43">
        <w:t>a</w:t>
      </w:r>
      <w:r w:rsidR="007227F1" w:rsidRPr="00F2378E">
        <w:t>, piemērojamīb</w:t>
      </w:r>
      <w:r w:rsidR="00284E43">
        <w:t>a</w:t>
      </w:r>
      <w:r w:rsidR="007227F1" w:rsidRPr="00F2378E">
        <w:t xml:space="preserve"> un īstenošan</w:t>
      </w:r>
      <w:r w:rsidR="00284E43">
        <w:t>a;</w:t>
      </w:r>
    </w:p>
    <w:p w:rsidR="00284E43" w:rsidRDefault="007227F1" w:rsidP="00284E43">
      <w:pPr>
        <w:pStyle w:val="Sarakstarindkopa"/>
        <w:numPr>
          <w:ilvl w:val="0"/>
          <w:numId w:val="22"/>
        </w:numPr>
        <w:jc w:val="both"/>
      </w:pPr>
      <w:r w:rsidRPr="00F2378E">
        <w:t>informācijas iegūšanas iespēj</w:t>
      </w:r>
      <w:r w:rsidR="00284E43">
        <w:t>as</w:t>
      </w:r>
      <w:r w:rsidRPr="00F2378E">
        <w:t xml:space="preserve"> par parādnieka bankas kontiem pirms Eiropas kontu apķīlāšanas rīkojuma (turpmāka – EAPO) izdošanas, jo tādējādi kreditoram pastāv iespēja šo informāciju iegūt ļaunprātīgiem nolūkiem, pat neveicot EAPO izpildi. Latvija vēlētos, lai tiktu paredzēts skaidrs regulējumu par kontu apķīlāšanas termiņiem, lai tos neapķīlātu uz nenoteiktu laiku tikai tāpēc, ka piedzinējs gribēja kaitēt parādniekam. </w:t>
      </w:r>
    </w:p>
    <w:p w:rsidR="00284E43" w:rsidRDefault="00284E43" w:rsidP="00284E43">
      <w:pPr>
        <w:pStyle w:val="Sarakstarindkopa"/>
        <w:numPr>
          <w:ilvl w:val="0"/>
          <w:numId w:val="22"/>
        </w:numPr>
        <w:jc w:val="both"/>
      </w:pPr>
      <w:r>
        <w:t>a</w:t>
      </w:r>
      <w:r w:rsidR="007227F1" w:rsidRPr="00F2378E">
        <w:t>tbildētāja informēšana un izpildes procedūra</w:t>
      </w:r>
      <w:r>
        <w:t>. S</w:t>
      </w:r>
      <w:r w:rsidR="007227F1" w:rsidRPr="00F2378E">
        <w:t xml:space="preserve">askaņā ar nacionālo regulējumu var būt </w:t>
      </w:r>
      <w:r>
        <w:t>situācijas</w:t>
      </w:r>
      <w:r w:rsidR="007227F1" w:rsidRPr="00F2378E">
        <w:t>, ka</w:t>
      </w:r>
      <w:r>
        <w:t>d</w:t>
      </w:r>
      <w:r w:rsidR="007227F1" w:rsidRPr="00F2378E">
        <w:t xml:space="preserve"> ir jānoskaidro no atbildētāja informācija par tā </w:t>
      </w:r>
      <w:r>
        <w:t xml:space="preserve">apgādībā esošām </w:t>
      </w:r>
      <w:r w:rsidR="007227F1" w:rsidRPr="00F2378E">
        <w:t>personām, lai, piemēram, netiktu apķīlāts iz</w:t>
      </w:r>
      <w:r>
        <w:t xml:space="preserve">tikas </w:t>
      </w:r>
      <w:r w:rsidR="007227F1" w:rsidRPr="00F2378E">
        <w:t xml:space="preserve">minimums. </w:t>
      </w:r>
      <w:r>
        <w:t xml:space="preserve">Ņemot vērā iepriekš minēto, </w:t>
      </w:r>
      <w:r w:rsidR="007227F1" w:rsidRPr="00F2378E">
        <w:t>bankas konta iesaldēš</w:t>
      </w:r>
      <w:r>
        <w:t>anas ne vienmēr būs īstenojama;</w:t>
      </w:r>
    </w:p>
    <w:p w:rsidR="007227F1" w:rsidRPr="00F2378E" w:rsidRDefault="007227F1" w:rsidP="00284E43">
      <w:pPr>
        <w:pStyle w:val="Sarakstarindkopa"/>
        <w:numPr>
          <w:ilvl w:val="0"/>
          <w:numId w:val="22"/>
        </w:numPr>
        <w:jc w:val="both"/>
      </w:pPr>
      <w:r w:rsidRPr="00F2378E">
        <w:t>saziņas proces</w:t>
      </w:r>
      <w:r w:rsidR="00284E43">
        <w:t>s</w:t>
      </w:r>
      <w:r w:rsidRPr="00F2378E">
        <w:t xml:space="preserve"> starp tiesām, </w:t>
      </w:r>
      <w:r w:rsidR="00284E43">
        <w:t xml:space="preserve">ņemot vērā šī procesa </w:t>
      </w:r>
      <w:r w:rsidRPr="00F2378E">
        <w:t>efektivitāt</w:t>
      </w:r>
      <w:r w:rsidR="00284E43">
        <w:t>i, kas var zust</w:t>
      </w:r>
      <w:r w:rsidRPr="00F2378E">
        <w:t>, jo nepieciešama gan dokumentu tulkošana, gan arī jāņem vērā iespējamā valodas barjera.</w:t>
      </w:r>
    </w:p>
    <w:p w:rsidR="00E51B15" w:rsidRPr="00EF59C6" w:rsidRDefault="00E51B15" w:rsidP="00E51B15"/>
    <w:p w:rsidR="000376A8" w:rsidRPr="000376A8" w:rsidRDefault="00D75351" w:rsidP="00D75351">
      <w:pPr>
        <w:ind w:firstLine="360"/>
        <w:jc w:val="both"/>
        <w:rPr>
          <w:b/>
        </w:rPr>
      </w:pPr>
      <w:r>
        <w:rPr>
          <w:b/>
        </w:rPr>
        <w:t xml:space="preserve">5. </w:t>
      </w:r>
      <w:r w:rsidR="000376A8">
        <w:rPr>
          <w:b/>
        </w:rPr>
        <w:t>Komisijas komunikācija Eiropas Parlamentam, Padomei un Eiropas Ekonomikas un Sociālo lietu komitejai un Reģionu komitejai par tieslietu sistēmas darbinieku apmācībām</w:t>
      </w:r>
    </w:p>
    <w:p w:rsidR="000376A8" w:rsidRPr="0031025C" w:rsidRDefault="000376A8" w:rsidP="000376A8">
      <w:pPr>
        <w:pStyle w:val="Bezatstarpm"/>
        <w:ind w:right="-1" w:firstLine="720"/>
        <w:jc w:val="both"/>
      </w:pPr>
      <w:r>
        <w:t>Eiropas Komisijas ir nākusi klajā ar komunikāciju, kas paredz jaunu dimensiju, veidojot visaptverošas ES tieslietu apmācības, pied</w:t>
      </w:r>
      <w:r w:rsidRPr="0031025C">
        <w:t>āvā</w:t>
      </w:r>
      <w:r>
        <w:t>jot</w:t>
      </w:r>
      <w:r w:rsidRPr="0031025C">
        <w:t xml:space="preserve"> ievērojami paplašināt </w:t>
      </w:r>
      <w:r>
        <w:t>ES</w:t>
      </w:r>
      <w:r w:rsidRPr="0031025C">
        <w:t xml:space="preserve"> līmeņa aktivitātes – efektīvāk īstenot jau pieejamus pasākumus, kā arī veicināt jaunu pasākumu uzsākšanu</w:t>
      </w:r>
      <w:r>
        <w:t xml:space="preserve"> tieslietu sistēmas darbinieku apmācībās</w:t>
      </w:r>
      <w:r w:rsidRPr="0031025C">
        <w:t xml:space="preserve">. </w:t>
      </w:r>
    </w:p>
    <w:p w:rsidR="000376A8" w:rsidRPr="0031025C" w:rsidRDefault="000376A8" w:rsidP="000376A8">
      <w:pPr>
        <w:ind w:right="-1"/>
        <w:jc w:val="both"/>
      </w:pPr>
      <w:r w:rsidRPr="0031025C">
        <w:tab/>
        <w:t xml:space="preserve">Latvija kopumā atbalsta </w:t>
      </w:r>
      <w:r w:rsidR="00D75351">
        <w:t xml:space="preserve">Eiropas </w:t>
      </w:r>
      <w:r>
        <w:t>Komisijas</w:t>
      </w:r>
      <w:r w:rsidRPr="0031025C">
        <w:t xml:space="preserve"> piedāvāto pasākumu kopumu tiesību piemērotāju</w:t>
      </w:r>
      <w:r>
        <w:t xml:space="preserve"> – juridisko profesiju pārstāvju</w:t>
      </w:r>
      <w:r w:rsidRPr="0031025C">
        <w:t xml:space="preserve"> apmācību veicināšanai. Vienlaikus Latvija vērš uzmanību, ka pozitīvi vērtē izvirzīto pamatprincipu, ka ikvienam praktiķim</w:t>
      </w:r>
      <w:r>
        <w:t>, jo īpaši jaunajiem tiesnešiem</w:t>
      </w:r>
      <w:r w:rsidR="00D75351">
        <w:t>,</w:t>
      </w:r>
      <w:r w:rsidRPr="0031025C">
        <w:t xml:space="preserve"> ir nepieciešamas visaptverošas zināšanas ES tiesību </w:t>
      </w:r>
      <w:r w:rsidR="00D75351">
        <w:t>jautājumos</w:t>
      </w:r>
      <w:r w:rsidRPr="0031025C">
        <w:t xml:space="preserve">, kā arī pietiekošas svešvalodu zināšanas. Papildus visaptverošajām zināšanām un valodas prasmēm ir svarīgi nodrošināt praktiķiem nepastarpinātas saziņas iespējas, tādējādi veicinot vienotu izpratni attiecībā uz ES tiesību normām. </w:t>
      </w:r>
      <w:r>
        <w:t>Tai skaistā Eiropas Komisija savā komunikācija norāda, ka ir</w:t>
      </w:r>
      <w:r w:rsidRPr="0031025C">
        <w:t xml:space="preserve"> jāveicina, lai </w:t>
      </w:r>
      <w:r w:rsidR="00D75351">
        <w:t xml:space="preserve">ES </w:t>
      </w:r>
      <w:r w:rsidRPr="0031025C">
        <w:t xml:space="preserve">līmenī kā pamata informācijas avots ne tikai pilsoņiem, bet arī juridisko profesiju pārstāvjiem tiktu </w:t>
      </w:r>
      <w:r>
        <w:t xml:space="preserve">izmantots e-tiesiskuma portāls un e-apmācības. </w:t>
      </w:r>
    </w:p>
    <w:p w:rsidR="000376A8" w:rsidRPr="0031025C" w:rsidRDefault="000376A8" w:rsidP="000376A8">
      <w:pPr>
        <w:pStyle w:val="Sarakstarindkopa"/>
        <w:ind w:left="0" w:right="-1"/>
        <w:jc w:val="both"/>
      </w:pPr>
      <w:r w:rsidRPr="0031025C">
        <w:t xml:space="preserve"> </w:t>
      </w:r>
      <w:r w:rsidRPr="0031025C">
        <w:tab/>
      </w:r>
      <w:r>
        <w:t xml:space="preserve">Jau iepriekš </w:t>
      </w:r>
      <w:r w:rsidRPr="0031025C">
        <w:t xml:space="preserve">Latvija </w:t>
      </w:r>
      <w:r>
        <w:t>ir paudusi viedokli</w:t>
      </w:r>
      <w:r w:rsidRPr="0031025C">
        <w:t xml:space="preserve">, ka vienota </w:t>
      </w:r>
      <w:r w:rsidR="00193D24">
        <w:t xml:space="preserve">ES </w:t>
      </w:r>
      <w:r w:rsidRPr="0031025C">
        <w:t>līmeņa programma visām juridiskajām profesijām tomēr nebūtu samērīgs risinājums, lai nodrošinātu ES tiesību instrumentu izmantošanu praksē. Dažādām juridiskajām profesijām ir noteikts konkrēts standarts nacionālajā līmenī, un tajā ir iekļautas ES tiesības kā viena no nozarēm. Katrai juridiskajai profesijai ir sava darbības sfēra un ES tiesību piemērošanas apjoms. Līdz ar to vienota, standartizēta programma varētu nenodrošināt konkrētai juridiskajai profesijai nepieciešamās specifiskās zināšanas.</w:t>
      </w:r>
    </w:p>
    <w:p w:rsidR="000376A8" w:rsidRPr="0031025C" w:rsidRDefault="000376A8" w:rsidP="000376A8">
      <w:pPr>
        <w:pStyle w:val="Sarakstarindkopa"/>
        <w:ind w:left="0" w:right="-1" w:firstLine="720"/>
        <w:jc w:val="both"/>
      </w:pPr>
      <w:r>
        <w:t>Turklāt a</w:t>
      </w:r>
      <w:r w:rsidRPr="0031025C">
        <w:t xml:space="preserve">ttiecībā uz finanšu aspektu Latvija vēlas norādīt, ka Eiropas Komisijas izstrādājamo programmu kvalitāte ir saistīta ar to, cik kvalitatīvas, metodiski dažādas un precīzi definētas programmas atsevišķu dalībvalstu tiesnešu un prokuroru mācību centri, institūti vai atbildīgās iestādes spēj izveidot nacionālā līmenī. Lai iesaistītu citas juridiskās profesijas tālākizglītības pasākumos, Eiropas Komisijas ģenerāldirektorātiem būtu vēlams paredzēt atsevišķas programmas, kas būtu mērķētas tieši uz starpdisciplinārās metodes </w:t>
      </w:r>
      <w:r w:rsidRPr="0031025C">
        <w:lastRenderedPageBreak/>
        <w:t xml:space="preserve">ieviešanu, iedrošinātu vienas valsts dažādu iestāžu darbiniekus sadarboties mācību programmu izveidē un vienlaicīgi dotu iespēju citām ES dalībvalstīm iesaistīties projektu īstenošanā. Šāda pieeja ne tikai palīdzētu vienas valsts juridisko profesiju pārstāvjiem pārrunāt aktualitātes, bet dotu iespēju iepazīt līdzīgu problēmu risinājumu ceļus citās ES dalībvalstīs. </w:t>
      </w:r>
    </w:p>
    <w:p w:rsidR="000376A8" w:rsidRPr="0031025C" w:rsidRDefault="000376A8" w:rsidP="000376A8">
      <w:pPr>
        <w:ind w:right="-1" w:firstLine="720"/>
        <w:jc w:val="both"/>
      </w:pPr>
      <w:r w:rsidRPr="0031025C">
        <w:t>Jāatzīmē, ka ekonomiskās krīzes apstākļos, kas tieši ietekmē arī valstu iespējas finansēt praktiķu apmācības, svarīgi būtu nodrošināt dalībvalstīm iespēju saņemt Eiropas Komisijas finansējumu.</w:t>
      </w:r>
    </w:p>
    <w:p w:rsidR="000376A8" w:rsidRPr="0031025C" w:rsidRDefault="000376A8" w:rsidP="000376A8">
      <w:pPr>
        <w:ind w:right="-1"/>
        <w:jc w:val="both"/>
      </w:pPr>
    </w:p>
    <w:p w:rsidR="000376A8" w:rsidRDefault="000376A8" w:rsidP="000376A8"/>
    <w:p w:rsidR="001C7881" w:rsidRDefault="001C7881" w:rsidP="001C7881">
      <w:pPr>
        <w:ind w:right="38" w:firstLine="709"/>
        <w:jc w:val="both"/>
        <w:rPr>
          <w:bCs/>
        </w:rPr>
      </w:pPr>
    </w:p>
    <w:p w:rsidR="00213AB8" w:rsidRPr="00EF59C6" w:rsidRDefault="00213AB8" w:rsidP="00DE64B5">
      <w:pPr>
        <w:jc w:val="both"/>
      </w:pPr>
    </w:p>
    <w:p w:rsidR="00AF3EFE" w:rsidRPr="00EF59C6" w:rsidRDefault="00996994" w:rsidP="00AB314F">
      <w:pPr>
        <w:jc w:val="both"/>
      </w:pPr>
      <w:r w:rsidRPr="00EF59C6">
        <w:rPr>
          <w:b/>
          <w:u w:val="single"/>
        </w:rPr>
        <w:t>I</w:t>
      </w:r>
      <w:r w:rsidR="00D61135" w:rsidRPr="00EF59C6">
        <w:rPr>
          <w:b/>
          <w:u w:val="single"/>
        </w:rPr>
        <w:t>II</w:t>
      </w:r>
      <w:r w:rsidR="00AF3EFE" w:rsidRPr="00EF59C6">
        <w:rPr>
          <w:b/>
          <w:u w:val="single"/>
        </w:rPr>
        <w:t xml:space="preserve"> Latvijas delegācija</w:t>
      </w:r>
    </w:p>
    <w:p w:rsidR="00AF3EFE" w:rsidRPr="00EF59C6" w:rsidRDefault="00AF3EFE" w:rsidP="00AF3EFE">
      <w:pPr>
        <w:pStyle w:val="Pamatteksts2"/>
        <w:jc w:val="both"/>
        <w:rPr>
          <w:sz w:val="24"/>
          <w:szCs w:val="24"/>
        </w:rPr>
      </w:pPr>
    </w:p>
    <w:p w:rsidR="00AF3EFE" w:rsidRPr="00EF59C6" w:rsidRDefault="00AF3EFE" w:rsidP="00AF3EFE">
      <w:pPr>
        <w:pStyle w:val="Pamatteksts2"/>
        <w:jc w:val="both"/>
        <w:rPr>
          <w:sz w:val="24"/>
          <w:szCs w:val="24"/>
        </w:rPr>
      </w:pPr>
      <w:r w:rsidRPr="00EF59C6">
        <w:rPr>
          <w:sz w:val="24"/>
          <w:szCs w:val="24"/>
        </w:rPr>
        <w:t>Delegācijas vadītājs:</w:t>
      </w:r>
    </w:p>
    <w:p w:rsidR="00AF3EFE" w:rsidRPr="00EF59C6" w:rsidRDefault="00D361A4" w:rsidP="007044DD">
      <w:pPr>
        <w:pStyle w:val="Pamatteksts2"/>
        <w:ind w:left="2977" w:hanging="2171"/>
        <w:jc w:val="both"/>
        <w:rPr>
          <w:bCs/>
          <w:sz w:val="24"/>
          <w:szCs w:val="24"/>
        </w:rPr>
      </w:pPr>
      <w:r w:rsidRPr="00EF59C6">
        <w:rPr>
          <w:b/>
          <w:bCs/>
          <w:sz w:val="24"/>
          <w:szCs w:val="24"/>
        </w:rPr>
        <w:t xml:space="preserve">   </w:t>
      </w:r>
      <w:r w:rsidR="001D04EC" w:rsidRPr="00EF59C6">
        <w:rPr>
          <w:b/>
          <w:bCs/>
          <w:sz w:val="24"/>
          <w:szCs w:val="24"/>
        </w:rPr>
        <w:t xml:space="preserve">                              </w:t>
      </w:r>
      <w:r w:rsidR="00EF59C6">
        <w:rPr>
          <w:b/>
          <w:bCs/>
          <w:sz w:val="24"/>
          <w:szCs w:val="24"/>
        </w:rPr>
        <w:t xml:space="preserve">  </w:t>
      </w:r>
      <w:r w:rsidR="00582F4E" w:rsidRPr="00EF59C6">
        <w:rPr>
          <w:b/>
          <w:bCs/>
          <w:sz w:val="24"/>
          <w:szCs w:val="24"/>
        </w:rPr>
        <w:t>Aigars Štokenbergs</w:t>
      </w:r>
      <w:r w:rsidR="007044DD" w:rsidRPr="00EF59C6">
        <w:rPr>
          <w:sz w:val="24"/>
          <w:szCs w:val="24"/>
        </w:rPr>
        <w:t>, </w:t>
      </w:r>
      <w:r w:rsidR="00582F4E" w:rsidRPr="00EF59C6">
        <w:rPr>
          <w:sz w:val="24"/>
          <w:szCs w:val="24"/>
        </w:rPr>
        <w:t>tieslietu ministrs</w:t>
      </w:r>
      <w:r w:rsidR="00BE3474" w:rsidRPr="00EF59C6">
        <w:rPr>
          <w:sz w:val="24"/>
          <w:szCs w:val="24"/>
        </w:rPr>
        <w:t>.</w:t>
      </w:r>
      <w:r w:rsidR="007044DD" w:rsidRPr="00EF59C6">
        <w:rPr>
          <w:sz w:val="24"/>
          <w:szCs w:val="24"/>
        </w:rPr>
        <w:t xml:space="preserve"> </w:t>
      </w:r>
    </w:p>
    <w:p w:rsidR="00AF3EFE" w:rsidRPr="00EF59C6" w:rsidRDefault="00AF3EFE" w:rsidP="00AF3EFE">
      <w:pPr>
        <w:pStyle w:val="Pamatteksts2"/>
        <w:ind w:left="2520" w:hanging="2520"/>
        <w:jc w:val="both"/>
        <w:rPr>
          <w:sz w:val="24"/>
          <w:szCs w:val="24"/>
        </w:rPr>
      </w:pPr>
    </w:p>
    <w:p w:rsidR="002A2A1A" w:rsidRPr="00EF59C6" w:rsidRDefault="00AF3EFE" w:rsidP="00AF3EFE">
      <w:pPr>
        <w:ind w:left="2977" w:hanging="2977"/>
        <w:jc w:val="both"/>
      </w:pPr>
      <w:r w:rsidRPr="00EF59C6">
        <w:t>Delegācijas dalībnieki:</w:t>
      </w:r>
      <w:r w:rsidRPr="00EF59C6">
        <w:tab/>
        <w:t xml:space="preserve"> </w:t>
      </w:r>
    </w:p>
    <w:p w:rsidR="00582F4E" w:rsidRPr="00EF59C6" w:rsidRDefault="002A2A1A" w:rsidP="00D61135">
      <w:pPr>
        <w:ind w:left="2977" w:hanging="2977"/>
        <w:jc w:val="both"/>
        <w:rPr>
          <w:bCs/>
        </w:rPr>
      </w:pPr>
      <w:r w:rsidRPr="00EF59C6">
        <w:t xml:space="preserve"> </w:t>
      </w:r>
      <w:r w:rsidR="00797603" w:rsidRPr="00EF59C6">
        <w:t xml:space="preserve">                                             </w:t>
      </w:r>
      <w:r w:rsidR="00D61135" w:rsidRPr="00EF59C6">
        <w:t xml:space="preserve">  </w:t>
      </w:r>
      <w:r w:rsidR="00BF3462" w:rsidRPr="00EF59C6">
        <w:t xml:space="preserve"> </w:t>
      </w:r>
      <w:r w:rsidR="00582F4E" w:rsidRPr="00EF59C6">
        <w:rPr>
          <w:b/>
          <w:bCs/>
        </w:rPr>
        <w:t>Inga Skujiņa</w:t>
      </w:r>
      <w:r w:rsidR="00582F4E" w:rsidRPr="00EF59C6">
        <w:t>, Tieslietu ministrijas valsts sekretāra v</w:t>
      </w:r>
      <w:r w:rsidR="00D61135" w:rsidRPr="00EF59C6">
        <w:t>ietniece stratēģijas jautājumos;</w:t>
      </w:r>
    </w:p>
    <w:p w:rsidR="00AF3EFE" w:rsidRPr="00EF59C6" w:rsidRDefault="00DE64B5" w:rsidP="00AF3EFE">
      <w:pPr>
        <w:ind w:left="2977"/>
        <w:jc w:val="both"/>
      </w:pPr>
      <w:r>
        <w:rPr>
          <w:b/>
        </w:rPr>
        <w:t>Vita Sliede</w:t>
      </w:r>
      <w:r w:rsidR="00AF3EFE" w:rsidRPr="00EF59C6">
        <w:t xml:space="preserve">, tieslietu nozares padomniece Latvijas Republikas </w:t>
      </w:r>
      <w:r w:rsidR="00D61135" w:rsidRPr="00EF59C6">
        <w:rPr>
          <w:rStyle w:val="Izteiksmgs"/>
          <w:b w:val="0"/>
        </w:rPr>
        <w:t>Pastāvīgajā</w:t>
      </w:r>
      <w:r w:rsidR="00D61135" w:rsidRPr="00EF59C6">
        <w:t xml:space="preserve"> </w:t>
      </w:r>
      <w:r w:rsidR="00AF3EFE" w:rsidRPr="00EF59C6">
        <w:t xml:space="preserve">pārstāvniecībā ES; </w:t>
      </w:r>
    </w:p>
    <w:p w:rsidR="00AF3EFE" w:rsidRPr="00EF59C6" w:rsidRDefault="00AF3EFE" w:rsidP="00AF3EFE">
      <w:pPr>
        <w:ind w:left="2977"/>
        <w:jc w:val="both"/>
      </w:pPr>
      <w:r w:rsidRPr="00EF59C6">
        <w:rPr>
          <w:b/>
        </w:rPr>
        <w:t>Sandris Laganovskis</w:t>
      </w:r>
      <w:r w:rsidRPr="00EF59C6">
        <w:t xml:space="preserve">, tieslietu nozares padomnieks Latvijas Republikas </w:t>
      </w:r>
      <w:r w:rsidR="00D61135" w:rsidRPr="00EF59C6">
        <w:rPr>
          <w:rStyle w:val="Izteiksmgs"/>
          <w:b w:val="0"/>
        </w:rPr>
        <w:t>Pastāvīgajā</w:t>
      </w:r>
      <w:r w:rsidR="00D61135" w:rsidRPr="00EF59C6">
        <w:t xml:space="preserve"> </w:t>
      </w:r>
      <w:r w:rsidRPr="00EF59C6">
        <w:t xml:space="preserve">pārstāvniecībā ES. </w:t>
      </w:r>
    </w:p>
    <w:p w:rsidR="009F0810" w:rsidRPr="00EF59C6" w:rsidRDefault="009F0810" w:rsidP="00AF3EFE">
      <w:pPr>
        <w:jc w:val="both"/>
      </w:pPr>
    </w:p>
    <w:p w:rsidR="00ED08F7" w:rsidRPr="00EF59C6" w:rsidRDefault="00ED08F7" w:rsidP="00AF3EFE">
      <w:pPr>
        <w:jc w:val="both"/>
      </w:pPr>
    </w:p>
    <w:p w:rsidR="00EF59C6" w:rsidRDefault="00EF59C6" w:rsidP="00AF3EFE">
      <w:pPr>
        <w:jc w:val="both"/>
      </w:pPr>
    </w:p>
    <w:p w:rsidR="00EF59C6" w:rsidRDefault="00EF59C6" w:rsidP="00AF3EFE">
      <w:pPr>
        <w:jc w:val="both"/>
      </w:pPr>
    </w:p>
    <w:p w:rsidR="00AF3EFE" w:rsidRPr="00EF59C6" w:rsidRDefault="002E2A94" w:rsidP="00AF3EFE">
      <w:pPr>
        <w:jc w:val="both"/>
      </w:pPr>
      <w:r w:rsidRPr="00EF59C6">
        <w:t>T</w:t>
      </w:r>
      <w:r w:rsidR="00606F89" w:rsidRPr="00EF59C6">
        <w:t>ieslietu ministrs</w:t>
      </w:r>
      <w:r w:rsidR="00AF3EFE" w:rsidRPr="00EF59C6">
        <w:tab/>
      </w:r>
      <w:r w:rsidR="00AF3EFE" w:rsidRPr="00EF59C6">
        <w:tab/>
      </w:r>
      <w:r w:rsidR="00AF3EFE" w:rsidRPr="00EF59C6">
        <w:tab/>
        <w:t xml:space="preserve">    </w:t>
      </w:r>
      <w:r w:rsidR="00AF3EFE" w:rsidRPr="00EF59C6">
        <w:tab/>
      </w:r>
      <w:r w:rsidR="00AF3EFE" w:rsidRPr="00EF59C6">
        <w:tab/>
      </w:r>
      <w:r w:rsidR="00606F89" w:rsidRPr="00EF59C6">
        <w:t xml:space="preserve">           </w:t>
      </w:r>
      <w:r w:rsidR="00161011" w:rsidRPr="00EF59C6">
        <w:t xml:space="preserve"> </w:t>
      </w:r>
      <w:r w:rsidR="00606F89" w:rsidRPr="00EF59C6">
        <w:t xml:space="preserve">                   </w:t>
      </w:r>
      <w:r w:rsidR="00B32C27" w:rsidRPr="00EF59C6">
        <w:t xml:space="preserve">     </w:t>
      </w:r>
      <w:r w:rsidR="00606F89" w:rsidRPr="00EF59C6">
        <w:t xml:space="preserve"> A. Štokenbergs </w:t>
      </w:r>
    </w:p>
    <w:p w:rsidR="00797603" w:rsidRPr="00EF59C6" w:rsidRDefault="00797603" w:rsidP="00AF3EFE">
      <w:pPr>
        <w:jc w:val="both"/>
      </w:pPr>
    </w:p>
    <w:p w:rsidR="00E0206B" w:rsidRPr="00EF59C6" w:rsidRDefault="00E0206B" w:rsidP="00AF3EFE">
      <w:pPr>
        <w:jc w:val="both"/>
      </w:pPr>
    </w:p>
    <w:p w:rsidR="00E0206B" w:rsidRDefault="00E0206B" w:rsidP="00AF3EFE">
      <w:pPr>
        <w:jc w:val="both"/>
        <w:rPr>
          <w:sz w:val="20"/>
          <w:szCs w:val="20"/>
        </w:rPr>
      </w:pPr>
    </w:p>
    <w:p w:rsidR="00E0206B" w:rsidRDefault="00E0206B" w:rsidP="00AF3EFE">
      <w:pPr>
        <w:jc w:val="both"/>
        <w:rPr>
          <w:sz w:val="20"/>
          <w:szCs w:val="20"/>
        </w:rPr>
      </w:pPr>
    </w:p>
    <w:p w:rsidR="00E0206B" w:rsidRDefault="00E0206B" w:rsidP="00AF3EFE">
      <w:pPr>
        <w:jc w:val="both"/>
        <w:rPr>
          <w:sz w:val="20"/>
          <w:szCs w:val="20"/>
        </w:rPr>
      </w:pPr>
    </w:p>
    <w:p w:rsidR="00E0206B" w:rsidRDefault="00E0206B" w:rsidP="00AF3EFE">
      <w:pPr>
        <w:jc w:val="both"/>
        <w:rPr>
          <w:sz w:val="20"/>
          <w:szCs w:val="20"/>
        </w:rPr>
      </w:pPr>
    </w:p>
    <w:p w:rsidR="00E0206B" w:rsidRDefault="00E0206B" w:rsidP="00AF3EFE">
      <w:pPr>
        <w:jc w:val="both"/>
        <w:rPr>
          <w:sz w:val="20"/>
          <w:szCs w:val="20"/>
        </w:rPr>
      </w:pPr>
    </w:p>
    <w:p w:rsidR="000E7D99" w:rsidRDefault="000E7D99" w:rsidP="00AF3EFE">
      <w:pPr>
        <w:jc w:val="both"/>
        <w:rPr>
          <w:sz w:val="20"/>
          <w:szCs w:val="20"/>
        </w:rPr>
      </w:pPr>
    </w:p>
    <w:p w:rsidR="00AF3EFE" w:rsidRPr="00120978" w:rsidRDefault="00120978" w:rsidP="00AF3EFE">
      <w:pPr>
        <w:jc w:val="both"/>
        <w:rPr>
          <w:sz w:val="20"/>
          <w:szCs w:val="20"/>
        </w:rPr>
      </w:pPr>
      <w:r w:rsidRPr="00120978">
        <w:rPr>
          <w:sz w:val="20"/>
          <w:szCs w:val="20"/>
        </w:rPr>
        <w:t>16</w:t>
      </w:r>
      <w:r w:rsidR="00CC780E" w:rsidRPr="00120978">
        <w:rPr>
          <w:sz w:val="20"/>
          <w:szCs w:val="20"/>
        </w:rPr>
        <w:t>.</w:t>
      </w:r>
      <w:r w:rsidR="007044DD" w:rsidRPr="00120978">
        <w:rPr>
          <w:sz w:val="20"/>
          <w:szCs w:val="20"/>
        </w:rPr>
        <w:t>0</w:t>
      </w:r>
      <w:r w:rsidR="001A3B68" w:rsidRPr="00120978">
        <w:rPr>
          <w:sz w:val="20"/>
          <w:szCs w:val="20"/>
        </w:rPr>
        <w:t>9</w:t>
      </w:r>
      <w:r w:rsidR="007044DD" w:rsidRPr="00120978">
        <w:rPr>
          <w:sz w:val="20"/>
          <w:szCs w:val="20"/>
        </w:rPr>
        <w:t>.2011</w:t>
      </w:r>
      <w:r w:rsidR="00AF3EFE" w:rsidRPr="00120978">
        <w:rPr>
          <w:sz w:val="20"/>
          <w:szCs w:val="20"/>
        </w:rPr>
        <w:t xml:space="preserve"> </w:t>
      </w:r>
      <w:r w:rsidR="00F105D6" w:rsidRPr="00120978">
        <w:rPr>
          <w:sz w:val="20"/>
          <w:szCs w:val="20"/>
        </w:rPr>
        <w:t>1</w:t>
      </w:r>
      <w:r>
        <w:rPr>
          <w:sz w:val="20"/>
          <w:szCs w:val="20"/>
        </w:rPr>
        <w:t>0</w:t>
      </w:r>
      <w:r w:rsidR="00AF3EFE" w:rsidRPr="00120978">
        <w:rPr>
          <w:sz w:val="20"/>
          <w:szCs w:val="20"/>
        </w:rPr>
        <w:t>:</w:t>
      </w:r>
      <w:r>
        <w:rPr>
          <w:sz w:val="20"/>
          <w:szCs w:val="20"/>
        </w:rPr>
        <w:t>45</w:t>
      </w:r>
    </w:p>
    <w:p w:rsidR="00AF3EFE" w:rsidRPr="00120978" w:rsidRDefault="005557D3" w:rsidP="00AF3EFE">
      <w:pPr>
        <w:jc w:val="both"/>
        <w:rPr>
          <w:sz w:val="20"/>
          <w:szCs w:val="20"/>
        </w:rPr>
      </w:pPr>
      <w:r>
        <w:rPr>
          <w:sz w:val="20"/>
          <w:szCs w:val="20"/>
        </w:rPr>
        <w:t>1414</w:t>
      </w:r>
    </w:p>
    <w:p w:rsidR="00642365" w:rsidRPr="00120978" w:rsidRDefault="000531E0" w:rsidP="00AF3EFE">
      <w:pPr>
        <w:jc w:val="both"/>
        <w:rPr>
          <w:sz w:val="20"/>
          <w:szCs w:val="20"/>
        </w:rPr>
      </w:pPr>
      <w:r w:rsidRPr="00120978">
        <w:rPr>
          <w:sz w:val="20"/>
          <w:szCs w:val="20"/>
        </w:rPr>
        <w:t>Katrīna Veismane</w:t>
      </w:r>
    </w:p>
    <w:p w:rsidR="00E61C0B" w:rsidRDefault="00642365" w:rsidP="00AF3EFE">
      <w:pPr>
        <w:jc w:val="both"/>
      </w:pPr>
      <w:r w:rsidRPr="00120978">
        <w:rPr>
          <w:sz w:val="20"/>
          <w:szCs w:val="20"/>
        </w:rPr>
        <w:t>670369</w:t>
      </w:r>
      <w:r w:rsidR="000531E0" w:rsidRPr="00120978">
        <w:rPr>
          <w:sz w:val="20"/>
          <w:szCs w:val="20"/>
        </w:rPr>
        <w:t>14</w:t>
      </w:r>
      <w:r w:rsidRPr="00120978">
        <w:rPr>
          <w:sz w:val="20"/>
          <w:szCs w:val="20"/>
        </w:rPr>
        <w:t xml:space="preserve">, </w:t>
      </w:r>
      <w:hyperlink r:id="rId8" w:history="1">
        <w:r w:rsidR="000531E0" w:rsidRPr="00120978">
          <w:rPr>
            <w:rStyle w:val="Hipersaite"/>
            <w:sz w:val="20"/>
            <w:szCs w:val="20"/>
          </w:rPr>
          <w:t>Katrina.Veismane</w:t>
        </w:r>
        <w:r w:rsidR="00606F89" w:rsidRPr="00120978">
          <w:rPr>
            <w:rStyle w:val="Hipersaite"/>
            <w:sz w:val="20"/>
            <w:szCs w:val="20"/>
          </w:rPr>
          <w:t>@tm.gov.lv</w:t>
        </w:r>
      </w:hyperlink>
    </w:p>
    <w:sectPr w:rsidR="00E61C0B" w:rsidSect="007227F1">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A30" w:rsidRDefault="00262A30" w:rsidP="00A70D10">
      <w:r>
        <w:separator/>
      </w:r>
    </w:p>
  </w:endnote>
  <w:endnote w:type="continuationSeparator" w:id="0">
    <w:p w:rsidR="00262A30" w:rsidRDefault="00262A30" w:rsidP="00A70D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A30" w:rsidRPr="00C317FE" w:rsidRDefault="00120978" w:rsidP="00C655A0">
    <w:pPr>
      <w:jc w:val="both"/>
      <w:rPr>
        <w:bCs/>
        <w:i/>
        <w:sz w:val="20"/>
        <w:szCs w:val="20"/>
      </w:rPr>
    </w:pPr>
    <w:r>
      <w:rPr>
        <w:i/>
        <w:sz w:val="20"/>
        <w:szCs w:val="20"/>
      </w:rPr>
      <w:t>TMzino_16</w:t>
    </w:r>
    <w:r w:rsidR="000531E0" w:rsidRPr="000531E0">
      <w:rPr>
        <w:i/>
        <w:sz w:val="20"/>
        <w:szCs w:val="20"/>
      </w:rPr>
      <w:t>09</w:t>
    </w:r>
    <w:r w:rsidR="00262A30" w:rsidRPr="000531E0">
      <w:rPr>
        <w:i/>
        <w:sz w:val="20"/>
        <w:szCs w:val="20"/>
      </w:rPr>
      <w:t xml:space="preserve">11_JHAC; informatīvais </w:t>
    </w:r>
    <w:smartTag w:uri="schemas-tilde-lv/tildestengine" w:element="veidnes">
      <w:smartTagPr>
        <w:attr w:name="text" w:val="ziņojums"/>
        <w:attr w:name="baseform" w:val="ziņojums"/>
        <w:attr w:name="id" w:val="-1"/>
      </w:smartTagPr>
      <w:r w:rsidR="00262A30" w:rsidRPr="000531E0">
        <w:rPr>
          <w:i/>
          <w:sz w:val="20"/>
          <w:szCs w:val="20"/>
        </w:rPr>
        <w:t>ziņojums</w:t>
      </w:r>
    </w:smartTag>
    <w:r w:rsidR="00262A30" w:rsidRPr="000531E0">
      <w:rPr>
        <w:i/>
        <w:sz w:val="20"/>
        <w:szCs w:val="20"/>
      </w:rPr>
      <w:t xml:space="preserve"> </w:t>
    </w:r>
    <w:r w:rsidR="00262A30" w:rsidRPr="000531E0">
      <w:rPr>
        <w:bCs/>
        <w:i/>
        <w:sz w:val="20"/>
        <w:szCs w:val="20"/>
      </w:rPr>
      <w:t xml:space="preserve">par </w:t>
    </w:r>
    <w:r w:rsidR="00262A30" w:rsidRPr="000531E0">
      <w:rPr>
        <w:i/>
        <w:sz w:val="20"/>
        <w:szCs w:val="20"/>
      </w:rPr>
      <w:t xml:space="preserve">Tieslietu un iekšlietu ministru padomes </w:t>
    </w:r>
    <w:r w:rsidR="00262A30" w:rsidRPr="000531E0">
      <w:rPr>
        <w:bCs/>
        <w:i/>
        <w:sz w:val="20"/>
        <w:szCs w:val="20"/>
      </w:rPr>
      <w:t xml:space="preserve">2011. gada </w:t>
    </w:r>
    <w:r w:rsidR="000531E0" w:rsidRPr="000531E0">
      <w:rPr>
        <w:i/>
        <w:sz w:val="20"/>
        <w:szCs w:val="20"/>
      </w:rPr>
      <w:t>22.-23. septembra</w:t>
    </w:r>
    <w:r w:rsidR="00262A30" w:rsidRPr="000531E0">
      <w:rPr>
        <w:bCs/>
        <w:i/>
        <w:sz w:val="20"/>
        <w:szCs w:val="20"/>
      </w:rPr>
      <w:t xml:space="preserve"> </w:t>
    </w:r>
    <w:r w:rsidR="00262A30" w:rsidRPr="000531E0">
      <w:rPr>
        <w:i/>
        <w:sz w:val="20"/>
        <w:szCs w:val="20"/>
      </w:rPr>
      <w:t>sanāksm</w:t>
    </w:r>
    <w:r w:rsidR="00262A30" w:rsidRPr="000531E0">
      <w:rPr>
        <w:bCs/>
        <w:i/>
        <w:sz w:val="20"/>
        <w:szCs w:val="20"/>
      </w:rPr>
      <w:t>ē izskatāmajiem jautājumiem</w:t>
    </w:r>
    <w:r w:rsidR="00262A30" w:rsidRPr="00582F4E">
      <w:rPr>
        <w:bCs/>
        <w:i/>
        <w:sz w:val="20"/>
        <w:szCs w:val="20"/>
      </w:rPr>
      <w:t xml:space="preserve"> </w:t>
    </w:r>
  </w:p>
  <w:p w:rsidR="00262A30" w:rsidRPr="00C655A0" w:rsidRDefault="00262A30" w:rsidP="00C655A0">
    <w:pPr>
      <w:pStyle w:val="Kjene"/>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A30" w:rsidRPr="00C317FE" w:rsidRDefault="00262A30" w:rsidP="00C317FE">
    <w:pPr>
      <w:jc w:val="both"/>
      <w:rPr>
        <w:bCs/>
        <w:i/>
        <w:sz w:val="20"/>
        <w:szCs w:val="20"/>
      </w:rPr>
    </w:pPr>
    <w:r w:rsidRPr="00582F4E">
      <w:rPr>
        <w:i/>
        <w:sz w:val="20"/>
        <w:szCs w:val="20"/>
      </w:rPr>
      <w:t>TMzino_</w:t>
    </w:r>
    <w:r w:rsidR="000531E0">
      <w:rPr>
        <w:i/>
        <w:sz w:val="20"/>
        <w:szCs w:val="20"/>
      </w:rPr>
      <w:t>1509</w:t>
    </w:r>
    <w:r w:rsidRPr="00582F4E">
      <w:rPr>
        <w:i/>
        <w:sz w:val="20"/>
        <w:szCs w:val="20"/>
      </w:rPr>
      <w:t xml:space="preserve">11_JHAC; informatīvais </w:t>
    </w:r>
    <w:smartTag w:uri="schemas-tilde-lv/tildestengine" w:element="veidnes">
      <w:smartTagPr>
        <w:attr w:name="text" w:val="ziņojums"/>
        <w:attr w:name="baseform" w:val="ziņojums"/>
        <w:attr w:name="id" w:val="-1"/>
      </w:smartTagPr>
      <w:r w:rsidRPr="00582F4E">
        <w:rPr>
          <w:i/>
          <w:sz w:val="20"/>
          <w:szCs w:val="20"/>
        </w:rPr>
        <w:t>ziņojums</w:t>
      </w:r>
    </w:smartTag>
    <w:r w:rsidRPr="00582F4E">
      <w:rPr>
        <w:i/>
        <w:sz w:val="20"/>
        <w:szCs w:val="20"/>
      </w:rPr>
      <w:t xml:space="preserve"> </w:t>
    </w:r>
    <w:r w:rsidRPr="00582F4E">
      <w:rPr>
        <w:bCs/>
        <w:i/>
        <w:sz w:val="20"/>
        <w:szCs w:val="20"/>
      </w:rPr>
      <w:t xml:space="preserve">par </w:t>
    </w:r>
    <w:r w:rsidRPr="00582F4E">
      <w:rPr>
        <w:i/>
        <w:sz w:val="20"/>
        <w:szCs w:val="20"/>
      </w:rPr>
      <w:t xml:space="preserve">Tieslietu un iekšlietu ministru padomes </w:t>
    </w:r>
    <w:r w:rsidRPr="00582F4E">
      <w:rPr>
        <w:bCs/>
        <w:i/>
        <w:sz w:val="20"/>
        <w:szCs w:val="20"/>
      </w:rPr>
      <w:t xml:space="preserve">2011. gada </w:t>
    </w:r>
    <w:r w:rsidR="000531E0" w:rsidRPr="000531E0">
      <w:rPr>
        <w:i/>
        <w:sz w:val="20"/>
        <w:szCs w:val="20"/>
      </w:rPr>
      <w:t xml:space="preserve">22.-23. septembra </w:t>
    </w:r>
    <w:r w:rsidRPr="00582F4E">
      <w:rPr>
        <w:i/>
        <w:sz w:val="20"/>
        <w:szCs w:val="20"/>
      </w:rPr>
      <w:t>sanāksm</w:t>
    </w:r>
    <w:r w:rsidRPr="00582F4E">
      <w:rPr>
        <w:bCs/>
        <w:i/>
        <w:sz w:val="20"/>
        <w:szCs w:val="20"/>
      </w:rPr>
      <w:t xml:space="preserve">ē izskatāmajiem jautājumiem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A30" w:rsidRDefault="00262A30" w:rsidP="00A70D10">
      <w:r>
        <w:separator/>
      </w:r>
    </w:p>
  </w:footnote>
  <w:footnote w:type="continuationSeparator" w:id="0">
    <w:p w:rsidR="00262A30" w:rsidRDefault="00262A30" w:rsidP="00A70D10">
      <w:r>
        <w:continuationSeparator/>
      </w:r>
    </w:p>
  </w:footnote>
  <w:footnote w:id="1">
    <w:p w:rsidR="009A3340" w:rsidRDefault="009A3340" w:rsidP="009A3340">
      <w:pPr>
        <w:pStyle w:val="Vresteksts"/>
      </w:pPr>
      <w:r>
        <w:rPr>
          <w:rStyle w:val="Vresatsauce"/>
        </w:rPr>
        <w:footnoteRef/>
      </w:r>
      <w:r>
        <w:t xml:space="preserve"> </w:t>
      </w:r>
      <w:r w:rsidRPr="009A3340">
        <w:t>Š.g. 18. maijā Eiropas Komisija ir nākusi klajā ar priekšlikumu Eiropas Parlamenta un Padomes regulai par aizsardzības pasākumu savstarpēju atzīšanu civillietās</w:t>
      </w:r>
      <w:r>
        <w:t xml:space="preserve"> (COM(2011) 276)</w:t>
      </w:r>
    </w:p>
  </w:footnote>
  <w:footnote w:id="2">
    <w:p w:rsidR="00DE64B5" w:rsidRDefault="00DE64B5">
      <w:pPr>
        <w:pStyle w:val="Vresteksts"/>
      </w:pPr>
      <w:r>
        <w:rPr>
          <w:rStyle w:val="Vresatsauce"/>
        </w:rPr>
        <w:footnoteRef/>
      </w:r>
      <w:r>
        <w:t xml:space="preserve"> </w:t>
      </w:r>
      <w:r w:rsidRPr="00F21E02">
        <w:rPr>
          <w:noProof/>
        </w:rPr>
        <w:t>Rezolūciju Eiropas Savienības Padome pieņēma 2009. gada 30. novembrī.</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A30" w:rsidRDefault="001D6601">
    <w:pPr>
      <w:pStyle w:val="Galvene"/>
      <w:framePr w:wrap="auto" w:vAnchor="text" w:hAnchor="margin" w:xAlign="center" w:y="1"/>
      <w:rPr>
        <w:rStyle w:val="Lappusesnumurs"/>
      </w:rPr>
    </w:pPr>
    <w:r>
      <w:rPr>
        <w:rStyle w:val="Lappusesnumurs"/>
      </w:rPr>
      <w:fldChar w:fldCharType="begin"/>
    </w:r>
    <w:r w:rsidR="00262A30">
      <w:rPr>
        <w:rStyle w:val="Lappusesnumurs"/>
      </w:rPr>
      <w:instrText xml:space="preserve">PAGE  </w:instrText>
    </w:r>
    <w:r>
      <w:rPr>
        <w:rStyle w:val="Lappusesnumurs"/>
      </w:rPr>
      <w:fldChar w:fldCharType="separate"/>
    </w:r>
    <w:r w:rsidR="005557D3">
      <w:rPr>
        <w:rStyle w:val="Lappusesnumurs"/>
        <w:noProof/>
      </w:rPr>
      <w:t>4</w:t>
    </w:r>
    <w:r>
      <w:rPr>
        <w:rStyle w:val="Lappusesnumurs"/>
      </w:rPr>
      <w:fldChar w:fldCharType="end"/>
    </w:r>
  </w:p>
  <w:p w:rsidR="00262A30" w:rsidRDefault="00262A30">
    <w:pPr>
      <w:pStyle w:val="Galve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7959AE"/>
    <w:multiLevelType w:val="hybridMultilevel"/>
    <w:tmpl w:val="D466DCCC"/>
    <w:lvl w:ilvl="0" w:tplc="4DF2C3B0">
      <w:start w:val="1"/>
      <w:numFmt w:val="decimal"/>
      <w:pStyle w:val="Normal10pt"/>
      <w:lvlText w:val="%1."/>
      <w:lvlJc w:val="left"/>
      <w:pPr>
        <w:tabs>
          <w:tab w:val="num" w:pos="720"/>
        </w:tabs>
        <w:ind w:left="720" w:hanging="360"/>
      </w:pPr>
      <w:rPr>
        <w:rFonts w:cs="Times New Roman" w:hint="default"/>
      </w:rPr>
    </w:lvl>
    <w:lvl w:ilvl="1" w:tplc="87A8C1E0">
      <w:start w:val="2"/>
      <w:numFmt w:val="bullet"/>
      <w:lvlText w:val="-"/>
      <w:lvlJc w:val="left"/>
      <w:pPr>
        <w:tabs>
          <w:tab w:val="num" w:pos="1440"/>
        </w:tabs>
        <w:ind w:left="1440" w:hanging="360"/>
      </w:pPr>
      <w:rPr>
        <w:rFonts w:ascii="Times New Roman" w:eastAsia="Times New Roman" w:hAnsi="Times New Roman" w:hint="default"/>
      </w:rPr>
    </w:lvl>
    <w:lvl w:ilvl="2" w:tplc="4BC05D28">
      <w:start w:val="1"/>
      <w:numFmt w:val="decimal"/>
      <w:lvlText w:val="%3)"/>
      <w:lvlJc w:val="left"/>
      <w:pPr>
        <w:tabs>
          <w:tab w:val="num" w:pos="2340"/>
        </w:tabs>
        <w:ind w:left="2340" w:hanging="360"/>
      </w:pPr>
      <w:rPr>
        <w:rFonts w:cs="Times New Roman" w:hint="default"/>
      </w:rPr>
    </w:lvl>
    <w:lvl w:ilvl="3" w:tplc="0426000F">
      <w:start w:val="1"/>
      <w:numFmt w:val="decimal"/>
      <w:lvlText w:val="%4."/>
      <w:lvlJc w:val="left"/>
      <w:pPr>
        <w:tabs>
          <w:tab w:val="num" w:pos="2520"/>
        </w:tabs>
        <w:ind w:left="2520" w:hanging="360"/>
      </w:pPr>
      <w:rPr>
        <w:rFonts w:cs="Times New Roman" w:hint="default"/>
      </w:rPr>
    </w:lvl>
    <w:lvl w:ilvl="4" w:tplc="4A3EB48A">
      <w:start w:val="1"/>
      <w:numFmt w:val="bullet"/>
      <w:lvlText w:val=""/>
      <w:lvlJc w:val="left"/>
      <w:pPr>
        <w:tabs>
          <w:tab w:val="num" w:pos="3807"/>
        </w:tabs>
        <w:ind w:left="3807" w:hanging="567"/>
      </w:pPr>
      <w:rPr>
        <w:rFonts w:ascii="Symbol" w:hAnsi="Symbol" w:hint="default"/>
        <w:sz w:val="20"/>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nsid w:val="0E741C58"/>
    <w:multiLevelType w:val="hybridMultilevel"/>
    <w:tmpl w:val="439E7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80961"/>
    <w:multiLevelType w:val="hybridMultilevel"/>
    <w:tmpl w:val="945C266A"/>
    <w:lvl w:ilvl="0" w:tplc="EDDCC16A">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nsid w:val="144B2E14"/>
    <w:multiLevelType w:val="hybridMultilevel"/>
    <w:tmpl w:val="61CA14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8CB47A2"/>
    <w:multiLevelType w:val="hybridMultilevel"/>
    <w:tmpl w:val="CF3E39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99E756C"/>
    <w:multiLevelType w:val="hybridMultilevel"/>
    <w:tmpl w:val="4FF03E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B931868"/>
    <w:multiLevelType w:val="hybridMultilevel"/>
    <w:tmpl w:val="AD28639C"/>
    <w:lvl w:ilvl="0" w:tplc="5C102D6A">
      <w:start w:val="1"/>
      <w:numFmt w:val="decimal"/>
      <w:lvlText w:val="%1."/>
      <w:lvlJc w:val="left"/>
      <w:pPr>
        <w:ind w:left="709" w:hanging="360"/>
      </w:pPr>
      <w:rPr>
        <w:rFonts w:hint="default"/>
      </w:r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8">
    <w:nsid w:val="21BC7059"/>
    <w:multiLevelType w:val="hybridMultilevel"/>
    <w:tmpl w:val="6B40F49C"/>
    <w:lvl w:ilvl="0" w:tplc="A2FE533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CE425B2"/>
    <w:multiLevelType w:val="hybridMultilevel"/>
    <w:tmpl w:val="2A6A961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479B4197"/>
    <w:multiLevelType w:val="hybridMultilevel"/>
    <w:tmpl w:val="4DEE1E3A"/>
    <w:lvl w:ilvl="0" w:tplc="E662F900">
      <w:start w:val="1"/>
      <w:numFmt w:val="decimal"/>
      <w:lvlText w:val="%1."/>
      <w:lvlJc w:val="left"/>
      <w:pPr>
        <w:ind w:left="709" w:hanging="360"/>
      </w:pPr>
      <w:rPr>
        <w:rFonts w:hint="default"/>
        <w:b/>
      </w:r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11">
    <w:nsid w:val="4D836BF4"/>
    <w:multiLevelType w:val="hybridMultilevel"/>
    <w:tmpl w:val="C0C01FEA"/>
    <w:lvl w:ilvl="0" w:tplc="BECC081A">
      <w:start w:val="1"/>
      <w:numFmt w:val="decimal"/>
      <w:lvlText w:val="%1."/>
      <w:lvlJc w:val="left"/>
      <w:pPr>
        <w:ind w:left="1637" w:hanging="360"/>
      </w:pPr>
      <w:rPr>
        <w:rFonts w:hint="default"/>
        <w:i w:val="0"/>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nsid w:val="4EAA035C"/>
    <w:multiLevelType w:val="hybridMultilevel"/>
    <w:tmpl w:val="381A87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4C2543E"/>
    <w:multiLevelType w:val="hybridMultilevel"/>
    <w:tmpl w:val="DBE6A582"/>
    <w:lvl w:ilvl="0" w:tplc="6C70890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nsid w:val="5A0712EC"/>
    <w:multiLevelType w:val="hybridMultilevel"/>
    <w:tmpl w:val="0B28764C"/>
    <w:lvl w:ilvl="0" w:tplc="AA1205B2">
      <w:start w:val="1"/>
      <w:numFmt w:val="decimal"/>
      <w:lvlText w:val="%1."/>
      <w:lvlJc w:val="left"/>
      <w:pPr>
        <w:ind w:left="1637" w:hanging="360"/>
      </w:pPr>
      <w:rPr>
        <w:rFonts w:hint="default"/>
        <w:b w:val="0"/>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nsid w:val="62291D60"/>
    <w:multiLevelType w:val="hybridMultilevel"/>
    <w:tmpl w:val="915E53FC"/>
    <w:lvl w:ilvl="0" w:tplc="6CC2A9E6">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693035FB"/>
    <w:multiLevelType w:val="hybridMultilevel"/>
    <w:tmpl w:val="945C266A"/>
    <w:lvl w:ilvl="0" w:tplc="EDDCC16A">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nsid w:val="73705350"/>
    <w:multiLevelType w:val="hybridMultilevel"/>
    <w:tmpl w:val="47BA0C78"/>
    <w:lvl w:ilvl="0" w:tplc="AA5AE678">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8523140"/>
    <w:multiLevelType w:val="hybridMultilevel"/>
    <w:tmpl w:val="EDAC6750"/>
    <w:lvl w:ilvl="0" w:tplc="46ACADB0">
      <w:start w:val="1"/>
      <w:numFmt w:val="decimal"/>
      <w:lvlText w:val="%1)"/>
      <w:lvlJc w:val="left"/>
      <w:pPr>
        <w:ind w:left="1212" w:hanging="360"/>
      </w:pPr>
      <w:rPr>
        <w:rFonts w:hint="default"/>
      </w:rPr>
    </w:lvl>
    <w:lvl w:ilvl="1" w:tplc="04260019" w:tentative="1">
      <w:start w:val="1"/>
      <w:numFmt w:val="lowerLetter"/>
      <w:lvlText w:val="%2."/>
      <w:lvlJc w:val="left"/>
      <w:pPr>
        <w:ind w:left="1932" w:hanging="360"/>
      </w:pPr>
    </w:lvl>
    <w:lvl w:ilvl="2" w:tplc="0426001B" w:tentative="1">
      <w:start w:val="1"/>
      <w:numFmt w:val="lowerRoman"/>
      <w:lvlText w:val="%3."/>
      <w:lvlJc w:val="right"/>
      <w:pPr>
        <w:ind w:left="2652" w:hanging="180"/>
      </w:pPr>
    </w:lvl>
    <w:lvl w:ilvl="3" w:tplc="0426000F" w:tentative="1">
      <w:start w:val="1"/>
      <w:numFmt w:val="decimal"/>
      <w:lvlText w:val="%4."/>
      <w:lvlJc w:val="left"/>
      <w:pPr>
        <w:ind w:left="3372" w:hanging="360"/>
      </w:pPr>
    </w:lvl>
    <w:lvl w:ilvl="4" w:tplc="04260019" w:tentative="1">
      <w:start w:val="1"/>
      <w:numFmt w:val="lowerLetter"/>
      <w:lvlText w:val="%5."/>
      <w:lvlJc w:val="left"/>
      <w:pPr>
        <w:ind w:left="4092" w:hanging="360"/>
      </w:pPr>
    </w:lvl>
    <w:lvl w:ilvl="5" w:tplc="0426001B" w:tentative="1">
      <w:start w:val="1"/>
      <w:numFmt w:val="lowerRoman"/>
      <w:lvlText w:val="%6."/>
      <w:lvlJc w:val="right"/>
      <w:pPr>
        <w:ind w:left="4812" w:hanging="180"/>
      </w:pPr>
    </w:lvl>
    <w:lvl w:ilvl="6" w:tplc="0426000F" w:tentative="1">
      <w:start w:val="1"/>
      <w:numFmt w:val="decimal"/>
      <w:lvlText w:val="%7."/>
      <w:lvlJc w:val="left"/>
      <w:pPr>
        <w:ind w:left="5532" w:hanging="360"/>
      </w:pPr>
    </w:lvl>
    <w:lvl w:ilvl="7" w:tplc="04260019" w:tentative="1">
      <w:start w:val="1"/>
      <w:numFmt w:val="lowerLetter"/>
      <w:lvlText w:val="%8."/>
      <w:lvlJc w:val="left"/>
      <w:pPr>
        <w:ind w:left="6252" w:hanging="360"/>
      </w:pPr>
    </w:lvl>
    <w:lvl w:ilvl="8" w:tplc="0426001B" w:tentative="1">
      <w:start w:val="1"/>
      <w:numFmt w:val="lowerRoman"/>
      <w:lvlText w:val="%9."/>
      <w:lvlJc w:val="right"/>
      <w:pPr>
        <w:ind w:left="6972" w:hanging="180"/>
      </w:pPr>
    </w:lvl>
  </w:abstractNum>
  <w:abstractNum w:abstractNumId="19">
    <w:nsid w:val="7C3A15AB"/>
    <w:multiLevelType w:val="hybridMultilevel"/>
    <w:tmpl w:val="DBB6911A"/>
    <w:lvl w:ilvl="0" w:tplc="13D89506">
      <w:start w:val="7"/>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3"/>
  </w:num>
  <w:num w:numId="4">
    <w:abstractNumId w:val="2"/>
  </w:num>
  <w:num w:numId="5">
    <w:abstractNumId w:val="7"/>
  </w:num>
  <w:num w:numId="6">
    <w:abstractNumId w:val="16"/>
  </w:num>
  <w:num w:numId="7">
    <w:abstractNumId w:val="17"/>
  </w:num>
  <w:num w:numId="8">
    <w:abstractNumId w:val="3"/>
  </w:num>
  <w:num w:numId="9">
    <w:abstractNumId w:val="18"/>
  </w:num>
  <w:num w:numId="10">
    <w:abstractNumId w:val="10"/>
  </w:num>
  <w:num w:numId="11">
    <w:abstractNumId w:val="8"/>
  </w:num>
  <w:num w:numId="12">
    <w:abstractNumId w:val="4"/>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2"/>
  </w:num>
  <w:num w:numId="16">
    <w:abstractNumId w:val="6"/>
  </w:num>
  <w:num w:numId="17">
    <w:abstractNumId w:val="0"/>
  </w:num>
  <w:num w:numId="18">
    <w:abstractNumId w:val="19"/>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F3EFE"/>
    <w:rsid w:val="00031CF0"/>
    <w:rsid w:val="000376A8"/>
    <w:rsid w:val="00046A12"/>
    <w:rsid w:val="00047D6D"/>
    <w:rsid w:val="000531E0"/>
    <w:rsid w:val="0007155C"/>
    <w:rsid w:val="00076F95"/>
    <w:rsid w:val="00080FBE"/>
    <w:rsid w:val="000952FD"/>
    <w:rsid w:val="00096204"/>
    <w:rsid w:val="000A6FD6"/>
    <w:rsid w:val="000D406D"/>
    <w:rsid w:val="000D556B"/>
    <w:rsid w:val="000E7D99"/>
    <w:rsid w:val="000F5E6D"/>
    <w:rsid w:val="00120978"/>
    <w:rsid w:val="00136F59"/>
    <w:rsid w:val="001371CD"/>
    <w:rsid w:val="0014238C"/>
    <w:rsid w:val="00161011"/>
    <w:rsid w:val="00165B07"/>
    <w:rsid w:val="001729AD"/>
    <w:rsid w:val="0018011D"/>
    <w:rsid w:val="00192C7A"/>
    <w:rsid w:val="0019313D"/>
    <w:rsid w:val="00193D24"/>
    <w:rsid w:val="001959F9"/>
    <w:rsid w:val="001A0095"/>
    <w:rsid w:val="001A3B68"/>
    <w:rsid w:val="001B3261"/>
    <w:rsid w:val="001B4ED9"/>
    <w:rsid w:val="001B5D88"/>
    <w:rsid w:val="001B79BA"/>
    <w:rsid w:val="001C44AB"/>
    <w:rsid w:val="001C7881"/>
    <w:rsid w:val="001D04EC"/>
    <w:rsid w:val="001D6601"/>
    <w:rsid w:val="001E604A"/>
    <w:rsid w:val="001F377A"/>
    <w:rsid w:val="001F58ED"/>
    <w:rsid w:val="00204CD6"/>
    <w:rsid w:val="00213AB8"/>
    <w:rsid w:val="00226153"/>
    <w:rsid w:val="002268DD"/>
    <w:rsid w:val="002464AA"/>
    <w:rsid w:val="00247320"/>
    <w:rsid w:val="00247A3A"/>
    <w:rsid w:val="0025030E"/>
    <w:rsid w:val="00262A30"/>
    <w:rsid w:val="002749F7"/>
    <w:rsid w:val="00284E43"/>
    <w:rsid w:val="00287CF9"/>
    <w:rsid w:val="00291569"/>
    <w:rsid w:val="00292D2D"/>
    <w:rsid w:val="0029413D"/>
    <w:rsid w:val="00294C62"/>
    <w:rsid w:val="00297FC2"/>
    <w:rsid w:val="002A2A1A"/>
    <w:rsid w:val="002A653D"/>
    <w:rsid w:val="002E2A94"/>
    <w:rsid w:val="002F7B4A"/>
    <w:rsid w:val="00301BA2"/>
    <w:rsid w:val="00322722"/>
    <w:rsid w:val="00326609"/>
    <w:rsid w:val="003267DA"/>
    <w:rsid w:val="0036070D"/>
    <w:rsid w:val="00370CC9"/>
    <w:rsid w:val="00373EFD"/>
    <w:rsid w:val="0037551C"/>
    <w:rsid w:val="00380CB7"/>
    <w:rsid w:val="0038160E"/>
    <w:rsid w:val="0038728E"/>
    <w:rsid w:val="003B1875"/>
    <w:rsid w:val="003C0399"/>
    <w:rsid w:val="003C0458"/>
    <w:rsid w:val="003C4F70"/>
    <w:rsid w:val="003D1167"/>
    <w:rsid w:val="003D5110"/>
    <w:rsid w:val="003D532A"/>
    <w:rsid w:val="003E4392"/>
    <w:rsid w:val="003E66B7"/>
    <w:rsid w:val="00400C08"/>
    <w:rsid w:val="0040296B"/>
    <w:rsid w:val="00404BD0"/>
    <w:rsid w:val="004167C9"/>
    <w:rsid w:val="004440D9"/>
    <w:rsid w:val="004502EC"/>
    <w:rsid w:val="004525EE"/>
    <w:rsid w:val="00460ACD"/>
    <w:rsid w:val="004631DE"/>
    <w:rsid w:val="0047401D"/>
    <w:rsid w:val="00482865"/>
    <w:rsid w:val="0049284E"/>
    <w:rsid w:val="00494DB0"/>
    <w:rsid w:val="004A73DF"/>
    <w:rsid w:val="004B3DE0"/>
    <w:rsid w:val="004C7B2D"/>
    <w:rsid w:val="004D162B"/>
    <w:rsid w:val="004D32DC"/>
    <w:rsid w:val="004E0F8D"/>
    <w:rsid w:val="004F03CE"/>
    <w:rsid w:val="004F0E6B"/>
    <w:rsid w:val="004F3719"/>
    <w:rsid w:val="00513508"/>
    <w:rsid w:val="0052132C"/>
    <w:rsid w:val="0053148A"/>
    <w:rsid w:val="005315F4"/>
    <w:rsid w:val="005502BE"/>
    <w:rsid w:val="005513E4"/>
    <w:rsid w:val="00551CC0"/>
    <w:rsid w:val="0055378A"/>
    <w:rsid w:val="005557D3"/>
    <w:rsid w:val="00557757"/>
    <w:rsid w:val="005660D7"/>
    <w:rsid w:val="00572D7A"/>
    <w:rsid w:val="00582F4E"/>
    <w:rsid w:val="00584BE4"/>
    <w:rsid w:val="005C1483"/>
    <w:rsid w:val="005D1607"/>
    <w:rsid w:val="005E01AD"/>
    <w:rsid w:val="005E414C"/>
    <w:rsid w:val="00606F89"/>
    <w:rsid w:val="00642365"/>
    <w:rsid w:val="00650F47"/>
    <w:rsid w:val="006871EB"/>
    <w:rsid w:val="006911EA"/>
    <w:rsid w:val="006A1F4D"/>
    <w:rsid w:val="006B6CAF"/>
    <w:rsid w:val="006B70AF"/>
    <w:rsid w:val="006E209A"/>
    <w:rsid w:val="006E406B"/>
    <w:rsid w:val="006E4E37"/>
    <w:rsid w:val="006F48F4"/>
    <w:rsid w:val="00701228"/>
    <w:rsid w:val="007044DD"/>
    <w:rsid w:val="007227F1"/>
    <w:rsid w:val="0072742E"/>
    <w:rsid w:val="007454FC"/>
    <w:rsid w:val="00755917"/>
    <w:rsid w:val="00765D84"/>
    <w:rsid w:val="0076637E"/>
    <w:rsid w:val="007710D9"/>
    <w:rsid w:val="00771BCE"/>
    <w:rsid w:val="0077448C"/>
    <w:rsid w:val="00777A10"/>
    <w:rsid w:val="00797603"/>
    <w:rsid w:val="007A3A76"/>
    <w:rsid w:val="007A7028"/>
    <w:rsid w:val="007B112D"/>
    <w:rsid w:val="007C2497"/>
    <w:rsid w:val="007C337E"/>
    <w:rsid w:val="007D23F4"/>
    <w:rsid w:val="007D4D52"/>
    <w:rsid w:val="007E224D"/>
    <w:rsid w:val="007F2316"/>
    <w:rsid w:val="007F461A"/>
    <w:rsid w:val="007F4BB7"/>
    <w:rsid w:val="007F7F98"/>
    <w:rsid w:val="0080035B"/>
    <w:rsid w:val="008025CC"/>
    <w:rsid w:val="00826B70"/>
    <w:rsid w:val="00827557"/>
    <w:rsid w:val="00832E5B"/>
    <w:rsid w:val="008358D8"/>
    <w:rsid w:val="00840308"/>
    <w:rsid w:val="00855279"/>
    <w:rsid w:val="00856313"/>
    <w:rsid w:val="00866FA4"/>
    <w:rsid w:val="008708A7"/>
    <w:rsid w:val="00870C88"/>
    <w:rsid w:val="008952AF"/>
    <w:rsid w:val="008A1FC8"/>
    <w:rsid w:val="008B2572"/>
    <w:rsid w:val="008B5841"/>
    <w:rsid w:val="008C6ED3"/>
    <w:rsid w:val="008E09EF"/>
    <w:rsid w:val="008F2B9C"/>
    <w:rsid w:val="009003E7"/>
    <w:rsid w:val="009034C5"/>
    <w:rsid w:val="00911D09"/>
    <w:rsid w:val="00925970"/>
    <w:rsid w:val="009354EF"/>
    <w:rsid w:val="009365B0"/>
    <w:rsid w:val="00943BDE"/>
    <w:rsid w:val="00962592"/>
    <w:rsid w:val="00966760"/>
    <w:rsid w:val="00966F31"/>
    <w:rsid w:val="00972E57"/>
    <w:rsid w:val="00973667"/>
    <w:rsid w:val="009805D0"/>
    <w:rsid w:val="009869C3"/>
    <w:rsid w:val="0098767D"/>
    <w:rsid w:val="009928EE"/>
    <w:rsid w:val="00995E29"/>
    <w:rsid w:val="00996994"/>
    <w:rsid w:val="009A3340"/>
    <w:rsid w:val="009A64D1"/>
    <w:rsid w:val="009A7FFC"/>
    <w:rsid w:val="009B57FD"/>
    <w:rsid w:val="009B7CFA"/>
    <w:rsid w:val="009D419B"/>
    <w:rsid w:val="009D6798"/>
    <w:rsid w:val="009D7A48"/>
    <w:rsid w:val="009F0810"/>
    <w:rsid w:val="009F447D"/>
    <w:rsid w:val="009F47AF"/>
    <w:rsid w:val="00A00EB5"/>
    <w:rsid w:val="00A11219"/>
    <w:rsid w:val="00A20EAD"/>
    <w:rsid w:val="00A2327C"/>
    <w:rsid w:val="00A24981"/>
    <w:rsid w:val="00A30452"/>
    <w:rsid w:val="00A36504"/>
    <w:rsid w:val="00A365BE"/>
    <w:rsid w:val="00A37F6E"/>
    <w:rsid w:val="00A470B8"/>
    <w:rsid w:val="00A5481E"/>
    <w:rsid w:val="00A55792"/>
    <w:rsid w:val="00A651AD"/>
    <w:rsid w:val="00A70D10"/>
    <w:rsid w:val="00A925B0"/>
    <w:rsid w:val="00A97731"/>
    <w:rsid w:val="00AA00CF"/>
    <w:rsid w:val="00AA6241"/>
    <w:rsid w:val="00AB314F"/>
    <w:rsid w:val="00AB4431"/>
    <w:rsid w:val="00AC41EA"/>
    <w:rsid w:val="00AD0B0C"/>
    <w:rsid w:val="00AD2AFB"/>
    <w:rsid w:val="00AD3BE4"/>
    <w:rsid w:val="00AD6DC3"/>
    <w:rsid w:val="00AE0C01"/>
    <w:rsid w:val="00AF3EFE"/>
    <w:rsid w:val="00AF4665"/>
    <w:rsid w:val="00B007F6"/>
    <w:rsid w:val="00B04AAF"/>
    <w:rsid w:val="00B12E81"/>
    <w:rsid w:val="00B20561"/>
    <w:rsid w:val="00B21578"/>
    <w:rsid w:val="00B24312"/>
    <w:rsid w:val="00B32C27"/>
    <w:rsid w:val="00B4203D"/>
    <w:rsid w:val="00B434B6"/>
    <w:rsid w:val="00B54201"/>
    <w:rsid w:val="00B611C6"/>
    <w:rsid w:val="00B6275E"/>
    <w:rsid w:val="00B709BD"/>
    <w:rsid w:val="00B73FFF"/>
    <w:rsid w:val="00B829E1"/>
    <w:rsid w:val="00B94AAE"/>
    <w:rsid w:val="00B964EC"/>
    <w:rsid w:val="00BA0049"/>
    <w:rsid w:val="00BA5642"/>
    <w:rsid w:val="00BA5DC0"/>
    <w:rsid w:val="00BB5407"/>
    <w:rsid w:val="00BD35BC"/>
    <w:rsid w:val="00BD3FF8"/>
    <w:rsid w:val="00BD7679"/>
    <w:rsid w:val="00BE3474"/>
    <w:rsid w:val="00BF22AD"/>
    <w:rsid w:val="00BF3462"/>
    <w:rsid w:val="00BF7587"/>
    <w:rsid w:val="00C03799"/>
    <w:rsid w:val="00C07392"/>
    <w:rsid w:val="00C137BF"/>
    <w:rsid w:val="00C20E89"/>
    <w:rsid w:val="00C317FE"/>
    <w:rsid w:val="00C36ED9"/>
    <w:rsid w:val="00C43058"/>
    <w:rsid w:val="00C471AC"/>
    <w:rsid w:val="00C643D6"/>
    <w:rsid w:val="00C655A0"/>
    <w:rsid w:val="00C661B0"/>
    <w:rsid w:val="00C72112"/>
    <w:rsid w:val="00C7575F"/>
    <w:rsid w:val="00C9183E"/>
    <w:rsid w:val="00C926F0"/>
    <w:rsid w:val="00CA377C"/>
    <w:rsid w:val="00CB1AD5"/>
    <w:rsid w:val="00CC1A74"/>
    <w:rsid w:val="00CC45B1"/>
    <w:rsid w:val="00CC780E"/>
    <w:rsid w:val="00CC79A7"/>
    <w:rsid w:val="00CD2350"/>
    <w:rsid w:val="00CF28AC"/>
    <w:rsid w:val="00D01C6F"/>
    <w:rsid w:val="00D03554"/>
    <w:rsid w:val="00D33DF9"/>
    <w:rsid w:val="00D361A4"/>
    <w:rsid w:val="00D56AAC"/>
    <w:rsid w:val="00D61135"/>
    <w:rsid w:val="00D62F8D"/>
    <w:rsid w:val="00D75351"/>
    <w:rsid w:val="00D860BB"/>
    <w:rsid w:val="00D91A10"/>
    <w:rsid w:val="00DB1FC3"/>
    <w:rsid w:val="00DB5F8C"/>
    <w:rsid w:val="00DB6E73"/>
    <w:rsid w:val="00DC5C47"/>
    <w:rsid w:val="00DD007F"/>
    <w:rsid w:val="00DD42A9"/>
    <w:rsid w:val="00DE64B5"/>
    <w:rsid w:val="00DF0668"/>
    <w:rsid w:val="00DF2CAC"/>
    <w:rsid w:val="00E01612"/>
    <w:rsid w:val="00E0206B"/>
    <w:rsid w:val="00E0698D"/>
    <w:rsid w:val="00E311F8"/>
    <w:rsid w:val="00E318FA"/>
    <w:rsid w:val="00E37B49"/>
    <w:rsid w:val="00E51B15"/>
    <w:rsid w:val="00E61C0B"/>
    <w:rsid w:val="00E80699"/>
    <w:rsid w:val="00E830CE"/>
    <w:rsid w:val="00E91C07"/>
    <w:rsid w:val="00EA1553"/>
    <w:rsid w:val="00EC6D9E"/>
    <w:rsid w:val="00ED08F7"/>
    <w:rsid w:val="00ED2005"/>
    <w:rsid w:val="00EE1D04"/>
    <w:rsid w:val="00EF59C6"/>
    <w:rsid w:val="00EF67A3"/>
    <w:rsid w:val="00F105D6"/>
    <w:rsid w:val="00F1080F"/>
    <w:rsid w:val="00F17F11"/>
    <w:rsid w:val="00F23888"/>
    <w:rsid w:val="00F40C63"/>
    <w:rsid w:val="00F455F8"/>
    <w:rsid w:val="00F87D76"/>
    <w:rsid w:val="00F9432E"/>
    <w:rsid w:val="00FC5BF6"/>
    <w:rsid w:val="00FF3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F3EFE"/>
    <w:pPr>
      <w:spacing w:after="0" w:line="240" w:lineRule="auto"/>
    </w:pPr>
    <w:rPr>
      <w:rFonts w:ascii="Times New Roman" w:eastAsia="Times New Roman" w:hAnsi="Times New Roman" w:cs="Times New Roman"/>
      <w:sz w:val="24"/>
      <w:szCs w:val="24"/>
    </w:rPr>
  </w:style>
  <w:style w:type="paragraph" w:styleId="Virsraksts5">
    <w:name w:val="heading 5"/>
    <w:basedOn w:val="Parastais"/>
    <w:next w:val="Parastais"/>
    <w:link w:val="Virsraksts5Rakstz"/>
    <w:qFormat/>
    <w:rsid w:val="00E0698D"/>
    <w:pPr>
      <w:keepNext/>
      <w:outlineLvl w:val="4"/>
    </w:pPr>
    <w:rPr>
      <w:b/>
      <w:bCs/>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ais"/>
    <w:link w:val="KjeneRakstz"/>
    <w:rsid w:val="00AF3EFE"/>
    <w:pPr>
      <w:tabs>
        <w:tab w:val="center" w:pos="4320"/>
        <w:tab w:val="right" w:pos="8640"/>
      </w:tabs>
    </w:pPr>
    <w:rPr>
      <w:lang w:val="en-US"/>
    </w:rPr>
  </w:style>
  <w:style w:type="character" w:customStyle="1" w:styleId="KjeneRakstz">
    <w:name w:val="Kājene Rakstz."/>
    <w:basedOn w:val="Noklusjumarindkopasfonts"/>
    <w:link w:val="Kjene"/>
    <w:rsid w:val="00AF3EFE"/>
    <w:rPr>
      <w:rFonts w:ascii="Times New Roman" w:eastAsia="Times New Roman" w:hAnsi="Times New Roman" w:cs="Times New Roman"/>
      <w:sz w:val="24"/>
      <w:szCs w:val="24"/>
      <w:lang w:val="en-US"/>
    </w:rPr>
  </w:style>
  <w:style w:type="paragraph" w:styleId="Galvene">
    <w:name w:val="header"/>
    <w:basedOn w:val="Parastais"/>
    <w:link w:val="GalveneRakstz"/>
    <w:rsid w:val="00AF3EFE"/>
    <w:pPr>
      <w:tabs>
        <w:tab w:val="center" w:pos="4153"/>
        <w:tab w:val="right" w:pos="8306"/>
      </w:tabs>
    </w:pPr>
  </w:style>
  <w:style w:type="character" w:customStyle="1" w:styleId="GalveneRakstz">
    <w:name w:val="Galvene Rakstz."/>
    <w:basedOn w:val="Noklusjumarindkopasfonts"/>
    <w:link w:val="Galvene"/>
    <w:rsid w:val="00AF3EFE"/>
    <w:rPr>
      <w:rFonts w:ascii="Times New Roman" w:eastAsia="Times New Roman" w:hAnsi="Times New Roman" w:cs="Times New Roman"/>
      <w:sz w:val="24"/>
      <w:szCs w:val="24"/>
    </w:rPr>
  </w:style>
  <w:style w:type="paragraph" w:styleId="Pamatteksts2">
    <w:name w:val="Body Text 2"/>
    <w:basedOn w:val="Parastais"/>
    <w:link w:val="Pamatteksts2Rakstz"/>
    <w:rsid w:val="00AF3EFE"/>
    <w:pPr>
      <w:jc w:val="center"/>
    </w:pPr>
    <w:rPr>
      <w:sz w:val="32"/>
      <w:szCs w:val="32"/>
    </w:rPr>
  </w:style>
  <w:style w:type="character" w:customStyle="1" w:styleId="Pamatteksts2Rakstz">
    <w:name w:val="Pamatteksts 2 Rakstz."/>
    <w:basedOn w:val="Noklusjumarindkopasfonts"/>
    <w:link w:val="Pamatteksts2"/>
    <w:rsid w:val="00AF3EFE"/>
    <w:rPr>
      <w:rFonts w:ascii="Times New Roman" w:eastAsia="Times New Roman" w:hAnsi="Times New Roman" w:cs="Times New Roman"/>
      <w:sz w:val="32"/>
      <w:szCs w:val="32"/>
    </w:rPr>
  </w:style>
  <w:style w:type="paragraph" w:styleId="Komentrateksts">
    <w:name w:val="annotation text"/>
    <w:basedOn w:val="Parastais"/>
    <w:link w:val="KomentratekstsRakstz"/>
    <w:uiPriority w:val="99"/>
    <w:semiHidden/>
    <w:rsid w:val="00AF3EFE"/>
    <w:rPr>
      <w:sz w:val="20"/>
      <w:szCs w:val="20"/>
    </w:rPr>
  </w:style>
  <w:style w:type="character" w:customStyle="1" w:styleId="KomentratekstsRakstz">
    <w:name w:val="Komentāra teksts Rakstz."/>
    <w:basedOn w:val="Noklusjumarindkopasfonts"/>
    <w:link w:val="Komentrateksts"/>
    <w:uiPriority w:val="99"/>
    <w:semiHidden/>
    <w:rsid w:val="00AF3EFE"/>
    <w:rPr>
      <w:rFonts w:ascii="Times New Roman" w:eastAsia="Times New Roman" w:hAnsi="Times New Roman" w:cs="Times New Roman"/>
      <w:sz w:val="20"/>
      <w:szCs w:val="20"/>
    </w:rPr>
  </w:style>
  <w:style w:type="character" w:styleId="Lappusesnumurs">
    <w:name w:val="page number"/>
    <w:basedOn w:val="Noklusjumarindkopasfonts"/>
    <w:rsid w:val="00AF3EFE"/>
    <w:rPr>
      <w:rFonts w:cs="Times New Roman"/>
    </w:rPr>
  </w:style>
  <w:style w:type="paragraph" w:styleId="Pamatteksts">
    <w:name w:val="Body Text"/>
    <w:basedOn w:val="Parastais"/>
    <w:link w:val="PamattekstsRakstz"/>
    <w:rsid w:val="00AF3EFE"/>
    <w:pPr>
      <w:spacing w:after="120"/>
    </w:pPr>
  </w:style>
  <w:style w:type="character" w:customStyle="1" w:styleId="PamattekstsRakstz">
    <w:name w:val="Pamatteksts Rakstz."/>
    <w:basedOn w:val="Noklusjumarindkopasfonts"/>
    <w:link w:val="Pamatteksts"/>
    <w:rsid w:val="00AF3EFE"/>
    <w:rPr>
      <w:rFonts w:ascii="Times New Roman" w:eastAsia="Times New Roman" w:hAnsi="Times New Roman" w:cs="Times New Roman"/>
      <w:sz w:val="24"/>
      <w:szCs w:val="24"/>
    </w:rPr>
  </w:style>
  <w:style w:type="paragraph" w:styleId="Nosaukums">
    <w:name w:val="Title"/>
    <w:basedOn w:val="Parastais"/>
    <w:link w:val="NosaukumsRakstz"/>
    <w:qFormat/>
    <w:rsid w:val="00AF3EFE"/>
    <w:pPr>
      <w:jc w:val="center"/>
    </w:pPr>
    <w:rPr>
      <w:b/>
      <w:bCs/>
    </w:rPr>
  </w:style>
  <w:style w:type="character" w:customStyle="1" w:styleId="NosaukumsRakstz">
    <w:name w:val="Nosaukums Rakstz."/>
    <w:basedOn w:val="Noklusjumarindkopasfonts"/>
    <w:link w:val="Nosaukums"/>
    <w:rsid w:val="00AF3EFE"/>
    <w:rPr>
      <w:rFonts w:ascii="Times New Roman" w:eastAsia="Times New Roman" w:hAnsi="Times New Roman" w:cs="Times New Roman"/>
      <w:b/>
      <w:bCs/>
      <w:sz w:val="24"/>
      <w:szCs w:val="24"/>
    </w:rPr>
  </w:style>
  <w:style w:type="paragraph" w:customStyle="1" w:styleId="Agendapoint2text">
    <w:name w:val="Agenda point 2 text"/>
    <w:basedOn w:val="Parastais"/>
    <w:rsid w:val="00AF3EFE"/>
    <w:pPr>
      <w:autoSpaceDE w:val="0"/>
      <w:autoSpaceDN w:val="0"/>
      <w:ind w:left="1134" w:hanging="567"/>
    </w:pPr>
    <w:rPr>
      <w:rFonts w:eastAsia="Calibri"/>
      <w:lang w:eastAsia="lv-LV"/>
    </w:rPr>
  </w:style>
  <w:style w:type="paragraph" w:styleId="Sarakstarindkopa">
    <w:name w:val="List Paragraph"/>
    <w:basedOn w:val="Parastais"/>
    <w:uiPriority w:val="34"/>
    <w:qFormat/>
    <w:rsid w:val="00AF3EFE"/>
    <w:pPr>
      <w:ind w:left="720"/>
      <w:contextualSpacing/>
    </w:pPr>
  </w:style>
  <w:style w:type="paragraph" w:customStyle="1" w:styleId="Text1">
    <w:name w:val="Text 1"/>
    <w:basedOn w:val="Parastais"/>
    <w:rsid w:val="00AF3EFE"/>
    <w:pPr>
      <w:spacing w:before="120" w:after="120"/>
      <w:ind w:left="850"/>
      <w:jc w:val="both"/>
    </w:pPr>
    <w:rPr>
      <w:lang w:eastAsia="en-GB"/>
    </w:rPr>
  </w:style>
  <w:style w:type="paragraph" w:styleId="Vienkrsteksts">
    <w:name w:val="Plain Text"/>
    <w:basedOn w:val="Parastais"/>
    <w:link w:val="VienkrstekstsRakstz"/>
    <w:uiPriority w:val="99"/>
    <w:rsid w:val="00AF3EFE"/>
    <w:pPr>
      <w:widowControl w:val="0"/>
      <w:jc w:val="both"/>
    </w:pPr>
    <w:rPr>
      <w:snapToGrid w:val="0"/>
      <w:sz w:val="22"/>
      <w:szCs w:val="20"/>
      <w:lang w:val="en-GB"/>
    </w:rPr>
  </w:style>
  <w:style w:type="character" w:customStyle="1" w:styleId="VienkrstekstsRakstz">
    <w:name w:val="Vienkāršs teksts Rakstz."/>
    <w:basedOn w:val="Noklusjumarindkopasfonts"/>
    <w:link w:val="Vienkrsteksts"/>
    <w:uiPriority w:val="99"/>
    <w:rsid w:val="00AF3EFE"/>
    <w:rPr>
      <w:rFonts w:ascii="Times New Roman" w:eastAsia="Times New Roman" w:hAnsi="Times New Roman" w:cs="Times New Roman"/>
      <w:snapToGrid w:val="0"/>
      <w:szCs w:val="20"/>
      <w:lang w:val="en-GB"/>
    </w:rPr>
  </w:style>
  <w:style w:type="character" w:customStyle="1" w:styleId="Virsraksts5Rakstz">
    <w:name w:val="Virsraksts 5 Rakstz."/>
    <w:basedOn w:val="Noklusjumarindkopasfonts"/>
    <w:link w:val="Virsraksts5"/>
    <w:rsid w:val="00E0698D"/>
    <w:rPr>
      <w:rFonts w:ascii="Times New Roman" w:eastAsia="Times New Roman" w:hAnsi="Times New Roman" w:cs="Times New Roman"/>
      <w:b/>
      <w:bCs/>
      <w:sz w:val="24"/>
      <w:szCs w:val="24"/>
      <w:u w:val="single"/>
    </w:rPr>
  </w:style>
  <w:style w:type="character" w:styleId="Hipersaite">
    <w:name w:val="Hyperlink"/>
    <w:basedOn w:val="Noklusjumarindkopasfonts"/>
    <w:uiPriority w:val="99"/>
    <w:unhideWhenUsed/>
    <w:rsid w:val="00E61C0B"/>
    <w:rPr>
      <w:color w:val="0000FF" w:themeColor="hyperlink"/>
      <w:u w:val="single"/>
    </w:rPr>
  </w:style>
  <w:style w:type="paragraph" w:customStyle="1" w:styleId="Point1">
    <w:name w:val="Point 1"/>
    <w:basedOn w:val="Parastais"/>
    <w:rsid w:val="00E61C0B"/>
    <w:pPr>
      <w:spacing w:before="120" w:after="120"/>
      <w:ind w:left="1417" w:hanging="567"/>
      <w:jc w:val="both"/>
    </w:pPr>
    <w:rPr>
      <w:lang w:eastAsia="en-GB"/>
    </w:rPr>
  </w:style>
  <w:style w:type="paragraph" w:customStyle="1" w:styleId="EntEmet">
    <w:name w:val="EntEmet"/>
    <w:basedOn w:val="Parastais"/>
    <w:rsid w:val="00DB6E73"/>
    <w:pPr>
      <w:tabs>
        <w:tab w:val="left" w:pos="284"/>
        <w:tab w:val="left" w:pos="567"/>
        <w:tab w:val="left" w:pos="851"/>
        <w:tab w:val="left" w:pos="1134"/>
        <w:tab w:val="left" w:pos="1418"/>
      </w:tabs>
      <w:spacing w:before="40"/>
    </w:pPr>
    <w:rPr>
      <w:szCs w:val="20"/>
      <w:lang w:eastAsia="fr-BE"/>
    </w:rPr>
  </w:style>
  <w:style w:type="paragraph" w:styleId="Vresteksts">
    <w:name w:val="footnote text"/>
    <w:basedOn w:val="Parastais"/>
    <w:link w:val="VrestekstsRakstz"/>
    <w:rsid w:val="007044DD"/>
    <w:pPr>
      <w:suppressAutoHyphens/>
      <w:ind w:left="720" w:hanging="720"/>
      <w:jc w:val="both"/>
    </w:pPr>
    <w:rPr>
      <w:sz w:val="20"/>
      <w:szCs w:val="20"/>
      <w:lang w:eastAsia="ar-SA"/>
    </w:rPr>
  </w:style>
  <w:style w:type="character" w:customStyle="1" w:styleId="VrestekstsRakstz">
    <w:name w:val="Vēres teksts Rakstz."/>
    <w:basedOn w:val="Noklusjumarindkopasfonts"/>
    <w:link w:val="Vresteksts"/>
    <w:rsid w:val="007044DD"/>
    <w:rPr>
      <w:rFonts w:ascii="Times New Roman" w:eastAsia="Times New Roman" w:hAnsi="Times New Roman" w:cs="Times New Roman"/>
      <w:sz w:val="20"/>
      <w:szCs w:val="20"/>
      <w:lang w:eastAsia="ar-SA"/>
    </w:rPr>
  </w:style>
  <w:style w:type="character" w:styleId="Vresatsauce">
    <w:name w:val="footnote reference"/>
    <w:basedOn w:val="Noklusjumarindkopasfonts"/>
    <w:unhideWhenUsed/>
    <w:rsid w:val="007044DD"/>
    <w:rPr>
      <w:vertAlign w:val="superscript"/>
    </w:rPr>
  </w:style>
  <w:style w:type="character" w:customStyle="1" w:styleId="longtext1">
    <w:name w:val="long_text1"/>
    <w:basedOn w:val="Noklusjumarindkopasfonts"/>
    <w:rsid w:val="004B3DE0"/>
    <w:rPr>
      <w:sz w:val="20"/>
      <w:szCs w:val="20"/>
    </w:rPr>
  </w:style>
  <w:style w:type="paragraph" w:customStyle="1" w:styleId="naiskr">
    <w:name w:val="naiskr"/>
    <w:basedOn w:val="Parastais"/>
    <w:uiPriority w:val="99"/>
    <w:rsid w:val="004B3DE0"/>
    <w:pPr>
      <w:spacing w:before="100" w:after="100"/>
    </w:pPr>
    <w:rPr>
      <w:szCs w:val="20"/>
      <w:lang w:val="en-GB" w:eastAsia="lv-LV"/>
    </w:rPr>
  </w:style>
  <w:style w:type="paragraph" w:customStyle="1" w:styleId="Emission">
    <w:name w:val="Emission"/>
    <w:basedOn w:val="Parastais"/>
    <w:next w:val="Parastais"/>
    <w:rsid w:val="008708A7"/>
    <w:pPr>
      <w:ind w:left="5103"/>
    </w:pPr>
    <w:rPr>
      <w:snapToGrid w:val="0"/>
      <w:lang w:val="en-GB" w:eastAsia="en-GB"/>
    </w:rPr>
  </w:style>
  <w:style w:type="paragraph" w:customStyle="1" w:styleId="Plain">
    <w:name w:val="Plain"/>
    <w:aliases w:val="Text4"/>
    <w:basedOn w:val="Parastais"/>
    <w:link w:val="Plain1"/>
    <w:uiPriority w:val="99"/>
    <w:rsid w:val="001B4ED9"/>
    <w:pPr>
      <w:widowControl w:val="0"/>
      <w:jc w:val="both"/>
    </w:pPr>
    <w:rPr>
      <w:sz w:val="22"/>
      <w:szCs w:val="22"/>
      <w:lang w:val="en-GB"/>
    </w:rPr>
  </w:style>
  <w:style w:type="character" w:customStyle="1" w:styleId="Plain1">
    <w:name w:val="Plain1"/>
    <w:aliases w:val="Text3,Char"/>
    <w:basedOn w:val="Noklusjumarindkopasfonts"/>
    <w:link w:val="Plain"/>
    <w:uiPriority w:val="99"/>
    <w:locked/>
    <w:rsid w:val="001B4ED9"/>
    <w:rPr>
      <w:rFonts w:ascii="Times New Roman" w:eastAsia="Times New Roman" w:hAnsi="Times New Roman" w:cs="Times New Roman"/>
      <w:lang w:val="en-GB"/>
    </w:rPr>
  </w:style>
  <w:style w:type="paragraph" w:customStyle="1" w:styleId="Sarakstarindkopa1">
    <w:name w:val="Saraksta rindkopa1"/>
    <w:basedOn w:val="Parastais"/>
    <w:uiPriority w:val="99"/>
    <w:rsid w:val="001B4ED9"/>
    <w:pPr>
      <w:suppressAutoHyphens/>
      <w:spacing w:before="75" w:after="75"/>
      <w:ind w:left="720" w:right="225"/>
    </w:pPr>
    <w:rPr>
      <w:sz w:val="22"/>
      <w:szCs w:val="22"/>
      <w:lang w:val="fr-FR" w:eastAsia="ar-SA"/>
    </w:rPr>
  </w:style>
  <w:style w:type="character" w:styleId="Komentraatsauce">
    <w:name w:val="annotation reference"/>
    <w:basedOn w:val="Noklusjumarindkopasfonts"/>
    <w:uiPriority w:val="99"/>
    <w:semiHidden/>
    <w:unhideWhenUsed/>
    <w:rsid w:val="00797603"/>
    <w:rPr>
      <w:sz w:val="16"/>
      <w:szCs w:val="16"/>
    </w:rPr>
  </w:style>
  <w:style w:type="paragraph" w:styleId="Balonteksts">
    <w:name w:val="Balloon Text"/>
    <w:basedOn w:val="Parastais"/>
    <w:link w:val="BalontekstsRakstz"/>
    <w:uiPriority w:val="99"/>
    <w:semiHidden/>
    <w:unhideWhenUsed/>
    <w:rsid w:val="0079760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97603"/>
    <w:rPr>
      <w:rFonts w:ascii="Tahoma" w:eastAsia="Times New Roman" w:hAnsi="Tahoma" w:cs="Tahoma"/>
      <w:sz w:val="16"/>
      <w:szCs w:val="16"/>
    </w:rPr>
  </w:style>
  <w:style w:type="character" w:styleId="Izteiksmgs">
    <w:name w:val="Strong"/>
    <w:basedOn w:val="Noklusjumarindkopasfonts"/>
    <w:uiPriority w:val="22"/>
    <w:qFormat/>
    <w:rsid w:val="00D61135"/>
    <w:rPr>
      <w:b/>
      <w:bCs/>
    </w:rPr>
  </w:style>
  <w:style w:type="paragraph" w:customStyle="1" w:styleId="5Normal">
    <w:name w:val="5 Normal"/>
    <w:rsid w:val="001D04E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napToGrid w:val="0"/>
      <w:spacing w:val="-2"/>
      <w:szCs w:val="20"/>
      <w:lang w:val="en-GB" w:eastAsia="en-GB"/>
    </w:rPr>
  </w:style>
  <w:style w:type="paragraph" w:customStyle="1" w:styleId="Prliminairetype">
    <w:name w:val="Préliminaire type"/>
    <w:basedOn w:val="Parastais"/>
    <w:next w:val="Parastais"/>
    <w:rsid w:val="00326609"/>
    <w:pPr>
      <w:spacing w:before="360"/>
      <w:jc w:val="center"/>
    </w:pPr>
    <w:rPr>
      <w:b/>
      <w:lang w:eastAsia="en-GB"/>
    </w:rPr>
  </w:style>
  <w:style w:type="paragraph" w:customStyle="1" w:styleId="Sarakstarindkopa2">
    <w:name w:val="Saraksta rindkopa2"/>
    <w:basedOn w:val="Parastais"/>
    <w:rsid w:val="00D56AAC"/>
    <w:pPr>
      <w:ind w:left="720"/>
    </w:pPr>
    <w:rPr>
      <w:rFonts w:ascii="Calibri" w:hAnsi="Calibri"/>
      <w:sz w:val="22"/>
      <w:szCs w:val="22"/>
      <w:lang w:eastAsia="lv-LV"/>
    </w:rPr>
  </w:style>
  <w:style w:type="paragraph" w:customStyle="1" w:styleId="Normal10pt">
    <w:name w:val="Normal + 10 pt"/>
    <w:aliases w:val="Black"/>
    <w:basedOn w:val="Parastais"/>
    <w:rsid w:val="00DE64B5"/>
    <w:pPr>
      <w:numPr>
        <w:numId w:val="21"/>
      </w:numPr>
      <w:autoSpaceDE w:val="0"/>
      <w:autoSpaceDN w:val="0"/>
      <w:adjustRightInd w:val="0"/>
    </w:pPr>
    <w:rPr>
      <w:sz w:val="20"/>
      <w:szCs w:val="20"/>
    </w:rPr>
  </w:style>
  <w:style w:type="paragraph" w:styleId="Bezatstarpm">
    <w:name w:val="No Spacing"/>
    <w:uiPriority w:val="1"/>
    <w:qFormat/>
    <w:rsid w:val="000376A8"/>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603198407">
      <w:bodyDiv w:val="1"/>
      <w:marLeft w:val="0"/>
      <w:marRight w:val="0"/>
      <w:marTop w:val="0"/>
      <w:marBottom w:val="0"/>
      <w:divBdr>
        <w:top w:val="none" w:sz="0" w:space="0" w:color="auto"/>
        <w:left w:val="none" w:sz="0" w:space="0" w:color="auto"/>
        <w:bottom w:val="none" w:sz="0" w:space="0" w:color="auto"/>
        <w:right w:val="none" w:sz="0" w:space="0" w:color="auto"/>
      </w:divBdr>
    </w:div>
    <w:div w:id="753360596">
      <w:bodyDiv w:val="1"/>
      <w:marLeft w:val="0"/>
      <w:marRight w:val="0"/>
      <w:marTop w:val="0"/>
      <w:marBottom w:val="0"/>
      <w:divBdr>
        <w:top w:val="none" w:sz="0" w:space="0" w:color="auto"/>
        <w:left w:val="none" w:sz="0" w:space="0" w:color="auto"/>
        <w:bottom w:val="none" w:sz="0" w:space="0" w:color="auto"/>
        <w:right w:val="none" w:sz="0" w:space="0" w:color="auto"/>
      </w:divBdr>
    </w:div>
    <w:div w:id="912744119">
      <w:bodyDiv w:val="1"/>
      <w:marLeft w:val="0"/>
      <w:marRight w:val="0"/>
      <w:marTop w:val="0"/>
      <w:marBottom w:val="0"/>
      <w:divBdr>
        <w:top w:val="none" w:sz="0" w:space="0" w:color="auto"/>
        <w:left w:val="none" w:sz="0" w:space="0" w:color="auto"/>
        <w:bottom w:val="none" w:sz="0" w:space="0" w:color="auto"/>
        <w:right w:val="none" w:sz="0" w:space="0" w:color="auto"/>
      </w:divBdr>
    </w:div>
    <w:div w:id="994527151">
      <w:bodyDiv w:val="1"/>
      <w:marLeft w:val="0"/>
      <w:marRight w:val="0"/>
      <w:marTop w:val="0"/>
      <w:marBottom w:val="0"/>
      <w:divBdr>
        <w:top w:val="none" w:sz="0" w:space="0" w:color="auto"/>
        <w:left w:val="none" w:sz="0" w:space="0" w:color="auto"/>
        <w:bottom w:val="none" w:sz="0" w:space="0" w:color="auto"/>
        <w:right w:val="none" w:sz="0" w:space="0" w:color="auto"/>
      </w:divBdr>
    </w:div>
    <w:div w:id="1189445545">
      <w:bodyDiv w:val="1"/>
      <w:marLeft w:val="0"/>
      <w:marRight w:val="0"/>
      <w:marTop w:val="0"/>
      <w:marBottom w:val="0"/>
      <w:divBdr>
        <w:top w:val="none" w:sz="0" w:space="0" w:color="auto"/>
        <w:left w:val="none" w:sz="0" w:space="0" w:color="auto"/>
        <w:bottom w:val="none" w:sz="0" w:space="0" w:color="auto"/>
        <w:right w:val="none" w:sz="0" w:space="0" w:color="auto"/>
      </w:divBdr>
    </w:div>
    <w:div w:id="1459178826">
      <w:bodyDiv w:val="1"/>
      <w:marLeft w:val="0"/>
      <w:marRight w:val="0"/>
      <w:marTop w:val="0"/>
      <w:marBottom w:val="0"/>
      <w:divBdr>
        <w:top w:val="none" w:sz="0" w:space="0" w:color="auto"/>
        <w:left w:val="none" w:sz="0" w:space="0" w:color="auto"/>
        <w:bottom w:val="none" w:sz="0" w:space="0" w:color="auto"/>
        <w:right w:val="none" w:sz="0" w:space="0" w:color="auto"/>
      </w:divBdr>
    </w:div>
    <w:div w:id="1570192754">
      <w:bodyDiv w:val="1"/>
      <w:marLeft w:val="0"/>
      <w:marRight w:val="0"/>
      <w:marTop w:val="0"/>
      <w:marBottom w:val="0"/>
      <w:divBdr>
        <w:top w:val="none" w:sz="0" w:space="0" w:color="auto"/>
        <w:left w:val="none" w:sz="0" w:space="0" w:color="auto"/>
        <w:bottom w:val="none" w:sz="0" w:space="0" w:color="auto"/>
        <w:right w:val="none" w:sz="0" w:space="0" w:color="auto"/>
      </w:divBdr>
    </w:div>
    <w:div w:id="1594782977">
      <w:bodyDiv w:val="1"/>
      <w:marLeft w:val="0"/>
      <w:marRight w:val="0"/>
      <w:marTop w:val="0"/>
      <w:marBottom w:val="0"/>
      <w:divBdr>
        <w:top w:val="none" w:sz="0" w:space="0" w:color="auto"/>
        <w:left w:val="none" w:sz="0" w:space="0" w:color="auto"/>
        <w:bottom w:val="none" w:sz="0" w:space="0" w:color="auto"/>
        <w:right w:val="none" w:sz="0" w:space="0" w:color="auto"/>
      </w:divBdr>
    </w:div>
    <w:div w:id="1724791895">
      <w:bodyDiv w:val="1"/>
      <w:marLeft w:val="0"/>
      <w:marRight w:val="0"/>
      <w:marTop w:val="0"/>
      <w:marBottom w:val="0"/>
      <w:divBdr>
        <w:top w:val="none" w:sz="0" w:space="0" w:color="auto"/>
        <w:left w:val="none" w:sz="0" w:space="0" w:color="auto"/>
        <w:bottom w:val="none" w:sz="0" w:space="0" w:color="auto"/>
        <w:right w:val="none" w:sz="0" w:space="0" w:color="auto"/>
      </w:divBdr>
    </w:div>
    <w:div w:id="208884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a.Skrjabina@t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FBAE1-C57F-484C-8928-1772B0950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Pages>
  <Words>7365</Words>
  <Characters>4199</Characters>
  <Application>Microsoft Office Word</Application>
  <DocSecurity>0</DocSecurity>
  <Lines>34</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Tieslietu un iekšlietu ministru padomes 2011. gada 22.-23. septembra sanāksmē izskatāmajiem jautājumiem </vt:lpstr>
      <vt:lpstr/>
    </vt:vector>
  </TitlesOfParts>
  <Company>Tieslietu Ministrija</Company>
  <LinksUpToDate>false</LinksUpToDate>
  <CharactersWithSpaces>11541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Tieslietu un iekšlietu ministru padomes 2011. gada 22.-23. septembra sanāksmē izskatāmajiem jautājumiem </dc:title>
  <dc:subject>Informatīvais ziņojums</dc:subject>
  <dc:creator>Katrīna Veismane</dc:creator>
  <dc:description>Katrina.Veismane@tm.gov.lv; 67036914</dc:description>
  <cp:lastModifiedBy>as1301</cp:lastModifiedBy>
  <cp:revision>58</cp:revision>
  <cp:lastPrinted>2011-02-18T13:48:00Z</cp:lastPrinted>
  <dcterms:created xsi:type="dcterms:W3CDTF">2011-09-13T12:05:00Z</dcterms:created>
  <dcterms:modified xsi:type="dcterms:W3CDTF">2011-09-19T12:51:00Z</dcterms:modified>
</cp:coreProperties>
</file>