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C8" w:rsidRPr="008D55BF" w:rsidRDefault="001712B4" w:rsidP="00BD4EC8">
      <w:pPr>
        <w:jc w:val="center"/>
        <w:rPr>
          <w:b/>
          <w:bCs/>
        </w:rPr>
      </w:pPr>
      <w:bookmarkStart w:id="0" w:name="OLE_LINK1"/>
      <w:bookmarkStart w:id="1" w:name="OLE_LINK2"/>
      <w:bookmarkStart w:id="2" w:name="OLE_LINK5"/>
      <w:bookmarkStart w:id="3" w:name="OLE_LINK6"/>
      <w:r>
        <w:rPr>
          <w:b/>
          <w:bCs/>
        </w:rPr>
        <w:t>M</w:t>
      </w:r>
      <w:r w:rsidR="00555751" w:rsidRPr="00555751">
        <w:rPr>
          <w:b/>
          <w:bCs/>
        </w:rPr>
        <w:t>inistru kabine</w:t>
      </w:r>
      <w:r w:rsidR="00555751">
        <w:rPr>
          <w:b/>
          <w:bCs/>
        </w:rPr>
        <w:t xml:space="preserve">ta </w:t>
      </w:r>
      <w:r w:rsidR="001C6C41">
        <w:rPr>
          <w:b/>
          <w:bCs/>
        </w:rPr>
        <w:t xml:space="preserve">noteikumu </w:t>
      </w:r>
      <w:r w:rsidR="00555751">
        <w:rPr>
          <w:b/>
          <w:bCs/>
        </w:rPr>
        <w:t>projekta</w:t>
      </w:r>
      <w:r w:rsidR="00555751" w:rsidRPr="00555751">
        <w:rPr>
          <w:b/>
          <w:bCs/>
        </w:rPr>
        <w:t xml:space="preserve"> </w:t>
      </w:r>
      <w:bookmarkEnd w:id="0"/>
      <w:bookmarkEnd w:id="1"/>
      <w:r w:rsidR="00555751" w:rsidRPr="00555751">
        <w:rPr>
          <w:b/>
          <w:bCs/>
        </w:rPr>
        <w:t>„</w:t>
      </w:r>
      <w:r w:rsidR="001C6C41" w:rsidRPr="001C6C41">
        <w:rPr>
          <w:b/>
          <w:bCs/>
        </w:rPr>
        <w:t>Grozījumi Ministru kabineta 2011.gada 29.marta noteikumos Nr.233 „Vides aizsardzības un reģionālās attīstības ministrijas nolikums”</w:t>
      </w:r>
      <w:r w:rsidR="00555751" w:rsidRPr="00555751">
        <w:rPr>
          <w:b/>
          <w:bCs/>
        </w:rPr>
        <w:t>”</w:t>
      </w:r>
      <w:r w:rsidR="00555751">
        <w:rPr>
          <w:b/>
          <w:bCs/>
        </w:rPr>
        <w:t xml:space="preserve"> </w:t>
      </w:r>
      <w:r w:rsidR="00BD4EC8" w:rsidRPr="008D55BF">
        <w:rPr>
          <w:b/>
          <w:bCs/>
        </w:rPr>
        <w:t xml:space="preserve">sākotnējās ietekmes novērtējuma </w:t>
      </w:r>
      <w:smartTag w:uri="schemas-tilde-lv/tildestengine" w:element="veidnes">
        <w:smartTagPr>
          <w:attr w:name="id" w:val="-1"/>
          <w:attr w:name="baseform" w:val="ziņojums"/>
          <w:attr w:name="text" w:val="ziņojums"/>
        </w:smartTagPr>
        <w:r w:rsidR="00BD4EC8" w:rsidRPr="008D55BF">
          <w:rPr>
            <w:b/>
            <w:bCs/>
          </w:rPr>
          <w:t>ziņojums</w:t>
        </w:r>
      </w:smartTag>
      <w:r w:rsidR="00F04CF4">
        <w:rPr>
          <w:b/>
          <w:bCs/>
        </w:rPr>
        <w:t xml:space="preserve"> (anotācija)</w:t>
      </w:r>
    </w:p>
    <w:p w:rsidR="00BD4EC8" w:rsidRPr="008D55BF" w:rsidRDefault="00BD4EC8" w:rsidP="00BD4EC8">
      <w:pPr>
        <w:jc w:val="center"/>
        <w:rPr>
          <w:b/>
          <w:bCs/>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4"/>
        <w:gridCol w:w="1703"/>
        <w:gridCol w:w="7229"/>
      </w:tblGrid>
      <w:tr w:rsidR="00BD4EC8" w:rsidRPr="008D55BF" w:rsidTr="00B52715">
        <w:tc>
          <w:tcPr>
            <w:tcW w:w="9386" w:type="dxa"/>
            <w:gridSpan w:val="3"/>
            <w:tcBorders>
              <w:top w:val="single" w:sz="6" w:space="0" w:color="auto"/>
              <w:left w:val="single" w:sz="6" w:space="0" w:color="auto"/>
              <w:bottom w:val="outset" w:sz="6" w:space="0" w:color="000000"/>
              <w:right w:val="single" w:sz="6" w:space="0" w:color="auto"/>
            </w:tcBorders>
            <w:vAlign w:val="center"/>
          </w:tcPr>
          <w:bookmarkEnd w:id="2"/>
          <w:bookmarkEnd w:id="3"/>
          <w:p w:rsidR="00BD4EC8" w:rsidRPr="008D55BF" w:rsidRDefault="00BD4EC8" w:rsidP="009E76EB">
            <w:pPr>
              <w:jc w:val="center"/>
              <w:rPr>
                <w:b/>
                <w:bCs/>
              </w:rPr>
            </w:pPr>
            <w:r w:rsidRPr="008D55BF">
              <w:rPr>
                <w:b/>
                <w:bCs/>
              </w:rPr>
              <w:t>I. Tiesību akta projekta izstrādes nepieciešamība</w:t>
            </w:r>
          </w:p>
        </w:tc>
      </w:tr>
      <w:tr w:rsidR="00BD4EC8" w:rsidRPr="008D55BF" w:rsidTr="00746E78">
        <w:trPr>
          <w:trHeight w:val="479"/>
        </w:trPr>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1.</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Pamatojums</w:t>
            </w:r>
          </w:p>
        </w:tc>
        <w:tc>
          <w:tcPr>
            <w:tcW w:w="7229" w:type="dxa"/>
            <w:tcBorders>
              <w:top w:val="outset" w:sz="6" w:space="0" w:color="000000"/>
              <w:left w:val="outset" w:sz="6" w:space="0" w:color="000000"/>
              <w:bottom w:val="outset" w:sz="6" w:space="0" w:color="000000"/>
            </w:tcBorders>
          </w:tcPr>
          <w:p w:rsidR="00595CBF" w:rsidRDefault="005B031B" w:rsidP="003F2B5A">
            <w:pPr>
              <w:pStyle w:val="BodyText"/>
              <w:ind w:firstLine="255"/>
              <w:outlineLvl w:val="0"/>
              <w:rPr>
                <w:sz w:val="24"/>
                <w:szCs w:val="24"/>
                <w:lang w:val="lv-LV"/>
              </w:rPr>
            </w:pPr>
            <w:r>
              <w:rPr>
                <w:sz w:val="24"/>
                <w:szCs w:val="24"/>
                <w:lang w:val="lv-LV"/>
              </w:rPr>
              <w:t xml:space="preserve">Ministru kabineta noteikumu projekts ir </w:t>
            </w:r>
            <w:r w:rsidRPr="003D6225">
              <w:rPr>
                <w:sz w:val="24"/>
                <w:szCs w:val="24"/>
                <w:lang w:val="lv-LV"/>
              </w:rPr>
              <w:t>izstrādāts</w:t>
            </w:r>
            <w:r w:rsidR="00284F24">
              <w:rPr>
                <w:sz w:val="24"/>
                <w:szCs w:val="24"/>
                <w:lang w:val="lv-LV"/>
              </w:rPr>
              <w:t>, lai</w:t>
            </w:r>
            <w:r w:rsidR="00595CBF">
              <w:rPr>
                <w:sz w:val="24"/>
                <w:szCs w:val="24"/>
                <w:lang w:val="lv-LV"/>
              </w:rPr>
              <w:t>:</w:t>
            </w:r>
          </w:p>
          <w:p w:rsidR="008D55BF" w:rsidRDefault="00595CBF" w:rsidP="003F2B5A">
            <w:pPr>
              <w:pStyle w:val="BodyText"/>
              <w:ind w:firstLine="255"/>
              <w:outlineLvl w:val="0"/>
              <w:rPr>
                <w:rStyle w:val="spelle"/>
                <w:sz w:val="24"/>
                <w:szCs w:val="24"/>
                <w:lang w:val="lv-LV"/>
              </w:rPr>
            </w:pPr>
            <w:r>
              <w:rPr>
                <w:sz w:val="24"/>
                <w:szCs w:val="24"/>
                <w:lang w:val="lv-LV"/>
              </w:rPr>
              <w:t>1)</w:t>
            </w:r>
            <w:r w:rsidR="00284F24">
              <w:rPr>
                <w:sz w:val="24"/>
                <w:szCs w:val="24"/>
                <w:lang w:val="lv-LV"/>
              </w:rPr>
              <w:t xml:space="preserve"> izpildītu </w:t>
            </w:r>
            <w:r w:rsidR="005B031B">
              <w:rPr>
                <w:rStyle w:val="spelle"/>
                <w:sz w:val="24"/>
                <w:szCs w:val="24"/>
                <w:lang w:val="lv-LV"/>
              </w:rPr>
              <w:t xml:space="preserve">Ministru kabineta 2013.gada 19.februāra rīkojuma Nr.57 „Par </w:t>
            </w:r>
            <w:r w:rsidR="005B031B">
              <w:rPr>
                <w:sz w:val="24"/>
                <w:szCs w:val="24"/>
                <w:lang w:val="lv-LV"/>
              </w:rPr>
              <w:t xml:space="preserve">koncepciju </w:t>
            </w:r>
            <w:r w:rsidR="005B031B" w:rsidRPr="00027838">
              <w:rPr>
                <w:rStyle w:val="spelle"/>
                <w:sz w:val="24"/>
                <w:szCs w:val="24"/>
                <w:lang w:val="lv-LV"/>
              </w:rPr>
              <w:t>„Valsts informācijas un komunikācijas tehnoloģiju pārvaldības organizatoriskais modelis”</w:t>
            </w:r>
            <w:r w:rsidR="005B031B">
              <w:rPr>
                <w:rStyle w:val="spelle"/>
                <w:sz w:val="24"/>
                <w:szCs w:val="24"/>
                <w:lang w:val="lv-LV"/>
              </w:rPr>
              <w:t>” 3.1.1.1.apakšpunktā dot</w:t>
            </w:r>
            <w:r w:rsidR="00284F24">
              <w:rPr>
                <w:rStyle w:val="spelle"/>
                <w:sz w:val="24"/>
                <w:szCs w:val="24"/>
                <w:lang w:val="lv-LV"/>
              </w:rPr>
              <w:t>o uzdevumu</w:t>
            </w:r>
            <w:r w:rsidR="0012441A">
              <w:rPr>
                <w:rStyle w:val="spelle"/>
                <w:sz w:val="24"/>
                <w:szCs w:val="24"/>
                <w:lang w:val="lv-LV"/>
              </w:rPr>
              <w:t xml:space="preserve"> </w:t>
            </w:r>
            <w:r w:rsidR="0012441A" w:rsidRPr="0012441A">
              <w:rPr>
                <w:rStyle w:val="spelle"/>
                <w:sz w:val="24"/>
                <w:szCs w:val="24"/>
                <w:lang w:val="lv-LV"/>
              </w:rPr>
              <w:t>izstrādāt un vides aizsardzības un reģionālās attīstības ministram iesniegt noteiktā kārtībā Ministru kabinetā noteikumu projektu par grozījumiem Ministru kabineta 2011.g</w:t>
            </w:r>
            <w:r w:rsidR="0012441A">
              <w:rPr>
                <w:rStyle w:val="spelle"/>
                <w:sz w:val="24"/>
                <w:szCs w:val="24"/>
                <w:lang w:val="lv-LV"/>
              </w:rPr>
              <w:t>ada 29.marta noteikumos Nr.233 „</w:t>
            </w:r>
            <w:r w:rsidR="0012441A" w:rsidRPr="0012441A">
              <w:rPr>
                <w:rStyle w:val="spelle"/>
                <w:sz w:val="24"/>
                <w:szCs w:val="24"/>
                <w:lang w:val="lv-LV"/>
              </w:rPr>
              <w:t>Vides aizsardzības un reģionālās att</w:t>
            </w:r>
            <w:r w:rsidR="0012441A">
              <w:rPr>
                <w:rStyle w:val="spelle"/>
                <w:sz w:val="24"/>
                <w:szCs w:val="24"/>
                <w:lang w:val="lv-LV"/>
              </w:rPr>
              <w:t>īstības ministrijas nolikums”</w:t>
            </w:r>
            <w:r w:rsidR="00126FE5">
              <w:rPr>
                <w:rStyle w:val="spelle"/>
                <w:sz w:val="24"/>
                <w:szCs w:val="24"/>
                <w:lang w:val="lv-LV"/>
              </w:rPr>
              <w:t xml:space="preserve"> (turpmāk – nolikums)</w:t>
            </w:r>
            <w:r>
              <w:rPr>
                <w:rStyle w:val="spelle"/>
                <w:sz w:val="24"/>
                <w:szCs w:val="24"/>
                <w:lang w:val="lv-LV"/>
              </w:rPr>
              <w:t>;</w:t>
            </w:r>
          </w:p>
          <w:p w:rsidR="00595CBF" w:rsidRPr="003D6225" w:rsidRDefault="00284F24" w:rsidP="00404B7E">
            <w:pPr>
              <w:pStyle w:val="BodyText"/>
              <w:ind w:firstLine="255"/>
              <w:outlineLvl w:val="0"/>
              <w:rPr>
                <w:sz w:val="24"/>
                <w:szCs w:val="24"/>
                <w:lang w:val="lv-LV"/>
              </w:rPr>
            </w:pPr>
            <w:r>
              <w:rPr>
                <w:rStyle w:val="spelle"/>
                <w:sz w:val="24"/>
                <w:szCs w:val="24"/>
                <w:lang w:val="lv-LV"/>
              </w:rPr>
              <w:t xml:space="preserve">2) </w:t>
            </w:r>
            <w:r>
              <w:rPr>
                <w:sz w:val="24"/>
                <w:szCs w:val="24"/>
                <w:lang w:val="lv-LV"/>
              </w:rPr>
              <w:t>nodrošinātu nolikuma atbilstību faktiskajai funkciju izpildei, ievērojot Ministru kabineta 2011.gada 19.oktobra noteikumu Nr.815 „Pārresoru koordinācijas centra nolikums” 3.2.apakšpunktu</w:t>
            </w:r>
            <w:r w:rsidR="00673BDD">
              <w:rPr>
                <w:sz w:val="24"/>
                <w:szCs w:val="24"/>
                <w:lang w:val="lv-LV"/>
              </w:rPr>
              <w:t>,</w:t>
            </w:r>
            <w:r>
              <w:rPr>
                <w:sz w:val="24"/>
                <w:szCs w:val="24"/>
                <w:lang w:val="lv-LV"/>
              </w:rPr>
              <w:t xml:space="preserve"> Ministru kabineta </w:t>
            </w:r>
            <w:r w:rsidRPr="008D2023">
              <w:rPr>
                <w:sz w:val="24"/>
                <w:szCs w:val="24"/>
                <w:lang w:val="lv-LV"/>
              </w:rPr>
              <w:t xml:space="preserve">2011.gada 19.oktobra </w:t>
            </w:r>
            <w:r>
              <w:rPr>
                <w:color w:val="000000" w:themeColor="text1"/>
                <w:sz w:val="24"/>
                <w:szCs w:val="24"/>
                <w:lang w:val="lv-LV"/>
              </w:rPr>
              <w:t>noteikumu</w:t>
            </w:r>
            <w:r w:rsidRPr="009615A8">
              <w:rPr>
                <w:color w:val="000000" w:themeColor="text1"/>
                <w:sz w:val="24"/>
                <w:szCs w:val="24"/>
                <w:lang w:val="lv-LV"/>
              </w:rPr>
              <w:t xml:space="preserve"> Nr</w:t>
            </w:r>
            <w:r>
              <w:rPr>
                <w:color w:val="000000" w:themeColor="text1"/>
                <w:sz w:val="24"/>
                <w:szCs w:val="24"/>
                <w:lang w:val="lv-LV"/>
              </w:rPr>
              <w:t>.</w:t>
            </w:r>
            <w:r w:rsidRPr="009615A8">
              <w:rPr>
                <w:color w:val="000000" w:themeColor="text1"/>
                <w:sz w:val="24"/>
                <w:szCs w:val="24"/>
                <w:lang w:val="lv-LV"/>
              </w:rPr>
              <w:t>816 „Nacionālā attīstības plāna 2014.–2020.gadam izstrādes, ieviešanas, uzraudzības un</w:t>
            </w:r>
            <w:r w:rsidR="00F0364E">
              <w:rPr>
                <w:color w:val="000000" w:themeColor="text1"/>
                <w:sz w:val="24"/>
                <w:szCs w:val="24"/>
                <w:lang w:val="lv-LV"/>
              </w:rPr>
              <w:t xml:space="preserve"> publiskās apspriešanas kārtība”</w:t>
            </w:r>
            <w:r w:rsidRPr="009615A8">
              <w:rPr>
                <w:color w:val="000000" w:themeColor="text1"/>
                <w:sz w:val="24"/>
                <w:szCs w:val="24"/>
                <w:lang w:val="lv-LV"/>
              </w:rPr>
              <w:t xml:space="preserve"> 4.5.apakšpunktu</w:t>
            </w:r>
            <w:r w:rsidR="00673BDD">
              <w:rPr>
                <w:color w:val="000000" w:themeColor="text1"/>
                <w:sz w:val="24"/>
                <w:szCs w:val="24"/>
                <w:lang w:val="lv-LV"/>
              </w:rPr>
              <w:t xml:space="preserve"> un </w:t>
            </w:r>
            <w:r w:rsidR="00673BDD">
              <w:rPr>
                <w:sz w:val="24"/>
                <w:szCs w:val="24"/>
                <w:lang w:val="lv-LV"/>
              </w:rPr>
              <w:t>Attīstības plānošanas sistēmas likuma 9.pantu</w:t>
            </w:r>
            <w:r>
              <w:rPr>
                <w:sz w:val="24"/>
                <w:szCs w:val="24"/>
                <w:lang w:val="lv-LV"/>
              </w:rPr>
              <w:t>.</w:t>
            </w:r>
          </w:p>
        </w:tc>
      </w:tr>
      <w:tr w:rsidR="00BD4EC8" w:rsidRPr="008D55BF" w:rsidTr="00746E78">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2.</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Pašreizējā situācija un problēmas</w:t>
            </w:r>
          </w:p>
        </w:tc>
        <w:tc>
          <w:tcPr>
            <w:tcW w:w="7229" w:type="dxa"/>
            <w:tcBorders>
              <w:top w:val="outset" w:sz="6" w:space="0" w:color="000000"/>
              <w:left w:val="outset" w:sz="6" w:space="0" w:color="000000"/>
              <w:bottom w:val="outset" w:sz="6" w:space="0" w:color="000000"/>
            </w:tcBorders>
          </w:tcPr>
          <w:p w:rsidR="0048184A" w:rsidRDefault="00BF2708" w:rsidP="003F2B5A">
            <w:pPr>
              <w:pStyle w:val="BodyText"/>
              <w:ind w:firstLine="255"/>
              <w:outlineLvl w:val="0"/>
              <w:rPr>
                <w:sz w:val="24"/>
                <w:szCs w:val="24"/>
                <w:lang w:val="lv-LV"/>
              </w:rPr>
            </w:pPr>
            <w:r>
              <w:rPr>
                <w:sz w:val="24"/>
                <w:szCs w:val="24"/>
                <w:lang w:val="lv-LV"/>
              </w:rPr>
              <w:t xml:space="preserve">1. </w:t>
            </w:r>
            <w:r w:rsidR="00A03875">
              <w:rPr>
                <w:sz w:val="24"/>
                <w:szCs w:val="24"/>
                <w:lang w:val="lv-LV"/>
              </w:rPr>
              <w:t>VARAM a</w:t>
            </w:r>
            <w:r w:rsidR="00126FE5" w:rsidRPr="003D6225">
              <w:rPr>
                <w:sz w:val="24"/>
                <w:szCs w:val="24"/>
                <w:lang w:val="lv-LV"/>
              </w:rPr>
              <w:t>tbilstoši</w:t>
            </w:r>
            <w:r w:rsidR="00A03875">
              <w:rPr>
                <w:sz w:val="24"/>
                <w:szCs w:val="24"/>
                <w:lang w:val="lv-LV"/>
              </w:rPr>
              <w:t xml:space="preserve"> nolikuma 1.7.apakšpunktam ir vadošā valsts pārvaldes iestāde jomā, kura ir saistīta ar informācijas sabiedrību, elektronisko pārvaldi un informācijas tehnoloģijām valsts pārvaldē. </w:t>
            </w:r>
            <w:r w:rsidR="0048184A">
              <w:rPr>
                <w:sz w:val="24"/>
                <w:szCs w:val="24"/>
                <w:lang w:val="lv-LV"/>
              </w:rPr>
              <w:t>Savukārt, atbilstoši nolikuma 4.1.8., 4.1.9. un 4.1.10. un 4.3.apakšpunktam VARAM funkcija minētajā jomā ir izstrādāt politiku, kā arī organizēt un koordinēt tās īstenošanu. Lai nodrošinātu šīs funkcijas izpildi, VARAM atbilstoši nolikuma 5.7.apakšpunktam veic šādus uzdevumus:</w:t>
            </w:r>
          </w:p>
          <w:p w:rsidR="0048184A" w:rsidRPr="005B4ADF" w:rsidRDefault="00837944" w:rsidP="003F2B5A">
            <w:pPr>
              <w:pStyle w:val="tv213"/>
              <w:spacing w:before="0" w:line="240" w:lineRule="auto"/>
              <w:ind w:firstLine="255"/>
              <w:rPr>
                <w:sz w:val="24"/>
                <w:szCs w:val="24"/>
              </w:rPr>
            </w:pPr>
            <w:r>
              <w:rPr>
                <w:sz w:val="24"/>
                <w:szCs w:val="24"/>
              </w:rPr>
              <w:t>1) </w:t>
            </w:r>
            <w:r w:rsidR="0048184A" w:rsidRPr="005B4ADF">
              <w:rPr>
                <w:sz w:val="24"/>
                <w:szCs w:val="24"/>
              </w:rPr>
              <w:t>koordinē valsts pārvaldes un pašvaldību institūciju sadarbību elektr</w:t>
            </w:r>
            <w:r w:rsidR="0048184A">
              <w:rPr>
                <w:sz w:val="24"/>
                <w:szCs w:val="24"/>
              </w:rPr>
              <w:t>onisko pakalpojumu attīstīšanā;</w:t>
            </w:r>
          </w:p>
          <w:p w:rsidR="0048184A" w:rsidRPr="005B4ADF" w:rsidRDefault="0048184A" w:rsidP="003F2B5A">
            <w:pPr>
              <w:pStyle w:val="tv213"/>
              <w:spacing w:before="0" w:line="240" w:lineRule="auto"/>
              <w:ind w:firstLine="255"/>
              <w:rPr>
                <w:sz w:val="24"/>
                <w:szCs w:val="24"/>
              </w:rPr>
            </w:pPr>
            <w:r>
              <w:rPr>
                <w:sz w:val="24"/>
                <w:szCs w:val="24"/>
              </w:rPr>
              <w:t>2)</w:t>
            </w:r>
            <w:r w:rsidR="00837944">
              <w:rPr>
                <w:sz w:val="24"/>
                <w:szCs w:val="24"/>
              </w:rPr>
              <w:t> </w:t>
            </w:r>
            <w:r w:rsidRPr="005B4ADF">
              <w:rPr>
                <w:sz w:val="24"/>
                <w:szCs w:val="24"/>
              </w:rPr>
              <w:t>organizē un koordinē informācijas tehnoloģiju ieviešanu valsts pārvaldē, lai nodrošinātu valsts pārvaldes</w:t>
            </w:r>
            <w:r>
              <w:rPr>
                <w:sz w:val="24"/>
                <w:szCs w:val="24"/>
              </w:rPr>
              <w:t xml:space="preserve"> modernizāciju un efektivitāti;</w:t>
            </w:r>
          </w:p>
          <w:p w:rsidR="0048184A" w:rsidRPr="005B4ADF" w:rsidRDefault="0048184A" w:rsidP="003F2B5A">
            <w:pPr>
              <w:pStyle w:val="tv213"/>
              <w:spacing w:before="0" w:line="240" w:lineRule="auto"/>
              <w:ind w:firstLine="255"/>
              <w:rPr>
                <w:sz w:val="24"/>
                <w:szCs w:val="24"/>
              </w:rPr>
            </w:pPr>
            <w:r w:rsidRPr="005B4ADF">
              <w:rPr>
                <w:sz w:val="24"/>
                <w:szCs w:val="24"/>
              </w:rPr>
              <w:t>3</w:t>
            </w:r>
            <w:r>
              <w:rPr>
                <w:sz w:val="24"/>
                <w:szCs w:val="24"/>
              </w:rPr>
              <w:t>)</w:t>
            </w:r>
            <w:r w:rsidR="00837944">
              <w:rPr>
                <w:sz w:val="24"/>
                <w:szCs w:val="24"/>
              </w:rPr>
              <w:t> </w:t>
            </w:r>
            <w:r w:rsidRPr="005B4ADF">
              <w:rPr>
                <w:sz w:val="24"/>
                <w:szCs w:val="24"/>
              </w:rPr>
              <w:t xml:space="preserve">nodrošina atbalsta pasākumu ierosināšanu, vadību un koordināciju, arī nodrošinot Eiropas Savienības fondu un finanšu instrumentu, kā arī ārvalstu un citu finanšu instrumentu līdzfinansēto projektu plānošanu, vērtēšanu, ieviešanu, uzraudzību un kontroli; </w:t>
            </w:r>
          </w:p>
          <w:p w:rsidR="0048184A" w:rsidRPr="0048184A" w:rsidRDefault="0048184A" w:rsidP="003F2B5A">
            <w:pPr>
              <w:pStyle w:val="BodyText"/>
              <w:ind w:firstLine="255"/>
              <w:outlineLvl w:val="0"/>
              <w:rPr>
                <w:sz w:val="24"/>
                <w:szCs w:val="24"/>
                <w:lang w:val="lv-LV"/>
              </w:rPr>
            </w:pPr>
            <w:r w:rsidRPr="0048184A">
              <w:rPr>
                <w:sz w:val="24"/>
                <w:szCs w:val="24"/>
                <w:lang w:val="lv-LV"/>
              </w:rPr>
              <w:t>4</w:t>
            </w:r>
            <w:r>
              <w:rPr>
                <w:sz w:val="24"/>
                <w:szCs w:val="24"/>
                <w:lang w:val="lv-LV"/>
              </w:rPr>
              <w:t>)</w:t>
            </w:r>
            <w:r w:rsidR="00837944">
              <w:rPr>
                <w:sz w:val="24"/>
                <w:szCs w:val="24"/>
                <w:lang w:val="lv-LV"/>
              </w:rPr>
              <w:t> </w:t>
            </w:r>
            <w:r w:rsidRPr="0048184A">
              <w:rPr>
                <w:sz w:val="24"/>
                <w:szCs w:val="24"/>
                <w:lang w:val="lv-LV"/>
              </w:rPr>
              <w:t>uzrauga valsts informācijas sistēmu attīstību, drošības prasību un tehnisko prasību ievērošanu, kā arī apkopo un uztur datus par valsts informācijas sistēmām un sniedz atzinumus par valsts budžeta līdzekļu pieprasījumiem valsts informācijas sistēmu izveidošanai un attīstībai</w:t>
            </w:r>
            <w:r>
              <w:rPr>
                <w:sz w:val="24"/>
                <w:szCs w:val="24"/>
                <w:lang w:val="lv-LV"/>
              </w:rPr>
              <w:t>.</w:t>
            </w:r>
          </w:p>
          <w:p w:rsidR="007B3E1C" w:rsidRDefault="005C20B3" w:rsidP="003F2B5A">
            <w:pPr>
              <w:pStyle w:val="BodyText"/>
              <w:ind w:firstLine="255"/>
              <w:outlineLvl w:val="0"/>
              <w:rPr>
                <w:rStyle w:val="spelle"/>
                <w:sz w:val="24"/>
                <w:szCs w:val="24"/>
                <w:lang w:val="lv-LV"/>
              </w:rPr>
            </w:pPr>
            <w:r>
              <w:rPr>
                <w:sz w:val="24"/>
                <w:szCs w:val="24"/>
                <w:lang w:val="lv-LV"/>
              </w:rPr>
              <w:t xml:space="preserve">Minēto uzdevumu tvērums nav pietiekams, lai </w:t>
            </w:r>
            <w:r w:rsidR="00F04CF4">
              <w:rPr>
                <w:sz w:val="24"/>
                <w:szCs w:val="24"/>
                <w:lang w:val="lv-LV"/>
              </w:rPr>
              <w:t xml:space="preserve">pilnībā </w:t>
            </w:r>
            <w:r>
              <w:rPr>
                <w:sz w:val="24"/>
                <w:szCs w:val="24"/>
                <w:lang w:val="lv-LV"/>
              </w:rPr>
              <w:t xml:space="preserve">realizētu valsts informācijas un komunikācijas tehnoloģiju (turpmāk – IKT) organizācijas funkciju, kuras izpilde ir vērsta uz koordinētas valsts IKT politikas un arhitektūras izveidi un pārvaldību valstī. </w:t>
            </w:r>
            <w:r w:rsidR="0058106D">
              <w:rPr>
                <w:sz w:val="24"/>
                <w:szCs w:val="24"/>
                <w:lang w:val="lv-LV"/>
              </w:rPr>
              <w:t>Saskaņā ar koncepcijas</w:t>
            </w:r>
            <w:r w:rsidR="00F04CF4">
              <w:rPr>
                <w:sz w:val="24"/>
                <w:szCs w:val="24"/>
                <w:lang w:val="lv-LV"/>
              </w:rPr>
              <w:t xml:space="preserve"> </w:t>
            </w:r>
            <w:r w:rsidR="00F04CF4" w:rsidRPr="00027838">
              <w:rPr>
                <w:rStyle w:val="spelle"/>
                <w:sz w:val="24"/>
                <w:szCs w:val="24"/>
                <w:lang w:val="lv-LV"/>
              </w:rPr>
              <w:t>„Valsts informācijas un komunikācijas tehnoloģiju pārvaldības organizatoriskais modelis”</w:t>
            </w:r>
            <w:r w:rsidR="0058106D">
              <w:rPr>
                <w:rStyle w:val="spelle"/>
                <w:sz w:val="24"/>
                <w:szCs w:val="24"/>
                <w:lang w:val="lv-LV"/>
              </w:rPr>
              <w:t xml:space="preserve"> (apstiprināta ar Ministru kabineta 2013.gada 19.februāra rīkojumu Nr.57)</w:t>
            </w:r>
            <w:r w:rsidR="005C0164">
              <w:rPr>
                <w:rStyle w:val="spelle"/>
                <w:sz w:val="24"/>
                <w:szCs w:val="24"/>
                <w:lang w:val="lv-LV"/>
              </w:rPr>
              <w:t xml:space="preserve"> </w:t>
            </w:r>
            <w:r w:rsidR="0058106D">
              <w:rPr>
                <w:rStyle w:val="spelle"/>
                <w:sz w:val="24"/>
                <w:szCs w:val="24"/>
                <w:lang w:val="lv-LV"/>
              </w:rPr>
              <w:t xml:space="preserve">5.1.apakšpunktu valsts IKT organizācijas funkcijas izpilde ir jānodrošina VARAM. Šīs funkcijas izpildei VARAM ir nepieciešams veikt uzdevumus, kuri pašlaik nav noteikti nolikumā. Proti, </w:t>
            </w:r>
            <w:r w:rsidR="005C0164">
              <w:rPr>
                <w:rStyle w:val="spelle"/>
                <w:sz w:val="24"/>
                <w:szCs w:val="24"/>
                <w:lang w:val="lv-LV"/>
              </w:rPr>
              <w:lastRenderedPageBreak/>
              <w:t>lai pilnībā realizētu valsts IKT organizācijas funkciju, VARAM ir jāveic uzdevum</w:t>
            </w:r>
            <w:r w:rsidR="007B3E1C">
              <w:rPr>
                <w:rStyle w:val="spelle"/>
                <w:sz w:val="24"/>
                <w:szCs w:val="24"/>
                <w:lang w:val="lv-LV"/>
              </w:rPr>
              <w:t xml:space="preserve">i, kuri ir saistīti </w:t>
            </w:r>
            <w:r w:rsidR="005C0164">
              <w:rPr>
                <w:rStyle w:val="spelle"/>
                <w:sz w:val="24"/>
                <w:szCs w:val="24"/>
                <w:lang w:val="lv-LV"/>
              </w:rPr>
              <w:t>ar</w:t>
            </w:r>
            <w:r w:rsidR="007B3E1C">
              <w:rPr>
                <w:rStyle w:val="spelle"/>
                <w:sz w:val="24"/>
                <w:szCs w:val="24"/>
                <w:lang w:val="lv-LV"/>
              </w:rPr>
              <w:t>:</w:t>
            </w:r>
          </w:p>
          <w:p w:rsidR="005C0164" w:rsidRDefault="007B3E1C" w:rsidP="003F2B5A">
            <w:pPr>
              <w:pStyle w:val="BodyText"/>
              <w:ind w:firstLine="255"/>
              <w:outlineLvl w:val="0"/>
              <w:rPr>
                <w:sz w:val="24"/>
                <w:szCs w:val="24"/>
                <w:lang w:val="lv-LV"/>
              </w:rPr>
            </w:pPr>
            <w:r>
              <w:rPr>
                <w:rStyle w:val="spelle"/>
                <w:sz w:val="24"/>
                <w:szCs w:val="24"/>
                <w:lang w:val="lv-LV"/>
              </w:rPr>
              <w:t>1)</w:t>
            </w:r>
            <w:r w:rsidR="00837944">
              <w:rPr>
                <w:rStyle w:val="spelle"/>
                <w:sz w:val="24"/>
                <w:szCs w:val="24"/>
                <w:lang w:val="lv-LV"/>
              </w:rPr>
              <w:t> </w:t>
            </w:r>
            <w:r w:rsidR="005C0164">
              <w:rPr>
                <w:rStyle w:val="spelle"/>
                <w:sz w:val="24"/>
                <w:szCs w:val="24"/>
                <w:lang w:val="lv-LV"/>
              </w:rPr>
              <w:t>IKT kompetences attīstību</w:t>
            </w:r>
            <w:r>
              <w:rPr>
                <w:rStyle w:val="spelle"/>
                <w:sz w:val="24"/>
                <w:szCs w:val="24"/>
                <w:lang w:val="lv-LV"/>
              </w:rPr>
              <w:t xml:space="preserve">, </w:t>
            </w:r>
            <w:r w:rsidR="005C0164">
              <w:rPr>
                <w:rStyle w:val="spelle"/>
                <w:sz w:val="24"/>
                <w:szCs w:val="24"/>
                <w:lang w:val="lv-LV"/>
              </w:rPr>
              <w:t xml:space="preserve">labas prakses izplatīšanu </w:t>
            </w:r>
            <w:r>
              <w:rPr>
                <w:rStyle w:val="spelle"/>
                <w:sz w:val="24"/>
                <w:szCs w:val="24"/>
                <w:lang w:val="lv-LV"/>
              </w:rPr>
              <w:t xml:space="preserve">un saskaņotu IKT pārvaldību iestādēs </w:t>
            </w:r>
            <w:r w:rsidR="005C0164" w:rsidRPr="005C0164">
              <w:rPr>
                <w:sz w:val="24"/>
                <w:szCs w:val="24"/>
                <w:lang w:val="lv-LV"/>
              </w:rPr>
              <w:t>visās valsts pārvaldes nozarēs</w:t>
            </w:r>
            <w:r>
              <w:rPr>
                <w:sz w:val="24"/>
                <w:szCs w:val="24"/>
                <w:lang w:val="lv-LV"/>
              </w:rPr>
              <w:t>;</w:t>
            </w:r>
          </w:p>
          <w:p w:rsidR="007B3E1C" w:rsidRDefault="00837944" w:rsidP="003F2B5A">
            <w:pPr>
              <w:pStyle w:val="BodyText"/>
              <w:ind w:firstLine="255"/>
              <w:outlineLvl w:val="0"/>
              <w:rPr>
                <w:sz w:val="24"/>
                <w:szCs w:val="24"/>
                <w:lang w:val="lv-LV"/>
              </w:rPr>
            </w:pPr>
            <w:r>
              <w:rPr>
                <w:sz w:val="24"/>
                <w:szCs w:val="24"/>
                <w:lang w:val="lv-LV"/>
              </w:rPr>
              <w:t>2) </w:t>
            </w:r>
            <w:r w:rsidR="007B3E1C" w:rsidRPr="007B3E1C">
              <w:rPr>
                <w:sz w:val="24"/>
                <w:szCs w:val="24"/>
                <w:lang w:val="lv-LV"/>
              </w:rPr>
              <w:t xml:space="preserve">iestāžu vadības, valsts </w:t>
            </w:r>
            <w:r w:rsidR="007B3E1C">
              <w:rPr>
                <w:sz w:val="24"/>
                <w:szCs w:val="24"/>
                <w:lang w:val="lv-LV"/>
              </w:rPr>
              <w:t xml:space="preserve">IKT </w:t>
            </w:r>
            <w:r w:rsidR="00AB5805">
              <w:rPr>
                <w:sz w:val="24"/>
                <w:szCs w:val="24"/>
                <w:lang w:val="lv-LV"/>
              </w:rPr>
              <w:t>personāla un lietotāju zināšanu</w:t>
            </w:r>
            <w:r w:rsidR="007B3E1C" w:rsidRPr="007B3E1C">
              <w:rPr>
                <w:sz w:val="24"/>
                <w:szCs w:val="24"/>
                <w:lang w:val="lv-LV"/>
              </w:rPr>
              <w:t xml:space="preserve"> un </w:t>
            </w:r>
            <w:r w:rsidR="00AB5805">
              <w:rPr>
                <w:sz w:val="24"/>
                <w:szCs w:val="24"/>
                <w:lang w:val="lv-LV"/>
              </w:rPr>
              <w:t xml:space="preserve">prasmju attīstību </w:t>
            </w:r>
            <w:r w:rsidR="007B3E1C">
              <w:rPr>
                <w:sz w:val="24"/>
                <w:szCs w:val="24"/>
                <w:lang w:val="lv-LV"/>
              </w:rPr>
              <w:t>IKT</w:t>
            </w:r>
            <w:r w:rsidR="00D30074">
              <w:rPr>
                <w:sz w:val="24"/>
                <w:szCs w:val="24"/>
                <w:lang w:val="lv-LV"/>
              </w:rPr>
              <w:t xml:space="preserve"> sniegto iespēju un priekšrocību</w:t>
            </w:r>
            <w:r w:rsidR="007B3E1C" w:rsidRPr="007B3E1C">
              <w:rPr>
                <w:sz w:val="24"/>
                <w:szCs w:val="24"/>
                <w:lang w:val="lv-LV"/>
              </w:rPr>
              <w:t xml:space="preserve"> </w:t>
            </w:r>
            <w:r w:rsidR="00D30074">
              <w:rPr>
                <w:sz w:val="24"/>
                <w:szCs w:val="24"/>
                <w:lang w:val="lv-LV"/>
              </w:rPr>
              <w:t xml:space="preserve">izmantošanā, </w:t>
            </w:r>
            <w:r w:rsidR="007B3E1C" w:rsidRPr="007B3E1C">
              <w:rPr>
                <w:sz w:val="24"/>
                <w:szCs w:val="24"/>
                <w:lang w:val="lv-LV"/>
              </w:rPr>
              <w:t>nodrošinot iestāžu funkciju izpildi un pakalpojumu sniegšanu</w:t>
            </w:r>
            <w:r w:rsidR="007B3E1C">
              <w:rPr>
                <w:sz w:val="24"/>
                <w:szCs w:val="24"/>
                <w:lang w:val="lv-LV"/>
              </w:rPr>
              <w:t>;</w:t>
            </w:r>
          </w:p>
          <w:p w:rsidR="00AB5805" w:rsidRDefault="00AB5805" w:rsidP="003F2B5A">
            <w:pPr>
              <w:pStyle w:val="BodyText"/>
              <w:ind w:firstLine="255"/>
              <w:outlineLvl w:val="0"/>
              <w:rPr>
                <w:sz w:val="24"/>
                <w:szCs w:val="24"/>
                <w:lang w:val="lv-LV"/>
              </w:rPr>
            </w:pPr>
            <w:r>
              <w:rPr>
                <w:sz w:val="24"/>
                <w:szCs w:val="24"/>
                <w:lang w:val="lv-LV"/>
              </w:rPr>
              <w:t>3)</w:t>
            </w:r>
            <w:r w:rsidR="00837944">
              <w:rPr>
                <w:sz w:val="24"/>
                <w:szCs w:val="24"/>
                <w:lang w:val="lv-LV"/>
              </w:rPr>
              <w:t> </w:t>
            </w:r>
            <w:r w:rsidR="00D30074" w:rsidRPr="00D30074">
              <w:rPr>
                <w:sz w:val="24"/>
                <w:szCs w:val="24"/>
                <w:lang w:val="lv-LV"/>
              </w:rPr>
              <w:t xml:space="preserve">elektroniskās pārvaldes un valsts </w:t>
            </w:r>
            <w:r w:rsidR="00D30074">
              <w:rPr>
                <w:sz w:val="24"/>
                <w:szCs w:val="24"/>
                <w:lang w:val="lv-LV"/>
              </w:rPr>
              <w:t xml:space="preserve">IKT </w:t>
            </w:r>
            <w:r w:rsidR="00D30074" w:rsidRPr="00D30074">
              <w:rPr>
                <w:sz w:val="24"/>
                <w:szCs w:val="24"/>
                <w:lang w:val="lv-LV"/>
              </w:rPr>
              <w:t xml:space="preserve">risinājumu ieviešanu, uzturēšanu, koplietošanu, drošību un attīstību, kā arī iestāžu pakalpojumu klāsta un satura attīstību un pieejamības nodrošināšanu, izmantojot </w:t>
            </w:r>
            <w:r w:rsidR="00D30074">
              <w:rPr>
                <w:sz w:val="24"/>
                <w:szCs w:val="24"/>
                <w:lang w:val="lv-LV"/>
              </w:rPr>
              <w:t>IKT;</w:t>
            </w:r>
          </w:p>
          <w:p w:rsidR="00D30074" w:rsidRDefault="00D30074" w:rsidP="00837944">
            <w:pPr>
              <w:pStyle w:val="BodyText"/>
              <w:ind w:firstLine="254"/>
              <w:outlineLvl w:val="0"/>
              <w:rPr>
                <w:sz w:val="24"/>
                <w:szCs w:val="24"/>
                <w:lang w:val="lv-LV"/>
              </w:rPr>
            </w:pPr>
            <w:r>
              <w:rPr>
                <w:sz w:val="24"/>
                <w:szCs w:val="24"/>
                <w:lang w:val="lv-LV"/>
              </w:rPr>
              <w:t>4)</w:t>
            </w:r>
            <w:r w:rsidR="00837944">
              <w:rPr>
                <w:sz w:val="24"/>
                <w:szCs w:val="24"/>
                <w:lang w:val="lv-LV"/>
              </w:rPr>
              <w:t> </w:t>
            </w:r>
            <w:r>
              <w:rPr>
                <w:sz w:val="24"/>
                <w:szCs w:val="24"/>
                <w:lang w:val="lv-LV"/>
              </w:rPr>
              <w:t xml:space="preserve">valsts IKT organizācijas funkcijas izpildei nepieciešamās informatīvās bāzes radīšanu, kas nodrošinātu efektīvai valsts IKT pārvaldībai datus ne tikai par valsts informācijas sistēmām, bet arī </w:t>
            </w:r>
            <w:r w:rsidRPr="00D30074">
              <w:rPr>
                <w:sz w:val="24"/>
                <w:szCs w:val="24"/>
                <w:lang w:val="lv-LV"/>
              </w:rPr>
              <w:t>elektroniskajiem pakalpojumiem</w:t>
            </w:r>
            <w:r>
              <w:rPr>
                <w:sz w:val="24"/>
                <w:szCs w:val="24"/>
                <w:lang w:val="lv-LV"/>
              </w:rPr>
              <w:t xml:space="preserve">, kuri ir pieejami valsts pārvaldē, </w:t>
            </w:r>
            <w:r w:rsidRPr="00D30074">
              <w:rPr>
                <w:sz w:val="24"/>
                <w:szCs w:val="24"/>
                <w:lang w:val="lv-LV"/>
              </w:rPr>
              <w:t xml:space="preserve">valsts </w:t>
            </w:r>
            <w:r>
              <w:rPr>
                <w:sz w:val="24"/>
                <w:szCs w:val="24"/>
                <w:lang w:val="lv-LV"/>
              </w:rPr>
              <w:t xml:space="preserve">IKT </w:t>
            </w:r>
            <w:r w:rsidRPr="00D30074">
              <w:rPr>
                <w:sz w:val="24"/>
                <w:szCs w:val="24"/>
                <w:lang w:val="lv-LV"/>
              </w:rPr>
              <w:t>infrastruktūru un informācijas sistēmām, kā arī iestā</w:t>
            </w:r>
            <w:r>
              <w:rPr>
                <w:sz w:val="24"/>
                <w:szCs w:val="24"/>
                <w:lang w:val="lv-LV"/>
              </w:rPr>
              <w:t xml:space="preserve">žu IKT </w:t>
            </w:r>
            <w:r w:rsidRPr="00D30074">
              <w:rPr>
                <w:sz w:val="24"/>
                <w:szCs w:val="24"/>
                <w:lang w:val="lv-LV"/>
              </w:rPr>
              <w:t>atbalsta tehniskajiem, finanšu un cilvēkresursiem</w:t>
            </w:r>
            <w:r>
              <w:rPr>
                <w:sz w:val="24"/>
                <w:szCs w:val="24"/>
                <w:lang w:val="lv-LV"/>
              </w:rPr>
              <w:t>;</w:t>
            </w:r>
          </w:p>
          <w:p w:rsidR="00150BD4" w:rsidRDefault="00150BD4" w:rsidP="003F2B5A">
            <w:pPr>
              <w:pStyle w:val="BodyText"/>
              <w:ind w:firstLine="255"/>
              <w:outlineLvl w:val="0"/>
              <w:rPr>
                <w:sz w:val="24"/>
                <w:szCs w:val="24"/>
                <w:lang w:val="lv-LV"/>
              </w:rPr>
            </w:pPr>
            <w:r>
              <w:rPr>
                <w:sz w:val="24"/>
                <w:szCs w:val="24"/>
                <w:lang w:val="lv-LV"/>
              </w:rPr>
              <w:t>5)</w:t>
            </w:r>
            <w:r w:rsidR="00837944">
              <w:rPr>
                <w:sz w:val="24"/>
                <w:szCs w:val="24"/>
                <w:lang w:val="lv-LV"/>
              </w:rPr>
              <w:t> </w:t>
            </w:r>
            <w:r>
              <w:rPr>
                <w:sz w:val="24"/>
                <w:szCs w:val="24"/>
                <w:lang w:val="lv-LV"/>
              </w:rPr>
              <w:t xml:space="preserve">pasākumu izstrādi </w:t>
            </w:r>
            <w:r w:rsidRPr="00150BD4">
              <w:rPr>
                <w:sz w:val="24"/>
                <w:szCs w:val="24"/>
                <w:lang w:val="lv-LV"/>
              </w:rPr>
              <w:t xml:space="preserve">elektroniskās pārvaldes un valsts </w:t>
            </w:r>
            <w:r>
              <w:rPr>
                <w:sz w:val="24"/>
                <w:szCs w:val="24"/>
                <w:lang w:val="lv-LV"/>
              </w:rPr>
              <w:t xml:space="preserve">IKT </w:t>
            </w:r>
            <w:r w:rsidRPr="00150BD4">
              <w:rPr>
                <w:sz w:val="24"/>
                <w:szCs w:val="24"/>
                <w:lang w:val="lv-LV"/>
              </w:rPr>
              <w:t xml:space="preserve">nodrošināšanai un optimizēšanai, kā arī </w:t>
            </w:r>
            <w:r w:rsidR="00617AEC">
              <w:rPr>
                <w:sz w:val="24"/>
                <w:szCs w:val="24"/>
                <w:lang w:val="lv-LV"/>
              </w:rPr>
              <w:t xml:space="preserve">citu valsts pārvaldes iestāžu izstrādāto </w:t>
            </w:r>
            <w:r>
              <w:rPr>
                <w:sz w:val="24"/>
                <w:szCs w:val="24"/>
                <w:lang w:val="lv-LV"/>
              </w:rPr>
              <w:t xml:space="preserve">pasākumu un </w:t>
            </w:r>
            <w:r w:rsidRPr="00150BD4">
              <w:rPr>
                <w:sz w:val="24"/>
                <w:szCs w:val="24"/>
                <w:lang w:val="lv-LV"/>
              </w:rPr>
              <w:t>valsts</w:t>
            </w:r>
            <w:r>
              <w:rPr>
                <w:sz w:val="24"/>
                <w:szCs w:val="24"/>
                <w:lang w:val="lv-LV"/>
              </w:rPr>
              <w:t xml:space="preserve"> budžeta līdzekļu pieprasījumu</w:t>
            </w:r>
            <w:r w:rsidRPr="00150BD4">
              <w:rPr>
                <w:sz w:val="24"/>
                <w:szCs w:val="24"/>
                <w:lang w:val="lv-LV"/>
              </w:rPr>
              <w:t xml:space="preserve"> izvērtē</w:t>
            </w:r>
            <w:r>
              <w:rPr>
                <w:sz w:val="24"/>
                <w:szCs w:val="24"/>
                <w:lang w:val="lv-LV"/>
              </w:rPr>
              <w:t>šanu;</w:t>
            </w:r>
          </w:p>
          <w:p w:rsidR="00150BD4" w:rsidRDefault="00837944" w:rsidP="003F2B5A">
            <w:pPr>
              <w:pStyle w:val="BodyText"/>
              <w:ind w:firstLine="255"/>
              <w:outlineLvl w:val="0"/>
              <w:rPr>
                <w:sz w:val="24"/>
                <w:szCs w:val="24"/>
                <w:lang w:val="lv-LV"/>
              </w:rPr>
            </w:pPr>
            <w:r>
              <w:rPr>
                <w:sz w:val="24"/>
                <w:szCs w:val="24"/>
                <w:lang w:val="lv-LV"/>
              </w:rPr>
              <w:t>6) </w:t>
            </w:r>
            <w:r w:rsidR="00412B2F" w:rsidRPr="00412B2F">
              <w:rPr>
                <w:sz w:val="24"/>
                <w:szCs w:val="24"/>
                <w:lang w:val="lv-LV"/>
              </w:rPr>
              <w:t xml:space="preserve">sadarbību starp valsts un pašvaldību institūcijām, tajā skaitā valsts un pašvaldību </w:t>
            </w:r>
            <w:r w:rsidR="008F551B">
              <w:rPr>
                <w:sz w:val="24"/>
                <w:szCs w:val="24"/>
                <w:lang w:val="lv-LV"/>
              </w:rPr>
              <w:t xml:space="preserve">IKT </w:t>
            </w:r>
            <w:r w:rsidR="00412B2F" w:rsidRPr="00412B2F">
              <w:rPr>
                <w:sz w:val="24"/>
                <w:szCs w:val="24"/>
                <w:lang w:val="lv-LV"/>
              </w:rPr>
              <w:t>organizācijām un konsultatīvajām padomēm, kā arī nevalstiskajām organizācijām</w:t>
            </w:r>
            <w:r w:rsidR="00617AEC">
              <w:rPr>
                <w:sz w:val="24"/>
                <w:szCs w:val="24"/>
                <w:lang w:val="lv-LV"/>
              </w:rPr>
              <w:t>, lai nodrošinātu efektīvu elektronisko pārvaldi un valsts IKT pārvaldību.</w:t>
            </w:r>
          </w:p>
          <w:p w:rsidR="007B3E1C" w:rsidRDefault="008F551B" w:rsidP="003F2B5A">
            <w:pPr>
              <w:pStyle w:val="BodyText"/>
              <w:ind w:firstLine="255"/>
              <w:outlineLvl w:val="0"/>
              <w:rPr>
                <w:sz w:val="24"/>
                <w:szCs w:val="24"/>
                <w:lang w:val="lv-LV"/>
              </w:rPr>
            </w:pPr>
            <w:r>
              <w:rPr>
                <w:sz w:val="24"/>
                <w:szCs w:val="24"/>
                <w:lang w:val="lv-LV"/>
              </w:rPr>
              <w:t xml:space="preserve">Minētās kompetences trūkums neatbilst valsts IKT pārvaldības </w:t>
            </w:r>
            <w:r w:rsidR="007E1DEB">
              <w:rPr>
                <w:sz w:val="24"/>
                <w:szCs w:val="24"/>
                <w:lang w:val="lv-LV"/>
              </w:rPr>
              <w:t xml:space="preserve">organizatoriskajam </w:t>
            </w:r>
            <w:r>
              <w:rPr>
                <w:sz w:val="24"/>
                <w:szCs w:val="24"/>
                <w:lang w:val="lv-LV"/>
              </w:rPr>
              <w:t>modelim, kura ieviešana ir paredzēta atbilstoši koncepcijai</w:t>
            </w:r>
            <w:r w:rsidR="0053506C">
              <w:rPr>
                <w:sz w:val="24"/>
                <w:szCs w:val="24"/>
                <w:lang w:val="lv-LV"/>
              </w:rPr>
              <w:t xml:space="preserve"> (turpmāk – modelis)</w:t>
            </w:r>
            <w:r>
              <w:rPr>
                <w:sz w:val="24"/>
                <w:szCs w:val="24"/>
                <w:lang w:val="lv-LV"/>
              </w:rPr>
              <w:t>.</w:t>
            </w:r>
          </w:p>
          <w:p w:rsidR="0053506C" w:rsidRDefault="0053506C" w:rsidP="0053506C">
            <w:pPr>
              <w:pStyle w:val="BodyText"/>
              <w:ind w:firstLine="255"/>
              <w:outlineLvl w:val="0"/>
              <w:rPr>
                <w:rStyle w:val="spelle"/>
                <w:sz w:val="24"/>
                <w:szCs w:val="24"/>
                <w:lang w:val="lv-LV"/>
              </w:rPr>
            </w:pPr>
            <w:r>
              <w:rPr>
                <w:rStyle w:val="spelle"/>
                <w:sz w:val="24"/>
                <w:szCs w:val="24"/>
                <w:lang w:val="lv-LV"/>
              </w:rPr>
              <w:t xml:space="preserve">VARAM norāda, ka modeli </w:t>
            </w:r>
            <w:r w:rsidRPr="000169B0">
              <w:rPr>
                <w:rStyle w:val="spelle"/>
                <w:sz w:val="24"/>
                <w:szCs w:val="24"/>
                <w:lang w:val="lv-LV"/>
              </w:rPr>
              <w:t xml:space="preserve">ir paredzēts ieviest divos etapos. </w:t>
            </w:r>
            <w:r>
              <w:rPr>
                <w:rStyle w:val="spelle"/>
                <w:sz w:val="24"/>
                <w:szCs w:val="24"/>
                <w:lang w:val="lv-LV"/>
              </w:rPr>
              <w:t xml:space="preserve">Modeļa 1.ieviešanas etapā </w:t>
            </w:r>
            <w:r w:rsidRPr="000169B0">
              <w:rPr>
                <w:rStyle w:val="spelle"/>
                <w:sz w:val="24"/>
                <w:szCs w:val="24"/>
                <w:lang w:val="lv-LV"/>
              </w:rPr>
              <w:t>tiks izveidotas un sāks darboties visas būtiskās modeļa strukturālās komponentes</w:t>
            </w:r>
            <w:r>
              <w:rPr>
                <w:rStyle w:val="spelle"/>
                <w:sz w:val="24"/>
                <w:szCs w:val="24"/>
                <w:lang w:val="lv-LV"/>
              </w:rPr>
              <w:t>, tajā skaitā v</w:t>
            </w:r>
            <w:r w:rsidRPr="00FD456D">
              <w:rPr>
                <w:rStyle w:val="spelle"/>
                <w:sz w:val="24"/>
                <w:szCs w:val="24"/>
                <w:lang w:val="lv-LV"/>
              </w:rPr>
              <w:t>alsts IKT organizācija</w:t>
            </w:r>
            <w:r>
              <w:rPr>
                <w:rStyle w:val="spelle"/>
                <w:sz w:val="24"/>
                <w:szCs w:val="24"/>
                <w:lang w:val="lv-LV"/>
              </w:rPr>
              <w:t>, k</w:t>
            </w:r>
            <w:r w:rsidRPr="00FD456D">
              <w:rPr>
                <w:rStyle w:val="spelle"/>
                <w:sz w:val="24"/>
                <w:szCs w:val="24"/>
                <w:lang w:val="lv-LV"/>
              </w:rPr>
              <w:t>oplietošanas IKT organizācija</w:t>
            </w:r>
            <w:r>
              <w:rPr>
                <w:rStyle w:val="spelle"/>
                <w:sz w:val="24"/>
                <w:szCs w:val="24"/>
                <w:lang w:val="lv-LV"/>
              </w:rPr>
              <w:t>,</w:t>
            </w:r>
            <w:r w:rsidRPr="00FD456D">
              <w:rPr>
                <w:rStyle w:val="spelle"/>
                <w:sz w:val="24"/>
                <w:szCs w:val="24"/>
                <w:lang w:val="lv-LV"/>
              </w:rPr>
              <w:t xml:space="preserve"> </w:t>
            </w:r>
            <w:r>
              <w:rPr>
                <w:rStyle w:val="spelle"/>
                <w:sz w:val="24"/>
                <w:szCs w:val="24"/>
                <w:lang w:val="lv-LV"/>
              </w:rPr>
              <w:t xml:space="preserve">Valsts IKT pārvaldības vadītāju forums, </w:t>
            </w:r>
            <w:r w:rsidRPr="00FD456D">
              <w:rPr>
                <w:rStyle w:val="spelle"/>
                <w:sz w:val="24"/>
                <w:szCs w:val="24"/>
                <w:lang w:val="lv-LV"/>
              </w:rPr>
              <w:t>resoru IKT organizācij</w:t>
            </w:r>
            <w:r>
              <w:rPr>
                <w:rStyle w:val="spelle"/>
                <w:sz w:val="24"/>
                <w:szCs w:val="24"/>
                <w:lang w:val="lv-LV"/>
              </w:rPr>
              <w:t>as un resoru IKT vadības padomes. Savukārt modeļa 2.ieviešanas etapā</w:t>
            </w:r>
            <w:r w:rsidRPr="000169B0">
              <w:rPr>
                <w:rStyle w:val="spelle"/>
                <w:sz w:val="24"/>
                <w:szCs w:val="24"/>
                <w:lang w:val="lv-LV"/>
              </w:rPr>
              <w:t xml:space="preserve"> tiks precizēta un paplašināta modelī ietilpstošo organizatorisko vienību kompetence un atbildība. </w:t>
            </w:r>
            <w:r>
              <w:rPr>
                <w:rStyle w:val="spelle"/>
                <w:sz w:val="24"/>
                <w:szCs w:val="24"/>
                <w:lang w:val="lv-LV"/>
              </w:rPr>
              <w:t xml:space="preserve">Šajā </w:t>
            </w:r>
            <w:r w:rsidRPr="000169B0">
              <w:rPr>
                <w:rStyle w:val="spelle"/>
                <w:sz w:val="24"/>
                <w:szCs w:val="24"/>
                <w:lang w:val="lv-LV"/>
              </w:rPr>
              <w:t>etap</w:t>
            </w:r>
            <w:r>
              <w:rPr>
                <w:rStyle w:val="spelle"/>
                <w:sz w:val="24"/>
                <w:szCs w:val="24"/>
                <w:lang w:val="lv-LV"/>
              </w:rPr>
              <w:t xml:space="preserve">ā </w:t>
            </w:r>
            <w:r w:rsidRPr="000169B0">
              <w:rPr>
                <w:rStyle w:val="spelle"/>
                <w:sz w:val="24"/>
                <w:szCs w:val="24"/>
                <w:lang w:val="lv-LV"/>
              </w:rPr>
              <w:t xml:space="preserve">tiks izstrādāts </w:t>
            </w:r>
            <w:r w:rsidR="00023816">
              <w:rPr>
                <w:rStyle w:val="spelle"/>
                <w:sz w:val="24"/>
                <w:szCs w:val="24"/>
                <w:lang w:val="lv-LV"/>
              </w:rPr>
              <w:t xml:space="preserve">Valsts </w:t>
            </w:r>
            <w:r>
              <w:rPr>
                <w:rStyle w:val="spelle"/>
                <w:sz w:val="24"/>
                <w:szCs w:val="24"/>
                <w:lang w:val="lv-LV"/>
              </w:rPr>
              <w:t>IKT</w:t>
            </w:r>
            <w:r w:rsidRPr="000169B0">
              <w:rPr>
                <w:rStyle w:val="spelle"/>
                <w:sz w:val="24"/>
                <w:szCs w:val="24"/>
                <w:lang w:val="lv-LV"/>
              </w:rPr>
              <w:t xml:space="preserve"> pārvaldības likum</w:t>
            </w:r>
            <w:r w:rsidR="00023816">
              <w:rPr>
                <w:rStyle w:val="spelle"/>
                <w:sz w:val="24"/>
                <w:szCs w:val="24"/>
                <w:lang w:val="lv-LV"/>
              </w:rPr>
              <w:t xml:space="preserve">a </w:t>
            </w:r>
            <w:r w:rsidRPr="000169B0">
              <w:rPr>
                <w:rStyle w:val="spelle"/>
                <w:sz w:val="24"/>
                <w:szCs w:val="24"/>
                <w:lang w:val="lv-LV"/>
              </w:rPr>
              <w:t xml:space="preserve">projekts, kas ļaus pilnvērtīgi ieviest un normatīvi noteikt </w:t>
            </w:r>
            <w:r>
              <w:rPr>
                <w:rStyle w:val="spelle"/>
                <w:sz w:val="24"/>
                <w:szCs w:val="24"/>
                <w:lang w:val="lv-LV"/>
              </w:rPr>
              <w:t xml:space="preserve">modeli, ieskaitot </w:t>
            </w:r>
            <w:r w:rsidRPr="000169B0">
              <w:rPr>
                <w:rStyle w:val="spelle"/>
                <w:sz w:val="24"/>
                <w:szCs w:val="24"/>
                <w:lang w:val="lv-LV"/>
              </w:rPr>
              <w:t xml:space="preserve">valsts, resora un koplietošanas IKT pārvaldības organizāciju vadītāju pilnvaras, </w:t>
            </w:r>
            <w:r>
              <w:rPr>
                <w:rStyle w:val="spelle"/>
                <w:sz w:val="24"/>
                <w:szCs w:val="24"/>
                <w:lang w:val="lv-LV"/>
              </w:rPr>
              <w:t xml:space="preserve">Valsts IKT pārvaldības vadītāju foruma </w:t>
            </w:r>
            <w:r w:rsidRPr="000169B0">
              <w:rPr>
                <w:rStyle w:val="spelle"/>
                <w:sz w:val="24"/>
                <w:szCs w:val="24"/>
                <w:lang w:val="lv-LV"/>
              </w:rPr>
              <w:t>kompetenci, kā arī deleģējumu koplietošanas IKT pārvaldības organizācijas darbībai.</w:t>
            </w:r>
            <w:r w:rsidR="00775471">
              <w:rPr>
                <w:rStyle w:val="spelle"/>
                <w:sz w:val="24"/>
                <w:szCs w:val="24"/>
                <w:lang w:val="lv-LV"/>
              </w:rPr>
              <w:t xml:space="preserve"> </w:t>
            </w:r>
            <w:r>
              <w:rPr>
                <w:rStyle w:val="spelle"/>
                <w:sz w:val="24"/>
                <w:szCs w:val="24"/>
                <w:lang w:val="lv-LV"/>
              </w:rPr>
              <w:t xml:space="preserve">Modeļa 1.ieviešanas </w:t>
            </w:r>
            <w:r w:rsidRPr="0064217A">
              <w:rPr>
                <w:rStyle w:val="spelle"/>
                <w:sz w:val="24"/>
                <w:szCs w:val="24"/>
                <w:lang w:val="lv-LV"/>
              </w:rPr>
              <w:t>etapu plānots īstenot sešu mēnešu laikā pēc koncepcijas apstiprināšanas Ministru kabinetā</w:t>
            </w:r>
            <w:r>
              <w:rPr>
                <w:rStyle w:val="spelle"/>
                <w:sz w:val="24"/>
                <w:szCs w:val="24"/>
                <w:lang w:val="lv-LV"/>
              </w:rPr>
              <w:t xml:space="preserve"> (t.i., līdz 2013.gada 19.augustam)</w:t>
            </w:r>
            <w:r w:rsidRPr="0064217A">
              <w:rPr>
                <w:rStyle w:val="spelle"/>
                <w:sz w:val="24"/>
                <w:szCs w:val="24"/>
                <w:lang w:val="lv-LV"/>
              </w:rPr>
              <w:t xml:space="preserve">, bet </w:t>
            </w:r>
            <w:r>
              <w:rPr>
                <w:rStyle w:val="spelle"/>
                <w:sz w:val="24"/>
                <w:szCs w:val="24"/>
                <w:lang w:val="lv-LV"/>
              </w:rPr>
              <w:t xml:space="preserve">2.ieviešanas </w:t>
            </w:r>
            <w:r w:rsidRPr="0064217A">
              <w:rPr>
                <w:rStyle w:val="spelle"/>
                <w:sz w:val="24"/>
                <w:szCs w:val="24"/>
                <w:lang w:val="lv-LV"/>
              </w:rPr>
              <w:t xml:space="preserve">etapu </w:t>
            </w:r>
            <w:r>
              <w:rPr>
                <w:rStyle w:val="spelle"/>
                <w:sz w:val="24"/>
                <w:szCs w:val="24"/>
                <w:lang w:val="lv-LV"/>
              </w:rPr>
              <w:t>– 30 </w:t>
            </w:r>
            <w:r w:rsidRPr="0064217A">
              <w:rPr>
                <w:rStyle w:val="spelle"/>
                <w:sz w:val="24"/>
                <w:szCs w:val="24"/>
                <w:lang w:val="lv-LV"/>
              </w:rPr>
              <w:t xml:space="preserve">mēnešu laikā </w:t>
            </w:r>
            <w:r>
              <w:rPr>
                <w:rStyle w:val="spelle"/>
                <w:sz w:val="24"/>
                <w:szCs w:val="24"/>
                <w:lang w:val="lv-LV"/>
              </w:rPr>
              <w:t>(t.i., līdz 2015.gada 19.augustam).</w:t>
            </w:r>
          </w:p>
          <w:p w:rsidR="00EE44B9" w:rsidRDefault="0053506C" w:rsidP="00EE44B9">
            <w:pPr>
              <w:pStyle w:val="BodyText"/>
              <w:ind w:firstLine="255"/>
              <w:outlineLvl w:val="0"/>
              <w:rPr>
                <w:rStyle w:val="spelle"/>
                <w:sz w:val="24"/>
                <w:szCs w:val="24"/>
                <w:lang w:val="lv-LV"/>
              </w:rPr>
            </w:pPr>
            <w:r>
              <w:rPr>
                <w:rStyle w:val="spelle"/>
                <w:sz w:val="24"/>
                <w:szCs w:val="24"/>
                <w:lang w:val="lv-LV"/>
              </w:rPr>
              <w:t>Atbilstoši koncepcijas 6.1.apakšpunktam „</w:t>
            </w:r>
            <w:r w:rsidRPr="00C37DE4">
              <w:rPr>
                <w:rStyle w:val="spelle"/>
                <w:sz w:val="24"/>
                <w:szCs w:val="24"/>
                <w:lang w:val="lv-LV"/>
              </w:rPr>
              <w:t>Optimālā valsts IKT pārvaldības modeļa 1.ieviešanas etaps</w:t>
            </w:r>
            <w:r>
              <w:rPr>
                <w:rStyle w:val="spelle"/>
                <w:sz w:val="24"/>
                <w:szCs w:val="24"/>
                <w:lang w:val="lv-LV"/>
              </w:rPr>
              <w:t xml:space="preserve">” </w:t>
            </w:r>
            <w:r w:rsidRPr="00C37DE4">
              <w:rPr>
                <w:rStyle w:val="spelle"/>
                <w:sz w:val="24"/>
                <w:szCs w:val="24"/>
                <w:lang w:val="lv-LV"/>
              </w:rPr>
              <w:t xml:space="preserve">modeļa 1.ieviešanas etapā </w:t>
            </w:r>
            <w:r w:rsidR="00EE44B9">
              <w:rPr>
                <w:rStyle w:val="spelle"/>
                <w:sz w:val="24"/>
                <w:szCs w:val="24"/>
                <w:lang w:val="lv-LV"/>
              </w:rPr>
              <w:t>v</w:t>
            </w:r>
            <w:r w:rsidR="00EE44B9" w:rsidRPr="00EE44B9">
              <w:rPr>
                <w:rStyle w:val="spelle"/>
                <w:sz w:val="24"/>
                <w:szCs w:val="24"/>
                <w:lang w:val="lv-LV"/>
              </w:rPr>
              <w:t>alsts IKT organizācij</w:t>
            </w:r>
            <w:r w:rsidR="00EE44B9">
              <w:rPr>
                <w:rStyle w:val="spelle"/>
                <w:sz w:val="24"/>
                <w:szCs w:val="24"/>
                <w:lang w:val="lv-LV"/>
              </w:rPr>
              <w:t xml:space="preserve">a tiks veidota, </w:t>
            </w:r>
            <w:r w:rsidR="00EE44B9" w:rsidRPr="00EE44B9">
              <w:rPr>
                <w:rStyle w:val="spelle"/>
                <w:sz w:val="24"/>
                <w:szCs w:val="24"/>
                <w:lang w:val="lv-LV"/>
              </w:rPr>
              <w:t xml:space="preserve">precizējot un paplašinot esošo VARAM valsts sekretāra vietnieka </w:t>
            </w:r>
            <w:r w:rsidR="00EE44B9">
              <w:rPr>
                <w:rStyle w:val="spelle"/>
                <w:sz w:val="24"/>
                <w:szCs w:val="24"/>
                <w:lang w:val="lv-LV"/>
              </w:rPr>
              <w:t xml:space="preserve">IKT </w:t>
            </w:r>
            <w:r w:rsidR="00EE44B9" w:rsidRPr="00EE44B9">
              <w:rPr>
                <w:rStyle w:val="spelle"/>
                <w:sz w:val="24"/>
                <w:szCs w:val="24"/>
                <w:lang w:val="lv-LV"/>
              </w:rPr>
              <w:t xml:space="preserve">jautājumos pakļautībā esošā Elektroniskās pārvaldes departamenta un Publisko pakalpojumu departamenta kompetenci un piesaistot tiem papildus speciālistus. Atsevišķu uzdevumu veikšanai valsts IKT organizācijai var tikt piesaistīti citu VARAM struktūrvienību speciālisti. Tādējādi valsts IKT organizācija būs </w:t>
            </w:r>
            <w:r w:rsidR="00775471" w:rsidRPr="00EE44B9">
              <w:rPr>
                <w:rStyle w:val="spelle"/>
                <w:sz w:val="24"/>
                <w:szCs w:val="24"/>
                <w:lang w:val="lv-LV"/>
              </w:rPr>
              <w:t xml:space="preserve">VARAM </w:t>
            </w:r>
            <w:r w:rsidR="00775471">
              <w:rPr>
                <w:rStyle w:val="spelle"/>
                <w:sz w:val="24"/>
                <w:szCs w:val="24"/>
                <w:lang w:val="lv-LV"/>
              </w:rPr>
              <w:t xml:space="preserve">ietilpstošā </w:t>
            </w:r>
            <w:r w:rsidR="00EE44B9" w:rsidRPr="00EE44B9">
              <w:rPr>
                <w:rStyle w:val="spelle"/>
                <w:sz w:val="24"/>
                <w:szCs w:val="24"/>
                <w:lang w:val="lv-LV"/>
              </w:rPr>
              <w:t>struktūra</w:t>
            </w:r>
            <w:r w:rsidR="00775471">
              <w:rPr>
                <w:rStyle w:val="spelle"/>
                <w:sz w:val="24"/>
                <w:szCs w:val="24"/>
                <w:lang w:val="lv-LV"/>
              </w:rPr>
              <w:t>, kuru vadīs</w:t>
            </w:r>
            <w:r w:rsidR="00EE44B9" w:rsidRPr="00EE44B9">
              <w:rPr>
                <w:rStyle w:val="spelle"/>
                <w:sz w:val="24"/>
                <w:szCs w:val="24"/>
                <w:lang w:val="lv-LV"/>
              </w:rPr>
              <w:t xml:space="preserve"> VARAM valsts sekretāra vietnieks </w:t>
            </w:r>
            <w:r w:rsidR="00EE44B9">
              <w:rPr>
                <w:rStyle w:val="spelle"/>
                <w:sz w:val="24"/>
                <w:szCs w:val="24"/>
                <w:lang w:val="lv-LV"/>
              </w:rPr>
              <w:t>IKT</w:t>
            </w:r>
            <w:r w:rsidR="00EE44B9" w:rsidRPr="00EE44B9">
              <w:rPr>
                <w:rStyle w:val="spelle"/>
                <w:sz w:val="24"/>
                <w:szCs w:val="24"/>
                <w:lang w:val="lv-LV"/>
              </w:rPr>
              <w:t xml:space="preserve"> jautājumos. </w:t>
            </w:r>
            <w:r w:rsidR="00EE44B9">
              <w:rPr>
                <w:rStyle w:val="spelle"/>
                <w:sz w:val="24"/>
                <w:szCs w:val="24"/>
                <w:lang w:val="lv-LV"/>
              </w:rPr>
              <w:t xml:space="preserve">Ņemot to vērā, lai izveidotu valsts IKT organizāciju, ir </w:t>
            </w:r>
            <w:r w:rsidR="00EE44B9">
              <w:rPr>
                <w:rStyle w:val="spelle"/>
                <w:sz w:val="24"/>
                <w:szCs w:val="24"/>
                <w:lang w:val="lv-LV"/>
              </w:rPr>
              <w:lastRenderedPageBreak/>
              <w:t>nepieciešams precizēt un paplašināt VARAM kompetenci valsts IKT pārvaldības jautājumos, jo pašlaik noteiktā VARAM kompetence informācijas tehnoloģiju jomā nav pietiekama modeļa ieviešanai atbilstoši koncepcijai.</w:t>
            </w:r>
          </w:p>
          <w:p w:rsidR="0053506C" w:rsidRDefault="00E44445" w:rsidP="00775471">
            <w:pPr>
              <w:pStyle w:val="BodyText"/>
              <w:ind w:firstLine="255"/>
              <w:outlineLvl w:val="0"/>
              <w:rPr>
                <w:rStyle w:val="spelle"/>
                <w:sz w:val="24"/>
                <w:szCs w:val="24"/>
                <w:lang w:val="lv-LV"/>
              </w:rPr>
            </w:pPr>
            <w:r w:rsidRPr="00E44445">
              <w:rPr>
                <w:rStyle w:val="spelle"/>
                <w:sz w:val="24"/>
                <w:szCs w:val="24"/>
                <w:lang w:val="lv-LV"/>
              </w:rPr>
              <w:t>Pēc valsts IKT organizācijas izveides tā uzsāks valsts IKT pārvaldības 1.prioritātes uzdevumu izpildi</w:t>
            </w:r>
            <w:r>
              <w:rPr>
                <w:rStyle w:val="spelle"/>
                <w:sz w:val="24"/>
                <w:szCs w:val="24"/>
                <w:lang w:val="lv-LV"/>
              </w:rPr>
              <w:t xml:space="preserve"> (attiecīgie uzdevumi ir noteikti koncepcijas 2.3.apakšpunktā</w:t>
            </w:r>
            <w:r w:rsidRPr="00655E1E">
              <w:rPr>
                <w:rStyle w:val="spelle"/>
                <w:sz w:val="24"/>
                <w:szCs w:val="24"/>
                <w:lang w:val="lv-LV"/>
              </w:rPr>
              <w:t xml:space="preserve"> </w:t>
            </w:r>
            <w:r>
              <w:rPr>
                <w:rStyle w:val="spelle"/>
                <w:sz w:val="24"/>
                <w:szCs w:val="24"/>
                <w:lang w:val="lv-LV"/>
              </w:rPr>
              <w:t>„</w:t>
            </w:r>
            <w:r w:rsidRPr="00E44445">
              <w:rPr>
                <w:rStyle w:val="spelle"/>
                <w:sz w:val="24"/>
                <w:szCs w:val="24"/>
                <w:lang w:val="lv-LV"/>
              </w:rPr>
              <w:t>Valsts IKT pārvaldības uzlabošanas uzdevumi</w:t>
            </w:r>
            <w:r>
              <w:rPr>
                <w:rStyle w:val="spelle"/>
                <w:sz w:val="24"/>
                <w:szCs w:val="24"/>
                <w:lang w:val="lv-LV"/>
              </w:rPr>
              <w:t>”). M</w:t>
            </w:r>
            <w:r w:rsidRPr="00E44445">
              <w:rPr>
                <w:rStyle w:val="spelle"/>
                <w:sz w:val="24"/>
                <w:szCs w:val="24"/>
                <w:lang w:val="lv-LV"/>
              </w:rPr>
              <w:t>odeļa 1.ieviešanas etapā valsts IKT vadītāja apstiprinātie nacionāla līmeņa arhitektūras un tehnisko standartu dokumenti būs rekomendējoša rakstura un izmantojami kā vadlīnijas un labās prakses rekomendācijas</w:t>
            </w:r>
            <w:r w:rsidR="00775471">
              <w:rPr>
                <w:rStyle w:val="spelle"/>
                <w:sz w:val="24"/>
                <w:szCs w:val="24"/>
                <w:lang w:val="lv-LV"/>
              </w:rPr>
              <w:t xml:space="preserve"> (</w:t>
            </w:r>
            <w:r w:rsidRPr="00E44445">
              <w:rPr>
                <w:rStyle w:val="spelle"/>
                <w:sz w:val="24"/>
                <w:szCs w:val="24"/>
                <w:lang w:val="lv-LV"/>
              </w:rPr>
              <w:t>to piemērošana būs jāveic pēc brīvprātības principa</w:t>
            </w:r>
            <w:r w:rsidR="00775471">
              <w:rPr>
                <w:rStyle w:val="spelle"/>
                <w:sz w:val="24"/>
                <w:szCs w:val="24"/>
                <w:lang w:val="lv-LV"/>
              </w:rPr>
              <w:t>)</w:t>
            </w:r>
            <w:r w:rsidRPr="00E44445">
              <w:rPr>
                <w:rStyle w:val="spelle"/>
                <w:sz w:val="24"/>
                <w:szCs w:val="24"/>
                <w:lang w:val="lv-LV"/>
              </w:rPr>
              <w:t>. Nepieciešamības gadījumā minētos dokumentus, lai tie būtu saistoši citām iestādēm, valsts IKT orga</w:t>
            </w:r>
            <w:r>
              <w:rPr>
                <w:rStyle w:val="spelle"/>
                <w:sz w:val="24"/>
                <w:szCs w:val="24"/>
                <w:lang w:val="lv-LV"/>
              </w:rPr>
              <w:t xml:space="preserve">nizācija virzīs apstiprināšanai </w:t>
            </w:r>
            <w:r w:rsidRPr="00E44445">
              <w:rPr>
                <w:rStyle w:val="spelle"/>
                <w:sz w:val="24"/>
                <w:szCs w:val="24"/>
                <w:lang w:val="lv-LV"/>
              </w:rPr>
              <w:t>Ministru kabinetā.</w:t>
            </w:r>
            <w:r w:rsidR="00775471">
              <w:rPr>
                <w:rStyle w:val="spelle"/>
                <w:sz w:val="24"/>
                <w:szCs w:val="24"/>
                <w:lang w:val="lv-LV"/>
              </w:rPr>
              <w:t xml:space="preserve"> </w:t>
            </w:r>
            <w:r w:rsidR="0053506C">
              <w:rPr>
                <w:rStyle w:val="spelle"/>
                <w:sz w:val="24"/>
                <w:szCs w:val="24"/>
                <w:lang w:val="lv-LV"/>
              </w:rPr>
              <w:t>Savukārt, atbilstoši koncepcijas 6.2.apakšpunktam „</w:t>
            </w:r>
            <w:r w:rsidR="0053506C" w:rsidRPr="00C37DE4">
              <w:rPr>
                <w:rStyle w:val="spelle"/>
                <w:sz w:val="24"/>
                <w:szCs w:val="24"/>
                <w:lang w:val="lv-LV"/>
              </w:rPr>
              <w:t>Optimālā</w:t>
            </w:r>
            <w:r w:rsidR="0053506C">
              <w:rPr>
                <w:rStyle w:val="spelle"/>
                <w:sz w:val="24"/>
                <w:szCs w:val="24"/>
                <w:lang w:val="lv-LV"/>
              </w:rPr>
              <w:t xml:space="preserve"> valsts IKT pārvaldības modeļa 2</w:t>
            </w:r>
            <w:r w:rsidR="0053506C" w:rsidRPr="00C37DE4">
              <w:rPr>
                <w:rStyle w:val="spelle"/>
                <w:sz w:val="24"/>
                <w:szCs w:val="24"/>
                <w:lang w:val="lv-LV"/>
              </w:rPr>
              <w:t>.ieviešanas etaps</w:t>
            </w:r>
            <w:r w:rsidR="0053506C">
              <w:rPr>
                <w:rStyle w:val="spelle"/>
                <w:sz w:val="24"/>
                <w:szCs w:val="24"/>
                <w:lang w:val="lv-LV"/>
              </w:rPr>
              <w:t xml:space="preserve">” </w:t>
            </w:r>
            <w:r w:rsidR="0053506C" w:rsidRPr="00535560">
              <w:rPr>
                <w:rStyle w:val="spelle"/>
                <w:sz w:val="24"/>
                <w:szCs w:val="24"/>
                <w:lang w:val="lv-LV"/>
              </w:rPr>
              <w:t xml:space="preserve">modeļa 2.ieviešanas etapā </w:t>
            </w:r>
            <w:r w:rsidR="00775471" w:rsidRPr="00775471">
              <w:rPr>
                <w:rStyle w:val="spelle"/>
                <w:sz w:val="24"/>
                <w:szCs w:val="24"/>
                <w:lang w:val="lv-LV"/>
              </w:rPr>
              <w:t>tiks paplašināta VARAM valsts sekretāra vietnieka kā valsts IKT vadītāja kompetence, nodrošinot, ka valsts IKT vadītājam ir tiesības apstiprināt gan iestādēm saistošus, gan rekomendējošus tehniska rakstura</w:t>
            </w:r>
            <w:r w:rsidR="00023816">
              <w:rPr>
                <w:rStyle w:val="spelle"/>
                <w:sz w:val="24"/>
                <w:szCs w:val="24"/>
                <w:lang w:val="lv-LV"/>
              </w:rPr>
              <w:t xml:space="preserve"> IKT jomas dokumentus (nacionālā</w:t>
            </w:r>
            <w:r w:rsidR="00775471" w:rsidRPr="00775471">
              <w:rPr>
                <w:rStyle w:val="spelle"/>
                <w:sz w:val="24"/>
                <w:szCs w:val="24"/>
                <w:lang w:val="lv-LV"/>
              </w:rPr>
              <w:t xml:space="preserve"> līmeņa IKT arhitektūras dokumentus, IKT pārvaldības procesus, tehniskos standartus, kā arī vadlīnijas IKT jomā). Savukārt, Ministru kabinetam būs jāapstiprina tikai augsta līmeņa dokumenti, kas nosaka valsts IKT attīstības politiku (piemēram, valsts IKT stratēģiskās attīstības principus un scenāriju). Tāpat valsts IKT vadītājam tiks paredzēts pienākums izvērtēt un saskaņot valsts budžeta finansējuma pieprasījumus IKT attīstībai un uzturēšanai.</w:t>
            </w:r>
            <w:r w:rsidR="00775471">
              <w:rPr>
                <w:rStyle w:val="spelle"/>
                <w:sz w:val="24"/>
                <w:szCs w:val="24"/>
                <w:lang w:val="lv-LV"/>
              </w:rPr>
              <w:t xml:space="preserve"> </w:t>
            </w:r>
            <w:r w:rsidR="00775471" w:rsidRPr="00775471">
              <w:rPr>
                <w:rStyle w:val="spelle"/>
                <w:sz w:val="24"/>
                <w:szCs w:val="24"/>
                <w:lang w:val="lv-LV"/>
              </w:rPr>
              <w:t xml:space="preserve">Lai to īstenotu, tiks izstrādāts </w:t>
            </w:r>
            <w:r w:rsidR="00775471">
              <w:rPr>
                <w:rStyle w:val="spelle"/>
                <w:sz w:val="24"/>
                <w:szCs w:val="24"/>
                <w:lang w:val="lv-LV"/>
              </w:rPr>
              <w:t xml:space="preserve">koncepcijas </w:t>
            </w:r>
            <w:r w:rsidR="00775471" w:rsidRPr="00775471">
              <w:rPr>
                <w:rStyle w:val="spelle"/>
                <w:sz w:val="24"/>
                <w:szCs w:val="24"/>
                <w:lang w:val="lv-LV"/>
              </w:rPr>
              <w:t>6.4.apakš</w:t>
            </w:r>
            <w:r w:rsidR="00775471">
              <w:rPr>
                <w:rStyle w:val="spelle"/>
                <w:sz w:val="24"/>
                <w:szCs w:val="24"/>
                <w:lang w:val="lv-LV"/>
              </w:rPr>
              <w:t xml:space="preserve">punktā minētais </w:t>
            </w:r>
            <w:r w:rsidR="00775471" w:rsidRPr="00775471">
              <w:rPr>
                <w:rStyle w:val="spelle"/>
                <w:sz w:val="24"/>
                <w:szCs w:val="24"/>
                <w:lang w:val="lv-LV"/>
              </w:rPr>
              <w:t xml:space="preserve">Valsts IKT pārvaldības likums, ar kura palīdzību tiks pilnvērtīgi ieviests un normatīvi noteikts koncepcijā aprakstītais optimālais valsts IKT </w:t>
            </w:r>
            <w:r w:rsidR="00775471" w:rsidRPr="00B42B43">
              <w:rPr>
                <w:rStyle w:val="spelle"/>
                <w:sz w:val="24"/>
                <w:szCs w:val="24"/>
                <w:lang w:val="lv-LV"/>
              </w:rPr>
              <w:t>pārvaldības</w:t>
            </w:r>
            <w:r w:rsidR="00B42B43">
              <w:rPr>
                <w:rStyle w:val="spelle"/>
                <w:sz w:val="24"/>
                <w:szCs w:val="24"/>
                <w:lang w:val="lv-LV"/>
              </w:rPr>
              <w:t xml:space="preserve"> </w:t>
            </w:r>
            <w:r w:rsidR="00F75DDF">
              <w:rPr>
                <w:rStyle w:val="spelle"/>
                <w:sz w:val="24"/>
                <w:szCs w:val="24"/>
                <w:lang w:val="lv-LV"/>
              </w:rPr>
              <w:t xml:space="preserve">organizatoriskais </w:t>
            </w:r>
            <w:r w:rsidR="00B42B43">
              <w:rPr>
                <w:rStyle w:val="spelle"/>
                <w:sz w:val="24"/>
                <w:szCs w:val="24"/>
                <w:lang w:val="lv-LV"/>
              </w:rPr>
              <w:t>modelis</w:t>
            </w:r>
            <w:r w:rsidR="0053506C">
              <w:rPr>
                <w:rStyle w:val="spelle"/>
                <w:sz w:val="24"/>
                <w:szCs w:val="24"/>
                <w:lang w:val="lv-LV"/>
              </w:rPr>
              <w:t>.</w:t>
            </w:r>
          </w:p>
          <w:p w:rsidR="0053506C" w:rsidRDefault="0053506C" w:rsidP="0053506C">
            <w:pPr>
              <w:pStyle w:val="BodyText"/>
              <w:ind w:firstLine="255"/>
              <w:outlineLvl w:val="0"/>
              <w:rPr>
                <w:rStyle w:val="spelle"/>
                <w:sz w:val="24"/>
                <w:szCs w:val="24"/>
                <w:lang w:val="lv-LV"/>
              </w:rPr>
            </w:pPr>
            <w:r>
              <w:rPr>
                <w:rStyle w:val="spelle"/>
                <w:sz w:val="24"/>
                <w:szCs w:val="24"/>
                <w:lang w:val="lv-LV"/>
              </w:rPr>
              <w:t>Atbilstoši koncepcijas 6.punktam „</w:t>
            </w:r>
            <w:r w:rsidRPr="009408C6">
              <w:rPr>
                <w:rStyle w:val="spelle"/>
                <w:sz w:val="24"/>
                <w:szCs w:val="24"/>
                <w:lang w:val="lv-LV"/>
              </w:rPr>
              <w:t>Optimālā valsts IKT pārvaldības organizatoriskā modeļa ieviešanas scenārijs</w:t>
            </w:r>
            <w:r>
              <w:rPr>
                <w:rStyle w:val="spelle"/>
                <w:sz w:val="24"/>
                <w:szCs w:val="24"/>
                <w:lang w:val="lv-LV"/>
              </w:rPr>
              <w:t>” katrā rīcības virzienā modeļa ieviešanai ir paredzēts sagatavot t</w:t>
            </w:r>
            <w:r w:rsidRPr="009408C6">
              <w:rPr>
                <w:rStyle w:val="spelle"/>
                <w:sz w:val="24"/>
                <w:szCs w:val="24"/>
                <w:lang w:val="lv-LV"/>
              </w:rPr>
              <w:t>iesisk</w:t>
            </w:r>
            <w:r>
              <w:rPr>
                <w:rStyle w:val="spelle"/>
                <w:sz w:val="24"/>
                <w:szCs w:val="24"/>
                <w:lang w:val="lv-LV"/>
              </w:rPr>
              <w:t>o</w:t>
            </w:r>
            <w:r w:rsidRPr="009408C6">
              <w:rPr>
                <w:rStyle w:val="spelle"/>
                <w:sz w:val="24"/>
                <w:szCs w:val="24"/>
                <w:lang w:val="lv-LV"/>
              </w:rPr>
              <w:t xml:space="preserve"> bāz</w:t>
            </w:r>
            <w:r>
              <w:rPr>
                <w:rStyle w:val="spelle"/>
                <w:sz w:val="24"/>
                <w:szCs w:val="24"/>
                <w:lang w:val="lv-LV"/>
              </w:rPr>
              <w:t>i</w:t>
            </w:r>
            <w:r w:rsidRPr="009408C6">
              <w:rPr>
                <w:rStyle w:val="spelle"/>
                <w:sz w:val="24"/>
                <w:szCs w:val="24"/>
                <w:lang w:val="lv-LV"/>
              </w:rPr>
              <w:t xml:space="preserve">, </w:t>
            </w:r>
            <w:r>
              <w:rPr>
                <w:rStyle w:val="spelle"/>
                <w:sz w:val="24"/>
                <w:szCs w:val="24"/>
                <w:lang w:val="lv-LV"/>
              </w:rPr>
              <w:t>nodrošinot ārējo normatīvo aktu izstrādi</w:t>
            </w:r>
            <w:r w:rsidRPr="009408C6">
              <w:rPr>
                <w:rStyle w:val="spelle"/>
                <w:sz w:val="24"/>
                <w:szCs w:val="24"/>
                <w:lang w:val="lv-LV"/>
              </w:rPr>
              <w:t xml:space="preserve"> un apstiprināšan</w:t>
            </w:r>
            <w:r>
              <w:rPr>
                <w:rStyle w:val="spelle"/>
                <w:sz w:val="24"/>
                <w:szCs w:val="24"/>
                <w:lang w:val="lv-LV"/>
              </w:rPr>
              <w:t>u</w:t>
            </w:r>
            <w:r w:rsidRPr="009408C6">
              <w:rPr>
                <w:rStyle w:val="spelle"/>
                <w:sz w:val="24"/>
                <w:szCs w:val="24"/>
                <w:lang w:val="lv-LV"/>
              </w:rPr>
              <w:t xml:space="preserve"> modelī paredzēto institūciju</w:t>
            </w:r>
            <w:r>
              <w:rPr>
                <w:rStyle w:val="spelle"/>
                <w:sz w:val="24"/>
                <w:szCs w:val="24"/>
                <w:lang w:val="lv-LV"/>
              </w:rPr>
              <w:t xml:space="preserve"> (arī </w:t>
            </w:r>
            <w:r w:rsidR="00775471">
              <w:rPr>
                <w:rStyle w:val="spelle"/>
                <w:sz w:val="24"/>
                <w:szCs w:val="24"/>
                <w:lang w:val="lv-LV"/>
              </w:rPr>
              <w:t>valsts IKT organizācijas</w:t>
            </w:r>
            <w:r>
              <w:rPr>
                <w:rStyle w:val="spelle"/>
                <w:sz w:val="24"/>
                <w:szCs w:val="24"/>
                <w:lang w:val="lv-LV"/>
              </w:rPr>
              <w:t xml:space="preserve">) </w:t>
            </w:r>
            <w:r w:rsidRPr="009408C6">
              <w:rPr>
                <w:rStyle w:val="spelle"/>
                <w:sz w:val="24"/>
                <w:szCs w:val="24"/>
                <w:lang w:val="lv-LV"/>
              </w:rPr>
              <w:t>izveidei un darbības reglamentācijai</w:t>
            </w:r>
            <w:r>
              <w:rPr>
                <w:rStyle w:val="spelle"/>
                <w:sz w:val="24"/>
                <w:szCs w:val="24"/>
                <w:lang w:val="lv-LV"/>
              </w:rPr>
              <w:t>.</w:t>
            </w:r>
          </w:p>
          <w:p w:rsidR="0053506C" w:rsidRDefault="0053506C" w:rsidP="0053506C">
            <w:pPr>
              <w:pStyle w:val="BodyText"/>
              <w:ind w:firstLine="255"/>
              <w:outlineLvl w:val="0"/>
              <w:rPr>
                <w:sz w:val="24"/>
                <w:szCs w:val="24"/>
                <w:lang w:val="lv-LV"/>
              </w:rPr>
            </w:pPr>
            <w:r>
              <w:rPr>
                <w:rStyle w:val="spelle"/>
                <w:sz w:val="24"/>
                <w:szCs w:val="24"/>
                <w:lang w:val="lv-LV"/>
              </w:rPr>
              <w:t>L</w:t>
            </w:r>
            <w:r w:rsidRPr="003E72DF">
              <w:rPr>
                <w:rStyle w:val="spelle"/>
                <w:sz w:val="24"/>
                <w:szCs w:val="24"/>
                <w:lang w:val="lv-LV"/>
              </w:rPr>
              <w:t xml:space="preserve">ai pilnvērtīgi ieviestu modeli, visu </w:t>
            </w:r>
            <w:r>
              <w:rPr>
                <w:rStyle w:val="spelle"/>
                <w:sz w:val="24"/>
                <w:szCs w:val="24"/>
                <w:lang w:val="lv-LV"/>
              </w:rPr>
              <w:t xml:space="preserve">valsts IKT pārvaldībā </w:t>
            </w:r>
            <w:r w:rsidRPr="003E72DF">
              <w:rPr>
                <w:rStyle w:val="spelle"/>
                <w:sz w:val="24"/>
                <w:szCs w:val="24"/>
                <w:lang w:val="lv-LV"/>
              </w:rPr>
              <w:t xml:space="preserve">iesaistīto pušu (valsts IKT organizācijas, resora IKT organizāciju, koplietošanas IKT organizācijas, </w:t>
            </w:r>
            <w:r w:rsidR="00775471">
              <w:rPr>
                <w:rStyle w:val="spelle"/>
                <w:sz w:val="24"/>
                <w:szCs w:val="24"/>
                <w:lang w:val="lv-LV"/>
              </w:rPr>
              <w:t>valsts IKT pārvaldības vadītāju forumu</w:t>
            </w:r>
            <w:r w:rsidRPr="003E72DF">
              <w:rPr>
                <w:rStyle w:val="spelle"/>
                <w:sz w:val="24"/>
                <w:szCs w:val="24"/>
                <w:lang w:val="lv-LV"/>
              </w:rPr>
              <w:t>) lomas, pienākumi un tiesības</w:t>
            </w:r>
            <w:r>
              <w:rPr>
                <w:rStyle w:val="spelle"/>
                <w:sz w:val="24"/>
                <w:szCs w:val="24"/>
                <w:lang w:val="lv-LV"/>
              </w:rPr>
              <w:t xml:space="preserve"> </w:t>
            </w:r>
            <w:r w:rsidRPr="003E72DF">
              <w:rPr>
                <w:rStyle w:val="spelle"/>
                <w:sz w:val="24"/>
                <w:szCs w:val="24"/>
                <w:lang w:val="lv-LV"/>
              </w:rPr>
              <w:t xml:space="preserve">tiks noteiktas </w:t>
            </w:r>
            <w:r w:rsidR="00775471">
              <w:rPr>
                <w:rStyle w:val="spelle"/>
                <w:sz w:val="24"/>
                <w:szCs w:val="24"/>
                <w:lang w:val="lv-LV"/>
              </w:rPr>
              <w:t xml:space="preserve">minētajā </w:t>
            </w:r>
            <w:r w:rsidRPr="003E72DF">
              <w:rPr>
                <w:rStyle w:val="spelle"/>
                <w:sz w:val="24"/>
                <w:szCs w:val="24"/>
                <w:lang w:val="lv-LV"/>
              </w:rPr>
              <w:t>Valsts IKT pārvaldības likum</w:t>
            </w:r>
            <w:r>
              <w:rPr>
                <w:rStyle w:val="spelle"/>
                <w:sz w:val="24"/>
                <w:szCs w:val="24"/>
                <w:lang w:val="lv-LV"/>
              </w:rPr>
              <w:t xml:space="preserve">ā. Tā izstrāde ir paredzēta modeļa 2.ieviešanas etapā (saskaņā ar Ministru kabineta 2013.gada 19.februāra rīkojuma Nr.57 „Par </w:t>
            </w:r>
            <w:r>
              <w:rPr>
                <w:sz w:val="24"/>
                <w:szCs w:val="24"/>
                <w:lang w:val="lv-LV"/>
              </w:rPr>
              <w:t xml:space="preserve">koncepciju </w:t>
            </w:r>
            <w:r w:rsidRPr="00027838">
              <w:rPr>
                <w:rStyle w:val="spelle"/>
                <w:sz w:val="24"/>
                <w:szCs w:val="24"/>
                <w:lang w:val="lv-LV"/>
              </w:rPr>
              <w:t>„Valsts informācijas un komunikācijas tehnoloģiju pārvaldības organizatoriskais modelis”</w:t>
            </w:r>
            <w:r>
              <w:rPr>
                <w:rStyle w:val="spelle"/>
                <w:sz w:val="24"/>
                <w:szCs w:val="24"/>
                <w:lang w:val="lv-LV"/>
              </w:rPr>
              <w:t xml:space="preserve">” 4.punktu attiecīgo likumprojektu ir uzdots izstrādāt un iesniegt Ministru kabinetā līdz 2014.gada 19.augustam). Savukārt, lai īstenotu modeļa 1.ieviešanas etapu, kurā ir paredzēts izveidot </w:t>
            </w:r>
            <w:r w:rsidRPr="00E31EA2">
              <w:rPr>
                <w:rStyle w:val="spelle"/>
                <w:sz w:val="24"/>
                <w:szCs w:val="24"/>
                <w:lang w:val="lv-LV"/>
              </w:rPr>
              <w:t xml:space="preserve">visas būtiskās </w:t>
            </w:r>
            <w:r>
              <w:rPr>
                <w:rStyle w:val="spelle"/>
                <w:sz w:val="24"/>
                <w:szCs w:val="24"/>
                <w:lang w:val="lv-LV"/>
              </w:rPr>
              <w:t xml:space="preserve">modeļa strukturālās komponentes </w:t>
            </w:r>
            <w:r w:rsidRPr="00E31EA2">
              <w:rPr>
                <w:rStyle w:val="spelle"/>
                <w:sz w:val="24"/>
                <w:szCs w:val="24"/>
                <w:lang w:val="lv-LV"/>
              </w:rPr>
              <w:t>un uzsāk</w:t>
            </w:r>
            <w:r>
              <w:rPr>
                <w:rStyle w:val="spelle"/>
                <w:sz w:val="24"/>
                <w:szCs w:val="24"/>
                <w:lang w:val="lv-LV"/>
              </w:rPr>
              <w:t>t to</w:t>
            </w:r>
            <w:r w:rsidRPr="00E31EA2">
              <w:rPr>
                <w:rStyle w:val="spelle"/>
                <w:sz w:val="24"/>
                <w:szCs w:val="24"/>
                <w:lang w:val="lv-LV"/>
              </w:rPr>
              <w:t xml:space="preserve"> darbīb</w:t>
            </w:r>
            <w:r>
              <w:rPr>
                <w:rStyle w:val="spelle"/>
                <w:sz w:val="24"/>
                <w:szCs w:val="24"/>
                <w:lang w:val="lv-LV"/>
              </w:rPr>
              <w:t xml:space="preserve">u, jau šajā etapā līdz 2013.gada 19.augustam nepieciešams izstrādāt un apstiprināt tiesisko bāzi </w:t>
            </w:r>
            <w:r w:rsidR="00775471">
              <w:rPr>
                <w:rStyle w:val="spelle"/>
                <w:sz w:val="24"/>
                <w:szCs w:val="24"/>
                <w:lang w:val="lv-LV"/>
              </w:rPr>
              <w:t>valsts IKT organizācijas, kas darbosies VARAM sastāvā, un</w:t>
            </w:r>
            <w:r>
              <w:rPr>
                <w:rStyle w:val="spelle"/>
                <w:sz w:val="24"/>
                <w:szCs w:val="24"/>
                <w:lang w:val="lv-LV"/>
              </w:rPr>
              <w:t xml:space="preserve"> citu </w:t>
            </w:r>
            <w:r w:rsidRPr="009408C6">
              <w:rPr>
                <w:rStyle w:val="spelle"/>
                <w:sz w:val="24"/>
                <w:szCs w:val="24"/>
                <w:lang w:val="lv-LV"/>
              </w:rPr>
              <w:t>modelī paredzēto institūciju</w:t>
            </w:r>
            <w:r>
              <w:rPr>
                <w:rStyle w:val="spelle"/>
                <w:sz w:val="24"/>
                <w:szCs w:val="24"/>
                <w:lang w:val="lv-LV"/>
              </w:rPr>
              <w:t xml:space="preserve"> darbībai.</w:t>
            </w:r>
          </w:p>
          <w:p w:rsidR="007E290B" w:rsidRDefault="008F551B" w:rsidP="00837944">
            <w:pPr>
              <w:pStyle w:val="BodyText"/>
              <w:ind w:firstLine="255"/>
              <w:outlineLvl w:val="0"/>
              <w:rPr>
                <w:sz w:val="24"/>
                <w:szCs w:val="24"/>
                <w:lang w:val="lv-LV"/>
              </w:rPr>
            </w:pPr>
            <w:r>
              <w:rPr>
                <w:sz w:val="24"/>
                <w:szCs w:val="24"/>
                <w:lang w:val="lv-LV"/>
              </w:rPr>
              <w:t xml:space="preserve">Vienlaikus nolikuma 5.7.apakšpunktu ir nepieciešams papildināt ar uzdevumu, kas </w:t>
            </w:r>
            <w:r w:rsidR="009819EF">
              <w:rPr>
                <w:sz w:val="24"/>
                <w:szCs w:val="24"/>
                <w:lang w:val="lv-LV"/>
              </w:rPr>
              <w:t xml:space="preserve">veicinātu informācijas sabiedrības veidošanu un attīstību. Proti, šis uzdevums ir saistīts ar </w:t>
            </w:r>
            <w:r>
              <w:rPr>
                <w:sz w:val="24"/>
                <w:szCs w:val="24"/>
                <w:lang w:val="lv-LV"/>
              </w:rPr>
              <w:t xml:space="preserve">sabiedrības informēšanu par IKT </w:t>
            </w:r>
            <w:r w:rsidRPr="008F551B">
              <w:rPr>
                <w:sz w:val="24"/>
                <w:szCs w:val="24"/>
                <w:lang w:val="lv-LV"/>
              </w:rPr>
              <w:t>sniegtajām iespējām un priekšrocībām</w:t>
            </w:r>
            <w:r w:rsidR="009819EF">
              <w:rPr>
                <w:sz w:val="24"/>
                <w:szCs w:val="24"/>
                <w:lang w:val="lv-LV"/>
              </w:rPr>
              <w:t xml:space="preserve">, popularizējot to </w:t>
            </w:r>
            <w:r w:rsidRPr="008F551B">
              <w:rPr>
                <w:sz w:val="24"/>
                <w:szCs w:val="24"/>
                <w:lang w:val="lv-LV"/>
              </w:rPr>
              <w:t xml:space="preserve">izmantošanu </w:t>
            </w:r>
            <w:r w:rsidRPr="008F551B">
              <w:rPr>
                <w:sz w:val="24"/>
                <w:szCs w:val="24"/>
                <w:lang w:val="lv-LV"/>
              </w:rPr>
              <w:lastRenderedPageBreak/>
              <w:t xml:space="preserve">ikvienā dzīves situācijā, kā arī </w:t>
            </w:r>
            <w:r w:rsidR="009819EF">
              <w:rPr>
                <w:sz w:val="24"/>
                <w:szCs w:val="24"/>
                <w:lang w:val="lv-LV"/>
              </w:rPr>
              <w:t xml:space="preserve">tādu sabiedrības zināšanu un prasmju attīstību, kas ir vērsta uz IKT izmantošanu </w:t>
            </w:r>
            <w:r w:rsidRPr="008F551B">
              <w:rPr>
                <w:sz w:val="24"/>
                <w:szCs w:val="24"/>
                <w:lang w:val="lv-LV"/>
              </w:rPr>
              <w:t>iestāžu rīcībā esošās informācijas un sniegto pakalpojumu saņemšanai</w:t>
            </w:r>
            <w:r w:rsidR="009819EF">
              <w:rPr>
                <w:sz w:val="24"/>
                <w:szCs w:val="24"/>
                <w:lang w:val="lv-LV"/>
              </w:rPr>
              <w:t>.</w:t>
            </w:r>
          </w:p>
          <w:p w:rsidR="00952E2C" w:rsidRDefault="007C1D3E" w:rsidP="00837944">
            <w:pPr>
              <w:pStyle w:val="BodyText"/>
              <w:ind w:firstLine="255"/>
              <w:outlineLvl w:val="0"/>
              <w:rPr>
                <w:sz w:val="24"/>
                <w:szCs w:val="24"/>
                <w:lang w:val="lv-LV"/>
              </w:rPr>
            </w:pPr>
            <w:r>
              <w:rPr>
                <w:sz w:val="24"/>
                <w:szCs w:val="24"/>
                <w:lang w:val="lv-LV"/>
              </w:rPr>
              <w:t xml:space="preserve">Atbilstoši </w:t>
            </w:r>
            <w:r w:rsidR="00A3275B">
              <w:rPr>
                <w:sz w:val="24"/>
                <w:szCs w:val="24"/>
                <w:lang w:val="lv-LV"/>
              </w:rPr>
              <w:t>nolikuma 5.5.3</w:t>
            </w:r>
            <w:r w:rsidR="00952E2C">
              <w:rPr>
                <w:sz w:val="24"/>
                <w:szCs w:val="24"/>
                <w:lang w:val="lv-LV"/>
              </w:rPr>
              <w:t xml:space="preserve">.apakšpunktam VARAM kompetencē </w:t>
            </w:r>
            <w:r w:rsidR="00A3275B">
              <w:rPr>
                <w:sz w:val="24"/>
                <w:szCs w:val="24"/>
                <w:lang w:val="lv-LV"/>
              </w:rPr>
              <w:t xml:space="preserve">pašvaldību darbības attīstības un pārraudzības jomā pašlaik ir noteikts uzdevums koordinēt informācijas tehnoloģiju ieviešanu pašvaldībās. </w:t>
            </w:r>
            <w:r w:rsidR="00952E2C">
              <w:rPr>
                <w:sz w:val="24"/>
                <w:szCs w:val="24"/>
                <w:lang w:val="lv-LV"/>
              </w:rPr>
              <w:t xml:space="preserve">Šis uzdevums </w:t>
            </w:r>
            <w:r w:rsidR="00F326BF">
              <w:rPr>
                <w:sz w:val="24"/>
                <w:szCs w:val="24"/>
                <w:lang w:val="lv-LV"/>
              </w:rPr>
              <w:t xml:space="preserve">neatbilst </w:t>
            </w:r>
            <w:r w:rsidR="00F326BF" w:rsidRPr="00F326BF">
              <w:rPr>
                <w:sz w:val="24"/>
                <w:szCs w:val="24"/>
                <w:lang w:val="lv-LV"/>
              </w:rPr>
              <w:t xml:space="preserve">Pašvaldību vienotās informācijas sistēmas </w:t>
            </w:r>
            <w:r w:rsidR="00F326BF">
              <w:rPr>
                <w:sz w:val="24"/>
                <w:szCs w:val="24"/>
                <w:lang w:val="lv-LV"/>
              </w:rPr>
              <w:t>attīstības koncepcijā</w:t>
            </w:r>
            <w:r w:rsidR="00F326BF" w:rsidRPr="00F326BF">
              <w:rPr>
                <w:sz w:val="24"/>
                <w:szCs w:val="24"/>
                <w:lang w:val="lv-LV"/>
              </w:rPr>
              <w:t xml:space="preserve"> 2010.–2013.gadam</w:t>
            </w:r>
            <w:r w:rsidR="00F326BF">
              <w:rPr>
                <w:sz w:val="24"/>
                <w:szCs w:val="24"/>
                <w:lang w:val="lv-LV"/>
              </w:rPr>
              <w:t xml:space="preserve"> piedāvātajam risinājumam (atbalstīts ar Ministru kabineta 2010.gada 6.maija rīkojumu Nr.248). Proti, atbilstoši šim risinājumam </w:t>
            </w:r>
            <w:r w:rsidR="00267A91">
              <w:rPr>
                <w:sz w:val="24"/>
                <w:szCs w:val="24"/>
                <w:lang w:val="lv-LV"/>
              </w:rPr>
              <w:t xml:space="preserve">turpmākā informācijas tehnoloģiju, tajā skaitā </w:t>
            </w:r>
            <w:r w:rsidR="00267A91" w:rsidRPr="00267A91">
              <w:rPr>
                <w:sz w:val="24"/>
                <w:szCs w:val="24"/>
                <w:lang w:val="lv-LV"/>
              </w:rPr>
              <w:t>lietojumprogrammatūra</w:t>
            </w:r>
            <w:r w:rsidR="00267A91">
              <w:rPr>
                <w:sz w:val="24"/>
                <w:szCs w:val="24"/>
                <w:lang w:val="lv-LV"/>
              </w:rPr>
              <w:t>s</w:t>
            </w:r>
            <w:r w:rsidR="00267A91" w:rsidRPr="00267A91">
              <w:rPr>
                <w:sz w:val="24"/>
                <w:szCs w:val="24"/>
                <w:lang w:val="lv-LV"/>
              </w:rPr>
              <w:t xml:space="preserve"> darba informatizācijai</w:t>
            </w:r>
            <w:r w:rsidR="00267A91">
              <w:rPr>
                <w:sz w:val="24"/>
                <w:szCs w:val="24"/>
                <w:lang w:val="lv-LV"/>
              </w:rPr>
              <w:t>, ieviešana pašvaldībās, ir attiecīgo pašvaldību</w:t>
            </w:r>
            <w:r w:rsidR="00A10BE8">
              <w:rPr>
                <w:sz w:val="24"/>
                <w:szCs w:val="24"/>
                <w:lang w:val="lv-LV"/>
              </w:rPr>
              <w:t>,</w:t>
            </w:r>
            <w:r w:rsidR="00267A91">
              <w:rPr>
                <w:sz w:val="24"/>
                <w:szCs w:val="24"/>
                <w:lang w:val="lv-LV"/>
              </w:rPr>
              <w:t xml:space="preserve"> nevis informācijas tehnoloģiju jomā vadošās valsts pārvaldes iestādes</w:t>
            </w:r>
            <w:r w:rsidR="00A10BE8">
              <w:rPr>
                <w:sz w:val="24"/>
                <w:szCs w:val="24"/>
                <w:lang w:val="lv-LV"/>
              </w:rPr>
              <w:t>,</w:t>
            </w:r>
            <w:r w:rsidR="00267A91">
              <w:rPr>
                <w:sz w:val="24"/>
                <w:szCs w:val="24"/>
                <w:lang w:val="lv-LV"/>
              </w:rPr>
              <w:t xml:space="preserve"> kompetencē. </w:t>
            </w:r>
            <w:r w:rsidR="00B70174">
              <w:rPr>
                <w:sz w:val="24"/>
                <w:szCs w:val="24"/>
                <w:lang w:val="lv-LV"/>
              </w:rPr>
              <w:t xml:space="preserve">Vadošās </w:t>
            </w:r>
            <w:r w:rsidR="00267A91">
              <w:rPr>
                <w:sz w:val="24"/>
                <w:szCs w:val="24"/>
                <w:lang w:val="lv-LV"/>
              </w:rPr>
              <w:t xml:space="preserve">iestādes uzdevums </w:t>
            </w:r>
            <w:r w:rsidR="00A10BE8">
              <w:rPr>
                <w:sz w:val="24"/>
                <w:szCs w:val="24"/>
                <w:lang w:val="lv-LV"/>
              </w:rPr>
              <w:t xml:space="preserve">ir </w:t>
            </w:r>
            <w:r w:rsidR="00267A91">
              <w:rPr>
                <w:sz w:val="24"/>
                <w:szCs w:val="24"/>
                <w:lang w:val="lv-LV"/>
              </w:rPr>
              <w:t xml:space="preserve">koordinēt tādu IKT risinājumu koplietošanu, kuri nodrošina valsts un pašvaldību institūciju pārziņā esošo informācijas sistēmu sadarbspēju. </w:t>
            </w:r>
            <w:r w:rsidR="00A10BE8">
              <w:rPr>
                <w:sz w:val="24"/>
                <w:szCs w:val="24"/>
                <w:lang w:val="lv-LV"/>
              </w:rPr>
              <w:t xml:space="preserve">Šis uzdevums, savukārt, atbilst VARAM kompetencei, kura ir nepieciešama, lai ieviestu iepriekš minēto valsts IKT </w:t>
            </w:r>
            <w:r w:rsidR="00F75DDF">
              <w:rPr>
                <w:sz w:val="24"/>
                <w:szCs w:val="24"/>
                <w:lang w:val="lv-LV"/>
              </w:rPr>
              <w:t xml:space="preserve">pārvaldības </w:t>
            </w:r>
            <w:r w:rsidR="00A10BE8">
              <w:rPr>
                <w:sz w:val="24"/>
                <w:szCs w:val="24"/>
                <w:lang w:val="lv-LV"/>
              </w:rPr>
              <w:t xml:space="preserve">organizatorisko </w:t>
            </w:r>
            <w:r w:rsidR="00A10BE8" w:rsidRPr="00F75DDF">
              <w:rPr>
                <w:sz w:val="24"/>
                <w:szCs w:val="24"/>
                <w:lang w:val="lv-LV"/>
              </w:rPr>
              <w:t>modeli</w:t>
            </w:r>
            <w:r w:rsidR="00A10BE8">
              <w:rPr>
                <w:sz w:val="24"/>
                <w:szCs w:val="24"/>
                <w:lang w:val="lv-LV"/>
              </w:rPr>
              <w:t xml:space="preserve">, un tāpēc tas ir iekļaujams nolikuma 5.7.apakšpunktā. Ņemot to vērā, </w:t>
            </w:r>
            <w:r w:rsidR="00B52715">
              <w:rPr>
                <w:sz w:val="24"/>
                <w:szCs w:val="24"/>
                <w:lang w:val="lv-LV"/>
              </w:rPr>
              <w:t xml:space="preserve">ir nepieciešams svītrot </w:t>
            </w:r>
            <w:r w:rsidR="00A10BE8">
              <w:rPr>
                <w:sz w:val="24"/>
                <w:szCs w:val="24"/>
                <w:lang w:val="lv-LV"/>
              </w:rPr>
              <w:t xml:space="preserve">nolikuma 5.5.3.apakšpunktu, </w:t>
            </w:r>
            <w:r w:rsidR="00B52715">
              <w:rPr>
                <w:sz w:val="24"/>
                <w:szCs w:val="24"/>
                <w:lang w:val="lv-LV"/>
              </w:rPr>
              <w:t xml:space="preserve">kurā </w:t>
            </w:r>
            <w:r w:rsidR="00A10BE8">
              <w:rPr>
                <w:sz w:val="24"/>
                <w:szCs w:val="24"/>
                <w:lang w:val="lv-LV"/>
              </w:rPr>
              <w:t>noteiktais uzdevums ir zaudējis aktualitāti.</w:t>
            </w:r>
          </w:p>
          <w:p w:rsidR="007E290B" w:rsidRDefault="005A48D7" w:rsidP="0086758E">
            <w:pPr>
              <w:pStyle w:val="BodyText"/>
              <w:ind w:firstLine="255"/>
              <w:outlineLvl w:val="0"/>
              <w:rPr>
                <w:sz w:val="24"/>
                <w:szCs w:val="24"/>
                <w:lang w:val="lv-LV"/>
              </w:rPr>
            </w:pPr>
            <w:r>
              <w:rPr>
                <w:sz w:val="24"/>
                <w:szCs w:val="24"/>
                <w:lang w:val="lv-LV"/>
              </w:rPr>
              <w:t>2</w:t>
            </w:r>
            <w:r w:rsidR="00BF2708" w:rsidRPr="008D2023">
              <w:rPr>
                <w:sz w:val="24"/>
                <w:szCs w:val="24"/>
                <w:lang w:val="lv-LV"/>
              </w:rPr>
              <w:t xml:space="preserve">. </w:t>
            </w:r>
            <w:r w:rsidR="00E01E01" w:rsidRPr="008D2023">
              <w:rPr>
                <w:sz w:val="24"/>
                <w:szCs w:val="24"/>
                <w:lang w:val="lv-LV"/>
              </w:rPr>
              <w:t xml:space="preserve">Atbilstoši </w:t>
            </w:r>
            <w:r w:rsidR="00BF2708" w:rsidRPr="008D2023">
              <w:rPr>
                <w:sz w:val="24"/>
                <w:szCs w:val="24"/>
                <w:lang w:val="lv-LV"/>
              </w:rPr>
              <w:t>nolikuma 1.6. un 4.1.7.apak</w:t>
            </w:r>
            <w:r w:rsidR="002D3868" w:rsidRPr="008D2023">
              <w:rPr>
                <w:sz w:val="24"/>
                <w:szCs w:val="24"/>
                <w:lang w:val="lv-LV"/>
              </w:rPr>
              <w:t>špunktam VARAM</w:t>
            </w:r>
            <w:r w:rsidR="00BF2708" w:rsidRPr="008D2023">
              <w:rPr>
                <w:sz w:val="24"/>
                <w:szCs w:val="24"/>
                <w:lang w:val="lv-LV"/>
              </w:rPr>
              <w:t xml:space="preserve"> kompetencē </w:t>
            </w:r>
            <w:r w:rsidR="002D3868" w:rsidRPr="008D2023">
              <w:rPr>
                <w:sz w:val="24"/>
                <w:szCs w:val="24"/>
                <w:lang w:val="lv-LV"/>
              </w:rPr>
              <w:t xml:space="preserve">pašlaik </w:t>
            </w:r>
            <w:r w:rsidR="00BF2708" w:rsidRPr="008D2023">
              <w:rPr>
                <w:sz w:val="24"/>
                <w:szCs w:val="24"/>
                <w:lang w:val="lv-LV"/>
              </w:rPr>
              <w:t>ietilpst valsts investīciju jaut</w:t>
            </w:r>
            <w:r w:rsidR="002D3868" w:rsidRPr="008D2023">
              <w:rPr>
                <w:sz w:val="24"/>
                <w:szCs w:val="24"/>
                <w:lang w:val="lv-LV"/>
              </w:rPr>
              <w:t>ājumi</w:t>
            </w:r>
            <w:r w:rsidR="00A620CD" w:rsidRPr="008D2023">
              <w:rPr>
                <w:sz w:val="24"/>
                <w:szCs w:val="24"/>
                <w:lang w:val="lv-LV"/>
              </w:rPr>
              <w:t>. Š</w:t>
            </w:r>
            <w:r w:rsidR="00A96649">
              <w:rPr>
                <w:sz w:val="24"/>
                <w:szCs w:val="24"/>
                <w:lang w:val="lv-LV"/>
              </w:rPr>
              <w:t>ī</w:t>
            </w:r>
            <w:r w:rsidR="00A620CD" w:rsidRPr="008D2023">
              <w:rPr>
                <w:sz w:val="24"/>
                <w:szCs w:val="24"/>
                <w:lang w:val="lv-LV"/>
              </w:rPr>
              <w:t xml:space="preserve"> funkcija VARAM nolikumā tika ietverta 2011.gada sākumā, pārņemot Reģionālās att</w:t>
            </w:r>
            <w:r w:rsidR="00957A1B">
              <w:rPr>
                <w:sz w:val="24"/>
                <w:szCs w:val="24"/>
                <w:lang w:val="lv-LV"/>
              </w:rPr>
              <w:t xml:space="preserve">īstības un pašvaldību lietu ministrijas funkcijas saistībā ar Nacionālā attīstības plāna izstrādi un koordināciju. </w:t>
            </w:r>
          </w:p>
          <w:p w:rsidR="002D3868" w:rsidRDefault="00957A1B" w:rsidP="00B52715">
            <w:pPr>
              <w:pStyle w:val="BodyText"/>
              <w:ind w:firstLine="255"/>
              <w:outlineLvl w:val="0"/>
              <w:rPr>
                <w:sz w:val="24"/>
                <w:szCs w:val="24"/>
                <w:lang w:val="lv-LV"/>
              </w:rPr>
            </w:pPr>
            <w:r>
              <w:rPr>
                <w:sz w:val="24"/>
                <w:szCs w:val="24"/>
                <w:lang w:val="lv-LV"/>
              </w:rPr>
              <w:t>Atbilstoši Ministru kabineta 2011.gada 19.oktobra noteikum</w:t>
            </w:r>
            <w:r w:rsidR="00E01E01">
              <w:rPr>
                <w:sz w:val="24"/>
                <w:szCs w:val="24"/>
                <w:lang w:val="lv-LV"/>
              </w:rPr>
              <w:t>u</w:t>
            </w:r>
            <w:r>
              <w:rPr>
                <w:sz w:val="24"/>
                <w:szCs w:val="24"/>
                <w:lang w:val="lv-LV"/>
              </w:rPr>
              <w:t xml:space="preserve"> Nr.815 „Pārresoru koordinācijas centra nolikums” 3.2.apakšpunktam Nacionālo attīstības plānu izstrādā un uzrauga un tā īstenošanu koordinē Pārresoru koordinācijas centrs. Saskaņā ar Ministru kabineta </w:t>
            </w:r>
            <w:r w:rsidR="008D2023" w:rsidRPr="008D2023">
              <w:rPr>
                <w:sz w:val="24"/>
                <w:szCs w:val="24"/>
                <w:lang w:val="lv-LV"/>
              </w:rPr>
              <w:t xml:space="preserve">2011.gada 19.oktobra </w:t>
            </w:r>
            <w:r w:rsidR="00E01E01">
              <w:rPr>
                <w:color w:val="000000" w:themeColor="text1"/>
                <w:sz w:val="24"/>
                <w:szCs w:val="24"/>
                <w:lang w:val="lv-LV"/>
              </w:rPr>
              <w:t>noteikumu</w:t>
            </w:r>
            <w:r w:rsidR="008D2023" w:rsidRPr="009615A8">
              <w:rPr>
                <w:color w:val="000000" w:themeColor="text1"/>
                <w:sz w:val="24"/>
                <w:szCs w:val="24"/>
                <w:lang w:val="lv-LV"/>
              </w:rPr>
              <w:t xml:space="preserve"> Nr</w:t>
            </w:r>
            <w:r w:rsidR="00E01E01">
              <w:rPr>
                <w:color w:val="000000" w:themeColor="text1"/>
                <w:sz w:val="24"/>
                <w:szCs w:val="24"/>
                <w:lang w:val="lv-LV"/>
              </w:rPr>
              <w:t>.</w:t>
            </w:r>
            <w:r w:rsidR="008D2023" w:rsidRPr="009615A8">
              <w:rPr>
                <w:color w:val="000000" w:themeColor="text1"/>
                <w:sz w:val="24"/>
                <w:szCs w:val="24"/>
                <w:lang w:val="lv-LV"/>
              </w:rPr>
              <w:t>816 „</w:t>
            </w:r>
            <w:r w:rsidRPr="009615A8">
              <w:rPr>
                <w:color w:val="000000" w:themeColor="text1"/>
                <w:sz w:val="24"/>
                <w:szCs w:val="24"/>
                <w:lang w:val="lv-LV"/>
              </w:rPr>
              <w:t xml:space="preserve">Nacionālā attīstības plāna 2014.–2020.gadam izstrādes, ieviešanas, uzraudzības un </w:t>
            </w:r>
            <w:r w:rsidR="00A96649">
              <w:rPr>
                <w:color w:val="000000" w:themeColor="text1"/>
                <w:sz w:val="24"/>
                <w:szCs w:val="24"/>
                <w:lang w:val="lv-LV"/>
              </w:rPr>
              <w:t xml:space="preserve">publiskās apspriešanas kārtība” </w:t>
            </w:r>
            <w:r w:rsidR="008D2023" w:rsidRPr="009615A8">
              <w:rPr>
                <w:color w:val="000000" w:themeColor="text1"/>
                <w:sz w:val="24"/>
                <w:szCs w:val="24"/>
                <w:lang w:val="lv-LV"/>
              </w:rPr>
              <w:t xml:space="preserve">4.5.apakšpunktu Nacionālā attīstības plānā ietver uzdevumiem </w:t>
            </w:r>
            <w:r w:rsidRPr="009615A8">
              <w:rPr>
                <w:color w:val="000000" w:themeColor="text1"/>
                <w:sz w:val="24"/>
                <w:szCs w:val="24"/>
                <w:lang w:val="lv-LV"/>
              </w:rPr>
              <w:t>īstenošanai nep</w:t>
            </w:r>
            <w:r w:rsidRPr="00957A1B">
              <w:rPr>
                <w:sz w:val="24"/>
                <w:szCs w:val="24"/>
                <w:lang w:val="lv-LV"/>
              </w:rPr>
              <w:t>ieciešamā finansējuma apjoma un avotu provizorisko novērtējumu (vispārējās valdības budžeta līdzekļi, tai skaitā Eiropas Savienības fondu un ārvalstu finanšu palīdzības līdzekļi), lai nodrošinātu noteiktas politikas ieviešanu, sasniedzot atbilstošus darbības rezultātus.</w:t>
            </w:r>
            <w:r w:rsidR="00316B8B">
              <w:rPr>
                <w:sz w:val="24"/>
                <w:szCs w:val="24"/>
                <w:lang w:val="lv-LV"/>
              </w:rPr>
              <w:t xml:space="preserve"> Līdz ar to, izstrādājot Nacionālās attīstības plānu 2014. – 2020.gadam, tika izstrādāta arī valsts invest</w:t>
            </w:r>
            <w:r w:rsidR="00A07912">
              <w:rPr>
                <w:sz w:val="24"/>
                <w:szCs w:val="24"/>
                <w:lang w:val="lv-LV"/>
              </w:rPr>
              <w:t xml:space="preserve">īciju politika, </w:t>
            </w:r>
            <w:r w:rsidR="00316B8B">
              <w:rPr>
                <w:sz w:val="24"/>
                <w:szCs w:val="24"/>
                <w:lang w:val="lv-LV"/>
              </w:rPr>
              <w:t xml:space="preserve">un tās ieviešanu uzrauga un koordinē Pārresoru koordinācijas centrs. </w:t>
            </w:r>
          </w:p>
          <w:p w:rsidR="002D3868" w:rsidRDefault="00316B8B" w:rsidP="00B52715">
            <w:pPr>
              <w:pStyle w:val="BodyText"/>
              <w:ind w:firstLine="255"/>
              <w:outlineLvl w:val="0"/>
              <w:rPr>
                <w:sz w:val="24"/>
                <w:szCs w:val="24"/>
                <w:lang w:val="lv-LV"/>
              </w:rPr>
            </w:pPr>
            <w:r>
              <w:rPr>
                <w:sz w:val="24"/>
                <w:szCs w:val="24"/>
                <w:lang w:val="lv-LV"/>
              </w:rPr>
              <w:t>VARAM, ievērojot Attīstības plānošanas sistēmas likuma 9.pantā ietverto attīstības plānošanas dokumentu hierarhiju, ir tiesības izstrādāt hierarhiski pakārtotu nozares politiku VARAM kompetences jomās</w:t>
            </w:r>
            <w:r w:rsidR="00A07912">
              <w:rPr>
                <w:sz w:val="24"/>
                <w:szCs w:val="24"/>
                <w:lang w:val="lv-LV"/>
              </w:rPr>
              <w:t xml:space="preserve">. </w:t>
            </w:r>
          </w:p>
          <w:p w:rsidR="005A48D7" w:rsidRPr="00FF179C" w:rsidRDefault="00A07912" w:rsidP="00A10D73">
            <w:pPr>
              <w:pStyle w:val="BodyText"/>
              <w:ind w:firstLine="255"/>
              <w:outlineLvl w:val="0"/>
              <w:rPr>
                <w:sz w:val="24"/>
                <w:szCs w:val="24"/>
                <w:lang w:val="lv-LV"/>
              </w:rPr>
            </w:pPr>
            <w:r>
              <w:rPr>
                <w:sz w:val="24"/>
                <w:szCs w:val="24"/>
                <w:lang w:val="lv-LV"/>
              </w:rPr>
              <w:t>Ņemot vērā minēto, lai nodrošinātu VARAM nolikuma atbilstību faktiskajai funkciju izpildei, no nolikuma nepieciešams svī</w:t>
            </w:r>
            <w:r w:rsidR="00860FD7">
              <w:rPr>
                <w:sz w:val="24"/>
                <w:szCs w:val="24"/>
                <w:lang w:val="lv-LV"/>
              </w:rPr>
              <w:t>trot 1.6. un 4.1.7.apakšpunktu.</w:t>
            </w:r>
          </w:p>
        </w:tc>
      </w:tr>
      <w:tr w:rsidR="00BD4EC8" w:rsidRPr="008D55BF" w:rsidTr="00746E78">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lastRenderedPageBreak/>
              <w:t>3.</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Saistītie politikas ietekmes novērtējumi un pētījumi</w:t>
            </w:r>
          </w:p>
        </w:tc>
        <w:tc>
          <w:tcPr>
            <w:tcW w:w="7229" w:type="dxa"/>
            <w:tcBorders>
              <w:top w:val="outset" w:sz="6" w:space="0" w:color="000000"/>
              <w:left w:val="outset" w:sz="6" w:space="0" w:color="000000"/>
              <w:bottom w:val="outset" w:sz="6" w:space="0" w:color="000000"/>
            </w:tcBorders>
          </w:tcPr>
          <w:p w:rsidR="00BD4EC8" w:rsidRPr="008D55BF" w:rsidRDefault="00A552DE" w:rsidP="00A552DE">
            <w:r>
              <w:t>Projekts šo jomu neskar</w:t>
            </w:r>
          </w:p>
        </w:tc>
      </w:tr>
      <w:tr w:rsidR="00BD4EC8" w:rsidRPr="008D55BF" w:rsidTr="00746E78">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lastRenderedPageBreak/>
              <w:t>4.</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Tiesiskā regulējuma mērķis un būtība</w:t>
            </w:r>
          </w:p>
        </w:tc>
        <w:tc>
          <w:tcPr>
            <w:tcW w:w="7229" w:type="dxa"/>
            <w:tcBorders>
              <w:top w:val="outset" w:sz="6" w:space="0" w:color="000000"/>
              <w:left w:val="outset" w:sz="6" w:space="0" w:color="000000"/>
              <w:bottom w:val="outset" w:sz="6" w:space="0" w:color="000000"/>
            </w:tcBorders>
          </w:tcPr>
          <w:p w:rsidR="00F1606A" w:rsidRDefault="009841B9" w:rsidP="003F2B5A">
            <w:pPr>
              <w:ind w:firstLine="255"/>
              <w:jc w:val="both"/>
            </w:pPr>
            <w:r>
              <w:t xml:space="preserve">1. </w:t>
            </w:r>
            <w:r w:rsidR="000B108C">
              <w:t xml:space="preserve">Nolikuma </w:t>
            </w:r>
            <w:r w:rsidR="00427D4C">
              <w:t xml:space="preserve">grozījumu mērķis ir </w:t>
            </w:r>
            <w:r w:rsidR="000B108C">
              <w:t>nodrošināt valsts IKT pārvaldības organizatoriskā modeļa ieviešanu</w:t>
            </w:r>
            <w:r w:rsidR="00F1606A">
              <w:t>, ievērojot</w:t>
            </w:r>
            <w:r w:rsidR="006B492A">
              <w:t xml:space="preserve"> koncepciju par</w:t>
            </w:r>
            <w:r w:rsidR="00F1606A">
              <w:t>:</w:t>
            </w:r>
          </w:p>
          <w:p w:rsidR="00F1606A" w:rsidRDefault="00F1606A" w:rsidP="003F2B5A">
            <w:pPr>
              <w:ind w:firstLine="255"/>
              <w:jc w:val="both"/>
              <w:rPr>
                <w:rStyle w:val="spelle"/>
              </w:rPr>
            </w:pPr>
            <w:r>
              <w:t>1) </w:t>
            </w:r>
            <w:r w:rsidRPr="00027838">
              <w:rPr>
                <w:rStyle w:val="spelle"/>
              </w:rPr>
              <w:t xml:space="preserve">valsts </w:t>
            </w:r>
            <w:r w:rsidR="00E7558E">
              <w:rPr>
                <w:rStyle w:val="spelle"/>
              </w:rPr>
              <w:t>IKT</w:t>
            </w:r>
            <w:r w:rsidR="00B230A9">
              <w:rPr>
                <w:rStyle w:val="spelle"/>
              </w:rPr>
              <w:t xml:space="preserve"> pārvaldības organizatorisko</w:t>
            </w:r>
            <w:r w:rsidRPr="00027838">
              <w:rPr>
                <w:rStyle w:val="spelle"/>
              </w:rPr>
              <w:t xml:space="preserve"> modeli</w:t>
            </w:r>
            <w:r w:rsidR="006B492A">
              <w:rPr>
                <w:rStyle w:val="spelle"/>
              </w:rPr>
              <w:t xml:space="preserve"> (atbalstīta</w:t>
            </w:r>
            <w:r>
              <w:rPr>
                <w:rStyle w:val="spelle"/>
              </w:rPr>
              <w:t xml:space="preserve"> ar Ministru kabineta 2013.gada 19.februāra rīkojumu Nr.57</w:t>
            </w:r>
            <w:r w:rsidR="006B492A">
              <w:rPr>
                <w:rStyle w:val="spelle"/>
              </w:rPr>
              <w:t>)</w:t>
            </w:r>
            <w:r>
              <w:rPr>
                <w:rStyle w:val="spelle"/>
              </w:rPr>
              <w:t>;</w:t>
            </w:r>
          </w:p>
          <w:p w:rsidR="006B492A" w:rsidRDefault="00F1606A" w:rsidP="003F2B5A">
            <w:pPr>
              <w:ind w:firstLine="255"/>
              <w:jc w:val="both"/>
            </w:pPr>
            <w:r>
              <w:rPr>
                <w:rStyle w:val="spelle"/>
              </w:rPr>
              <w:t>2)</w:t>
            </w:r>
            <w:r w:rsidR="00284F24">
              <w:rPr>
                <w:rStyle w:val="spelle"/>
              </w:rPr>
              <w:t> </w:t>
            </w:r>
            <w:r w:rsidR="006B492A" w:rsidRPr="00F326BF">
              <w:t xml:space="preserve">Pašvaldību vienotās informācijas sistēmas </w:t>
            </w:r>
            <w:r w:rsidR="006B492A">
              <w:t xml:space="preserve">attīstību </w:t>
            </w:r>
            <w:r w:rsidR="006B492A" w:rsidRPr="00F326BF">
              <w:t>2010.–2013.gadam</w:t>
            </w:r>
            <w:r w:rsidR="006B492A">
              <w:t xml:space="preserve"> (atbalstīta ar Ministru kabineta 2010.gada 6.maija rīkojumu Nr.248).</w:t>
            </w:r>
          </w:p>
          <w:p w:rsidR="003F6791" w:rsidRDefault="000B108C" w:rsidP="007B6F34">
            <w:pPr>
              <w:ind w:firstLine="255"/>
              <w:jc w:val="both"/>
            </w:pPr>
            <w:r>
              <w:t>Attiecīgie groz</w:t>
            </w:r>
            <w:r w:rsidR="00D97717">
              <w:t xml:space="preserve">ījumi </w:t>
            </w:r>
            <w:r w:rsidR="006B492A">
              <w:t xml:space="preserve">nolikumā </w:t>
            </w:r>
            <w:r w:rsidR="00D97717">
              <w:t>papildina esošo VARA</w:t>
            </w:r>
            <w:r w:rsidR="00952E2C">
              <w:t>M kompetenci ar uzdevumiem, kuru</w:t>
            </w:r>
            <w:r w:rsidR="00D97717">
              <w:t xml:space="preserve"> izpilde ir vērsta uz minētā mērķa sasniegšanu.</w:t>
            </w:r>
            <w:r w:rsidR="003F6791">
              <w:t xml:space="preserve"> Vienlaikus VARAM norāda, ka </w:t>
            </w:r>
            <w:r w:rsidR="003F6791" w:rsidRPr="007E0496">
              <w:t xml:space="preserve">koncepcijas </w:t>
            </w:r>
            <w:r w:rsidR="00E7558E">
              <w:t xml:space="preserve">par </w:t>
            </w:r>
            <w:r w:rsidR="00E7558E" w:rsidRPr="00027838">
              <w:rPr>
                <w:rStyle w:val="spelle"/>
              </w:rPr>
              <w:t xml:space="preserve">valsts </w:t>
            </w:r>
            <w:r w:rsidR="00E7558E">
              <w:rPr>
                <w:rStyle w:val="spelle"/>
              </w:rPr>
              <w:t>IKT pārvaldības organizatorisko</w:t>
            </w:r>
            <w:r w:rsidR="00E7558E" w:rsidRPr="00027838">
              <w:rPr>
                <w:rStyle w:val="spelle"/>
              </w:rPr>
              <w:t xml:space="preserve"> modeli</w:t>
            </w:r>
            <w:r w:rsidR="00E7558E">
              <w:rPr>
                <w:rStyle w:val="spelle"/>
              </w:rPr>
              <w:t xml:space="preserve"> </w:t>
            </w:r>
            <w:r w:rsidR="003F6791" w:rsidRPr="007E0496">
              <w:t>informatīvās daļas 3.</w:t>
            </w:r>
            <w:r w:rsidR="003F6791">
              <w:t>punkt</w:t>
            </w:r>
            <w:r w:rsidR="007B6F34">
              <w:t xml:space="preserve">ā ir norādīts, ka </w:t>
            </w:r>
            <w:r w:rsidR="00D87B6A">
              <w:t xml:space="preserve">šīs </w:t>
            </w:r>
            <w:r w:rsidR="003F6791" w:rsidRPr="007E0496">
              <w:t xml:space="preserve">koncepcijas tvērums neattiecas uz publiskajiem fiksētajiem un mobilajiem elektronisko sakaru tīkliem (kanālu un pakešu komutācijas tīkliem, ieskaitot internetu) (ieskaitot to darbību nodrošinošās sistēmas), valsts aizsardzībai un drošībai paredzētajiem elektronisko sakaru tīkliem (ieskaitot to darbību nodrošinošās sistēmas) un tīkliem (ieskaitot to darbību nodrošinošās sistēmas), kurus izmanto radio un televīzijas signāla izplatīšanai. </w:t>
            </w:r>
            <w:r w:rsidR="007B6F34">
              <w:t xml:space="preserve">Ņemot to vērā, attiecīgajos nolikuma grozījumos paredzētie VARAM uzdevumi valsts IKT pārvaldības </w:t>
            </w:r>
            <w:r w:rsidR="00047D7E">
              <w:t xml:space="preserve">jomā </w:t>
            </w:r>
            <w:r w:rsidR="003F6791" w:rsidRPr="007E0496">
              <w:t xml:space="preserve">neaptver </w:t>
            </w:r>
            <w:r w:rsidR="007B6F34" w:rsidRPr="007E0496">
              <w:t>koncepcijas informatīvās daļas 3.</w:t>
            </w:r>
            <w:r w:rsidR="007B6F34">
              <w:t xml:space="preserve">punktā </w:t>
            </w:r>
            <w:r w:rsidR="003F6791" w:rsidRPr="007E0496">
              <w:t>norādītās jomas, uz kurām neattiecas koncepcijas tvērums.</w:t>
            </w:r>
          </w:p>
          <w:p w:rsidR="007E290B" w:rsidRDefault="00396D4B" w:rsidP="001B72B6">
            <w:pPr>
              <w:ind w:firstLine="255"/>
              <w:jc w:val="both"/>
            </w:pPr>
            <w:r>
              <w:t>2. Ar grozījumiem plānots</w:t>
            </w:r>
            <w:r w:rsidR="001B72B6">
              <w:t xml:space="preserve"> </w:t>
            </w:r>
            <w:r>
              <w:t>no nolikuma izslēgt VARAM kompetencē vairs neietilpstošu funkciju – valsts investīcijas un ar to saistītās politikas plānošanu, jo šīs funkcijas izpildi ir pārņēmis Pārresoru koordinācija</w:t>
            </w:r>
            <w:r w:rsidR="005A48D7">
              <w:t>s centrs</w:t>
            </w:r>
            <w:r w:rsidR="00A10D73">
              <w:t>.</w:t>
            </w:r>
            <w:r w:rsidR="00665174" w:rsidRPr="00665174">
              <w:t xml:space="preserve"> </w:t>
            </w:r>
          </w:p>
        </w:tc>
      </w:tr>
      <w:tr w:rsidR="00BD4EC8" w:rsidRPr="008D55BF" w:rsidTr="00746E78">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5.</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Projekta izstrādē iesaistītās institūcijas</w:t>
            </w:r>
          </w:p>
        </w:tc>
        <w:tc>
          <w:tcPr>
            <w:tcW w:w="7229" w:type="dxa"/>
            <w:tcBorders>
              <w:top w:val="outset" w:sz="6" w:space="0" w:color="000000"/>
              <w:left w:val="outset" w:sz="6" w:space="0" w:color="000000"/>
              <w:bottom w:val="outset" w:sz="6" w:space="0" w:color="000000"/>
            </w:tcBorders>
          </w:tcPr>
          <w:p w:rsidR="00BD4EC8" w:rsidRPr="008D55BF" w:rsidRDefault="00711CD9" w:rsidP="00AF276D">
            <w:pPr>
              <w:jc w:val="both"/>
            </w:pPr>
            <w:r>
              <w:t>Vides aizsardzības un reģionālās attīstības ministrija</w:t>
            </w:r>
          </w:p>
        </w:tc>
      </w:tr>
      <w:tr w:rsidR="00BD4EC8" w:rsidRPr="008D55BF" w:rsidTr="00746E78">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6.</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Iemesli, kādēļ netika nodrošināta sabiedrības līdzdalība</w:t>
            </w:r>
          </w:p>
        </w:tc>
        <w:tc>
          <w:tcPr>
            <w:tcW w:w="7229" w:type="dxa"/>
            <w:tcBorders>
              <w:top w:val="outset" w:sz="6" w:space="0" w:color="000000"/>
              <w:left w:val="outset" w:sz="6" w:space="0" w:color="000000"/>
              <w:bottom w:val="outset" w:sz="6" w:space="0" w:color="000000"/>
            </w:tcBorders>
          </w:tcPr>
          <w:p w:rsidR="00A947C5" w:rsidRPr="008D55BF" w:rsidRDefault="003E04F6" w:rsidP="00212006">
            <w:pPr>
              <w:jc w:val="both"/>
            </w:pPr>
            <w:r w:rsidRPr="00A42B1B">
              <w:t xml:space="preserve">Grozījumi </w:t>
            </w:r>
            <w:r w:rsidR="00D97717">
              <w:t>nolikumā</w:t>
            </w:r>
            <w:r w:rsidR="003C0998">
              <w:t xml:space="preserve"> </w:t>
            </w:r>
            <w:r>
              <w:t xml:space="preserve">ir </w:t>
            </w:r>
            <w:r w:rsidRPr="00A42B1B">
              <w:t xml:space="preserve">nepieciešami, lai </w:t>
            </w:r>
            <w:r w:rsidR="00A947C5">
              <w:t>papildinātu VARAM kā vadošās valsts pārvaldes iestādes kompetenci ar uzdevumiem, kas ir saistīti ar valsts IKT pārvaldību</w:t>
            </w:r>
            <w:r w:rsidR="00212006">
              <w:t xml:space="preserve"> un</w:t>
            </w:r>
            <w:r w:rsidR="00E01CED">
              <w:t xml:space="preserve"> nodrošināt nolikuma atbilstību faktiskajai funkciju izpildei</w:t>
            </w:r>
            <w:r>
              <w:t xml:space="preserve">. </w:t>
            </w:r>
            <w:r w:rsidR="00402F3A">
              <w:t>Šie</w:t>
            </w:r>
            <w:r w:rsidR="00A947C5">
              <w:t>m grozījumiem nav tiešas ietekmes uz sabiedrību</w:t>
            </w:r>
            <w:r w:rsidR="00402F3A">
              <w:t xml:space="preserve">, tāpēc </w:t>
            </w:r>
            <w:r w:rsidR="00A34111">
              <w:t>nodrošināt sabiedrības līdzdalību šo grozījumu izstrādē</w:t>
            </w:r>
            <w:r w:rsidR="002F2B2D">
              <w:t xml:space="preserve"> nav nepieciešams</w:t>
            </w:r>
            <w:r w:rsidR="00A34111">
              <w:t>.</w:t>
            </w:r>
          </w:p>
        </w:tc>
      </w:tr>
      <w:tr w:rsidR="00BD4EC8" w:rsidRPr="008D55BF" w:rsidTr="00746E78">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7.</w:t>
            </w:r>
          </w:p>
        </w:tc>
        <w:tc>
          <w:tcPr>
            <w:tcW w:w="1703"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Cita informācija</w:t>
            </w:r>
          </w:p>
        </w:tc>
        <w:tc>
          <w:tcPr>
            <w:tcW w:w="7229" w:type="dxa"/>
            <w:tcBorders>
              <w:top w:val="outset" w:sz="6" w:space="0" w:color="000000"/>
              <w:left w:val="outset" w:sz="6" w:space="0" w:color="000000"/>
              <w:bottom w:val="outset" w:sz="6" w:space="0" w:color="000000"/>
            </w:tcBorders>
          </w:tcPr>
          <w:p w:rsidR="00BD4EC8" w:rsidRPr="008D55BF" w:rsidRDefault="00BD4EC8" w:rsidP="00D13FC8">
            <w:r w:rsidRPr="008D55BF">
              <w:t>Nav</w:t>
            </w:r>
          </w:p>
        </w:tc>
      </w:tr>
    </w:tbl>
    <w:p w:rsidR="005D4CAC" w:rsidRDefault="005D4CAC" w:rsidP="00E01CED">
      <w:pPr>
        <w:ind w:firstLine="374"/>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701"/>
        <w:gridCol w:w="1701"/>
        <w:gridCol w:w="1134"/>
        <w:gridCol w:w="1134"/>
        <w:gridCol w:w="1134"/>
      </w:tblGrid>
      <w:tr w:rsidR="00B206A8" w:rsidRPr="00EE1236" w:rsidTr="00B52715">
        <w:tc>
          <w:tcPr>
            <w:tcW w:w="9351" w:type="dxa"/>
            <w:gridSpan w:val="6"/>
          </w:tcPr>
          <w:p w:rsidR="00B206A8" w:rsidRPr="00FE7187" w:rsidRDefault="00B206A8" w:rsidP="00B206A8">
            <w:pPr>
              <w:pStyle w:val="naisnod"/>
              <w:keepNext/>
              <w:spacing w:before="120" w:after="120"/>
              <w:rPr>
                <w:i/>
              </w:rPr>
            </w:pPr>
            <w:r w:rsidRPr="00EE1236">
              <w:rPr>
                <w:sz w:val="22"/>
                <w:szCs w:val="22"/>
              </w:rPr>
              <w:br w:type="page"/>
            </w:r>
            <w:r w:rsidRPr="00FE7187">
              <w:t>III. Tiesību akta projekta ietekme uz valsts budžetu un pašvaldību budžetiem</w:t>
            </w:r>
          </w:p>
        </w:tc>
      </w:tr>
      <w:tr w:rsidR="00B206A8" w:rsidRPr="00EE1236" w:rsidTr="004B1DC0">
        <w:trPr>
          <w:trHeight w:val="238"/>
        </w:trPr>
        <w:tc>
          <w:tcPr>
            <w:tcW w:w="2547" w:type="dxa"/>
            <w:vMerge w:val="restart"/>
            <w:vAlign w:val="center"/>
          </w:tcPr>
          <w:p w:rsidR="00B206A8" w:rsidRPr="00EE1236" w:rsidRDefault="00B206A8" w:rsidP="00B206A8">
            <w:pPr>
              <w:pStyle w:val="naisf"/>
              <w:spacing w:before="0" w:after="0"/>
              <w:ind w:firstLine="0"/>
              <w:jc w:val="center"/>
              <w:rPr>
                <w:b/>
                <w:sz w:val="22"/>
                <w:szCs w:val="22"/>
              </w:rPr>
            </w:pPr>
            <w:r w:rsidRPr="00EE1236">
              <w:rPr>
                <w:b/>
                <w:sz w:val="22"/>
                <w:szCs w:val="22"/>
              </w:rPr>
              <w:t>Rādītāji</w:t>
            </w:r>
          </w:p>
        </w:tc>
        <w:tc>
          <w:tcPr>
            <w:tcW w:w="3402" w:type="dxa"/>
            <w:gridSpan w:val="2"/>
            <w:vMerge w:val="restart"/>
            <w:vAlign w:val="center"/>
          </w:tcPr>
          <w:p w:rsidR="00B206A8" w:rsidRPr="00EE1236" w:rsidRDefault="00277412" w:rsidP="00277412">
            <w:pPr>
              <w:pStyle w:val="naisf"/>
              <w:spacing w:before="0" w:after="0"/>
              <w:ind w:firstLine="0"/>
              <w:jc w:val="center"/>
              <w:rPr>
                <w:b/>
                <w:sz w:val="22"/>
                <w:szCs w:val="22"/>
              </w:rPr>
            </w:pPr>
            <w:r>
              <w:rPr>
                <w:b/>
                <w:sz w:val="22"/>
                <w:szCs w:val="22"/>
              </w:rPr>
              <w:t xml:space="preserve">n-tais </w:t>
            </w:r>
            <w:r w:rsidR="00B206A8" w:rsidRPr="00EE1236">
              <w:rPr>
                <w:b/>
                <w:sz w:val="22"/>
                <w:szCs w:val="22"/>
              </w:rPr>
              <w:t>gads</w:t>
            </w:r>
          </w:p>
        </w:tc>
        <w:tc>
          <w:tcPr>
            <w:tcW w:w="3402" w:type="dxa"/>
            <w:gridSpan w:val="3"/>
            <w:vAlign w:val="center"/>
          </w:tcPr>
          <w:p w:rsidR="00B206A8" w:rsidRPr="00EE1236" w:rsidRDefault="00B206A8" w:rsidP="00277412">
            <w:pPr>
              <w:pStyle w:val="naisf"/>
              <w:spacing w:before="0" w:after="0"/>
              <w:ind w:firstLine="0"/>
              <w:jc w:val="center"/>
              <w:rPr>
                <w:b/>
                <w:i/>
                <w:sz w:val="22"/>
                <w:szCs w:val="22"/>
              </w:rPr>
            </w:pPr>
            <w:r w:rsidRPr="00EE1236">
              <w:rPr>
                <w:sz w:val="22"/>
                <w:szCs w:val="22"/>
              </w:rPr>
              <w:t>Turpmākie trīs gadi (</w:t>
            </w:r>
            <w:r w:rsidR="00277412">
              <w:rPr>
                <w:sz w:val="22"/>
                <w:szCs w:val="22"/>
              </w:rPr>
              <w:t>tūkst. latu</w:t>
            </w:r>
            <w:r w:rsidRPr="00EE1236">
              <w:rPr>
                <w:sz w:val="22"/>
                <w:szCs w:val="22"/>
              </w:rPr>
              <w:t>)</w:t>
            </w:r>
          </w:p>
        </w:tc>
      </w:tr>
      <w:tr w:rsidR="00B206A8" w:rsidRPr="00EE1236" w:rsidTr="004B1DC0">
        <w:trPr>
          <w:trHeight w:val="135"/>
        </w:trPr>
        <w:tc>
          <w:tcPr>
            <w:tcW w:w="2547" w:type="dxa"/>
            <w:vMerge/>
            <w:vAlign w:val="center"/>
          </w:tcPr>
          <w:p w:rsidR="00B206A8" w:rsidRPr="00EE1236" w:rsidRDefault="00B206A8" w:rsidP="00B206A8">
            <w:pPr>
              <w:pStyle w:val="naisf"/>
              <w:spacing w:before="0" w:after="0"/>
              <w:ind w:firstLine="0"/>
              <w:jc w:val="center"/>
              <w:rPr>
                <w:b/>
                <w:sz w:val="22"/>
                <w:szCs w:val="22"/>
              </w:rPr>
            </w:pPr>
          </w:p>
        </w:tc>
        <w:tc>
          <w:tcPr>
            <w:tcW w:w="3402" w:type="dxa"/>
            <w:gridSpan w:val="2"/>
            <w:vMerge/>
            <w:vAlign w:val="center"/>
          </w:tcPr>
          <w:p w:rsidR="00B206A8" w:rsidRPr="00EE1236" w:rsidRDefault="00B206A8" w:rsidP="00B206A8">
            <w:pPr>
              <w:pStyle w:val="naisf"/>
              <w:spacing w:before="0" w:after="0"/>
              <w:ind w:firstLine="0"/>
              <w:jc w:val="center"/>
              <w:rPr>
                <w:b/>
                <w:i/>
                <w:sz w:val="22"/>
                <w:szCs w:val="22"/>
              </w:rPr>
            </w:pPr>
          </w:p>
        </w:tc>
        <w:tc>
          <w:tcPr>
            <w:tcW w:w="1134" w:type="dxa"/>
            <w:vAlign w:val="center"/>
          </w:tcPr>
          <w:p w:rsidR="00B206A8" w:rsidRPr="00EE1236" w:rsidRDefault="00277412" w:rsidP="00277412">
            <w:pPr>
              <w:pStyle w:val="naisf"/>
              <w:spacing w:before="0" w:after="0"/>
              <w:ind w:firstLine="0"/>
              <w:jc w:val="center"/>
              <w:rPr>
                <w:b/>
                <w:i/>
                <w:sz w:val="22"/>
                <w:szCs w:val="22"/>
              </w:rPr>
            </w:pPr>
            <w:r>
              <w:rPr>
                <w:b/>
                <w:bCs/>
                <w:sz w:val="22"/>
                <w:szCs w:val="22"/>
              </w:rPr>
              <w:t>n+1</w:t>
            </w:r>
          </w:p>
        </w:tc>
        <w:tc>
          <w:tcPr>
            <w:tcW w:w="1134" w:type="dxa"/>
            <w:vAlign w:val="center"/>
          </w:tcPr>
          <w:p w:rsidR="00B206A8" w:rsidRPr="00EE1236" w:rsidRDefault="00277412" w:rsidP="00B206A8">
            <w:pPr>
              <w:pStyle w:val="naisf"/>
              <w:spacing w:before="0" w:after="0"/>
              <w:ind w:firstLine="0"/>
              <w:jc w:val="center"/>
              <w:rPr>
                <w:b/>
                <w:i/>
                <w:sz w:val="22"/>
                <w:szCs w:val="22"/>
              </w:rPr>
            </w:pPr>
            <w:r>
              <w:rPr>
                <w:b/>
                <w:bCs/>
                <w:sz w:val="22"/>
                <w:szCs w:val="22"/>
              </w:rPr>
              <w:t>n+2</w:t>
            </w:r>
          </w:p>
        </w:tc>
        <w:tc>
          <w:tcPr>
            <w:tcW w:w="1134" w:type="dxa"/>
            <w:vAlign w:val="center"/>
          </w:tcPr>
          <w:p w:rsidR="00B206A8" w:rsidRPr="00EE1236" w:rsidRDefault="00277412" w:rsidP="00B206A8">
            <w:pPr>
              <w:pStyle w:val="naisf"/>
              <w:spacing w:before="0" w:after="0"/>
              <w:ind w:firstLine="0"/>
              <w:jc w:val="center"/>
              <w:rPr>
                <w:b/>
                <w:i/>
                <w:sz w:val="22"/>
                <w:szCs w:val="22"/>
              </w:rPr>
            </w:pPr>
            <w:r>
              <w:rPr>
                <w:b/>
                <w:bCs/>
                <w:sz w:val="22"/>
                <w:szCs w:val="22"/>
              </w:rPr>
              <w:t>n+3</w:t>
            </w:r>
          </w:p>
        </w:tc>
      </w:tr>
      <w:tr w:rsidR="00B206A8" w:rsidRPr="00EE1236" w:rsidTr="004B1DC0">
        <w:trPr>
          <w:trHeight w:val="135"/>
        </w:trPr>
        <w:tc>
          <w:tcPr>
            <w:tcW w:w="2547" w:type="dxa"/>
            <w:vMerge/>
            <w:vAlign w:val="center"/>
          </w:tcPr>
          <w:p w:rsidR="00B206A8" w:rsidRPr="00EE1236" w:rsidRDefault="00B206A8" w:rsidP="00B206A8">
            <w:pPr>
              <w:pStyle w:val="naisf"/>
              <w:spacing w:before="0" w:after="0"/>
              <w:ind w:firstLine="0"/>
              <w:jc w:val="center"/>
              <w:rPr>
                <w:b/>
                <w:sz w:val="22"/>
                <w:szCs w:val="22"/>
              </w:rPr>
            </w:pPr>
          </w:p>
        </w:tc>
        <w:tc>
          <w:tcPr>
            <w:tcW w:w="1701" w:type="dxa"/>
            <w:vAlign w:val="center"/>
          </w:tcPr>
          <w:p w:rsidR="00B206A8" w:rsidRPr="00EE1236" w:rsidRDefault="00B206A8" w:rsidP="00B206A8">
            <w:pPr>
              <w:pStyle w:val="naisf"/>
              <w:spacing w:before="0" w:after="0"/>
              <w:ind w:firstLine="0"/>
              <w:jc w:val="center"/>
              <w:rPr>
                <w:b/>
                <w:i/>
                <w:sz w:val="22"/>
                <w:szCs w:val="22"/>
              </w:rPr>
            </w:pPr>
            <w:r w:rsidRPr="00EE1236">
              <w:rPr>
                <w:sz w:val="22"/>
                <w:szCs w:val="22"/>
              </w:rPr>
              <w:t>Saskaņā ar valsts budžetu kārtējam gadam</w:t>
            </w:r>
          </w:p>
        </w:tc>
        <w:tc>
          <w:tcPr>
            <w:tcW w:w="1701" w:type="dxa"/>
            <w:vAlign w:val="center"/>
          </w:tcPr>
          <w:p w:rsidR="00B206A8" w:rsidRPr="00EE1236" w:rsidRDefault="00B206A8" w:rsidP="00B206A8">
            <w:pPr>
              <w:pStyle w:val="naisf"/>
              <w:spacing w:before="0" w:after="0"/>
              <w:ind w:firstLine="0"/>
              <w:jc w:val="center"/>
              <w:rPr>
                <w:b/>
                <w:i/>
                <w:sz w:val="22"/>
                <w:szCs w:val="22"/>
              </w:rPr>
            </w:pPr>
            <w:r w:rsidRPr="00EE1236">
              <w:rPr>
                <w:sz w:val="22"/>
                <w:szCs w:val="22"/>
              </w:rPr>
              <w:t>Izmaiņas kārtējā gadā, salīdzinot ar budžetu kārtējam gadam</w:t>
            </w:r>
          </w:p>
        </w:tc>
        <w:tc>
          <w:tcPr>
            <w:tcW w:w="1134" w:type="dxa"/>
            <w:vAlign w:val="center"/>
          </w:tcPr>
          <w:p w:rsidR="00B206A8" w:rsidRPr="00EE1236" w:rsidRDefault="00B206A8" w:rsidP="00B206A8">
            <w:pPr>
              <w:pStyle w:val="naisf"/>
              <w:spacing w:before="0" w:after="0"/>
              <w:ind w:firstLine="0"/>
              <w:jc w:val="center"/>
              <w:rPr>
                <w:b/>
                <w:i/>
                <w:sz w:val="22"/>
                <w:szCs w:val="22"/>
              </w:rPr>
            </w:pPr>
            <w:r w:rsidRPr="00EE1236">
              <w:rPr>
                <w:sz w:val="22"/>
                <w:szCs w:val="22"/>
              </w:rPr>
              <w:t>Izmaiņas, salīdzinot ar kārtējo (n) gadu</w:t>
            </w:r>
          </w:p>
        </w:tc>
        <w:tc>
          <w:tcPr>
            <w:tcW w:w="1134" w:type="dxa"/>
            <w:vAlign w:val="center"/>
          </w:tcPr>
          <w:p w:rsidR="00B206A8" w:rsidRPr="00EE1236" w:rsidRDefault="00B206A8" w:rsidP="00B206A8">
            <w:pPr>
              <w:pStyle w:val="naisf"/>
              <w:spacing w:before="0" w:after="0"/>
              <w:ind w:firstLine="0"/>
              <w:jc w:val="center"/>
              <w:rPr>
                <w:b/>
                <w:i/>
                <w:sz w:val="22"/>
                <w:szCs w:val="22"/>
              </w:rPr>
            </w:pPr>
            <w:r w:rsidRPr="00EE1236">
              <w:rPr>
                <w:sz w:val="22"/>
                <w:szCs w:val="22"/>
              </w:rPr>
              <w:t>Izmaiņas, salīdzinot ar kārtējo (n) gadu</w:t>
            </w:r>
          </w:p>
        </w:tc>
        <w:tc>
          <w:tcPr>
            <w:tcW w:w="1134" w:type="dxa"/>
            <w:vAlign w:val="center"/>
          </w:tcPr>
          <w:p w:rsidR="00B206A8" w:rsidRPr="00EE1236" w:rsidRDefault="00B206A8" w:rsidP="00B206A8">
            <w:pPr>
              <w:pStyle w:val="naisf"/>
              <w:spacing w:before="0" w:after="0"/>
              <w:ind w:firstLine="0"/>
              <w:jc w:val="center"/>
              <w:rPr>
                <w:b/>
                <w:i/>
                <w:sz w:val="22"/>
                <w:szCs w:val="22"/>
              </w:rPr>
            </w:pPr>
            <w:r w:rsidRPr="00EE1236">
              <w:rPr>
                <w:sz w:val="22"/>
                <w:szCs w:val="22"/>
              </w:rPr>
              <w:t>Izmaiņas, salīdzinot ar kārtējo (n) gadu</w:t>
            </w:r>
          </w:p>
        </w:tc>
      </w:tr>
    </w:tbl>
    <w:p w:rsidR="00B206A8" w:rsidRPr="00B206A8" w:rsidRDefault="00B206A8" w:rsidP="00B206A8">
      <w:pPr>
        <w:ind w:firstLine="374"/>
        <w:jc w:val="both"/>
        <w:rPr>
          <w:sz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1300"/>
        <w:gridCol w:w="1701"/>
        <w:gridCol w:w="142"/>
        <w:gridCol w:w="1559"/>
        <w:gridCol w:w="1134"/>
        <w:gridCol w:w="1134"/>
        <w:gridCol w:w="1134"/>
      </w:tblGrid>
      <w:tr w:rsidR="00B206A8" w:rsidRPr="00EE1236" w:rsidTr="004B1DC0">
        <w:trPr>
          <w:trHeight w:val="238"/>
          <w:tblHeader/>
        </w:trPr>
        <w:tc>
          <w:tcPr>
            <w:tcW w:w="2547" w:type="dxa"/>
            <w:gridSpan w:val="2"/>
            <w:vAlign w:val="center"/>
          </w:tcPr>
          <w:p w:rsidR="00B206A8" w:rsidRPr="00EE1236" w:rsidRDefault="00B206A8" w:rsidP="00B206A8">
            <w:pPr>
              <w:pStyle w:val="naisf"/>
              <w:spacing w:before="0" w:after="0"/>
              <w:ind w:firstLine="0"/>
              <w:jc w:val="center"/>
              <w:rPr>
                <w:bCs/>
                <w:sz w:val="18"/>
                <w:szCs w:val="18"/>
              </w:rPr>
            </w:pPr>
            <w:r w:rsidRPr="00EE1236">
              <w:rPr>
                <w:bCs/>
                <w:sz w:val="18"/>
                <w:szCs w:val="18"/>
              </w:rPr>
              <w:t>1</w:t>
            </w:r>
          </w:p>
        </w:tc>
        <w:tc>
          <w:tcPr>
            <w:tcW w:w="1701" w:type="dxa"/>
            <w:tcBorders>
              <w:bottom w:val="single" w:sz="4" w:space="0" w:color="auto"/>
            </w:tcBorders>
            <w:vAlign w:val="center"/>
          </w:tcPr>
          <w:p w:rsidR="00B206A8" w:rsidRPr="00EE1236" w:rsidRDefault="00B206A8" w:rsidP="00B206A8">
            <w:pPr>
              <w:pStyle w:val="naisf"/>
              <w:spacing w:before="0" w:after="0"/>
              <w:ind w:firstLine="0"/>
              <w:jc w:val="center"/>
              <w:rPr>
                <w:bCs/>
                <w:sz w:val="18"/>
                <w:szCs w:val="18"/>
              </w:rPr>
            </w:pPr>
            <w:r w:rsidRPr="00EE1236">
              <w:rPr>
                <w:bCs/>
                <w:sz w:val="18"/>
                <w:szCs w:val="18"/>
              </w:rPr>
              <w:t>2</w:t>
            </w:r>
          </w:p>
        </w:tc>
        <w:tc>
          <w:tcPr>
            <w:tcW w:w="1701" w:type="dxa"/>
            <w:gridSpan w:val="2"/>
            <w:tcBorders>
              <w:bottom w:val="single" w:sz="4" w:space="0" w:color="auto"/>
            </w:tcBorders>
            <w:vAlign w:val="center"/>
          </w:tcPr>
          <w:p w:rsidR="00B206A8" w:rsidRPr="00EE1236" w:rsidRDefault="00B206A8" w:rsidP="00B206A8">
            <w:pPr>
              <w:pStyle w:val="naisf"/>
              <w:spacing w:before="0" w:after="0"/>
              <w:ind w:firstLine="0"/>
              <w:jc w:val="center"/>
              <w:rPr>
                <w:bCs/>
                <w:sz w:val="18"/>
                <w:szCs w:val="18"/>
              </w:rPr>
            </w:pPr>
            <w:r w:rsidRPr="00EE1236">
              <w:rPr>
                <w:bCs/>
                <w:sz w:val="18"/>
                <w:szCs w:val="18"/>
              </w:rPr>
              <w:t>3</w:t>
            </w:r>
          </w:p>
        </w:tc>
        <w:tc>
          <w:tcPr>
            <w:tcW w:w="1134" w:type="dxa"/>
            <w:tcBorders>
              <w:bottom w:val="single" w:sz="4" w:space="0" w:color="auto"/>
            </w:tcBorders>
            <w:vAlign w:val="center"/>
          </w:tcPr>
          <w:p w:rsidR="00B206A8" w:rsidRPr="00EE1236" w:rsidRDefault="00B206A8" w:rsidP="00B206A8">
            <w:pPr>
              <w:pStyle w:val="naisf"/>
              <w:spacing w:before="0" w:after="0"/>
              <w:ind w:firstLine="0"/>
              <w:jc w:val="center"/>
              <w:rPr>
                <w:bCs/>
                <w:sz w:val="18"/>
                <w:szCs w:val="18"/>
              </w:rPr>
            </w:pPr>
            <w:r w:rsidRPr="00EE1236">
              <w:rPr>
                <w:bCs/>
                <w:sz w:val="18"/>
                <w:szCs w:val="18"/>
              </w:rPr>
              <w:t>4</w:t>
            </w:r>
          </w:p>
        </w:tc>
        <w:tc>
          <w:tcPr>
            <w:tcW w:w="1134" w:type="dxa"/>
            <w:tcBorders>
              <w:bottom w:val="single" w:sz="4" w:space="0" w:color="auto"/>
            </w:tcBorders>
            <w:vAlign w:val="center"/>
          </w:tcPr>
          <w:p w:rsidR="00B206A8" w:rsidRPr="00EE1236" w:rsidRDefault="00B206A8" w:rsidP="00B206A8">
            <w:pPr>
              <w:pStyle w:val="naisf"/>
              <w:spacing w:before="0" w:after="0"/>
              <w:ind w:firstLine="0"/>
              <w:jc w:val="center"/>
              <w:rPr>
                <w:bCs/>
                <w:sz w:val="18"/>
                <w:szCs w:val="18"/>
              </w:rPr>
            </w:pPr>
            <w:r w:rsidRPr="00EE1236">
              <w:rPr>
                <w:bCs/>
                <w:sz w:val="18"/>
                <w:szCs w:val="18"/>
              </w:rPr>
              <w:t>5</w:t>
            </w:r>
          </w:p>
        </w:tc>
        <w:tc>
          <w:tcPr>
            <w:tcW w:w="1134" w:type="dxa"/>
            <w:tcBorders>
              <w:bottom w:val="single" w:sz="4" w:space="0" w:color="auto"/>
            </w:tcBorders>
            <w:vAlign w:val="center"/>
          </w:tcPr>
          <w:p w:rsidR="00B206A8" w:rsidRPr="00EE1236" w:rsidRDefault="00B206A8" w:rsidP="00B206A8">
            <w:pPr>
              <w:pStyle w:val="naisf"/>
              <w:spacing w:before="0" w:after="0"/>
              <w:ind w:firstLine="0"/>
              <w:jc w:val="center"/>
              <w:rPr>
                <w:bCs/>
                <w:sz w:val="18"/>
                <w:szCs w:val="18"/>
              </w:rPr>
            </w:pPr>
            <w:r w:rsidRPr="00EE1236">
              <w:rPr>
                <w:bCs/>
                <w:sz w:val="18"/>
                <w:szCs w:val="18"/>
              </w:rPr>
              <w:t>6</w:t>
            </w:r>
          </w:p>
        </w:tc>
      </w:tr>
      <w:tr w:rsidR="00FE7187" w:rsidRPr="00EE1236" w:rsidTr="004B1DC0">
        <w:trPr>
          <w:cantSplit/>
          <w:trHeight w:val="224"/>
        </w:trPr>
        <w:tc>
          <w:tcPr>
            <w:tcW w:w="2547" w:type="dxa"/>
            <w:gridSpan w:val="2"/>
          </w:tcPr>
          <w:p w:rsidR="00FE7187" w:rsidRPr="00EE1236" w:rsidRDefault="00FE7187" w:rsidP="00277412">
            <w:pPr>
              <w:pStyle w:val="naisf"/>
              <w:spacing w:before="0" w:after="0"/>
              <w:ind w:firstLine="0"/>
              <w:jc w:val="left"/>
              <w:rPr>
                <w:i/>
                <w:sz w:val="22"/>
                <w:szCs w:val="22"/>
              </w:rPr>
            </w:pPr>
            <w:r w:rsidRPr="00EE1236">
              <w:rPr>
                <w:sz w:val="22"/>
                <w:szCs w:val="22"/>
              </w:rPr>
              <w:t>1. Budžeta ieņēmumi:</w:t>
            </w:r>
          </w:p>
        </w:tc>
        <w:tc>
          <w:tcPr>
            <w:tcW w:w="1701" w:type="dxa"/>
            <w:shd w:val="clear" w:color="auto" w:fill="auto"/>
          </w:tcPr>
          <w:p w:rsidR="00FE7187" w:rsidRPr="00EE1236" w:rsidRDefault="00FE7187" w:rsidP="00277412">
            <w:pPr>
              <w:jc w:val="right"/>
              <w:rPr>
                <w:sz w:val="22"/>
                <w:szCs w:val="22"/>
              </w:rPr>
            </w:pPr>
          </w:p>
        </w:tc>
        <w:tc>
          <w:tcPr>
            <w:tcW w:w="1701" w:type="dxa"/>
            <w:gridSpan w:val="2"/>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r>
      <w:tr w:rsidR="00FE7187" w:rsidRPr="00EE1236" w:rsidTr="004B1DC0">
        <w:trPr>
          <w:cantSplit/>
          <w:trHeight w:val="952"/>
        </w:trPr>
        <w:tc>
          <w:tcPr>
            <w:tcW w:w="2547" w:type="dxa"/>
            <w:gridSpan w:val="2"/>
          </w:tcPr>
          <w:p w:rsidR="00FE7187" w:rsidRPr="00EE1236" w:rsidRDefault="00FE7187" w:rsidP="00277412">
            <w:pPr>
              <w:pStyle w:val="naisf"/>
              <w:spacing w:before="0" w:after="0"/>
              <w:ind w:firstLine="0"/>
              <w:jc w:val="left"/>
              <w:rPr>
                <w:i/>
                <w:sz w:val="22"/>
                <w:szCs w:val="22"/>
              </w:rPr>
            </w:pPr>
            <w:r w:rsidRPr="00EE1236">
              <w:rPr>
                <w:sz w:val="22"/>
                <w:szCs w:val="22"/>
              </w:rPr>
              <w:t>1.1. valsts pamatbudžets, tai skaitā ieņēmumi no maksas pakalpojumiem un citi pašu ieņēmumi</w:t>
            </w:r>
          </w:p>
        </w:tc>
        <w:tc>
          <w:tcPr>
            <w:tcW w:w="1701" w:type="dxa"/>
            <w:shd w:val="clear" w:color="auto" w:fill="auto"/>
          </w:tcPr>
          <w:p w:rsidR="00FE7187" w:rsidRPr="00EE1236" w:rsidRDefault="00FE7187" w:rsidP="00277412">
            <w:pPr>
              <w:jc w:val="right"/>
              <w:rPr>
                <w:sz w:val="22"/>
                <w:szCs w:val="22"/>
              </w:rPr>
            </w:pPr>
          </w:p>
        </w:tc>
        <w:tc>
          <w:tcPr>
            <w:tcW w:w="1701" w:type="dxa"/>
            <w:gridSpan w:val="2"/>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r>
      <w:tr w:rsidR="00FE7187" w:rsidRPr="00EE1236" w:rsidTr="004B1DC0">
        <w:trPr>
          <w:cantSplit/>
          <w:trHeight w:val="224"/>
        </w:trPr>
        <w:tc>
          <w:tcPr>
            <w:tcW w:w="2547" w:type="dxa"/>
            <w:gridSpan w:val="2"/>
          </w:tcPr>
          <w:p w:rsidR="00FE7187" w:rsidRPr="00EE1236" w:rsidRDefault="00FE7187" w:rsidP="00277412">
            <w:pPr>
              <w:pStyle w:val="naisf"/>
              <w:spacing w:before="0" w:after="0"/>
              <w:ind w:firstLine="0"/>
              <w:jc w:val="left"/>
              <w:rPr>
                <w:i/>
                <w:sz w:val="22"/>
                <w:szCs w:val="22"/>
              </w:rPr>
            </w:pPr>
            <w:r w:rsidRPr="00EE1236">
              <w:rPr>
                <w:sz w:val="22"/>
                <w:szCs w:val="22"/>
              </w:rPr>
              <w:lastRenderedPageBreak/>
              <w:t>1.2. valsts speciālais budžets</w:t>
            </w:r>
          </w:p>
        </w:tc>
        <w:tc>
          <w:tcPr>
            <w:tcW w:w="1701" w:type="dxa"/>
          </w:tcPr>
          <w:p w:rsidR="00FE7187" w:rsidRPr="00EE1236" w:rsidRDefault="00FE7187" w:rsidP="00277412">
            <w:pPr>
              <w:jc w:val="right"/>
              <w:rPr>
                <w:sz w:val="22"/>
                <w:szCs w:val="22"/>
              </w:rPr>
            </w:pPr>
          </w:p>
        </w:tc>
        <w:tc>
          <w:tcPr>
            <w:tcW w:w="1701" w:type="dxa"/>
            <w:gridSpan w:val="2"/>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r>
      <w:tr w:rsidR="00FE7187" w:rsidRPr="00EE1236" w:rsidTr="004B1DC0">
        <w:trPr>
          <w:cantSplit/>
          <w:trHeight w:val="238"/>
        </w:trPr>
        <w:tc>
          <w:tcPr>
            <w:tcW w:w="2547" w:type="dxa"/>
            <w:gridSpan w:val="2"/>
          </w:tcPr>
          <w:p w:rsidR="00FE7187" w:rsidRPr="00EE1236" w:rsidRDefault="00FE7187" w:rsidP="00277412">
            <w:pPr>
              <w:pStyle w:val="naisf"/>
              <w:spacing w:before="0" w:after="0"/>
              <w:ind w:firstLine="0"/>
              <w:jc w:val="left"/>
              <w:rPr>
                <w:i/>
                <w:sz w:val="22"/>
                <w:szCs w:val="22"/>
              </w:rPr>
            </w:pPr>
            <w:r w:rsidRPr="00EE1236">
              <w:rPr>
                <w:sz w:val="22"/>
                <w:szCs w:val="22"/>
              </w:rPr>
              <w:t>1.3. pašvaldību budžets</w:t>
            </w:r>
          </w:p>
        </w:tc>
        <w:tc>
          <w:tcPr>
            <w:tcW w:w="1701" w:type="dxa"/>
            <w:tcBorders>
              <w:bottom w:val="single" w:sz="4" w:space="0" w:color="auto"/>
            </w:tcBorders>
          </w:tcPr>
          <w:p w:rsidR="00FE7187" w:rsidRPr="00EE1236" w:rsidRDefault="00FE7187" w:rsidP="00277412">
            <w:pPr>
              <w:jc w:val="right"/>
              <w:rPr>
                <w:sz w:val="22"/>
                <w:szCs w:val="22"/>
              </w:rPr>
            </w:pPr>
          </w:p>
        </w:tc>
        <w:tc>
          <w:tcPr>
            <w:tcW w:w="1701" w:type="dxa"/>
            <w:gridSpan w:val="2"/>
            <w:tcBorders>
              <w:bottom w:val="single" w:sz="4" w:space="0" w:color="auto"/>
            </w:tcBorders>
          </w:tcPr>
          <w:p w:rsidR="00FE7187" w:rsidRPr="00EE1236" w:rsidRDefault="00FE7187" w:rsidP="00277412">
            <w:pPr>
              <w:jc w:val="right"/>
              <w:rPr>
                <w:sz w:val="22"/>
                <w:szCs w:val="22"/>
              </w:rPr>
            </w:pPr>
          </w:p>
        </w:tc>
        <w:tc>
          <w:tcPr>
            <w:tcW w:w="1134" w:type="dxa"/>
            <w:tcBorders>
              <w:bottom w:val="single" w:sz="4" w:space="0" w:color="auto"/>
            </w:tcBorders>
          </w:tcPr>
          <w:p w:rsidR="00FE7187" w:rsidRPr="00EE1236" w:rsidRDefault="00FE7187" w:rsidP="00277412">
            <w:pPr>
              <w:jc w:val="right"/>
              <w:rPr>
                <w:sz w:val="22"/>
                <w:szCs w:val="22"/>
              </w:rPr>
            </w:pPr>
          </w:p>
        </w:tc>
        <w:tc>
          <w:tcPr>
            <w:tcW w:w="1134" w:type="dxa"/>
            <w:tcBorders>
              <w:bottom w:val="single" w:sz="4" w:space="0" w:color="auto"/>
            </w:tcBorders>
          </w:tcPr>
          <w:p w:rsidR="00FE7187" w:rsidRPr="00EE1236" w:rsidRDefault="00FE7187" w:rsidP="00277412">
            <w:pPr>
              <w:jc w:val="right"/>
              <w:rPr>
                <w:sz w:val="22"/>
                <w:szCs w:val="22"/>
              </w:rPr>
            </w:pPr>
          </w:p>
        </w:tc>
        <w:tc>
          <w:tcPr>
            <w:tcW w:w="1134" w:type="dxa"/>
            <w:tcBorders>
              <w:bottom w:val="single" w:sz="4" w:space="0" w:color="auto"/>
            </w:tcBorders>
          </w:tcPr>
          <w:p w:rsidR="00FE7187" w:rsidRPr="00EE1236" w:rsidRDefault="00FE7187" w:rsidP="00277412">
            <w:pPr>
              <w:jc w:val="right"/>
              <w:rPr>
                <w:sz w:val="22"/>
                <w:szCs w:val="22"/>
              </w:rPr>
            </w:pPr>
          </w:p>
        </w:tc>
      </w:tr>
      <w:tr w:rsidR="00FE7187" w:rsidRPr="00EE1236" w:rsidTr="004B1DC0">
        <w:trPr>
          <w:cantSplit/>
          <w:trHeight w:val="224"/>
        </w:trPr>
        <w:tc>
          <w:tcPr>
            <w:tcW w:w="2547" w:type="dxa"/>
            <w:gridSpan w:val="2"/>
            <w:tcBorders>
              <w:bottom w:val="single" w:sz="4" w:space="0" w:color="auto"/>
            </w:tcBorders>
          </w:tcPr>
          <w:p w:rsidR="00FE7187" w:rsidRPr="00EE1236" w:rsidRDefault="00FE7187" w:rsidP="00277412">
            <w:pPr>
              <w:rPr>
                <w:sz w:val="22"/>
                <w:szCs w:val="22"/>
              </w:rPr>
            </w:pPr>
            <w:r w:rsidRPr="00EE1236">
              <w:rPr>
                <w:sz w:val="22"/>
                <w:szCs w:val="22"/>
              </w:rPr>
              <w:t>2. Budžeta izdevumi:</w:t>
            </w:r>
          </w:p>
        </w:tc>
        <w:tc>
          <w:tcPr>
            <w:tcW w:w="1701" w:type="dxa"/>
            <w:tcBorders>
              <w:bottom w:val="single" w:sz="4" w:space="0" w:color="auto"/>
            </w:tcBorders>
            <w:shd w:val="clear" w:color="auto" w:fill="auto"/>
          </w:tcPr>
          <w:p w:rsidR="00FE7187" w:rsidRPr="00EE1236" w:rsidRDefault="00FE7187" w:rsidP="00277412">
            <w:pPr>
              <w:jc w:val="right"/>
              <w:rPr>
                <w:sz w:val="22"/>
                <w:szCs w:val="22"/>
              </w:rPr>
            </w:pPr>
          </w:p>
        </w:tc>
        <w:tc>
          <w:tcPr>
            <w:tcW w:w="1701" w:type="dxa"/>
            <w:gridSpan w:val="2"/>
            <w:tcBorders>
              <w:bottom w:val="single" w:sz="4" w:space="0" w:color="auto"/>
            </w:tcBorders>
            <w:shd w:val="clear" w:color="auto" w:fill="auto"/>
          </w:tcPr>
          <w:p w:rsidR="00FE7187" w:rsidRPr="00EE1236" w:rsidRDefault="00FE7187" w:rsidP="00277412">
            <w:pPr>
              <w:jc w:val="right"/>
              <w:rPr>
                <w:sz w:val="22"/>
                <w:szCs w:val="22"/>
              </w:rPr>
            </w:pPr>
          </w:p>
        </w:tc>
        <w:tc>
          <w:tcPr>
            <w:tcW w:w="1134" w:type="dxa"/>
            <w:tcBorders>
              <w:bottom w:val="single" w:sz="4" w:space="0" w:color="auto"/>
            </w:tcBorders>
            <w:shd w:val="clear" w:color="auto" w:fill="auto"/>
          </w:tcPr>
          <w:p w:rsidR="00FE7187" w:rsidRPr="00EE1236" w:rsidRDefault="00FE7187" w:rsidP="00277412">
            <w:pPr>
              <w:jc w:val="right"/>
              <w:rPr>
                <w:sz w:val="22"/>
                <w:szCs w:val="22"/>
              </w:rPr>
            </w:pPr>
          </w:p>
        </w:tc>
        <w:tc>
          <w:tcPr>
            <w:tcW w:w="1134" w:type="dxa"/>
            <w:tcBorders>
              <w:bottom w:val="single" w:sz="4" w:space="0" w:color="auto"/>
            </w:tcBorders>
            <w:shd w:val="clear" w:color="auto" w:fill="auto"/>
          </w:tcPr>
          <w:p w:rsidR="00FE7187" w:rsidRPr="00EE1236" w:rsidRDefault="00FE7187" w:rsidP="00277412">
            <w:pPr>
              <w:jc w:val="right"/>
              <w:rPr>
                <w:sz w:val="22"/>
                <w:szCs w:val="22"/>
              </w:rPr>
            </w:pPr>
          </w:p>
        </w:tc>
        <w:tc>
          <w:tcPr>
            <w:tcW w:w="1134" w:type="dxa"/>
            <w:tcBorders>
              <w:bottom w:val="single" w:sz="4" w:space="0" w:color="auto"/>
            </w:tcBorders>
            <w:shd w:val="clear" w:color="auto" w:fill="auto"/>
          </w:tcPr>
          <w:p w:rsidR="00FE7187" w:rsidRPr="00EE1236" w:rsidRDefault="00FE7187" w:rsidP="00277412">
            <w:pPr>
              <w:jc w:val="right"/>
              <w:rPr>
                <w:sz w:val="22"/>
                <w:szCs w:val="22"/>
              </w:rPr>
            </w:pPr>
          </w:p>
        </w:tc>
      </w:tr>
      <w:tr w:rsidR="00FE7187" w:rsidRPr="00EE1236" w:rsidTr="004B1DC0">
        <w:trPr>
          <w:cantSplit/>
          <w:trHeight w:val="238"/>
        </w:trPr>
        <w:tc>
          <w:tcPr>
            <w:tcW w:w="2547" w:type="dxa"/>
            <w:gridSpan w:val="2"/>
            <w:tcBorders>
              <w:bottom w:val="single" w:sz="4" w:space="0" w:color="auto"/>
            </w:tcBorders>
            <w:shd w:val="clear" w:color="auto" w:fill="auto"/>
          </w:tcPr>
          <w:p w:rsidR="00FE7187" w:rsidRPr="00EE1236" w:rsidRDefault="00FE7187" w:rsidP="00277412">
            <w:pPr>
              <w:rPr>
                <w:sz w:val="22"/>
                <w:szCs w:val="22"/>
              </w:rPr>
            </w:pPr>
            <w:r w:rsidRPr="00EE1236">
              <w:rPr>
                <w:sz w:val="22"/>
                <w:szCs w:val="22"/>
              </w:rPr>
              <w:t>2.1. valsts pamatbudžets</w:t>
            </w:r>
          </w:p>
        </w:tc>
        <w:tc>
          <w:tcPr>
            <w:tcW w:w="1701" w:type="dxa"/>
            <w:shd w:val="clear" w:color="auto" w:fill="auto"/>
          </w:tcPr>
          <w:p w:rsidR="00FE7187" w:rsidRPr="00EE1236" w:rsidRDefault="00FE7187" w:rsidP="00277412">
            <w:pPr>
              <w:jc w:val="right"/>
              <w:rPr>
                <w:sz w:val="22"/>
                <w:szCs w:val="22"/>
              </w:rPr>
            </w:pPr>
          </w:p>
        </w:tc>
        <w:tc>
          <w:tcPr>
            <w:tcW w:w="1701" w:type="dxa"/>
            <w:gridSpan w:val="2"/>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r>
      <w:tr w:rsidR="00FE7187" w:rsidRPr="00EE1236" w:rsidTr="004B1DC0">
        <w:trPr>
          <w:cantSplit/>
          <w:trHeight w:val="224"/>
        </w:trPr>
        <w:tc>
          <w:tcPr>
            <w:tcW w:w="2547" w:type="dxa"/>
            <w:gridSpan w:val="2"/>
          </w:tcPr>
          <w:p w:rsidR="00FE7187" w:rsidRPr="00EE1236" w:rsidRDefault="00FE7187" w:rsidP="00277412">
            <w:pPr>
              <w:rPr>
                <w:sz w:val="22"/>
                <w:szCs w:val="22"/>
              </w:rPr>
            </w:pPr>
            <w:r w:rsidRPr="00EE1236">
              <w:rPr>
                <w:sz w:val="22"/>
                <w:szCs w:val="22"/>
              </w:rPr>
              <w:t>2.2. valsts speciālais budžets</w:t>
            </w:r>
          </w:p>
        </w:tc>
        <w:tc>
          <w:tcPr>
            <w:tcW w:w="1701" w:type="dxa"/>
          </w:tcPr>
          <w:p w:rsidR="00FE7187" w:rsidRPr="00EE1236" w:rsidRDefault="00FE7187" w:rsidP="00277412">
            <w:pPr>
              <w:jc w:val="right"/>
              <w:rPr>
                <w:sz w:val="22"/>
                <w:szCs w:val="22"/>
              </w:rPr>
            </w:pPr>
          </w:p>
        </w:tc>
        <w:tc>
          <w:tcPr>
            <w:tcW w:w="1701" w:type="dxa"/>
            <w:gridSpan w:val="2"/>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r>
      <w:tr w:rsidR="00FE7187" w:rsidRPr="00EE1236" w:rsidTr="004B1DC0">
        <w:trPr>
          <w:cantSplit/>
          <w:trHeight w:val="238"/>
        </w:trPr>
        <w:tc>
          <w:tcPr>
            <w:tcW w:w="2547" w:type="dxa"/>
            <w:gridSpan w:val="2"/>
            <w:tcBorders>
              <w:bottom w:val="single" w:sz="4" w:space="0" w:color="auto"/>
            </w:tcBorders>
          </w:tcPr>
          <w:p w:rsidR="00FE7187" w:rsidRPr="00EE1236" w:rsidRDefault="00FE7187" w:rsidP="00277412">
            <w:pPr>
              <w:rPr>
                <w:sz w:val="22"/>
                <w:szCs w:val="22"/>
              </w:rPr>
            </w:pPr>
            <w:r w:rsidRPr="00EE1236">
              <w:rPr>
                <w:sz w:val="22"/>
                <w:szCs w:val="22"/>
              </w:rPr>
              <w:t xml:space="preserve">2.3. pašvaldību budžets </w:t>
            </w:r>
          </w:p>
        </w:tc>
        <w:tc>
          <w:tcPr>
            <w:tcW w:w="1701" w:type="dxa"/>
            <w:tcBorders>
              <w:bottom w:val="single" w:sz="4" w:space="0" w:color="auto"/>
            </w:tcBorders>
          </w:tcPr>
          <w:p w:rsidR="00FE7187" w:rsidRPr="00EE1236" w:rsidRDefault="00FE7187" w:rsidP="00277412">
            <w:pPr>
              <w:jc w:val="right"/>
              <w:rPr>
                <w:sz w:val="22"/>
                <w:szCs w:val="22"/>
              </w:rPr>
            </w:pPr>
          </w:p>
        </w:tc>
        <w:tc>
          <w:tcPr>
            <w:tcW w:w="1701" w:type="dxa"/>
            <w:gridSpan w:val="2"/>
            <w:tcBorders>
              <w:bottom w:val="single" w:sz="4" w:space="0" w:color="auto"/>
            </w:tcBorders>
          </w:tcPr>
          <w:p w:rsidR="00FE7187" w:rsidRPr="00EE1236" w:rsidRDefault="00FE7187" w:rsidP="00277412">
            <w:pPr>
              <w:jc w:val="right"/>
              <w:rPr>
                <w:sz w:val="22"/>
                <w:szCs w:val="22"/>
              </w:rPr>
            </w:pPr>
          </w:p>
        </w:tc>
        <w:tc>
          <w:tcPr>
            <w:tcW w:w="1134" w:type="dxa"/>
            <w:tcBorders>
              <w:bottom w:val="single" w:sz="4" w:space="0" w:color="auto"/>
            </w:tcBorders>
          </w:tcPr>
          <w:p w:rsidR="00FE7187" w:rsidRPr="00EE1236" w:rsidRDefault="00FE7187" w:rsidP="00277412">
            <w:pPr>
              <w:jc w:val="right"/>
              <w:rPr>
                <w:sz w:val="22"/>
                <w:szCs w:val="22"/>
              </w:rPr>
            </w:pPr>
          </w:p>
        </w:tc>
        <w:tc>
          <w:tcPr>
            <w:tcW w:w="1134" w:type="dxa"/>
            <w:tcBorders>
              <w:bottom w:val="single" w:sz="4" w:space="0" w:color="auto"/>
            </w:tcBorders>
          </w:tcPr>
          <w:p w:rsidR="00FE7187" w:rsidRPr="00EE1236" w:rsidRDefault="00FE7187" w:rsidP="00277412">
            <w:pPr>
              <w:jc w:val="right"/>
              <w:rPr>
                <w:sz w:val="22"/>
                <w:szCs w:val="22"/>
              </w:rPr>
            </w:pPr>
          </w:p>
        </w:tc>
        <w:tc>
          <w:tcPr>
            <w:tcW w:w="1134" w:type="dxa"/>
            <w:tcBorders>
              <w:bottom w:val="single" w:sz="4" w:space="0" w:color="auto"/>
            </w:tcBorders>
          </w:tcPr>
          <w:p w:rsidR="00FE7187" w:rsidRPr="00EE1236" w:rsidRDefault="00FE7187" w:rsidP="00277412">
            <w:pPr>
              <w:jc w:val="right"/>
              <w:rPr>
                <w:sz w:val="22"/>
                <w:szCs w:val="22"/>
              </w:rPr>
            </w:pPr>
          </w:p>
        </w:tc>
      </w:tr>
      <w:tr w:rsidR="00FE7187" w:rsidRPr="00EE1236" w:rsidTr="004B1DC0">
        <w:trPr>
          <w:cantSplit/>
          <w:trHeight w:val="252"/>
        </w:trPr>
        <w:tc>
          <w:tcPr>
            <w:tcW w:w="2547" w:type="dxa"/>
            <w:gridSpan w:val="2"/>
            <w:shd w:val="clear" w:color="auto" w:fill="auto"/>
          </w:tcPr>
          <w:p w:rsidR="00FE7187" w:rsidRPr="00EE1236" w:rsidRDefault="00FE7187" w:rsidP="00277412">
            <w:pPr>
              <w:rPr>
                <w:sz w:val="22"/>
                <w:szCs w:val="22"/>
              </w:rPr>
            </w:pPr>
            <w:r w:rsidRPr="00EE1236">
              <w:rPr>
                <w:sz w:val="22"/>
                <w:szCs w:val="22"/>
              </w:rPr>
              <w:t>3. Finansiālā ietekme:</w:t>
            </w:r>
          </w:p>
        </w:tc>
        <w:tc>
          <w:tcPr>
            <w:tcW w:w="1701" w:type="dxa"/>
            <w:shd w:val="clear" w:color="auto" w:fill="auto"/>
          </w:tcPr>
          <w:p w:rsidR="00FE7187" w:rsidRPr="00EE1236" w:rsidRDefault="00FE7187" w:rsidP="00277412">
            <w:pPr>
              <w:jc w:val="right"/>
              <w:rPr>
                <w:sz w:val="22"/>
                <w:szCs w:val="22"/>
              </w:rPr>
            </w:pPr>
          </w:p>
        </w:tc>
        <w:tc>
          <w:tcPr>
            <w:tcW w:w="1701" w:type="dxa"/>
            <w:gridSpan w:val="2"/>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r>
      <w:tr w:rsidR="00FE7187" w:rsidRPr="00EE1236" w:rsidTr="004B1DC0">
        <w:trPr>
          <w:cantSplit/>
          <w:trHeight w:val="252"/>
        </w:trPr>
        <w:tc>
          <w:tcPr>
            <w:tcW w:w="2547" w:type="dxa"/>
            <w:gridSpan w:val="2"/>
            <w:shd w:val="clear" w:color="auto" w:fill="auto"/>
          </w:tcPr>
          <w:p w:rsidR="00FE7187" w:rsidRPr="00EE1236" w:rsidRDefault="00FE7187" w:rsidP="00277412">
            <w:pPr>
              <w:rPr>
                <w:sz w:val="22"/>
                <w:szCs w:val="22"/>
              </w:rPr>
            </w:pPr>
            <w:r w:rsidRPr="00EE1236">
              <w:rPr>
                <w:sz w:val="22"/>
                <w:szCs w:val="22"/>
              </w:rPr>
              <w:t>3.1. valsts pamatbudžets</w:t>
            </w:r>
          </w:p>
        </w:tc>
        <w:tc>
          <w:tcPr>
            <w:tcW w:w="1701" w:type="dxa"/>
            <w:shd w:val="clear" w:color="auto" w:fill="auto"/>
          </w:tcPr>
          <w:p w:rsidR="00FE7187" w:rsidRPr="00EE1236" w:rsidRDefault="00FE7187" w:rsidP="00277412">
            <w:pPr>
              <w:jc w:val="right"/>
              <w:rPr>
                <w:sz w:val="22"/>
                <w:szCs w:val="22"/>
              </w:rPr>
            </w:pPr>
          </w:p>
        </w:tc>
        <w:tc>
          <w:tcPr>
            <w:tcW w:w="1701" w:type="dxa"/>
            <w:gridSpan w:val="2"/>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c>
          <w:tcPr>
            <w:tcW w:w="1134" w:type="dxa"/>
            <w:shd w:val="clear" w:color="auto" w:fill="auto"/>
          </w:tcPr>
          <w:p w:rsidR="00FE7187" w:rsidRPr="00EE1236" w:rsidRDefault="00FE7187" w:rsidP="00277412">
            <w:pPr>
              <w:jc w:val="right"/>
              <w:rPr>
                <w:sz w:val="22"/>
                <w:szCs w:val="22"/>
              </w:rPr>
            </w:pPr>
          </w:p>
        </w:tc>
      </w:tr>
      <w:tr w:rsidR="00FE7187" w:rsidRPr="00EE1236" w:rsidTr="004B1DC0">
        <w:trPr>
          <w:cantSplit/>
          <w:trHeight w:val="252"/>
        </w:trPr>
        <w:tc>
          <w:tcPr>
            <w:tcW w:w="2547" w:type="dxa"/>
            <w:gridSpan w:val="2"/>
          </w:tcPr>
          <w:p w:rsidR="00FE7187" w:rsidRPr="00EE1236" w:rsidRDefault="00FE7187" w:rsidP="00277412">
            <w:pPr>
              <w:rPr>
                <w:sz w:val="22"/>
                <w:szCs w:val="22"/>
              </w:rPr>
            </w:pPr>
            <w:r w:rsidRPr="00EE1236">
              <w:rPr>
                <w:sz w:val="22"/>
                <w:szCs w:val="22"/>
              </w:rPr>
              <w:t>3.2. speciālais budžets</w:t>
            </w:r>
          </w:p>
        </w:tc>
        <w:tc>
          <w:tcPr>
            <w:tcW w:w="1701" w:type="dxa"/>
          </w:tcPr>
          <w:p w:rsidR="00FE7187" w:rsidRPr="00EE1236" w:rsidRDefault="00FE7187" w:rsidP="00277412">
            <w:pPr>
              <w:jc w:val="right"/>
              <w:rPr>
                <w:sz w:val="22"/>
                <w:szCs w:val="22"/>
              </w:rPr>
            </w:pPr>
          </w:p>
        </w:tc>
        <w:tc>
          <w:tcPr>
            <w:tcW w:w="1701" w:type="dxa"/>
            <w:gridSpan w:val="2"/>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r>
      <w:tr w:rsidR="00FE7187" w:rsidRPr="00EE1236" w:rsidTr="004B1DC0">
        <w:trPr>
          <w:cantSplit/>
          <w:trHeight w:val="252"/>
        </w:trPr>
        <w:tc>
          <w:tcPr>
            <w:tcW w:w="2547" w:type="dxa"/>
            <w:gridSpan w:val="2"/>
          </w:tcPr>
          <w:p w:rsidR="00FE7187" w:rsidRPr="00EE1236" w:rsidRDefault="00FE7187" w:rsidP="00277412">
            <w:pPr>
              <w:rPr>
                <w:sz w:val="22"/>
                <w:szCs w:val="22"/>
              </w:rPr>
            </w:pPr>
            <w:r w:rsidRPr="00EE1236">
              <w:rPr>
                <w:sz w:val="22"/>
                <w:szCs w:val="22"/>
              </w:rPr>
              <w:t xml:space="preserve">3.3. pašvaldību budžets </w:t>
            </w:r>
          </w:p>
        </w:tc>
        <w:tc>
          <w:tcPr>
            <w:tcW w:w="1701" w:type="dxa"/>
          </w:tcPr>
          <w:p w:rsidR="00FE7187" w:rsidRPr="00EE1236" w:rsidRDefault="00FE7187" w:rsidP="00277412">
            <w:pPr>
              <w:jc w:val="right"/>
              <w:rPr>
                <w:sz w:val="22"/>
                <w:szCs w:val="22"/>
              </w:rPr>
            </w:pPr>
          </w:p>
        </w:tc>
        <w:tc>
          <w:tcPr>
            <w:tcW w:w="1701" w:type="dxa"/>
            <w:gridSpan w:val="2"/>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c>
          <w:tcPr>
            <w:tcW w:w="1134" w:type="dxa"/>
          </w:tcPr>
          <w:p w:rsidR="00FE7187" w:rsidRPr="00EE1236" w:rsidRDefault="00FE7187" w:rsidP="00277412">
            <w:pPr>
              <w:jc w:val="right"/>
              <w:rPr>
                <w:sz w:val="22"/>
                <w:szCs w:val="22"/>
              </w:rPr>
            </w:pPr>
          </w:p>
        </w:tc>
      </w:tr>
      <w:tr w:rsidR="00FE7187" w:rsidRPr="00EE1236" w:rsidTr="004B1DC0">
        <w:trPr>
          <w:trHeight w:val="224"/>
        </w:trPr>
        <w:tc>
          <w:tcPr>
            <w:tcW w:w="2547" w:type="dxa"/>
            <w:gridSpan w:val="2"/>
            <w:vMerge w:val="restart"/>
          </w:tcPr>
          <w:p w:rsidR="00FE7187" w:rsidRPr="00EE1236" w:rsidRDefault="00FE7187" w:rsidP="00277412">
            <w:pPr>
              <w:rPr>
                <w:sz w:val="22"/>
                <w:szCs w:val="22"/>
              </w:rPr>
            </w:pPr>
            <w:r w:rsidRPr="00EE1236">
              <w:rPr>
                <w:sz w:val="22"/>
                <w:szCs w:val="22"/>
              </w:rPr>
              <w:t>4. Finanšu līdzekļi papildu izdevumu finansēšanai (kompensējošu izdevumu samazinājumu norāda ar "+" zīmi)</w:t>
            </w:r>
          </w:p>
        </w:tc>
        <w:tc>
          <w:tcPr>
            <w:tcW w:w="1701" w:type="dxa"/>
            <w:vMerge w:val="restart"/>
          </w:tcPr>
          <w:p w:rsidR="00FE7187" w:rsidRPr="00EE1236" w:rsidRDefault="00FE7187" w:rsidP="00B206A8">
            <w:pPr>
              <w:pStyle w:val="naisf"/>
              <w:spacing w:before="0" w:after="0"/>
              <w:ind w:firstLine="0"/>
              <w:jc w:val="center"/>
              <w:rPr>
                <w:i/>
                <w:sz w:val="22"/>
                <w:szCs w:val="22"/>
              </w:rPr>
            </w:pPr>
            <w:r w:rsidRPr="00EE1236">
              <w:rPr>
                <w:sz w:val="22"/>
                <w:szCs w:val="22"/>
              </w:rPr>
              <w:t>X</w:t>
            </w:r>
          </w:p>
        </w:tc>
        <w:tc>
          <w:tcPr>
            <w:tcW w:w="1701" w:type="dxa"/>
            <w:gridSpan w:val="2"/>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r>
      <w:tr w:rsidR="00FE7187" w:rsidRPr="00EE1236" w:rsidTr="004B1DC0">
        <w:trPr>
          <w:trHeight w:val="135"/>
        </w:trPr>
        <w:tc>
          <w:tcPr>
            <w:tcW w:w="2547" w:type="dxa"/>
            <w:gridSpan w:val="2"/>
            <w:vMerge/>
          </w:tcPr>
          <w:p w:rsidR="00FE7187" w:rsidRPr="00EE1236" w:rsidRDefault="00FE7187" w:rsidP="00B206A8">
            <w:pPr>
              <w:rPr>
                <w:sz w:val="22"/>
                <w:szCs w:val="22"/>
              </w:rPr>
            </w:pPr>
          </w:p>
        </w:tc>
        <w:tc>
          <w:tcPr>
            <w:tcW w:w="1701" w:type="dxa"/>
            <w:vMerge/>
          </w:tcPr>
          <w:p w:rsidR="00FE7187" w:rsidRPr="00EE1236" w:rsidRDefault="00FE7187" w:rsidP="00B206A8">
            <w:pPr>
              <w:pStyle w:val="naisf"/>
              <w:spacing w:before="0" w:after="0"/>
              <w:ind w:firstLine="0"/>
              <w:jc w:val="center"/>
              <w:rPr>
                <w:i/>
                <w:sz w:val="22"/>
                <w:szCs w:val="22"/>
              </w:rPr>
            </w:pPr>
          </w:p>
        </w:tc>
        <w:tc>
          <w:tcPr>
            <w:tcW w:w="1701" w:type="dxa"/>
            <w:gridSpan w:val="2"/>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r>
      <w:tr w:rsidR="00FE7187" w:rsidRPr="00EE1236" w:rsidTr="004B1DC0">
        <w:trPr>
          <w:trHeight w:val="135"/>
        </w:trPr>
        <w:tc>
          <w:tcPr>
            <w:tcW w:w="2547" w:type="dxa"/>
            <w:gridSpan w:val="2"/>
            <w:vMerge/>
          </w:tcPr>
          <w:p w:rsidR="00FE7187" w:rsidRPr="00EE1236" w:rsidRDefault="00FE7187" w:rsidP="00B206A8">
            <w:pPr>
              <w:rPr>
                <w:sz w:val="22"/>
                <w:szCs w:val="22"/>
              </w:rPr>
            </w:pPr>
          </w:p>
        </w:tc>
        <w:tc>
          <w:tcPr>
            <w:tcW w:w="1701" w:type="dxa"/>
            <w:vMerge/>
          </w:tcPr>
          <w:p w:rsidR="00FE7187" w:rsidRPr="00EE1236" w:rsidRDefault="00FE7187" w:rsidP="00B206A8">
            <w:pPr>
              <w:pStyle w:val="naisf"/>
              <w:spacing w:before="0" w:after="0"/>
              <w:ind w:firstLine="0"/>
              <w:jc w:val="center"/>
              <w:rPr>
                <w:i/>
                <w:sz w:val="22"/>
                <w:szCs w:val="22"/>
              </w:rPr>
            </w:pPr>
          </w:p>
        </w:tc>
        <w:tc>
          <w:tcPr>
            <w:tcW w:w="1701" w:type="dxa"/>
            <w:gridSpan w:val="2"/>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c>
          <w:tcPr>
            <w:tcW w:w="1134" w:type="dxa"/>
          </w:tcPr>
          <w:p w:rsidR="00FE7187" w:rsidRPr="00EE1236" w:rsidRDefault="00FE7187" w:rsidP="00B206A8">
            <w:pPr>
              <w:pStyle w:val="naisf"/>
              <w:spacing w:before="0" w:after="0"/>
              <w:ind w:firstLine="0"/>
              <w:jc w:val="left"/>
              <w:rPr>
                <w:b/>
                <w:i/>
                <w:sz w:val="22"/>
                <w:szCs w:val="22"/>
              </w:rPr>
            </w:pPr>
          </w:p>
        </w:tc>
      </w:tr>
      <w:tr w:rsidR="00FE7187" w:rsidRPr="00EE1236" w:rsidTr="004B1DC0">
        <w:trPr>
          <w:trHeight w:val="462"/>
        </w:trPr>
        <w:tc>
          <w:tcPr>
            <w:tcW w:w="2547" w:type="dxa"/>
            <w:gridSpan w:val="2"/>
          </w:tcPr>
          <w:p w:rsidR="00FE7187" w:rsidRPr="00EE1236" w:rsidRDefault="00FE7187" w:rsidP="00B206A8">
            <w:pPr>
              <w:rPr>
                <w:sz w:val="22"/>
                <w:szCs w:val="22"/>
              </w:rPr>
            </w:pPr>
            <w:r w:rsidRPr="00EE1236">
              <w:rPr>
                <w:sz w:val="22"/>
                <w:szCs w:val="22"/>
              </w:rPr>
              <w:t>5. Precizēta finansiālā ietekme:</w:t>
            </w:r>
          </w:p>
        </w:tc>
        <w:tc>
          <w:tcPr>
            <w:tcW w:w="1701" w:type="dxa"/>
            <w:vMerge w:val="restart"/>
          </w:tcPr>
          <w:p w:rsidR="00FE7187" w:rsidRPr="00EE1236" w:rsidRDefault="00FE7187" w:rsidP="00B206A8">
            <w:pPr>
              <w:pStyle w:val="naisf"/>
              <w:spacing w:before="0" w:after="0"/>
              <w:ind w:firstLine="0"/>
              <w:jc w:val="center"/>
              <w:rPr>
                <w:i/>
                <w:sz w:val="22"/>
                <w:szCs w:val="22"/>
              </w:rPr>
            </w:pPr>
            <w:r w:rsidRPr="00EE1236">
              <w:rPr>
                <w:sz w:val="22"/>
                <w:szCs w:val="22"/>
              </w:rPr>
              <w:t>X</w:t>
            </w:r>
          </w:p>
        </w:tc>
        <w:tc>
          <w:tcPr>
            <w:tcW w:w="1701" w:type="dxa"/>
            <w:gridSpan w:val="2"/>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r>
      <w:tr w:rsidR="00FE7187" w:rsidRPr="00EE1236" w:rsidTr="004B1DC0">
        <w:trPr>
          <w:trHeight w:val="238"/>
        </w:trPr>
        <w:tc>
          <w:tcPr>
            <w:tcW w:w="2547" w:type="dxa"/>
            <w:gridSpan w:val="2"/>
          </w:tcPr>
          <w:p w:rsidR="00FE7187" w:rsidRPr="00EE1236" w:rsidRDefault="00FE7187" w:rsidP="00B206A8">
            <w:pPr>
              <w:rPr>
                <w:sz w:val="22"/>
                <w:szCs w:val="22"/>
              </w:rPr>
            </w:pPr>
            <w:r w:rsidRPr="00EE1236">
              <w:rPr>
                <w:sz w:val="22"/>
                <w:szCs w:val="22"/>
              </w:rPr>
              <w:t>5.1. valsts pamatbudžets</w:t>
            </w:r>
          </w:p>
        </w:tc>
        <w:tc>
          <w:tcPr>
            <w:tcW w:w="1701" w:type="dxa"/>
            <w:vMerge/>
            <w:vAlign w:val="center"/>
          </w:tcPr>
          <w:p w:rsidR="00FE7187" w:rsidRPr="00EE1236" w:rsidRDefault="00FE7187" w:rsidP="00B206A8">
            <w:pPr>
              <w:pStyle w:val="naisf"/>
              <w:spacing w:before="0" w:after="0"/>
              <w:ind w:firstLine="0"/>
              <w:jc w:val="center"/>
              <w:rPr>
                <w:i/>
                <w:sz w:val="22"/>
                <w:szCs w:val="22"/>
              </w:rPr>
            </w:pPr>
          </w:p>
        </w:tc>
        <w:tc>
          <w:tcPr>
            <w:tcW w:w="1701" w:type="dxa"/>
            <w:gridSpan w:val="2"/>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r>
      <w:tr w:rsidR="00FE7187" w:rsidRPr="00EE1236" w:rsidTr="004B1DC0">
        <w:trPr>
          <w:trHeight w:val="224"/>
        </w:trPr>
        <w:tc>
          <w:tcPr>
            <w:tcW w:w="2547" w:type="dxa"/>
            <w:gridSpan w:val="2"/>
          </w:tcPr>
          <w:p w:rsidR="00FE7187" w:rsidRPr="00EE1236" w:rsidRDefault="00FE7187" w:rsidP="00B206A8">
            <w:pPr>
              <w:rPr>
                <w:sz w:val="22"/>
                <w:szCs w:val="22"/>
              </w:rPr>
            </w:pPr>
            <w:r w:rsidRPr="00EE1236">
              <w:rPr>
                <w:sz w:val="22"/>
                <w:szCs w:val="22"/>
              </w:rPr>
              <w:t>5.2. speciālais budžets</w:t>
            </w:r>
          </w:p>
        </w:tc>
        <w:tc>
          <w:tcPr>
            <w:tcW w:w="1701" w:type="dxa"/>
            <w:vMerge/>
            <w:vAlign w:val="center"/>
          </w:tcPr>
          <w:p w:rsidR="00FE7187" w:rsidRPr="00EE1236" w:rsidRDefault="00FE7187" w:rsidP="00B206A8">
            <w:pPr>
              <w:pStyle w:val="naisf"/>
              <w:spacing w:before="0" w:after="0"/>
              <w:ind w:firstLine="0"/>
              <w:jc w:val="center"/>
              <w:rPr>
                <w:i/>
                <w:sz w:val="22"/>
                <w:szCs w:val="22"/>
              </w:rPr>
            </w:pPr>
          </w:p>
        </w:tc>
        <w:tc>
          <w:tcPr>
            <w:tcW w:w="1701" w:type="dxa"/>
            <w:gridSpan w:val="2"/>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c>
          <w:tcPr>
            <w:tcW w:w="1134" w:type="dxa"/>
          </w:tcPr>
          <w:p w:rsidR="00FE7187" w:rsidRPr="00EE1236" w:rsidRDefault="00FE7187" w:rsidP="00B206A8">
            <w:pPr>
              <w:pStyle w:val="naisf"/>
              <w:spacing w:before="0" w:after="0"/>
              <w:ind w:firstLine="0"/>
              <w:rPr>
                <w:b/>
                <w:i/>
                <w:sz w:val="22"/>
                <w:szCs w:val="22"/>
              </w:rPr>
            </w:pPr>
          </w:p>
        </w:tc>
      </w:tr>
      <w:tr w:rsidR="00FE7187" w:rsidRPr="00EE1236" w:rsidTr="004B1DC0">
        <w:trPr>
          <w:trHeight w:val="238"/>
        </w:trPr>
        <w:tc>
          <w:tcPr>
            <w:tcW w:w="2547" w:type="dxa"/>
            <w:gridSpan w:val="2"/>
            <w:tcBorders>
              <w:bottom w:val="single" w:sz="4" w:space="0" w:color="auto"/>
            </w:tcBorders>
          </w:tcPr>
          <w:p w:rsidR="00FE7187" w:rsidRPr="00EE1236" w:rsidRDefault="00FE7187" w:rsidP="00B206A8">
            <w:pPr>
              <w:rPr>
                <w:sz w:val="22"/>
                <w:szCs w:val="22"/>
              </w:rPr>
            </w:pPr>
            <w:r w:rsidRPr="00EE1236">
              <w:rPr>
                <w:sz w:val="22"/>
                <w:szCs w:val="22"/>
              </w:rPr>
              <w:t xml:space="preserve">5.3. pašvaldību budžets </w:t>
            </w:r>
          </w:p>
        </w:tc>
        <w:tc>
          <w:tcPr>
            <w:tcW w:w="1701" w:type="dxa"/>
            <w:vMerge/>
            <w:tcBorders>
              <w:bottom w:val="single" w:sz="4" w:space="0" w:color="auto"/>
            </w:tcBorders>
            <w:vAlign w:val="center"/>
          </w:tcPr>
          <w:p w:rsidR="00FE7187" w:rsidRPr="00EE1236" w:rsidRDefault="00FE7187" w:rsidP="00B206A8">
            <w:pPr>
              <w:pStyle w:val="naisf"/>
              <w:spacing w:before="0" w:after="0"/>
              <w:ind w:firstLine="0"/>
              <w:jc w:val="center"/>
              <w:rPr>
                <w:i/>
                <w:sz w:val="22"/>
                <w:szCs w:val="22"/>
              </w:rPr>
            </w:pPr>
          </w:p>
        </w:tc>
        <w:tc>
          <w:tcPr>
            <w:tcW w:w="1701" w:type="dxa"/>
            <w:gridSpan w:val="2"/>
            <w:tcBorders>
              <w:bottom w:val="single" w:sz="4" w:space="0" w:color="auto"/>
            </w:tcBorders>
          </w:tcPr>
          <w:p w:rsidR="00FE7187" w:rsidRPr="00EE1236" w:rsidRDefault="00FE7187" w:rsidP="00B206A8">
            <w:pPr>
              <w:pStyle w:val="naisf"/>
              <w:spacing w:before="0" w:after="0"/>
              <w:ind w:firstLine="0"/>
              <w:rPr>
                <w:b/>
                <w:i/>
                <w:sz w:val="22"/>
                <w:szCs w:val="22"/>
              </w:rPr>
            </w:pPr>
          </w:p>
        </w:tc>
        <w:tc>
          <w:tcPr>
            <w:tcW w:w="1134" w:type="dxa"/>
            <w:tcBorders>
              <w:bottom w:val="single" w:sz="4" w:space="0" w:color="auto"/>
            </w:tcBorders>
          </w:tcPr>
          <w:p w:rsidR="00FE7187" w:rsidRPr="00EE1236" w:rsidRDefault="00FE7187" w:rsidP="00B206A8">
            <w:pPr>
              <w:pStyle w:val="naisf"/>
              <w:spacing w:before="0" w:after="0"/>
              <w:ind w:firstLine="0"/>
              <w:rPr>
                <w:b/>
                <w:i/>
                <w:sz w:val="22"/>
                <w:szCs w:val="22"/>
              </w:rPr>
            </w:pPr>
          </w:p>
        </w:tc>
        <w:tc>
          <w:tcPr>
            <w:tcW w:w="1134" w:type="dxa"/>
            <w:tcBorders>
              <w:bottom w:val="single" w:sz="4" w:space="0" w:color="auto"/>
            </w:tcBorders>
          </w:tcPr>
          <w:p w:rsidR="00FE7187" w:rsidRPr="00EE1236" w:rsidRDefault="00FE7187" w:rsidP="00B206A8">
            <w:pPr>
              <w:pStyle w:val="naisf"/>
              <w:spacing w:before="0" w:after="0"/>
              <w:ind w:firstLine="0"/>
              <w:rPr>
                <w:b/>
                <w:i/>
                <w:sz w:val="22"/>
                <w:szCs w:val="22"/>
              </w:rPr>
            </w:pPr>
          </w:p>
        </w:tc>
        <w:tc>
          <w:tcPr>
            <w:tcW w:w="1134" w:type="dxa"/>
            <w:tcBorders>
              <w:bottom w:val="single" w:sz="4" w:space="0" w:color="auto"/>
            </w:tcBorders>
          </w:tcPr>
          <w:p w:rsidR="00FE7187" w:rsidRPr="00EE1236" w:rsidRDefault="00FE7187" w:rsidP="00B206A8">
            <w:pPr>
              <w:pStyle w:val="naisf"/>
              <w:spacing w:before="0" w:after="0"/>
              <w:ind w:firstLine="0"/>
              <w:rPr>
                <w:b/>
                <w:i/>
                <w:sz w:val="22"/>
                <w:szCs w:val="22"/>
              </w:rPr>
            </w:pPr>
          </w:p>
        </w:tc>
      </w:tr>
      <w:tr w:rsidR="00953C9E" w:rsidRPr="00EE1236" w:rsidTr="00277412">
        <w:trPr>
          <w:trHeight w:val="252"/>
        </w:trPr>
        <w:tc>
          <w:tcPr>
            <w:tcW w:w="4390" w:type="dxa"/>
            <w:gridSpan w:val="4"/>
            <w:shd w:val="clear" w:color="auto" w:fill="auto"/>
          </w:tcPr>
          <w:p w:rsidR="00953C9E" w:rsidRPr="00EE1236" w:rsidRDefault="00953C9E" w:rsidP="00B206A8">
            <w:pPr>
              <w:rPr>
                <w:sz w:val="22"/>
                <w:szCs w:val="22"/>
              </w:rPr>
            </w:pPr>
            <w:r w:rsidRPr="00EE1236">
              <w:rPr>
                <w:sz w:val="22"/>
                <w:szCs w:val="22"/>
              </w:rPr>
              <w:t>6. Detalizēts</w:t>
            </w:r>
            <w:r>
              <w:rPr>
                <w:sz w:val="22"/>
                <w:szCs w:val="22"/>
              </w:rPr>
              <w:t xml:space="preserve"> ieņēmumu un izdevu</w:t>
            </w:r>
            <w:r>
              <w:rPr>
                <w:sz w:val="22"/>
                <w:szCs w:val="22"/>
              </w:rPr>
              <w:softHyphen/>
              <w:t>mu aprēķins</w:t>
            </w:r>
          </w:p>
        </w:tc>
        <w:tc>
          <w:tcPr>
            <w:tcW w:w="4961" w:type="dxa"/>
            <w:gridSpan w:val="4"/>
            <w:shd w:val="clear" w:color="auto" w:fill="auto"/>
            <w:vAlign w:val="center"/>
          </w:tcPr>
          <w:p w:rsidR="00953C9E" w:rsidRPr="00953C9E" w:rsidRDefault="00953C9E" w:rsidP="00953C9E">
            <w:pPr>
              <w:pStyle w:val="naisf"/>
              <w:spacing w:before="0" w:after="0"/>
              <w:ind w:firstLine="0"/>
              <w:jc w:val="left"/>
              <w:rPr>
                <w:sz w:val="22"/>
                <w:szCs w:val="22"/>
              </w:rPr>
            </w:pPr>
          </w:p>
        </w:tc>
      </w:tr>
      <w:tr w:rsidR="00FE7187" w:rsidRPr="00EE1236" w:rsidTr="00B52715">
        <w:trPr>
          <w:trHeight w:val="238"/>
        </w:trPr>
        <w:tc>
          <w:tcPr>
            <w:tcW w:w="1247" w:type="dxa"/>
            <w:shd w:val="clear" w:color="auto" w:fill="auto"/>
          </w:tcPr>
          <w:p w:rsidR="00FE7187" w:rsidRPr="00EE1236" w:rsidRDefault="00FE7187" w:rsidP="00B206A8">
            <w:pPr>
              <w:rPr>
                <w:sz w:val="22"/>
                <w:szCs w:val="22"/>
              </w:rPr>
            </w:pPr>
            <w:r w:rsidRPr="00EE1236">
              <w:rPr>
                <w:sz w:val="22"/>
                <w:szCs w:val="22"/>
              </w:rPr>
              <w:t>7. Cita informācija</w:t>
            </w:r>
          </w:p>
        </w:tc>
        <w:tc>
          <w:tcPr>
            <w:tcW w:w="8104" w:type="dxa"/>
            <w:gridSpan w:val="7"/>
            <w:shd w:val="clear" w:color="auto" w:fill="auto"/>
          </w:tcPr>
          <w:p w:rsidR="008554D9" w:rsidRPr="008554D9" w:rsidRDefault="008554D9" w:rsidP="008554D9">
            <w:pPr>
              <w:pStyle w:val="naisf"/>
              <w:tabs>
                <w:tab w:val="left" w:pos="4644"/>
              </w:tabs>
              <w:spacing w:before="0" w:after="0"/>
              <w:ind w:firstLine="198"/>
              <w:rPr>
                <w:sz w:val="22"/>
                <w:szCs w:val="22"/>
              </w:rPr>
            </w:pPr>
            <w:r w:rsidRPr="008554D9">
              <w:rPr>
                <w:sz w:val="22"/>
                <w:szCs w:val="22"/>
              </w:rPr>
              <w:t>Koncepcijas „Valsts informācijas un komunikācijas tehnoloģiju pārvaldības organizatoriskais modelis”(apstiprināta ar Ministru kabineta 2013.gada 19.februāra rīkojumu Nr.57) informatīvās daļas 7.punktā ir sniegts finansiālās ietekmes uz valsts budžetu novērtējums, kā arī tās detalizēts aprēķins, kas ir saistīts ar nolikuma 5.7.apakšpunktā noteikto uzdevumu (noteikumu projekta 7.punkta redakcijā) izpildi 2014.gadā un turpmākajos gados. Atbilstoši šim novērtējumam VARAM ir nepieciešami finanšu līdzekļi (papildus 2013.gadā esošajiem budžeta bāzes izdevumiem) 70162 latu apmērā gadā jaunu četru amatu vietu atlīdzībai un uzturēšanai atbilstoši minētajai koncepcijai. Ievērojot Ministru kabineta 2013.gada 19.februāra rīkojuma Nr.57 6.punktu, jautājums par attiecīgo finanšu līdzekļu piešķiršanu VARAM ir izskatīts Ministru kabineta 2013.gada 27.augusta sēdē (prot. Nr.46, 102.§ „Par valsts budžeta jaunajām politikas iniciatīvām 2014., 2015. un 2016.gadam”). Tajā tika atbalstīts VARAM sniegtais valsts budžeta līdzekļu pieprasījums jaunās politikas iniciatīvas īstenošanai 2014.-2016.gadam, lai nodrošinātu VARAM uzdevumu izpildi valsts IKT pārvaldības jomā atbilstoši paredzētajiem grozījumiem nolikumā, iepriekšminētajā apmērā (70162 lati gadā).</w:t>
            </w:r>
          </w:p>
          <w:p w:rsidR="008554D9" w:rsidRPr="008554D9" w:rsidRDefault="008554D9" w:rsidP="008554D9">
            <w:pPr>
              <w:pStyle w:val="naisf"/>
              <w:tabs>
                <w:tab w:val="left" w:pos="4644"/>
              </w:tabs>
              <w:spacing w:before="0" w:after="0"/>
              <w:ind w:firstLine="198"/>
              <w:rPr>
                <w:sz w:val="22"/>
                <w:szCs w:val="22"/>
              </w:rPr>
            </w:pPr>
            <w:r w:rsidRPr="008554D9">
              <w:rPr>
                <w:sz w:val="22"/>
                <w:szCs w:val="22"/>
              </w:rPr>
              <w:t>Jaunās amata vietas, kuras ir paredzēts izveidot VARAM sakarā ar grozījumiem nolikumā, ir šādas:</w:t>
            </w:r>
          </w:p>
          <w:p w:rsidR="008554D9" w:rsidRPr="008554D9" w:rsidRDefault="008554D9" w:rsidP="008554D9">
            <w:pPr>
              <w:pStyle w:val="naisf"/>
              <w:tabs>
                <w:tab w:val="left" w:pos="4644"/>
              </w:tabs>
              <w:spacing w:before="0" w:after="0"/>
              <w:ind w:firstLine="198"/>
              <w:rPr>
                <w:sz w:val="22"/>
                <w:szCs w:val="22"/>
              </w:rPr>
            </w:pPr>
            <w:r w:rsidRPr="008554D9">
              <w:rPr>
                <w:sz w:val="22"/>
                <w:szCs w:val="22"/>
              </w:rPr>
              <w:t>1. IKT infrastruktūras arhitekts;</w:t>
            </w:r>
          </w:p>
          <w:p w:rsidR="008554D9" w:rsidRPr="008554D9" w:rsidRDefault="008554D9" w:rsidP="008554D9">
            <w:pPr>
              <w:pStyle w:val="naisf"/>
              <w:tabs>
                <w:tab w:val="left" w:pos="4644"/>
              </w:tabs>
              <w:spacing w:before="0" w:after="0"/>
              <w:ind w:firstLine="198"/>
              <w:rPr>
                <w:sz w:val="22"/>
                <w:szCs w:val="22"/>
              </w:rPr>
            </w:pPr>
            <w:r w:rsidRPr="008554D9">
              <w:rPr>
                <w:sz w:val="22"/>
                <w:szCs w:val="22"/>
              </w:rPr>
              <w:t>2. IKT infrastruktūras speciālists;</w:t>
            </w:r>
          </w:p>
          <w:p w:rsidR="008554D9" w:rsidRPr="008554D9" w:rsidRDefault="008554D9" w:rsidP="008554D9">
            <w:pPr>
              <w:pStyle w:val="naisf"/>
              <w:tabs>
                <w:tab w:val="left" w:pos="4644"/>
              </w:tabs>
              <w:spacing w:before="0" w:after="0"/>
              <w:ind w:firstLine="198"/>
              <w:rPr>
                <w:sz w:val="22"/>
                <w:szCs w:val="22"/>
              </w:rPr>
            </w:pPr>
            <w:r w:rsidRPr="008554D9">
              <w:rPr>
                <w:sz w:val="22"/>
                <w:szCs w:val="22"/>
              </w:rPr>
              <w:t>3. IKT pakalpojumu pārvaldības eksperts;</w:t>
            </w:r>
          </w:p>
          <w:p w:rsidR="008554D9" w:rsidRPr="008554D9" w:rsidRDefault="008554D9" w:rsidP="008554D9">
            <w:pPr>
              <w:pStyle w:val="naisf"/>
              <w:tabs>
                <w:tab w:val="left" w:pos="4644"/>
              </w:tabs>
              <w:spacing w:before="0" w:after="0"/>
              <w:ind w:firstLine="198"/>
              <w:rPr>
                <w:sz w:val="22"/>
                <w:szCs w:val="22"/>
              </w:rPr>
            </w:pPr>
            <w:r w:rsidRPr="008554D9">
              <w:rPr>
                <w:sz w:val="22"/>
                <w:szCs w:val="22"/>
              </w:rPr>
              <w:t>4. IKT pakalpojumu pārvaldības speciālists.</w:t>
            </w:r>
          </w:p>
          <w:p w:rsidR="008554D9" w:rsidRPr="008554D9" w:rsidRDefault="008554D9" w:rsidP="008554D9">
            <w:pPr>
              <w:pStyle w:val="naisf"/>
              <w:tabs>
                <w:tab w:val="left" w:pos="4644"/>
              </w:tabs>
              <w:spacing w:before="0" w:after="0"/>
              <w:ind w:firstLine="198"/>
              <w:rPr>
                <w:sz w:val="22"/>
                <w:szCs w:val="22"/>
              </w:rPr>
            </w:pPr>
            <w:r w:rsidRPr="008554D9">
              <w:rPr>
                <w:sz w:val="22"/>
                <w:szCs w:val="22"/>
              </w:rPr>
              <w:t>IKT infrastruktūras arhitekts un IKT infrastruktūras speciālists būs atbildīgi par valsts politikas un normatīvo aktu izstrādi, to ieviešanas koordināciju un uzraudzību, kā arī metodisko vadību valsts IKT infrastruktūras uzturēšanas un attīstības jomā. IKT infrastruktūras arhitekts un IKT infrastruktūras speciālists, ievērojot koncepciju, nodrošinās uzdevumu izpildi attiecībā uz IKT infrastruktūras arhitektūras izstrādi, IKT infrastruktūras optimizācijas plāna izstrādi, gala iekārtu izmantošanas un pārvaldības principu un IKT resursu iegādes un izmantošanas principu izstrādi.</w:t>
            </w:r>
          </w:p>
          <w:p w:rsidR="00953C9E" w:rsidRPr="00EE1236" w:rsidRDefault="008554D9" w:rsidP="008554D9">
            <w:pPr>
              <w:pStyle w:val="naisf"/>
              <w:tabs>
                <w:tab w:val="left" w:pos="4644"/>
              </w:tabs>
              <w:spacing w:before="0" w:after="0"/>
              <w:ind w:firstLine="198"/>
              <w:rPr>
                <w:sz w:val="22"/>
                <w:szCs w:val="22"/>
              </w:rPr>
            </w:pPr>
            <w:r w:rsidRPr="008554D9">
              <w:rPr>
                <w:sz w:val="22"/>
                <w:szCs w:val="22"/>
              </w:rPr>
              <w:t xml:space="preserve">IKT pakalpojumu pārvaldības eksperts un IKT pakalpojumu pārvaldības speciālists </w:t>
            </w:r>
            <w:r w:rsidRPr="008554D9">
              <w:rPr>
                <w:sz w:val="22"/>
                <w:szCs w:val="22"/>
              </w:rPr>
              <w:lastRenderedPageBreak/>
              <w:t>būs atbildīgi par valsts politikas un normatīvo aktu izstrādi, to ieviešanas koordināciju un uzraudzību, kā arī metodisko vadību valsts IKT pakalpojumu pārvaldības jomā. IKT pakalpojumu pārvaldības eksperts un IKT pakalpojumu pārvaldības speciālists, ievērojot koncepciju, nodrošinās uzdevumu izpildi attiecībā uz IKT pārvaldības procesu vadlīniju izstrādi, standartu un vadlīniju izstrādi elektronizēto valsts pārvaldes procesu darbības nepārtrauktībai, uzticamībai un drošībai, IKT izmaksu uzskaites un budžeta plānošanas principu un vadlīniju izstrādi, kā arī IKT attīstības projektu īstenošanas kvalitātes uzlabošanu, tajā skaitā, izstrādājot projektu vadības un izstrādes metožu vadlīnijas un nodrošinot to ieviešanu.</w:t>
            </w:r>
          </w:p>
        </w:tc>
      </w:tr>
    </w:tbl>
    <w:p w:rsidR="008822EE" w:rsidRDefault="008822EE" w:rsidP="00B41D21">
      <w:pPr>
        <w:ind w:firstLine="374"/>
        <w:jc w:val="both"/>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2"/>
        <w:gridCol w:w="3953"/>
        <w:gridCol w:w="4961"/>
      </w:tblGrid>
      <w:tr w:rsidR="00104228" w:rsidRPr="004A6A39" w:rsidTr="00B52715">
        <w:tc>
          <w:tcPr>
            <w:tcW w:w="5000" w:type="pct"/>
            <w:gridSpan w:val="3"/>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jc w:val="center"/>
              <w:rPr>
                <w:rFonts w:eastAsia="Times New Roman"/>
                <w:b/>
                <w:bCs/>
                <w:szCs w:val="28"/>
                <w:lang w:eastAsia="lv-LV"/>
              </w:rPr>
            </w:pPr>
            <w:r w:rsidRPr="004A6A39">
              <w:rPr>
                <w:rFonts w:eastAsia="Times New Roman"/>
                <w:b/>
                <w:bCs/>
                <w:szCs w:val="28"/>
                <w:lang w:eastAsia="lv-LV"/>
              </w:rPr>
              <w:t>VII. Tiesību akta projekta izpildes nodrošināšana un tās ietekme uz institūcijām</w:t>
            </w:r>
          </w:p>
        </w:tc>
      </w:tr>
      <w:tr w:rsidR="00104228" w:rsidRPr="004A6A39" w:rsidTr="00B52715">
        <w:tc>
          <w:tcPr>
            <w:tcW w:w="251"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1.</w:t>
            </w:r>
          </w:p>
        </w:tc>
        <w:tc>
          <w:tcPr>
            <w:tcW w:w="2106"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rPr>
                <w:rFonts w:eastAsia="Times New Roman"/>
                <w:szCs w:val="28"/>
                <w:lang w:eastAsia="lv-LV"/>
              </w:rPr>
            </w:pPr>
            <w:r w:rsidRPr="004A6A39">
              <w:rPr>
                <w:rFonts w:eastAsia="Times New Roman"/>
                <w:szCs w:val="28"/>
                <w:lang w:eastAsia="lv-LV"/>
              </w:rPr>
              <w:t>Projekta izpildē iesaistītās institūcijas</w:t>
            </w:r>
          </w:p>
        </w:tc>
        <w:tc>
          <w:tcPr>
            <w:tcW w:w="2643"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jc w:val="both"/>
              <w:rPr>
                <w:rFonts w:eastAsia="Times New Roman"/>
                <w:szCs w:val="28"/>
                <w:lang w:eastAsia="lv-LV"/>
              </w:rPr>
            </w:pPr>
            <w:r w:rsidRPr="004A6A39">
              <w:rPr>
                <w:rFonts w:eastAsia="Times New Roman"/>
                <w:szCs w:val="28"/>
                <w:lang w:eastAsia="lv-LV"/>
              </w:rPr>
              <w:t xml:space="preserve">Projekta izpildi nodrošinās </w:t>
            </w:r>
            <w:r>
              <w:rPr>
                <w:rFonts w:eastAsia="Times New Roman"/>
                <w:szCs w:val="28"/>
                <w:lang w:eastAsia="lv-LV"/>
              </w:rPr>
              <w:t>VARAM</w:t>
            </w:r>
            <w:r w:rsidRPr="004A6A39">
              <w:rPr>
                <w:rFonts w:eastAsia="Times New Roman"/>
                <w:szCs w:val="28"/>
                <w:lang w:eastAsia="lv-LV"/>
              </w:rPr>
              <w:t>.</w:t>
            </w:r>
          </w:p>
        </w:tc>
      </w:tr>
      <w:tr w:rsidR="00104228" w:rsidRPr="004A6A39" w:rsidTr="00B52715">
        <w:tc>
          <w:tcPr>
            <w:tcW w:w="251"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2.</w:t>
            </w:r>
          </w:p>
        </w:tc>
        <w:tc>
          <w:tcPr>
            <w:tcW w:w="2106"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rPr>
                <w:rFonts w:eastAsia="Times New Roman"/>
                <w:szCs w:val="28"/>
                <w:lang w:eastAsia="lv-LV"/>
              </w:rPr>
            </w:pPr>
            <w:r w:rsidRPr="004A6A39">
              <w:rPr>
                <w:rFonts w:eastAsia="Times New Roman"/>
                <w:szCs w:val="28"/>
                <w:lang w:eastAsia="lv-LV"/>
              </w:rPr>
              <w:t>Projekta izpildes ietekme uz pārvaldes funkcijām</w:t>
            </w:r>
          </w:p>
        </w:tc>
        <w:tc>
          <w:tcPr>
            <w:tcW w:w="2643" w:type="pct"/>
            <w:tcBorders>
              <w:top w:val="outset" w:sz="6" w:space="0" w:color="000000"/>
              <w:left w:val="outset" w:sz="6" w:space="0" w:color="000000"/>
              <w:bottom w:val="outset" w:sz="6" w:space="0" w:color="000000"/>
              <w:right w:val="outset" w:sz="6" w:space="0" w:color="000000"/>
            </w:tcBorders>
          </w:tcPr>
          <w:p w:rsidR="00104228" w:rsidRPr="00C164AF" w:rsidRDefault="00104228" w:rsidP="00F0733F">
            <w:pPr>
              <w:spacing w:before="100" w:beforeAutospacing="1" w:after="100" w:afterAutospacing="1"/>
              <w:ind w:firstLine="253"/>
              <w:jc w:val="both"/>
              <w:rPr>
                <w:rFonts w:eastAsia="Times New Roman"/>
                <w:lang w:eastAsia="lv-LV"/>
              </w:rPr>
            </w:pPr>
            <w:r w:rsidRPr="00C164AF">
              <w:rPr>
                <w:rFonts w:eastAsia="Times New Roman"/>
                <w:lang w:eastAsia="lv-LV"/>
              </w:rPr>
              <w:t>Projekt</w:t>
            </w:r>
            <w:r w:rsidR="009F5941">
              <w:rPr>
                <w:rFonts w:eastAsia="Times New Roman"/>
                <w:lang w:eastAsia="lv-LV"/>
              </w:rPr>
              <w:t>s</w:t>
            </w:r>
            <w:r w:rsidRPr="00C164AF">
              <w:rPr>
                <w:rFonts w:eastAsia="Times New Roman"/>
                <w:lang w:eastAsia="lv-LV"/>
              </w:rPr>
              <w:t xml:space="preserve"> papildina uzdevumus, kuri ietilpst VARAM kompetencē</w:t>
            </w:r>
            <w:r w:rsidR="00C164AF" w:rsidRPr="00C164AF">
              <w:rPr>
                <w:rFonts w:eastAsia="Times New Roman"/>
                <w:lang w:eastAsia="lv-LV"/>
              </w:rPr>
              <w:t xml:space="preserve">, īstenojot politiku </w:t>
            </w:r>
            <w:r w:rsidR="00957A1B" w:rsidRPr="00957A1B">
              <w:rPr>
                <w:bCs/>
              </w:rPr>
              <w:t>informācijas sabiedrības, elektroniskās pārvaldes un valsts IKT pārvaldības jomā.</w:t>
            </w:r>
            <w:r w:rsidR="009F5941">
              <w:rPr>
                <w:bCs/>
              </w:rPr>
              <w:t xml:space="preserve"> Tāpat projekts izslēdz no VARAM kompetences valsts investīcijas un ar to saistītās politikas plānošanu. </w:t>
            </w:r>
          </w:p>
        </w:tc>
      </w:tr>
      <w:tr w:rsidR="00104228" w:rsidRPr="004A6A39" w:rsidTr="00B52715">
        <w:tc>
          <w:tcPr>
            <w:tcW w:w="251"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3.</w:t>
            </w:r>
          </w:p>
        </w:tc>
        <w:tc>
          <w:tcPr>
            <w:tcW w:w="2106"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rPr>
                <w:rFonts w:eastAsia="Times New Roman"/>
                <w:szCs w:val="28"/>
                <w:lang w:eastAsia="lv-LV"/>
              </w:rPr>
            </w:pPr>
            <w:r w:rsidRPr="004A6A39">
              <w:rPr>
                <w:rFonts w:eastAsia="Times New Roman"/>
                <w:szCs w:val="28"/>
                <w:lang w:eastAsia="lv-LV"/>
              </w:rPr>
              <w:t>Projekta izpildes ietekme uz pārvaldes institucionālo struktūru.</w:t>
            </w:r>
          </w:p>
          <w:p w:rsidR="00104228" w:rsidRPr="004A6A39" w:rsidRDefault="00104228" w:rsidP="00104228">
            <w:pPr>
              <w:rPr>
                <w:rFonts w:eastAsia="Times New Roman"/>
                <w:szCs w:val="28"/>
                <w:lang w:eastAsia="lv-LV"/>
              </w:rPr>
            </w:pPr>
            <w:r w:rsidRPr="004A6A39">
              <w:rPr>
                <w:rFonts w:eastAsia="Times New Roman"/>
                <w:szCs w:val="28"/>
                <w:lang w:eastAsia="lv-LV"/>
              </w:rPr>
              <w:t>Jaunu institūciju izveide</w:t>
            </w:r>
          </w:p>
        </w:tc>
        <w:tc>
          <w:tcPr>
            <w:tcW w:w="2643"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jc w:val="both"/>
              <w:rPr>
                <w:rFonts w:eastAsia="Times New Roman"/>
                <w:szCs w:val="28"/>
                <w:lang w:eastAsia="lv-LV"/>
              </w:rPr>
            </w:pPr>
            <w:r w:rsidRPr="004A6A39">
              <w:rPr>
                <w:rFonts w:eastAsia="Times New Roman"/>
                <w:szCs w:val="28"/>
                <w:lang w:eastAsia="lv-LV"/>
              </w:rPr>
              <w:t>Projekts šo jomu neskar.</w:t>
            </w:r>
          </w:p>
        </w:tc>
      </w:tr>
      <w:tr w:rsidR="00104228" w:rsidRPr="004A6A39" w:rsidTr="00B52715">
        <w:tc>
          <w:tcPr>
            <w:tcW w:w="251"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4.</w:t>
            </w:r>
          </w:p>
        </w:tc>
        <w:tc>
          <w:tcPr>
            <w:tcW w:w="2106"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rPr>
                <w:rFonts w:eastAsia="Times New Roman"/>
                <w:szCs w:val="28"/>
                <w:lang w:eastAsia="lv-LV"/>
              </w:rPr>
            </w:pPr>
            <w:r w:rsidRPr="004A6A39">
              <w:rPr>
                <w:rFonts w:eastAsia="Times New Roman"/>
                <w:szCs w:val="28"/>
                <w:lang w:eastAsia="lv-LV"/>
              </w:rPr>
              <w:t>Projekta izpildes ietekme uz pārvaldes institucionālo struktūru.</w:t>
            </w:r>
          </w:p>
          <w:p w:rsidR="00104228" w:rsidRPr="004A6A39" w:rsidRDefault="00104228" w:rsidP="00104228">
            <w:pPr>
              <w:rPr>
                <w:rFonts w:eastAsia="Times New Roman"/>
                <w:szCs w:val="28"/>
                <w:lang w:eastAsia="lv-LV"/>
              </w:rPr>
            </w:pPr>
            <w:r w:rsidRPr="004A6A39">
              <w:rPr>
                <w:rFonts w:eastAsia="Times New Roman"/>
                <w:szCs w:val="28"/>
                <w:lang w:eastAsia="lv-LV"/>
              </w:rPr>
              <w:t>Esošu institūciju likvidācija</w:t>
            </w:r>
          </w:p>
        </w:tc>
        <w:tc>
          <w:tcPr>
            <w:tcW w:w="2643"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jc w:val="both"/>
              <w:rPr>
                <w:rFonts w:eastAsia="Times New Roman"/>
                <w:szCs w:val="28"/>
                <w:lang w:eastAsia="lv-LV"/>
              </w:rPr>
            </w:pPr>
            <w:r w:rsidRPr="004A6A39">
              <w:rPr>
                <w:rFonts w:eastAsia="Times New Roman"/>
                <w:szCs w:val="28"/>
                <w:lang w:eastAsia="lv-LV"/>
              </w:rPr>
              <w:t>Projekts šo jomu neskar.</w:t>
            </w:r>
          </w:p>
        </w:tc>
      </w:tr>
      <w:tr w:rsidR="00104228" w:rsidRPr="004A6A39" w:rsidTr="00B52715">
        <w:tc>
          <w:tcPr>
            <w:tcW w:w="251"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5.</w:t>
            </w:r>
          </w:p>
        </w:tc>
        <w:tc>
          <w:tcPr>
            <w:tcW w:w="2106"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rPr>
                <w:rFonts w:eastAsia="Times New Roman"/>
                <w:szCs w:val="28"/>
                <w:lang w:eastAsia="lv-LV"/>
              </w:rPr>
            </w:pPr>
            <w:r w:rsidRPr="004A6A39">
              <w:rPr>
                <w:rFonts w:eastAsia="Times New Roman"/>
                <w:szCs w:val="28"/>
                <w:lang w:eastAsia="lv-LV"/>
              </w:rPr>
              <w:t>Projekta izpildes ietekme uz pārvaldes institucionālo struktūru.</w:t>
            </w:r>
          </w:p>
          <w:p w:rsidR="00104228" w:rsidRPr="004A6A39" w:rsidRDefault="00104228" w:rsidP="00104228">
            <w:pPr>
              <w:rPr>
                <w:rFonts w:eastAsia="Times New Roman"/>
                <w:szCs w:val="28"/>
                <w:lang w:eastAsia="lv-LV"/>
              </w:rPr>
            </w:pPr>
            <w:r w:rsidRPr="004A6A39">
              <w:rPr>
                <w:rFonts w:eastAsia="Times New Roman"/>
                <w:szCs w:val="28"/>
                <w:lang w:eastAsia="lv-LV"/>
              </w:rPr>
              <w:t>Esošu institūciju reorganizācija</w:t>
            </w:r>
          </w:p>
        </w:tc>
        <w:tc>
          <w:tcPr>
            <w:tcW w:w="2643"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jc w:val="both"/>
              <w:rPr>
                <w:rFonts w:eastAsia="Times New Roman"/>
                <w:szCs w:val="28"/>
                <w:lang w:eastAsia="lv-LV"/>
              </w:rPr>
            </w:pPr>
            <w:r w:rsidRPr="004A6A39">
              <w:rPr>
                <w:rFonts w:eastAsia="Times New Roman"/>
                <w:szCs w:val="28"/>
                <w:lang w:eastAsia="lv-LV"/>
              </w:rPr>
              <w:t>Projekts šo jomu neskar.</w:t>
            </w:r>
          </w:p>
        </w:tc>
      </w:tr>
      <w:tr w:rsidR="00104228" w:rsidRPr="004A6A39" w:rsidTr="00B52715">
        <w:tc>
          <w:tcPr>
            <w:tcW w:w="251"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6.</w:t>
            </w:r>
          </w:p>
        </w:tc>
        <w:tc>
          <w:tcPr>
            <w:tcW w:w="2106"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rPr>
                <w:rFonts w:eastAsia="Times New Roman"/>
                <w:szCs w:val="28"/>
                <w:lang w:eastAsia="lv-LV"/>
              </w:rPr>
            </w:pPr>
            <w:r w:rsidRPr="004A6A39">
              <w:rPr>
                <w:rFonts w:eastAsia="Times New Roman"/>
                <w:szCs w:val="28"/>
                <w:lang w:eastAsia="lv-LV"/>
              </w:rPr>
              <w:t>Cita informācija</w:t>
            </w:r>
          </w:p>
        </w:tc>
        <w:tc>
          <w:tcPr>
            <w:tcW w:w="2643" w:type="pct"/>
            <w:tcBorders>
              <w:top w:val="outset" w:sz="6" w:space="0" w:color="000000"/>
              <w:left w:val="outset" w:sz="6" w:space="0" w:color="000000"/>
              <w:bottom w:val="outset" w:sz="6" w:space="0" w:color="000000"/>
              <w:right w:val="outset" w:sz="6" w:space="0" w:color="000000"/>
            </w:tcBorders>
          </w:tcPr>
          <w:p w:rsidR="00104228" w:rsidRPr="004A6A39" w:rsidRDefault="00104228" w:rsidP="00104228">
            <w:pPr>
              <w:spacing w:before="100" w:beforeAutospacing="1" w:after="100" w:afterAutospacing="1"/>
              <w:rPr>
                <w:rFonts w:eastAsia="Times New Roman"/>
                <w:szCs w:val="28"/>
                <w:lang w:eastAsia="lv-LV"/>
              </w:rPr>
            </w:pPr>
            <w:r w:rsidRPr="004A6A39">
              <w:rPr>
                <w:rFonts w:eastAsia="Times New Roman"/>
                <w:szCs w:val="28"/>
                <w:lang w:eastAsia="lv-LV"/>
              </w:rPr>
              <w:t>Nav.</w:t>
            </w:r>
          </w:p>
        </w:tc>
      </w:tr>
    </w:tbl>
    <w:p w:rsidR="00BD4EC8" w:rsidRPr="008D55BF" w:rsidRDefault="00BD4EC8" w:rsidP="00B2294B">
      <w:pPr>
        <w:spacing w:before="240"/>
        <w:ind w:firstLine="374"/>
        <w:jc w:val="both"/>
      </w:pPr>
      <w:r w:rsidRPr="008D55BF">
        <w:t>Anotācijas II, IV, V</w:t>
      </w:r>
      <w:r w:rsidR="00104228">
        <w:t xml:space="preserve"> un </w:t>
      </w:r>
      <w:r w:rsidRPr="008D55BF">
        <w:t>VI sadaļa – projekts šīs jomas neskar.</w:t>
      </w:r>
    </w:p>
    <w:p w:rsidR="005D4CAC" w:rsidRPr="004148CE" w:rsidRDefault="005D4CAC" w:rsidP="00746E78">
      <w:pPr>
        <w:pStyle w:val="naisf"/>
        <w:tabs>
          <w:tab w:val="left" w:pos="6840"/>
        </w:tabs>
        <w:spacing w:before="480" w:after="0"/>
        <w:ind w:left="720" w:firstLine="0"/>
        <w:jc w:val="left"/>
        <w:rPr>
          <w:szCs w:val="28"/>
        </w:rPr>
      </w:pPr>
      <w:r w:rsidRPr="004148CE">
        <w:rPr>
          <w:szCs w:val="28"/>
        </w:rPr>
        <w:t>Vides aizsardzības un reģionālās attīstības</w:t>
      </w:r>
      <w:r w:rsidR="00AF276D">
        <w:rPr>
          <w:szCs w:val="28"/>
        </w:rPr>
        <w:t xml:space="preserve"> </w:t>
      </w:r>
      <w:r w:rsidRPr="004148CE">
        <w:rPr>
          <w:szCs w:val="28"/>
        </w:rPr>
        <w:t>ministrs</w:t>
      </w:r>
      <w:r w:rsidRPr="004148CE">
        <w:rPr>
          <w:szCs w:val="28"/>
        </w:rPr>
        <w:tab/>
      </w:r>
      <w:r w:rsidR="00013ED8">
        <w:rPr>
          <w:szCs w:val="28"/>
        </w:rPr>
        <w:tab/>
      </w:r>
      <w:r>
        <w:rPr>
          <w:szCs w:val="28"/>
        </w:rPr>
        <w:t>E</w:t>
      </w:r>
      <w:r w:rsidRPr="004148CE">
        <w:rPr>
          <w:szCs w:val="28"/>
        </w:rPr>
        <w:t>.</w:t>
      </w:r>
      <w:r>
        <w:rPr>
          <w:szCs w:val="28"/>
        </w:rPr>
        <w:t>Sprūdžs</w:t>
      </w:r>
    </w:p>
    <w:p w:rsidR="005D4CAC" w:rsidRPr="004148CE" w:rsidRDefault="005D4CAC" w:rsidP="00746E78">
      <w:pPr>
        <w:pStyle w:val="naisf"/>
        <w:tabs>
          <w:tab w:val="left" w:pos="6840"/>
        </w:tabs>
        <w:spacing w:before="240" w:after="0"/>
        <w:ind w:left="720" w:firstLine="0"/>
        <w:jc w:val="left"/>
        <w:rPr>
          <w:szCs w:val="28"/>
        </w:rPr>
      </w:pPr>
      <w:r w:rsidRPr="004148CE">
        <w:rPr>
          <w:szCs w:val="28"/>
        </w:rPr>
        <w:t>Vizē:</w:t>
      </w:r>
      <w:r w:rsidRPr="004148CE">
        <w:rPr>
          <w:szCs w:val="28"/>
        </w:rPr>
        <w:br/>
        <w:t>Vides aizsardzības un reģionālās attīstības</w:t>
      </w:r>
      <w:r>
        <w:rPr>
          <w:szCs w:val="28"/>
        </w:rPr>
        <w:t xml:space="preserve"> </w:t>
      </w:r>
      <w:r w:rsidRPr="004148CE">
        <w:rPr>
          <w:szCs w:val="28"/>
        </w:rPr>
        <w:t>ministrijas</w:t>
      </w:r>
      <w:r>
        <w:rPr>
          <w:szCs w:val="28"/>
        </w:rPr>
        <w:br/>
        <w:t>valsts sekretār</w:t>
      </w:r>
      <w:r w:rsidRPr="004148CE">
        <w:rPr>
          <w:szCs w:val="28"/>
        </w:rPr>
        <w:t>s</w:t>
      </w:r>
      <w:r w:rsidRPr="004148CE">
        <w:rPr>
          <w:szCs w:val="28"/>
        </w:rPr>
        <w:tab/>
      </w:r>
      <w:r>
        <w:rPr>
          <w:szCs w:val="28"/>
        </w:rPr>
        <w:tab/>
      </w:r>
      <w:r w:rsidR="0027238E">
        <w:rPr>
          <w:szCs w:val="28"/>
        </w:rPr>
        <w:t>A.Antonovs</w:t>
      </w:r>
      <w:r>
        <w:rPr>
          <w:szCs w:val="28"/>
        </w:rPr>
        <w:t xml:space="preserve"> </w:t>
      </w:r>
    </w:p>
    <w:p w:rsidR="0027238E" w:rsidRPr="00297CC7" w:rsidRDefault="00296D72" w:rsidP="00746E78">
      <w:pPr>
        <w:spacing w:before="600"/>
        <w:rPr>
          <w:sz w:val="22"/>
          <w:szCs w:val="22"/>
        </w:rPr>
      </w:pPr>
      <w:r w:rsidRPr="00297CC7">
        <w:rPr>
          <w:sz w:val="22"/>
          <w:szCs w:val="22"/>
        </w:rPr>
        <w:fldChar w:fldCharType="begin"/>
      </w:r>
      <w:r w:rsidR="0027238E" w:rsidRPr="00297CC7">
        <w:rPr>
          <w:sz w:val="22"/>
          <w:szCs w:val="22"/>
        </w:rPr>
        <w:instrText xml:space="preserve"> SAVEDATE  \@ "dd.MM.yyyy. H:mm"  \* MERGEFORMAT </w:instrText>
      </w:r>
      <w:r w:rsidRPr="00297CC7">
        <w:rPr>
          <w:sz w:val="22"/>
          <w:szCs w:val="22"/>
        </w:rPr>
        <w:fldChar w:fldCharType="separate"/>
      </w:r>
      <w:r w:rsidR="001712B4">
        <w:rPr>
          <w:noProof/>
          <w:sz w:val="22"/>
          <w:szCs w:val="22"/>
        </w:rPr>
        <w:t>01.10.2013. 9:37</w:t>
      </w:r>
      <w:r w:rsidRPr="00297CC7">
        <w:rPr>
          <w:sz w:val="22"/>
          <w:szCs w:val="22"/>
        </w:rPr>
        <w:fldChar w:fldCharType="end"/>
      </w:r>
    </w:p>
    <w:p w:rsidR="0027238E" w:rsidRPr="00297CC7" w:rsidRDefault="00296D72" w:rsidP="0027238E">
      <w:pPr>
        <w:rPr>
          <w:sz w:val="22"/>
          <w:szCs w:val="22"/>
        </w:rPr>
      </w:pPr>
      <w:r w:rsidRPr="00297CC7">
        <w:rPr>
          <w:sz w:val="22"/>
          <w:szCs w:val="22"/>
        </w:rPr>
        <w:fldChar w:fldCharType="begin"/>
      </w:r>
      <w:r w:rsidR="0027238E" w:rsidRPr="00297CC7">
        <w:rPr>
          <w:sz w:val="22"/>
          <w:szCs w:val="22"/>
        </w:rPr>
        <w:instrText xml:space="preserve"> NUMWORDS  \# "0"  \* MERGEFORMAT </w:instrText>
      </w:r>
      <w:r w:rsidRPr="00297CC7">
        <w:rPr>
          <w:sz w:val="22"/>
          <w:szCs w:val="22"/>
        </w:rPr>
        <w:fldChar w:fldCharType="separate"/>
      </w:r>
      <w:r w:rsidR="00ED1BB5">
        <w:rPr>
          <w:noProof/>
          <w:sz w:val="22"/>
          <w:szCs w:val="22"/>
        </w:rPr>
        <w:t>2422</w:t>
      </w:r>
      <w:r w:rsidRPr="00297CC7">
        <w:rPr>
          <w:sz w:val="22"/>
          <w:szCs w:val="22"/>
        </w:rPr>
        <w:fldChar w:fldCharType="end"/>
      </w:r>
    </w:p>
    <w:p w:rsidR="0027238E" w:rsidRPr="00297CC7" w:rsidRDefault="0027238E" w:rsidP="0027238E">
      <w:pPr>
        <w:jc w:val="both"/>
        <w:outlineLvl w:val="0"/>
        <w:rPr>
          <w:sz w:val="22"/>
          <w:szCs w:val="22"/>
        </w:rPr>
      </w:pPr>
      <w:r w:rsidRPr="00297CC7">
        <w:rPr>
          <w:sz w:val="22"/>
          <w:szCs w:val="22"/>
        </w:rPr>
        <w:t>Ķeņģis 66016528</w:t>
      </w:r>
    </w:p>
    <w:p w:rsidR="0027238E" w:rsidRDefault="00296D72" w:rsidP="0027238E">
      <w:pPr>
        <w:jc w:val="both"/>
        <w:rPr>
          <w:sz w:val="22"/>
          <w:szCs w:val="22"/>
        </w:rPr>
      </w:pPr>
      <w:hyperlink r:id="rId7" w:history="1">
        <w:r w:rsidR="00B41D21" w:rsidRPr="00591E88">
          <w:rPr>
            <w:rStyle w:val="Hyperlink"/>
            <w:sz w:val="22"/>
            <w:szCs w:val="22"/>
          </w:rPr>
          <w:t>vitalijs.kengis@varam.gov.lv</w:t>
        </w:r>
      </w:hyperlink>
    </w:p>
    <w:p w:rsidR="00B41D21" w:rsidRDefault="00B41D21" w:rsidP="00B41D21">
      <w:pPr>
        <w:jc w:val="both"/>
        <w:rPr>
          <w:sz w:val="22"/>
        </w:rPr>
      </w:pPr>
      <w:r w:rsidRPr="00400910">
        <w:rPr>
          <w:sz w:val="22"/>
        </w:rPr>
        <w:t>Putniņa 67026543</w:t>
      </w:r>
    </w:p>
    <w:p w:rsidR="00B41D21" w:rsidRPr="00297CC7" w:rsidRDefault="00296D72" w:rsidP="0027238E">
      <w:pPr>
        <w:jc w:val="both"/>
        <w:rPr>
          <w:sz w:val="22"/>
          <w:szCs w:val="22"/>
        </w:rPr>
      </w:pPr>
      <w:hyperlink r:id="rId8" w:history="1">
        <w:r w:rsidR="00B41D21" w:rsidRPr="00317BEC">
          <w:rPr>
            <w:rStyle w:val="Hyperlink"/>
            <w:sz w:val="22"/>
            <w:szCs w:val="20"/>
          </w:rPr>
          <w:t>aiga.putnina@varam.gov.lv</w:t>
        </w:r>
      </w:hyperlink>
    </w:p>
    <w:sectPr w:rsidR="00B41D21" w:rsidRPr="00297CC7" w:rsidSect="00B41D21">
      <w:headerReference w:type="even" r:id="rId9"/>
      <w:headerReference w:type="default" r:id="rId10"/>
      <w:footerReference w:type="default" r:id="rId11"/>
      <w:footerReference w:type="first" r:id="rId12"/>
      <w:pgSz w:w="11906" w:h="16838" w:code="9"/>
      <w:pgMar w:top="1247" w:right="1134" w:bottom="1247"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A3" w:rsidRDefault="00AE69A3">
      <w:r>
        <w:separator/>
      </w:r>
    </w:p>
  </w:endnote>
  <w:endnote w:type="continuationSeparator" w:id="0">
    <w:p w:rsidR="00AE69A3" w:rsidRDefault="00AE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9" w:rsidRPr="00555751" w:rsidRDefault="00296D72" w:rsidP="00555751">
    <w:pPr>
      <w:pStyle w:val="Footer"/>
      <w:jc w:val="both"/>
      <w:rPr>
        <w:szCs w:val="20"/>
      </w:rPr>
    </w:pPr>
    <w:fldSimple w:instr=" FILENAME   \* MERGEFORMAT ">
      <w:r w:rsidR="0026608A" w:rsidRPr="0026608A">
        <w:rPr>
          <w:noProof/>
          <w:sz w:val="20"/>
          <w:szCs w:val="20"/>
        </w:rPr>
        <w:t>VARAManot_011013_IKTgmn</w:t>
      </w:r>
    </w:fldSimple>
    <w:r w:rsidR="008554D9" w:rsidRPr="00555751">
      <w:rPr>
        <w:sz w:val="20"/>
        <w:szCs w:val="20"/>
      </w:rPr>
      <w:t xml:space="preserve">; </w:t>
    </w:r>
    <w:r w:rsidR="008554D9" w:rsidRPr="00F04CF4">
      <w:rPr>
        <w:sz w:val="20"/>
      </w:rPr>
      <w:t>Ministru kabineta noteikumu projekta „Grozījumi Ministru kabineta 2011.gada 29.marta noteikumos Nr.233 „Vides aizsardzības un reģionālās attīstības ministrijas nolikums””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9" w:rsidRPr="00555751" w:rsidRDefault="00296D72" w:rsidP="00555751">
    <w:pPr>
      <w:pStyle w:val="Footer"/>
      <w:jc w:val="both"/>
      <w:rPr>
        <w:sz w:val="20"/>
        <w:szCs w:val="20"/>
      </w:rPr>
    </w:pPr>
    <w:fldSimple w:instr=" FILENAME   \* MERGEFORMAT ">
      <w:r w:rsidR="0026608A" w:rsidRPr="0026608A">
        <w:rPr>
          <w:noProof/>
          <w:sz w:val="20"/>
          <w:szCs w:val="20"/>
        </w:rPr>
        <w:t>VARAManot_011013_IKTgmn</w:t>
      </w:r>
    </w:fldSimple>
    <w:r w:rsidR="008554D9" w:rsidRPr="00555751">
      <w:rPr>
        <w:sz w:val="20"/>
        <w:szCs w:val="20"/>
      </w:rPr>
      <w:t xml:space="preserve">; </w:t>
    </w:r>
    <w:r w:rsidR="008554D9" w:rsidRPr="00F04CF4">
      <w:rPr>
        <w:sz w:val="20"/>
        <w:szCs w:val="20"/>
      </w:rPr>
      <w:t>Ministru kabineta noteikumu projekta „Grozījumi Ministru kabineta 2011.gada 29.marta noteikumos Nr.233 „Vides aizsardzības un reģionālās attīstības ministrijas nolikums””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A3" w:rsidRDefault="00AE69A3">
      <w:r>
        <w:separator/>
      </w:r>
    </w:p>
  </w:footnote>
  <w:footnote w:type="continuationSeparator" w:id="0">
    <w:p w:rsidR="00AE69A3" w:rsidRDefault="00AE6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9" w:rsidRDefault="00296D72" w:rsidP="007F12D5">
    <w:pPr>
      <w:pStyle w:val="Header"/>
      <w:framePr w:wrap="around" w:vAnchor="text" w:hAnchor="margin" w:xAlign="center" w:y="1"/>
      <w:rPr>
        <w:rStyle w:val="PageNumber"/>
      </w:rPr>
    </w:pPr>
    <w:r>
      <w:rPr>
        <w:rStyle w:val="PageNumber"/>
      </w:rPr>
      <w:fldChar w:fldCharType="begin"/>
    </w:r>
    <w:r w:rsidR="008554D9">
      <w:rPr>
        <w:rStyle w:val="PageNumber"/>
      </w:rPr>
      <w:instrText xml:space="preserve">PAGE  </w:instrText>
    </w:r>
    <w:r>
      <w:rPr>
        <w:rStyle w:val="PageNumber"/>
      </w:rPr>
      <w:fldChar w:fldCharType="end"/>
    </w:r>
  </w:p>
  <w:p w:rsidR="008554D9" w:rsidRDefault="00855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9" w:rsidRPr="00BA5097" w:rsidRDefault="00296D72" w:rsidP="00D13FC8">
    <w:pPr>
      <w:pStyle w:val="Header"/>
      <w:framePr w:wrap="around" w:vAnchor="text" w:hAnchor="margin" w:xAlign="center" w:y="1"/>
      <w:spacing w:line="240" w:lineRule="auto"/>
      <w:rPr>
        <w:rStyle w:val="PageNumber"/>
        <w:sz w:val="22"/>
        <w:szCs w:val="22"/>
      </w:rPr>
    </w:pPr>
    <w:r w:rsidRPr="00BA5097">
      <w:rPr>
        <w:rStyle w:val="PageNumber"/>
        <w:sz w:val="22"/>
        <w:szCs w:val="22"/>
      </w:rPr>
      <w:fldChar w:fldCharType="begin"/>
    </w:r>
    <w:r w:rsidR="008554D9" w:rsidRPr="00BA5097">
      <w:rPr>
        <w:rStyle w:val="PageNumber"/>
        <w:sz w:val="22"/>
        <w:szCs w:val="22"/>
      </w:rPr>
      <w:instrText xml:space="preserve">PAGE  </w:instrText>
    </w:r>
    <w:r w:rsidRPr="00BA5097">
      <w:rPr>
        <w:rStyle w:val="PageNumber"/>
        <w:sz w:val="22"/>
        <w:szCs w:val="22"/>
      </w:rPr>
      <w:fldChar w:fldCharType="separate"/>
    </w:r>
    <w:r w:rsidR="001712B4">
      <w:rPr>
        <w:rStyle w:val="PageNumber"/>
        <w:noProof/>
        <w:sz w:val="22"/>
        <w:szCs w:val="22"/>
      </w:rPr>
      <w:t>7</w:t>
    </w:r>
    <w:r w:rsidRPr="00BA5097">
      <w:rPr>
        <w:rStyle w:val="PageNumber"/>
        <w:sz w:val="22"/>
        <w:szCs w:val="22"/>
      </w:rPr>
      <w:fldChar w:fldCharType="end"/>
    </w:r>
  </w:p>
  <w:p w:rsidR="008554D9" w:rsidRDefault="008554D9" w:rsidP="00D13FC8">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A"/>
    <w:multiLevelType w:val="multilevel"/>
    <w:tmpl w:val="65C0E14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2C64AC"/>
    <w:multiLevelType w:val="hybridMultilevel"/>
    <w:tmpl w:val="AB94E1C6"/>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hint="default"/>
      </w:rPr>
    </w:lvl>
    <w:lvl w:ilvl="8" w:tplc="04260005" w:tentative="1">
      <w:start w:val="1"/>
      <w:numFmt w:val="bullet"/>
      <w:lvlText w:val=""/>
      <w:lvlJc w:val="left"/>
      <w:pPr>
        <w:ind w:left="655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D4EC8"/>
    <w:rsid w:val="000113C6"/>
    <w:rsid w:val="00013ED8"/>
    <w:rsid w:val="00020D12"/>
    <w:rsid w:val="00023816"/>
    <w:rsid w:val="00027838"/>
    <w:rsid w:val="0003225B"/>
    <w:rsid w:val="00032265"/>
    <w:rsid w:val="000447C7"/>
    <w:rsid w:val="00047D7E"/>
    <w:rsid w:val="00070BFD"/>
    <w:rsid w:val="0007362E"/>
    <w:rsid w:val="000745FA"/>
    <w:rsid w:val="0008328F"/>
    <w:rsid w:val="000A0EEC"/>
    <w:rsid w:val="000A6491"/>
    <w:rsid w:val="000B108C"/>
    <w:rsid w:val="000C295D"/>
    <w:rsid w:val="000C7426"/>
    <w:rsid w:val="000E7347"/>
    <w:rsid w:val="000F575A"/>
    <w:rsid w:val="00103756"/>
    <w:rsid w:val="00104228"/>
    <w:rsid w:val="00110830"/>
    <w:rsid w:val="00114E75"/>
    <w:rsid w:val="0012441A"/>
    <w:rsid w:val="00126FE5"/>
    <w:rsid w:val="00133064"/>
    <w:rsid w:val="00150BD4"/>
    <w:rsid w:val="00153D50"/>
    <w:rsid w:val="00156155"/>
    <w:rsid w:val="00164E28"/>
    <w:rsid w:val="001712B4"/>
    <w:rsid w:val="0017747F"/>
    <w:rsid w:val="00187475"/>
    <w:rsid w:val="001A2B92"/>
    <w:rsid w:val="001B72B6"/>
    <w:rsid w:val="001C6B43"/>
    <w:rsid w:val="001C6C41"/>
    <w:rsid w:val="001E1702"/>
    <w:rsid w:val="002045AA"/>
    <w:rsid w:val="00211C4F"/>
    <w:rsid w:val="00212006"/>
    <w:rsid w:val="00213C73"/>
    <w:rsid w:val="00226800"/>
    <w:rsid w:val="0025160F"/>
    <w:rsid w:val="0026608A"/>
    <w:rsid w:val="00267A91"/>
    <w:rsid w:val="0027238E"/>
    <w:rsid w:val="00277412"/>
    <w:rsid w:val="00284F24"/>
    <w:rsid w:val="00296D72"/>
    <w:rsid w:val="002A7E79"/>
    <w:rsid w:val="002B6F66"/>
    <w:rsid w:val="002C3351"/>
    <w:rsid w:val="002C6F75"/>
    <w:rsid w:val="002D3868"/>
    <w:rsid w:val="002E3834"/>
    <w:rsid w:val="002F06FA"/>
    <w:rsid w:val="002F2B2D"/>
    <w:rsid w:val="0031064F"/>
    <w:rsid w:val="00316B8B"/>
    <w:rsid w:val="00343B0A"/>
    <w:rsid w:val="003440E0"/>
    <w:rsid w:val="003601E6"/>
    <w:rsid w:val="00363D8E"/>
    <w:rsid w:val="003751EB"/>
    <w:rsid w:val="00375877"/>
    <w:rsid w:val="0039604E"/>
    <w:rsid w:val="00396D4B"/>
    <w:rsid w:val="003A4FF2"/>
    <w:rsid w:val="003B5D5A"/>
    <w:rsid w:val="003C0998"/>
    <w:rsid w:val="003C26DF"/>
    <w:rsid w:val="003D6225"/>
    <w:rsid w:val="003E04F6"/>
    <w:rsid w:val="003F2B5A"/>
    <w:rsid w:val="003F460D"/>
    <w:rsid w:val="003F6791"/>
    <w:rsid w:val="00402F3A"/>
    <w:rsid w:val="00404B7E"/>
    <w:rsid w:val="00405D59"/>
    <w:rsid w:val="00412B2F"/>
    <w:rsid w:val="00425E60"/>
    <w:rsid w:val="00426B01"/>
    <w:rsid w:val="00427D4C"/>
    <w:rsid w:val="00436CF1"/>
    <w:rsid w:val="00437372"/>
    <w:rsid w:val="00451C1C"/>
    <w:rsid w:val="004533A1"/>
    <w:rsid w:val="00466007"/>
    <w:rsid w:val="004707AA"/>
    <w:rsid w:val="00474998"/>
    <w:rsid w:val="0048184A"/>
    <w:rsid w:val="004849FC"/>
    <w:rsid w:val="004B1DC0"/>
    <w:rsid w:val="004E1CCF"/>
    <w:rsid w:val="004F27B7"/>
    <w:rsid w:val="005018F9"/>
    <w:rsid w:val="005020AE"/>
    <w:rsid w:val="00522C1E"/>
    <w:rsid w:val="00527A94"/>
    <w:rsid w:val="0053428D"/>
    <w:rsid w:val="0053506C"/>
    <w:rsid w:val="00555751"/>
    <w:rsid w:val="00563094"/>
    <w:rsid w:val="0057341C"/>
    <w:rsid w:val="00573535"/>
    <w:rsid w:val="0058106D"/>
    <w:rsid w:val="00595613"/>
    <w:rsid w:val="00595CBF"/>
    <w:rsid w:val="005A48D7"/>
    <w:rsid w:val="005A5294"/>
    <w:rsid w:val="005A702D"/>
    <w:rsid w:val="005B031B"/>
    <w:rsid w:val="005B0516"/>
    <w:rsid w:val="005B49A2"/>
    <w:rsid w:val="005C0164"/>
    <w:rsid w:val="005C2069"/>
    <w:rsid w:val="005C20B3"/>
    <w:rsid w:val="005D4CAC"/>
    <w:rsid w:val="005E1B85"/>
    <w:rsid w:val="005F1681"/>
    <w:rsid w:val="005F3B1C"/>
    <w:rsid w:val="005F7FB1"/>
    <w:rsid w:val="00617AEC"/>
    <w:rsid w:val="00622899"/>
    <w:rsid w:val="00635AE2"/>
    <w:rsid w:val="00641D0E"/>
    <w:rsid w:val="00645468"/>
    <w:rsid w:val="00646B1F"/>
    <w:rsid w:val="00656F38"/>
    <w:rsid w:val="00660655"/>
    <w:rsid w:val="00665174"/>
    <w:rsid w:val="00670BC1"/>
    <w:rsid w:val="006737B8"/>
    <w:rsid w:val="00673BDD"/>
    <w:rsid w:val="00695CD8"/>
    <w:rsid w:val="006A7BCD"/>
    <w:rsid w:val="006B492A"/>
    <w:rsid w:val="006D0366"/>
    <w:rsid w:val="006E65AD"/>
    <w:rsid w:val="006F4B43"/>
    <w:rsid w:val="0071178A"/>
    <w:rsid w:val="00711CD9"/>
    <w:rsid w:val="00732E8E"/>
    <w:rsid w:val="0074190E"/>
    <w:rsid w:val="00746E78"/>
    <w:rsid w:val="00752617"/>
    <w:rsid w:val="0076639D"/>
    <w:rsid w:val="00775471"/>
    <w:rsid w:val="007A4EDF"/>
    <w:rsid w:val="007B3E1C"/>
    <w:rsid w:val="007B6F34"/>
    <w:rsid w:val="007C1D3E"/>
    <w:rsid w:val="007D56BD"/>
    <w:rsid w:val="007E0496"/>
    <w:rsid w:val="007E1DEB"/>
    <w:rsid w:val="007E290B"/>
    <w:rsid w:val="007F0704"/>
    <w:rsid w:val="007F0CC8"/>
    <w:rsid w:val="007F12D5"/>
    <w:rsid w:val="007F5411"/>
    <w:rsid w:val="007F5CCC"/>
    <w:rsid w:val="008036C1"/>
    <w:rsid w:val="00806597"/>
    <w:rsid w:val="00823050"/>
    <w:rsid w:val="0082506D"/>
    <w:rsid w:val="00827606"/>
    <w:rsid w:val="008339CB"/>
    <w:rsid w:val="00837944"/>
    <w:rsid w:val="00845CAE"/>
    <w:rsid w:val="008554D9"/>
    <w:rsid w:val="00860FD7"/>
    <w:rsid w:val="008652DC"/>
    <w:rsid w:val="0086758E"/>
    <w:rsid w:val="00871495"/>
    <w:rsid w:val="00873886"/>
    <w:rsid w:val="00874A67"/>
    <w:rsid w:val="008822EE"/>
    <w:rsid w:val="008A4D57"/>
    <w:rsid w:val="008D2023"/>
    <w:rsid w:val="008D33C6"/>
    <w:rsid w:val="008D55BF"/>
    <w:rsid w:val="008F551B"/>
    <w:rsid w:val="009137DB"/>
    <w:rsid w:val="00930EFA"/>
    <w:rsid w:val="00935B59"/>
    <w:rsid w:val="00952C5D"/>
    <w:rsid w:val="00952E2C"/>
    <w:rsid w:val="00953C9E"/>
    <w:rsid w:val="00957A1B"/>
    <w:rsid w:val="0096139F"/>
    <w:rsid w:val="009615A8"/>
    <w:rsid w:val="0096586E"/>
    <w:rsid w:val="00974F88"/>
    <w:rsid w:val="009819EF"/>
    <w:rsid w:val="009841B9"/>
    <w:rsid w:val="009901C8"/>
    <w:rsid w:val="009B2FE3"/>
    <w:rsid w:val="009C1C25"/>
    <w:rsid w:val="009D524A"/>
    <w:rsid w:val="009E76EB"/>
    <w:rsid w:val="009F5304"/>
    <w:rsid w:val="009F5941"/>
    <w:rsid w:val="00A03875"/>
    <w:rsid w:val="00A0780B"/>
    <w:rsid w:val="00A07912"/>
    <w:rsid w:val="00A10BE8"/>
    <w:rsid w:val="00A10D73"/>
    <w:rsid w:val="00A115CE"/>
    <w:rsid w:val="00A3275B"/>
    <w:rsid w:val="00A34111"/>
    <w:rsid w:val="00A35526"/>
    <w:rsid w:val="00A46551"/>
    <w:rsid w:val="00A47EAF"/>
    <w:rsid w:val="00A552DE"/>
    <w:rsid w:val="00A620CD"/>
    <w:rsid w:val="00A75572"/>
    <w:rsid w:val="00A86184"/>
    <w:rsid w:val="00A9121E"/>
    <w:rsid w:val="00A947C5"/>
    <w:rsid w:val="00A954BD"/>
    <w:rsid w:val="00A96649"/>
    <w:rsid w:val="00AB5805"/>
    <w:rsid w:val="00AC2F64"/>
    <w:rsid w:val="00AC7BAF"/>
    <w:rsid w:val="00AE69A3"/>
    <w:rsid w:val="00AF276D"/>
    <w:rsid w:val="00AF765B"/>
    <w:rsid w:val="00B113F8"/>
    <w:rsid w:val="00B206A8"/>
    <w:rsid w:val="00B2294B"/>
    <w:rsid w:val="00B230A9"/>
    <w:rsid w:val="00B40C8F"/>
    <w:rsid w:val="00B41D21"/>
    <w:rsid w:val="00B42B43"/>
    <w:rsid w:val="00B4357D"/>
    <w:rsid w:val="00B44AB5"/>
    <w:rsid w:val="00B457A9"/>
    <w:rsid w:val="00B52715"/>
    <w:rsid w:val="00B6453F"/>
    <w:rsid w:val="00B70174"/>
    <w:rsid w:val="00B80A08"/>
    <w:rsid w:val="00BA0FE3"/>
    <w:rsid w:val="00BA5097"/>
    <w:rsid w:val="00BA6E07"/>
    <w:rsid w:val="00BB4BD9"/>
    <w:rsid w:val="00BD4EC8"/>
    <w:rsid w:val="00BD72C0"/>
    <w:rsid w:val="00BE1A58"/>
    <w:rsid w:val="00BF1953"/>
    <w:rsid w:val="00BF2708"/>
    <w:rsid w:val="00BF605C"/>
    <w:rsid w:val="00C07E4C"/>
    <w:rsid w:val="00C15997"/>
    <w:rsid w:val="00C164AF"/>
    <w:rsid w:val="00C26B42"/>
    <w:rsid w:val="00C35774"/>
    <w:rsid w:val="00C4115C"/>
    <w:rsid w:val="00C629BE"/>
    <w:rsid w:val="00C67205"/>
    <w:rsid w:val="00C71473"/>
    <w:rsid w:val="00C83F51"/>
    <w:rsid w:val="00C84593"/>
    <w:rsid w:val="00C85549"/>
    <w:rsid w:val="00C97D1E"/>
    <w:rsid w:val="00CA7A87"/>
    <w:rsid w:val="00CB0C3C"/>
    <w:rsid w:val="00CB2EA8"/>
    <w:rsid w:val="00CC3834"/>
    <w:rsid w:val="00CC3887"/>
    <w:rsid w:val="00CC49F6"/>
    <w:rsid w:val="00D06D1A"/>
    <w:rsid w:val="00D071F3"/>
    <w:rsid w:val="00D11A81"/>
    <w:rsid w:val="00D13FC8"/>
    <w:rsid w:val="00D16E2D"/>
    <w:rsid w:val="00D30074"/>
    <w:rsid w:val="00D47B85"/>
    <w:rsid w:val="00D616D1"/>
    <w:rsid w:val="00D706A0"/>
    <w:rsid w:val="00D72DC6"/>
    <w:rsid w:val="00D87B6A"/>
    <w:rsid w:val="00D9754F"/>
    <w:rsid w:val="00D97717"/>
    <w:rsid w:val="00DA175B"/>
    <w:rsid w:val="00DE112F"/>
    <w:rsid w:val="00DF4D18"/>
    <w:rsid w:val="00DF6D58"/>
    <w:rsid w:val="00E01CED"/>
    <w:rsid w:val="00E01E01"/>
    <w:rsid w:val="00E03B4B"/>
    <w:rsid w:val="00E227E8"/>
    <w:rsid w:val="00E44445"/>
    <w:rsid w:val="00E7558E"/>
    <w:rsid w:val="00E8233C"/>
    <w:rsid w:val="00E83AA2"/>
    <w:rsid w:val="00E85CCB"/>
    <w:rsid w:val="00E90CC5"/>
    <w:rsid w:val="00E90F11"/>
    <w:rsid w:val="00E92BBD"/>
    <w:rsid w:val="00E93625"/>
    <w:rsid w:val="00EB07C7"/>
    <w:rsid w:val="00EC0EA9"/>
    <w:rsid w:val="00EC29A0"/>
    <w:rsid w:val="00ED1BB5"/>
    <w:rsid w:val="00EE182A"/>
    <w:rsid w:val="00EE4230"/>
    <w:rsid w:val="00EE44B9"/>
    <w:rsid w:val="00EF0D5F"/>
    <w:rsid w:val="00EF1AE4"/>
    <w:rsid w:val="00EF7BA2"/>
    <w:rsid w:val="00F0364E"/>
    <w:rsid w:val="00F04CC3"/>
    <w:rsid w:val="00F04CF4"/>
    <w:rsid w:val="00F0733F"/>
    <w:rsid w:val="00F1606A"/>
    <w:rsid w:val="00F326BF"/>
    <w:rsid w:val="00F72D1F"/>
    <w:rsid w:val="00F75DDF"/>
    <w:rsid w:val="00F7657B"/>
    <w:rsid w:val="00F77F18"/>
    <w:rsid w:val="00F8361C"/>
    <w:rsid w:val="00FB1F11"/>
    <w:rsid w:val="00FE08A4"/>
    <w:rsid w:val="00FE1F87"/>
    <w:rsid w:val="00FE7187"/>
    <w:rsid w:val="00FF179C"/>
    <w:rsid w:val="00FF2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C8"/>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EC8"/>
    <w:pPr>
      <w:widowControl w:val="0"/>
      <w:tabs>
        <w:tab w:val="center" w:pos="4153"/>
        <w:tab w:val="right" w:pos="8306"/>
      </w:tabs>
      <w:adjustRightInd w:val="0"/>
      <w:spacing w:line="360" w:lineRule="atLeast"/>
      <w:jc w:val="both"/>
      <w:textAlignment w:val="baseline"/>
    </w:pPr>
  </w:style>
  <w:style w:type="character" w:customStyle="1" w:styleId="HeaderChar">
    <w:name w:val="Header Char"/>
    <w:basedOn w:val="DefaultParagraphFont"/>
    <w:link w:val="Header"/>
    <w:locked/>
    <w:rsid w:val="00BD4EC8"/>
    <w:rPr>
      <w:sz w:val="24"/>
      <w:szCs w:val="24"/>
      <w:lang w:val="lv-LV" w:eastAsia="lv-LV" w:bidi="ar-SA"/>
    </w:rPr>
  </w:style>
  <w:style w:type="paragraph" w:customStyle="1" w:styleId="naisf">
    <w:name w:val="naisf"/>
    <w:basedOn w:val="Normal"/>
    <w:rsid w:val="00BD4EC8"/>
    <w:pPr>
      <w:spacing w:before="75" w:after="75"/>
      <w:ind w:firstLine="375"/>
      <w:jc w:val="both"/>
    </w:pPr>
  </w:style>
  <w:style w:type="paragraph" w:styleId="CommentText">
    <w:name w:val="annotation text"/>
    <w:basedOn w:val="Normal"/>
    <w:link w:val="CommentTextChar"/>
    <w:rsid w:val="00BD4EC8"/>
    <w:rPr>
      <w:sz w:val="20"/>
      <w:szCs w:val="20"/>
    </w:rPr>
  </w:style>
  <w:style w:type="character" w:customStyle="1" w:styleId="CommentTextChar">
    <w:name w:val="Comment Text Char"/>
    <w:basedOn w:val="DefaultParagraphFont"/>
    <w:link w:val="CommentText"/>
    <w:locked/>
    <w:rsid w:val="00BD4EC8"/>
    <w:rPr>
      <w:lang w:val="lv-LV" w:eastAsia="lv-LV" w:bidi="ar-SA"/>
    </w:rPr>
  </w:style>
  <w:style w:type="paragraph" w:styleId="NormalWeb">
    <w:name w:val="Normal (Web)"/>
    <w:basedOn w:val="Normal"/>
    <w:rsid w:val="00BD4EC8"/>
    <w:pPr>
      <w:spacing w:before="100" w:beforeAutospacing="1" w:after="100" w:afterAutospacing="1"/>
    </w:pPr>
    <w:rPr>
      <w:lang w:val="en-GB"/>
    </w:rPr>
  </w:style>
  <w:style w:type="paragraph" w:styleId="BodyText">
    <w:name w:val="Body Text"/>
    <w:basedOn w:val="Normal"/>
    <w:link w:val="BodyTextChar"/>
    <w:rsid w:val="00BD4EC8"/>
    <w:pPr>
      <w:jc w:val="both"/>
    </w:pPr>
    <w:rPr>
      <w:sz w:val="28"/>
      <w:szCs w:val="28"/>
      <w:lang w:val="en-AU"/>
    </w:rPr>
  </w:style>
  <w:style w:type="character" w:customStyle="1" w:styleId="BodyTextChar">
    <w:name w:val="Body Text Char"/>
    <w:basedOn w:val="DefaultParagraphFont"/>
    <w:link w:val="BodyText"/>
    <w:locked/>
    <w:rsid w:val="00BD4EC8"/>
    <w:rPr>
      <w:rFonts w:eastAsia="Calibri"/>
      <w:sz w:val="28"/>
      <w:szCs w:val="28"/>
      <w:lang w:val="en-AU" w:eastAsia="en-US" w:bidi="ar-SA"/>
    </w:rPr>
  </w:style>
  <w:style w:type="character" w:styleId="Hyperlink">
    <w:name w:val="Hyperlink"/>
    <w:basedOn w:val="DefaultParagraphFont"/>
    <w:rsid w:val="00BD4EC8"/>
    <w:rPr>
      <w:rFonts w:cs="Times New Roman"/>
      <w:color w:val="0000FF"/>
      <w:u w:val="single"/>
    </w:rPr>
  </w:style>
  <w:style w:type="paragraph" w:styleId="Footer">
    <w:name w:val="footer"/>
    <w:basedOn w:val="Normal"/>
    <w:link w:val="FooterChar"/>
    <w:uiPriority w:val="99"/>
    <w:rsid w:val="00BA5097"/>
    <w:pPr>
      <w:tabs>
        <w:tab w:val="center" w:pos="4153"/>
        <w:tab w:val="right" w:pos="8306"/>
      </w:tabs>
    </w:pPr>
  </w:style>
  <w:style w:type="character" w:styleId="PageNumber">
    <w:name w:val="page number"/>
    <w:basedOn w:val="DefaultParagraphFont"/>
    <w:rsid w:val="00BA5097"/>
  </w:style>
  <w:style w:type="character" w:customStyle="1" w:styleId="FooterChar">
    <w:name w:val="Footer Char"/>
    <w:basedOn w:val="DefaultParagraphFont"/>
    <w:link w:val="Footer"/>
    <w:uiPriority w:val="99"/>
    <w:rsid w:val="00555751"/>
    <w:rPr>
      <w:rFonts w:eastAsia="Calibri"/>
      <w:sz w:val="24"/>
      <w:szCs w:val="24"/>
      <w:lang w:eastAsia="en-US"/>
    </w:rPr>
  </w:style>
  <w:style w:type="character" w:customStyle="1" w:styleId="spelle">
    <w:name w:val="spelle"/>
    <w:basedOn w:val="DefaultParagraphFont"/>
    <w:uiPriority w:val="99"/>
    <w:rsid w:val="00027838"/>
    <w:rPr>
      <w:rFonts w:cs="Times New Roman"/>
    </w:rPr>
  </w:style>
  <w:style w:type="paragraph" w:customStyle="1" w:styleId="mktable">
    <w:name w:val="mk_table"/>
    <w:basedOn w:val="Normal"/>
    <w:rsid w:val="0048184A"/>
    <w:pPr>
      <w:spacing w:before="100" w:beforeAutospacing="1" w:after="100" w:afterAutospacing="1" w:line="360" w:lineRule="auto"/>
      <w:ind w:firstLine="300"/>
    </w:pPr>
    <w:rPr>
      <w:rFonts w:eastAsiaTheme="minorEastAsia"/>
      <w:color w:val="000000"/>
      <w:sz w:val="20"/>
      <w:szCs w:val="20"/>
      <w:lang w:eastAsia="lv-LV"/>
    </w:rPr>
  </w:style>
  <w:style w:type="paragraph" w:customStyle="1" w:styleId="tv213">
    <w:name w:val="tv213"/>
    <w:basedOn w:val="Normal"/>
    <w:rsid w:val="0048184A"/>
    <w:pPr>
      <w:spacing w:before="240" w:line="360" w:lineRule="auto"/>
      <w:ind w:firstLine="300"/>
      <w:jc w:val="both"/>
    </w:pPr>
    <w:rPr>
      <w:rFonts w:eastAsiaTheme="minorEastAsia"/>
      <w:color w:val="000000"/>
      <w:sz w:val="20"/>
      <w:szCs w:val="20"/>
      <w:lang w:eastAsia="lv-LV"/>
    </w:rPr>
  </w:style>
  <w:style w:type="paragraph" w:customStyle="1" w:styleId="naisnod">
    <w:name w:val="naisnod"/>
    <w:basedOn w:val="Normal"/>
    <w:rsid w:val="008822EE"/>
    <w:pPr>
      <w:spacing w:before="150" w:after="150"/>
      <w:jc w:val="center"/>
    </w:pPr>
    <w:rPr>
      <w:rFonts w:eastAsia="Times New Roman"/>
      <w:b/>
      <w:bCs/>
      <w:lang w:eastAsia="lv-LV"/>
    </w:rPr>
  </w:style>
  <w:style w:type="paragraph" w:styleId="ListParagraph">
    <w:name w:val="List Paragraph"/>
    <w:basedOn w:val="Normal"/>
    <w:uiPriority w:val="34"/>
    <w:qFormat/>
    <w:rsid w:val="00F1606A"/>
    <w:pPr>
      <w:ind w:left="720"/>
      <w:contextualSpacing/>
    </w:pPr>
  </w:style>
  <w:style w:type="paragraph" w:styleId="BalloonText">
    <w:name w:val="Balloon Text"/>
    <w:basedOn w:val="Normal"/>
    <w:link w:val="BalloonTextChar"/>
    <w:rsid w:val="00BF2708"/>
    <w:rPr>
      <w:rFonts w:ascii="Tahoma" w:hAnsi="Tahoma" w:cs="Tahoma"/>
      <w:sz w:val="16"/>
      <w:szCs w:val="16"/>
    </w:rPr>
  </w:style>
  <w:style w:type="character" w:customStyle="1" w:styleId="BalloonTextChar">
    <w:name w:val="Balloon Text Char"/>
    <w:basedOn w:val="DefaultParagraphFont"/>
    <w:link w:val="BalloonText"/>
    <w:rsid w:val="00BF270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31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ga.putnina@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alijs.kengis@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3076</Words>
  <Characters>17536</Characters>
  <Application>Microsoft Office Word</Application>
  <DocSecurity>0</DocSecurity>
  <Lines>146</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29.marta noteikumos Nr.233 „Vides aizsardzības un reģionālās attīstības ministrijas nolikums”” sākotnējās ietekmes novērtējuma ziņojums (anotācija)</vt:lpstr>
      <vt:lpstr>Ministru kabineta noteikumu projekta „Grozījumi Ministru kabineta 2011.gada 29.marta noteikumos Nr.233 „Vides aizsardzības un reģionālās attīstības ministrijas nolikums”” sākotnējās ietekmes novērtējuma ziņojums (anotācija)</vt:lpstr>
    </vt:vector>
  </TitlesOfParts>
  <Company>Vides aizsardzības un reģionālās attīstības ministrija</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Nr.233 „Vides aizsardzības un reģionālās attīstības ministrijas nolikums”” sākotnējās ietekmes novērtējuma ziņojums (anotācija)</dc:title>
  <dc:subject>Ministru kabineta noteikumu projekta anotācija</dc:subject>
  <dc:creator>Vitālijs Ķeņģis</dc:creator>
  <cp:keywords/>
  <dc:description>Ķeņģis 66016528,_x000d_
vitalijs.kengis@varam.gov.lv_x000d_
Putniņa 67026543_x000d_
aiga.putnina@varam.gov.lv</dc:description>
  <cp:lastModifiedBy>larisat</cp:lastModifiedBy>
  <cp:revision>62</cp:revision>
  <dcterms:created xsi:type="dcterms:W3CDTF">2013-06-11T06:24:00Z</dcterms:created>
  <dcterms:modified xsi:type="dcterms:W3CDTF">2013-10-11T04:46:00Z</dcterms:modified>
</cp:coreProperties>
</file>