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FE" w:rsidRPr="00380A54" w:rsidRDefault="00E438FE" w:rsidP="00C77836">
      <w:pPr>
        <w:pStyle w:val="BodyText"/>
        <w:rPr>
          <w:bCs/>
          <w:sz w:val="24"/>
          <w:szCs w:val="24"/>
        </w:rPr>
      </w:pPr>
      <w:bookmarkStart w:id="0" w:name="OLE_LINK6"/>
      <w:bookmarkStart w:id="1" w:name="OLE_LINK7"/>
      <w:r w:rsidRPr="00380A54">
        <w:rPr>
          <w:bCs/>
          <w:sz w:val="24"/>
          <w:szCs w:val="24"/>
        </w:rPr>
        <w:t xml:space="preserve">Ministru kabineta noteikumu projekta </w:t>
      </w:r>
    </w:p>
    <w:p w:rsidR="00E438FE" w:rsidRPr="00582C82" w:rsidRDefault="00E438FE" w:rsidP="00D7096E">
      <w:pPr>
        <w:pStyle w:val="BodyText3"/>
        <w:tabs>
          <w:tab w:val="left" w:pos="6660"/>
        </w:tabs>
        <w:spacing w:after="0"/>
        <w:jc w:val="center"/>
        <w:rPr>
          <w:bCs/>
          <w:sz w:val="24"/>
          <w:szCs w:val="24"/>
        </w:rPr>
      </w:pPr>
      <w:r w:rsidRPr="00582C82">
        <w:rPr>
          <w:bCs/>
          <w:sz w:val="24"/>
          <w:szCs w:val="24"/>
        </w:rPr>
        <w:t>„</w:t>
      </w:r>
      <w:r w:rsidR="00582C82" w:rsidRPr="00582C82">
        <w:rPr>
          <w:b/>
          <w:sz w:val="24"/>
          <w:szCs w:val="24"/>
        </w:rPr>
        <w:t>Zemes dzīļu izmantošanas kārtība iekšzemes publiskajos ūdeņos un jūrā</w:t>
      </w:r>
      <w:r w:rsidRPr="00582C82">
        <w:rPr>
          <w:sz w:val="24"/>
          <w:szCs w:val="24"/>
        </w:rPr>
        <w:t>”</w:t>
      </w:r>
      <w:r w:rsidRPr="00582C82">
        <w:rPr>
          <w:bCs/>
          <w:sz w:val="24"/>
          <w:szCs w:val="24"/>
        </w:rPr>
        <w:t xml:space="preserve"> </w:t>
      </w:r>
      <w:bookmarkStart w:id="2" w:name="OLE_LINK4"/>
      <w:bookmarkStart w:id="3" w:name="OLE_LINK5"/>
    </w:p>
    <w:p w:rsidR="00E438FE" w:rsidRPr="00380A54" w:rsidRDefault="00E438FE" w:rsidP="00D7096E">
      <w:pPr>
        <w:pStyle w:val="BodyText"/>
        <w:rPr>
          <w:sz w:val="24"/>
          <w:szCs w:val="24"/>
        </w:rPr>
      </w:pPr>
      <w:r w:rsidRPr="00380A54">
        <w:rPr>
          <w:bCs/>
          <w:sz w:val="24"/>
          <w:szCs w:val="24"/>
        </w:rPr>
        <w:t xml:space="preserve">sākotnējās ietekmes novērtējuma </w:t>
      </w:r>
      <w:smartTag w:uri="schemas-tilde-lv/tildestengine" w:element="veidnes">
        <w:smartTagPr>
          <w:attr w:name="id" w:val="-1"/>
          <w:attr w:name="baseform" w:val="ziņojums"/>
          <w:attr w:name="text" w:val="ziņojums"/>
        </w:smartTagPr>
        <w:r w:rsidRPr="00380A54">
          <w:rPr>
            <w:bCs/>
            <w:sz w:val="24"/>
            <w:szCs w:val="24"/>
          </w:rPr>
          <w:t>ziņojums</w:t>
        </w:r>
      </w:smartTag>
      <w:r w:rsidRPr="00380A54">
        <w:rPr>
          <w:bCs/>
          <w:sz w:val="24"/>
          <w:szCs w:val="24"/>
        </w:rPr>
        <w:t xml:space="preserve"> (anotācija)</w:t>
      </w:r>
      <w:bookmarkEnd w:id="0"/>
      <w:bookmarkEnd w:id="1"/>
      <w:bookmarkEnd w:id="2"/>
      <w:bookmarkEnd w:id="3"/>
    </w:p>
    <w:p w:rsidR="00E438FE" w:rsidRPr="00380A54" w:rsidRDefault="00E438FE" w:rsidP="005C39B9">
      <w:pPr>
        <w:rPr>
          <w:b/>
          <w:color w:val="C00000"/>
          <w:szCs w:val="28"/>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2748"/>
        <w:gridCol w:w="54"/>
        <w:gridCol w:w="6486"/>
        <w:gridCol w:w="34"/>
      </w:tblGrid>
      <w:tr w:rsidR="00E438FE" w:rsidRPr="00380A54" w:rsidTr="00D76A9C">
        <w:trPr>
          <w:gridBefore w:val="1"/>
          <w:gridAfter w:val="1"/>
          <w:wBefore w:w="34" w:type="dxa"/>
          <w:wAfter w:w="34" w:type="dxa"/>
        </w:trPr>
        <w:tc>
          <w:tcPr>
            <w:tcW w:w="9288" w:type="dxa"/>
            <w:gridSpan w:val="3"/>
          </w:tcPr>
          <w:p w:rsidR="00E438FE" w:rsidRPr="00380A54" w:rsidRDefault="00E438FE" w:rsidP="00C77836">
            <w:pPr>
              <w:spacing w:after="120"/>
              <w:jc w:val="center"/>
              <w:rPr>
                <w:b/>
              </w:rPr>
            </w:pPr>
            <w:r w:rsidRPr="00380A54">
              <w:rPr>
                <w:b/>
              </w:rPr>
              <w:t xml:space="preserve">I. Kādēļ normatīvais </w:t>
            </w:r>
            <w:smartTag w:uri="schemas-tilde-lv/tildestengine" w:element="phone">
              <w:smartTagPr>
                <w:attr w:name="phone_prefix" w:val="6"/>
                <w:attr w:name="phone_number" w:val="7026518"/>
              </w:smartTagPr>
              <w:r w:rsidRPr="00380A54">
                <w:rPr>
                  <w:b/>
                </w:rPr>
                <w:t>akts</w:t>
              </w:r>
            </w:smartTag>
            <w:r w:rsidRPr="00380A54">
              <w:rPr>
                <w:b/>
              </w:rPr>
              <w:t xml:space="preserve"> ir vajadzīgs</w:t>
            </w:r>
          </w:p>
        </w:tc>
      </w:tr>
      <w:tr w:rsidR="00E438FE" w:rsidRPr="00380A54" w:rsidTr="00D76A9C">
        <w:trPr>
          <w:gridBefore w:val="1"/>
          <w:gridAfter w:val="1"/>
          <w:wBefore w:w="34" w:type="dxa"/>
          <w:wAfter w:w="34" w:type="dxa"/>
        </w:trPr>
        <w:tc>
          <w:tcPr>
            <w:tcW w:w="2748" w:type="dxa"/>
          </w:tcPr>
          <w:p w:rsidR="00E438FE" w:rsidRPr="00380A54" w:rsidRDefault="00E438FE" w:rsidP="00C77836">
            <w:pPr>
              <w:pStyle w:val="Footer"/>
              <w:tabs>
                <w:tab w:val="clear" w:pos="4153"/>
                <w:tab w:val="clear" w:pos="8306"/>
              </w:tabs>
              <w:jc w:val="both"/>
              <w:rPr>
                <w:rFonts w:ascii="Times New Roman" w:hAnsi="Times New Roman"/>
                <w:sz w:val="24"/>
                <w:szCs w:val="24"/>
              </w:rPr>
            </w:pPr>
            <w:r w:rsidRPr="00380A54">
              <w:rPr>
                <w:rFonts w:ascii="Times New Roman" w:hAnsi="Times New Roman"/>
                <w:sz w:val="24"/>
                <w:szCs w:val="24"/>
              </w:rPr>
              <w:t>1. Pamatojums</w:t>
            </w:r>
          </w:p>
        </w:tc>
        <w:tc>
          <w:tcPr>
            <w:tcW w:w="6540" w:type="dxa"/>
            <w:gridSpan w:val="2"/>
          </w:tcPr>
          <w:p w:rsidR="00E438FE" w:rsidRPr="00380A54" w:rsidRDefault="00E438FE" w:rsidP="00A75344">
            <w:pPr>
              <w:spacing w:after="120"/>
              <w:jc w:val="both"/>
            </w:pPr>
            <w:r w:rsidRPr="00380A54">
              <w:t>Ministru kabineta noteikumu projek</w:t>
            </w:r>
            <w:r>
              <w:t xml:space="preserve">ts sagatavots, pamatojoties uz </w:t>
            </w:r>
            <w:r w:rsidRPr="004C514D">
              <w:rPr>
                <w:b/>
              </w:rPr>
              <w:t>likuma „Par zemes dzīlēm”</w:t>
            </w:r>
            <w:r w:rsidRPr="00380A54">
              <w:t xml:space="preserve"> 8.pan</w:t>
            </w:r>
            <w:r>
              <w:t xml:space="preserve">ta otrajā daļā doto deleģējumu </w:t>
            </w:r>
            <w:r w:rsidRPr="00380A54">
              <w:t xml:space="preserve">Ministru kabinetam noteikt zemes dzīļu izmantošanas kārtību publiskajos ūdeņos un zemes dzīļu izmantošanas kārtību Latvijas Republikas teritoriālajā jūrā un ekskluzīvajā ekonomiskajā zonā, kā arī uz 10.panta četrpadsmitajā daļā noteikto, ka zemes dzīļu izmantotājs Ministru kabineta noteiktajā kārtībā un apmērā maksā ikgadēju valsts nodevu valsts pamatbudžetā par tiesībām izmantot zemes dzīles publiskajos ūdeņos, Latvijas Republikas teritoriālajā jūrā un ekskluzīvajā ekonomiskajā zonā. </w:t>
            </w:r>
          </w:p>
        </w:tc>
      </w:tr>
      <w:tr w:rsidR="00E438FE" w:rsidRPr="00380A54" w:rsidTr="00D76A9C">
        <w:trPr>
          <w:gridBefore w:val="1"/>
          <w:gridAfter w:val="1"/>
          <w:wBefore w:w="34" w:type="dxa"/>
          <w:wAfter w:w="34" w:type="dxa"/>
        </w:trPr>
        <w:tc>
          <w:tcPr>
            <w:tcW w:w="2748" w:type="dxa"/>
          </w:tcPr>
          <w:p w:rsidR="00E438FE" w:rsidRPr="00380A54" w:rsidRDefault="00E438FE" w:rsidP="00C77836">
            <w:pPr>
              <w:pStyle w:val="BodyText"/>
              <w:jc w:val="left"/>
              <w:rPr>
                <w:b w:val="0"/>
                <w:sz w:val="24"/>
                <w:szCs w:val="24"/>
              </w:rPr>
            </w:pPr>
            <w:r w:rsidRPr="00380A54">
              <w:rPr>
                <w:b w:val="0"/>
                <w:sz w:val="24"/>
                <w:szCs w:val="24"/>
              </w:rPr>
              <w:t>2. Pašreizējā situācija un problēmas</w:t>
            </w:r>
          </w:p>
        </w:tc>
        <w:tc>
          <w:tcPr>
            <w:tcW w:w="6540" w:type="dxa"/>
            <w:gridSpan w:val="2"/>
          </w:tcPr>
          <w:p w:rsidR="002D351D" w:rsidRDefault="00B910B9" w:rsidP="002D351D">
            <w:pPr>
              <w:spacing w:before="120"/>
              <w:jc w:val="both"/>
            </w:pPr>
            <w:r w:rsidRPr="002D351D">
              <w:t>Publiskie ūdeņi (publiskie ezeri, upes saskaņā ar Civillikuma pielikumu, jūra) ir valsts īpašums. Problēma iekšzemes publisko ūdeņu un jūras piekrastes joslas apsaimniekošanā ir tā, ka zeme pieder valstij, bet reālo apsaimniekošanu</w:t>
            </w:r>
            <w:r w:rsidR="00267736">
              <w:t xml:space="preserve"> vairumā gadījumu</w:t>
            </w:r>
            <w:r w:rsidRPr="002D351D">
              <w:t xml:space="preserve"> veic pašvaldības. Finanšu ministrija, kas ir valsts īpašuma pārvaldītājs, ja likumos nav noteikts savādāk, nav gatava uzņemties šo zemju pārvaldības funkciju, tādēļ pašvaldības un projektu attīstītāji sastopas ar reālām grūtībām projektu, </w:t>
            </w:r>
            <w:proofErr w:type="spellStart"/>
            <w:r w:rsidRPr="002D351D">
              <w:t>t.sk</w:t>
            </w:r>
            <w:proofErr w:type="spellEnd"/>
            <w:r w:rsidRPr="002D351D">
              <w:t>. ES finansēto, realizācijā. Pašlaik izeja no šī situācijas ir ikreizējs Ministru kabineta rīkojums, ar ko var atļaut veikt būvniecību vai izmantot zemes dzīles publiskajos ūdeņos vai jūrā</w:t>
            </w:r>
            <w:r w:rsidR="002D351D">
              <w:t>.</w:t>
            </w:r>
          </w:p>
          <w:p w:rsidR="00E438FE" w:rsidRPr="00380A54" w:rsidRDefault="00E438FE" w:rsidP="002D351D">
            <w:pPr>
              <w:spacing w:before="120" w:after="120"/>
              <w:jc w:val="both"/>
            </w:pPr>
            <w:r w:rsidRPr="002D351D">
              <w:t>Zemes dzīļu izmantošanas</w:t>
            </w:r>
            <w:r w:rsidRPr="00380A54">
              <w:t xml:space="preserve"> licences (turpmāk – licence) saņemšana cieši saistīta ar zemes īpašuma tiesībām. Likuma „Par zemes dzīlēm” (turpmāk – likums) 8.panta pirmajā daļā noteikts, ka iekšzemes publiskajos ūdeņos zemes dzīles izmanto persona, kurai izsniegta zemes dzīļu izmantošanas licence vai dabas resursu lietošanas atļauja, bet Latvijas Republikas iekšējos jūras ūdeņos, teritoriālajā jūrā un ekskluzīvajā ekonomiskajā zonā (turpmāk – jūra) Ministru kabineta noteiktajos licenču laukumos - persona, kurai izsniegta zemes dzīļu izmantošanas licence vai dabas resursu lietošanas atļauja. Likuma 10.panta (2</w:t>
            </w:r>
            <w:r w:rsidRPr="00380A54">
              <w:rPr>
                <w:vertAlign w:val="superscript"/>
              </w:rPr>
              <w:t>2</w:t>
            </w:r>
            <w:r w:rsidRPr="00380A54">
              <w:t>) daļa nosaka, ka zemes dzīļu izmantošanai publiskajos ūdeņos un jūrā licenci izsniedz konkursa kārtībā.</w:t>
            </w:r>
          </w:p>
          <w:p w:rsidR="00E438FE" w:rsidRPr="00380A54" w:rsidRDefault="00E438FE" w:rsidP="00792B22">
            <w:pPr>
              <w:pStyle w:val="NormalWeb"/>
              <w:spacing w:before="0" w:beforeAutospacing="0" w:after="120" w:afterAutospacing="0"/>
              <w:jc w:val="both"/>
            </w:pPr>
            <w:r w:rsidRPr="00380A54">
              <w:t xml:space="preserve">Pašlaik nav noteikts, kas un kā var ierosināt licences laukuma noteikšanu, un nav noteikts, kas un kā rīko konkursu zemes dzīļu izmantošanai. </w:t>
            </w:r>
          </w:p>
          <w:p w:rsidR="00E438FE" w:rsidRPr="00380A54" w:rsidRDefault="00E438FE" w:rsidP="00792B22">
            <w:pPr>
              <w:pStyle w:val="NormalWeb"/>
              <w:spacing w:before="0" w:beforeAutospacing="0" w:after="120" w:afterAutospacing="0"/>
              <w:jc w:val="both"/>
            </w:pPr>
            <w:r w:rsidRPr="00380A54">
              <w:t>Likuma 10.panta (2</w:t>
            </w:r>
            <w:r w:rsidRPr="00380A54">
              <w:rPr>
                <w:vertAlign w:val="superscript"/>
              </w:rPr>
              <w:t>2</w:t>
            </w:r>
            <w:r w:rsidRPr="00380A54">
              <w:t xml:space="preserve">) daļa arī nosaka - ja licence nepieciešama ar būvju būvniecību, ierīkošanu vai ekspluatāciju jūrā saistītai ģeoloģiskajai izpētei, konkursu nerīko un minēto licenci izsniedz vienai no šādām personām: personai, kura saskaņā ar jūras vides aizsardzības un pārvaldības normatīvajiem aktiem ir saņēmusi atļauju vai licenci attiecīgā licences laukuma jūrā izmantošanai </w:t>
            </w:r>
            <w:r w:rsidRPr="00380A54">
              <w:lastRenderedPageBreak/>
              <w:t xml:space="preserve">būvju būvniecībai, ierīkošanai, tai skaitā ar to saistītajai izpētei, un ekspluatācijai vai personai, kura noslēgusi rakstveida līgumu par ģeoloģiskās izpētes veikšanu ar iepriekš minēto personu. </w:t>
            </w:r>
          </w:p>
          <w:p w:rsidR="00E438FE" w:rsidRPr="00380A54" w:rsidRDefault="00E438FE" w:rsidP="00792B22">
            <w:pPr>
              <w:pStyle w:val="NormalWeb"/>
              <w:spacing w:before="0" w:beforeAutospacing="0" w:after="120" w:afterAutospacing="0"/>
              <w:jc w:val="both"/>
            </w:pPr>
            <w:r w:rsidRPr="00380A54">
              <w:t xml:space="preserve">Tātad, ja ģeoloģiskā izpēte nepieciešama būvniecības vajadzībām, licenci izsniedz ģeoloģiskās izpētes pasūtītājam vai pasūtītāja izvēlētajam ģeoloģiskās izpētes veicējam. Saskaņā ar Jūras vides aizsardzības un pārvaldības likuma 19.pantu būvniecībai jūrā licences laukums tiek noteikts konkursa kārtībā. </w:t>
            </w:r>
          </w:p>
          <w:p w:rsidR="00E438FE" w:rsidRPr="00380A54" w:rsidRDefault="00E438FE" w:rsidP="00792B22">
            <w:pPr>
              <w:pStyle w:val="NormalWeb"/>
              <w:spacing w:before="0" w:beforeAutospacing="0" w:after="120" w:afterAutospacing="0"/>
              <w:jc w:val="both"/>
            </w:pPr>
            <w:r w:rsidRPr="00380A54">
              <w:t xml:space="preserve">Attiecībā uz publiskajiem ūdeņiem šāda regulējuma nav un nepieciešams to izstrādāt. </w:t>
            </w:r>
          </w:p>
          <w:p w:rsidR="00E438FE" w:rsidRPr="00D76A9C" w:rsidRDefault="00E438FE" w:rsidP="00D76A9C">
            <w:pPr>
              <w:pStyle w:val="naisf"/>
              <w:spacing w:before="0" w:after="120"/>
              <w:ind w:left="68" w:right="119" w:firstLine="0"/>
            </w:pPr>
            <w:r w:rsidRPr="00D76A9C">
              <w:t xml:space="preserve">Saskaņā ar likumu „Par nodokļiem un nodevām” valsts nodeva ir obligāts maksājums valsts budžetā kā atlīdzība par nodrošinājumu, ko valsts institūcijas devušas saimnieciskajai darbībai, vai par sniegtajiem pakalpojumiem, kā arī likumos paredzētiem speciāliem mērķiem. Saskaņā ar likumu „Par nodokļiem un nodevām” tiesības izmantot zemes dzīles publiskajos ūdeņos, Latvijas Republikas teritoriālajā jūrā un ekskluzīvajā ekonomiskajā zonā ir valsts nodevas objekts. </w:t>
            </w:r>
          </w:p>
          <w:p w:rsidR="00E438FE" w:rsidRPr="00380A54" w:rsidRDefault="00E438FE" w:rsidP="00D76A9C">
            <w:pPr>
              <w:pStyle w:val="naisf"/>
              <w:spacing w:before="0" w:after="0"/>
              <w:ind w:left="70" w:right="119" w:firstLine="0"/>
              <w:rPr>
                <w:color w:val="7030A0"/>
              </w:rPr>
            </w:pPr>
            <w:r w:rsidRPr="00D76A9C">
              <w:t>Ikgadējā valsts nodeva par tiesībām izmantot zemes dzīles publiskajos ūdeņos, Latvijas Republikas teritoriālajā jūrā un ekskluzīvajā ekonomiskajā zonā</w:t>
            </w:r>
            <w:r>
              <w:t xml:space="preserve"> šo</w:t>
            </w:r>
            <w:r w:rsidRPr="00D76A9C">
              <w:t xml:space="preserve">brīd netiek piemērota. </w:t>
            </w:r>
          </w:p>
        </w:tc>
      </w:tr>
      <w:tr w:rsidR="00E438FE" w:rsidRPr="00380A54" w:rsidTr="00D76A9C">
        <w:trPr>
          <w:gridBefore w:val="1"/>
          <w:gridAfter w:val="1"/>
          <w:wBefore w:w="34" w:type="dxa"/>
          <w:wAfter w:w="34" w:type="dxa"/>
        </w:trPr>
        <w:tc>
          <w:tcPr>
            <w:tcW w:w="2748" w:type="dxa"/>
          </w:tcPr>
          <w:p w:rsidR="00E438FE" w:rsidRPr="00380A54" w:rsidRDefault="00E438FE"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lastRenderedPageBreak/>
              <w:t>3. Saistītie politikas ietekmes novērtējumi un pētījumi</w:t>
            </w:r>
          </w:p>
        </w:tc>
        <w:tc>
          <w:tcPr>
            <w:tcW w:w="6540" w:type="dxa"/>
            <w:gridSpan w:val="2"/>
          </w:tcPr>
          <w:p w:rsidR="00E438FE" w:rsidRDefault="00E438FE" w:rsidP="00170D45">
            <w:pPr>
              <w:pStyle w:val="naiskr"/>
              <w:spacing w:before="0" w:after="120"/>
              <w:ind w:left="104" w:right="57"/>
              <w:jc w:val="both"/>
            </w:pPr>
            <w:r>
              <w:t>Projekts šo jomu neskar.</w:t>
            </w:r>
          </w:p>
          <w:p w:rsidR="00E438FE" w:rsidRPr="00380A54" w:rsidRDefault="00E438FE" w:rsidP="00C77836">
            <w:pPr>
              <w:pStyle w:val="naiskr"/>
              <w:spacing w:before="0" w:after="120"/>
              <w:ind w:left="104" w:right="57"/>
              <w:jc w:val="both"/>
            </w:pPr>
          </w:p>
        </w:tc>
      </w:tr>
      <w:tr w:rsidR="00E438FE" w:rsidRPr="00380A54" w:rsidTr="00D76A9C">
        <w:trPr>
          <w:gridBefore w:val="1"/>
          <w:gridAfter w:val="1"/>
          <w:wBefore w:w="34" w:type="dxa"/>
          <w:wAfter w:w="34" w:type="dxa"/>
        </w:trPr>
        <w:tc>
          <w:tcPr>
            <w:tcW w:w="2748" w:type="dxa"/>
          </w:tcPr>
          <w:p w:rsidR="00E438FE" w:rsidRPr="00380A54" w:rsidRDefault="00E438FE"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4. Tiesiskā regulējuma mērķis un būtība</w:t>
            </w:r>
          </w:p>
        </w:tc>
        <w:tc>
          <w:tcPr>
            <w:tcW w:w="6540" w:type="dxa"/>
            <w:gridSpan w:val="2"/>
          </w:tcPr>
          <w:p w:rsidR="00E438FE" w:rsidRPr="00D76A9C" w:rsidRDefault="00E438FE" w:rsidP="00C77836">
            <w:pPr>
              <w:pStyle w:val="BodyText"/>
              <w:spacing w:after="120"/>
              <w:jc w:val="both"/>
              <w:rPr>
                <w:b w:val="0"/>
                <w:sz w:val="24"/>
                <w:szCs w:val="24"/>
              </w:rPr>
            </w:pPr>
            <w:r w:rsidRPr="00D76A9C">
              <w:rPr>
                <w:rStyle w:val="Strong"/>
                <w:b/>
                <w:sz w:val="24"/>
                <w:szCs w:val="24"/>
              </w:rPr>
              <w:t xml:space="preserve">Noteikumu projekts izstrādāts, lai īstenotu likumā „Par zemes dzīlēm” noteiktos uzdevumus. </w:t>
            </w:r>
            <w:r w:rsidRPr="00D76A9C">
              <w:rPr>
                <w:b w:val="0"/>
                <w:sz w:val="24"/>
                <w:szCs w:val="24"/>
              </w:rPr>
              <w:t xml:space="preserve">Noteikumu projekta mērķis ir noteikt zemes dzīļu izmantošanas kārtību publiskajos ūdeņos un jūrā. Noteikumu projekts attiecas uz šādiem zemes dzīļu izmantošanas veidiem: derīgo izrakteņu ieguve, derīgo izrakteņu meklēšana, ģeoloģiskā, </w:t>
            </w:r>
            <w:proofErr w:type="spellStart"/>
            <w:r w:rsidRPr="00D76A9C">
              <w:rPr>
                <w:b w:val="0"/>
                <w:sz w:val="24"/>
                <w:szCs w:val="24"/>
              </w:rPr>
              <w:t>ģeofizikālā</w:t>
            </w:r>
            <w:proofErr w:type="spellEnd"/>
            <w:r w:rsidRPr="00D76A9C">
              <w:rPr>
                <w:b w:val="0"/>
                <w:sz w:val="24"/>
                <w:szCs w:val="24"/>
              </w:rPr>
              <w:t xml:space="preserve">, </w:t>
            </w:r>
            <w:proofErr w:type="spellStart"/>
            <w:r w:rsidRPr="00D76A9C">
              <w:rPr>
                <w:b w:val="0"/>
                <w:sz w:val="24"/>
                <w:szCs w:val="24"/>
              </w:rPr>
              <w:t>ģeoekoloģiskā</w:t>
            </w:r>
            <w:proofErr w:type="spellEnd"/>
            <w:r w:rsidRPr="00D76A9C">
              <w:rPr>
                <w:b w:val="0"/>
                <w:sz w:val="24"/>
                <w:szCs w:val="24"/>
              </w:rPr>
              <w:t xml:space="preserve"> izpēte, zemes dzīļu derīgo īpašību izmantošana. </w:t>
            </w:r>
          </w:p>
          <w:p w:rsidR="00E438FE" w:rsidRPr="00D76A9C" w:rsidRDefault="00E438FE" w:rsidP="00C77836">
            <w:pPr>
              <w:pStyle w:val="BodyText"/>
              <w:spacing w:after="120"/>
              <w:jc w:val="both"/>
              <w:rPr>
                <w:b w:val="0"/>
                <w:sz w:val="24"/>
                <w:szCs w:val="24"/>
              </w:rPr>
            </w:pPr>
            <w:r w:rsidRPr="00D76A9C">
              <w:rPr>
                <w:b w:val="0"/>
                <w:sz w:val="24"/>
                <w:szCs w:val="24"/>
              </w:rPr>
              <w:t xml:space="preserve">Projektā noteikts, ka licences laukuma noteikšanu jūrā un publiskajos ūdeņos var ierosināt </w:t>
            </w:r>
            <w:r w:rsidRPr="00D76A9C">
              <w:rPr>
                <w:rFonts w:ascii="TimesNewRomanPSMT" w:hAnsi="TimesNewRomanPSMT" w:cs="TimesNewRomanPSMT"/>
                <w:b w:val="0"/>
                <w:sz w:val="24"/>
                <w:szCs w:val="24"/>
                <w:lang w:eastAsia="en-US"/>
              </w:rPr>
              <w:t xml:space="preserve">Latvijas Republikas tiešās vai pastarpinātās pārvaldes iestāde </w:t>
            </w:r>
            <w:r w:rsidRPr="00D76A9C">
              <w:rPr>
                <w:b w:val="0"/>
                <w:sz w:val="24"/>
                <w:szCs w:val="24"/>
              </w:rPr>
              <w:t>vai komersants (turpmāk – ierosinātājs). Noteikts, kas un kā organizē konkursu licences saņemšanai</w:t>
            </w:r>
            <w:r w:rsidR="00267736">
              <w:rPr>
                <w:b w:val="0"/>
                <w:sz w:val="24"/>
                <w:szCs w:val="24"/>
              </w:rPr>
              <w:t xml:space="preserve"> iekšzemes</w:t>
            </w:r>
            <w:r w:rsidRPr="00D76A9C">
              <w:rPr>
                <w:b w:val="0"/>
                <w:sz w:val="24"/>
                <w:szCs w:val="24"/>
              </w:rPr>
              <w:t xml:space="preserve"> publiskajos ūdeņos un jūrā. </w:t>
            </w:r>
          </w:p>
          <w:p w:rsidR="00E438FE" w:rsidRPr="00D76A9C" w:rsidRDefault="00E438FE" w:rsidP="00D50841">
            <w:pPr>
              <w:spacing w:after="120"/>
              <w:jc w:val="both"/>
            </w:pPr>
            <w:r w:rsidRPr="00D76A9C">
              <w:t>Noteikumu projekts nosaka ikgadējās valsts nodevas apmēru:</w:t>
            </w:r>
          </w:p>
          <w:p w:rsidR="00E438FE" w:rsidRPr="00D76A9C" w:rsidRDefault="00E438FE" w:rsidP="00D50841">
            <w:pPr>
              <w:pStyle w:val="ListParagraph"/>
              <w:numPr>
                <w:ilvl w:val="0"/>
                <w:numId w:val="6"/>
              </w:numPr>
              <w:jc w:val="both"/>
            </w:pPr>
            <w:r w:rsidRPr="00D76A9C">
              <w:t xml:space="preserve">par tiesībām izmantot zemes dzīles publiskajos ūdeņos </w:t>
            </w:r>
            <w:smartTag w:uri="schemas-tilde-lv/tildestengine" w:element="phone">
              <w:smartTagPr>
                <w:attr w:name="phone_prefix" w:val="6"/>
                <w:attr w:name="phone_number" w:val="7026518"/>
              </w:smartTagPr>
              <w:r w:rsidRPr="00D76A9C">
                <w:t>0,001 lats</w:t>
              </w:r>
            </w:smartTag>
            <w:r w:rsidRPr="00D76A9C">
              <w:t xml:space="preserve"> par </w:t>
            </w:r>
            <w:r w:rsidRPr="00D76A9C">
              <w:rPr>
                <w:bCs/>
              </w:rPr>
              <w:t>a</w:t>
            </w:r>
            <w:r w:rsidRPr="00D76A9C">
              <w:t>ttiecīgās atļaujas (licences) laukuma kvadrātmetru gadā (</w:t>
            </w:r>
            <w:smartTag w:uri="schemas-tilde-lv/tildestengine" w:element="phone">
              <w:smartTagPr>
                <w:attr w:name="phone_prefix" w:val="6"/>
                <w:attr w:name="phone_number" w:val="7026518"/>
              </w:smartTagPr>
              <w:r w:rsidRPr="00D76A9C">
                <w:t>1000 latu</w:t>
              </w:r>
            </w:smartTag>
            <w:r w:rsidRPr="00D76A9C">
              <w:t xml:space="preserve"> par kvadrātkilometru gadā);</w:t>
            </w:r>
          </w:p>
          <w:p w:rsidR="00E438FE" w:rsidRPr="00D76A9C" w:rsidRDefault="00E438FE" w:rsidP="00D50841">
            <w:pPr>
              <w:pStyle w:val="ListParagraph"/>
              <w:numPr>
                <w:ilvl w:val="0"/>
                <w:numId w:val="6"/>
              </w:numPr>
              <w:jc w:val="both"/>
            </w:pPr>
            <w:r w:rsidRPr="00D76A9C">
              <w:t xml:space="preserve">par tiesībām izmantot zemes dzīles Latvijas Republikas teritoriālajā jūrā un ekskluzīvajā ekonomiskajā zonā </w:t>
            </w:r>
            <w:smartTag w:uri="schemas-tilde-lv/tildestengine" w:element="phone">
              <w:smartTagPr>
                <w:attr w:name="phone_prefix" w:val="6"/>
                <w:attr w:name="phone_number" w:val="7026518"/>
              </w:smartTagPr>
              <w:r w:rsidRPr="00D76A9C">
                <w:t>0,01 lats</w:t>
              </w:r>
            </w:smartTag>
            <w:r w:rsidRPr="00D76A9C">
              <w:t xml:space="preserve"> par </w:t>
            </w:r>
            <w:r w:rsidRPr="00D76A9C">
              <w:rPr>
                <w:bCs/>
              </w:rPr>
              <w:t>a</w:t>
            </w:r>
            <w:r w:rsidRPr="00D76A9C">
              <w:t xml:space="preserve">ttiecīgās atļaujas (licences) laukuma kvadrātmetru gadā (10 </w:t>
            </w:r>
            <w:smartTag w:uri="schemas-tilde-lv/tildestengine" w:element="phone">
              <w:smartTagPr>
                <w:attr w:name="phone_prefix" w:val="6"/>
                <w:attr w:name="phone_number" w:val="7026518"/>
              </w:smartTagPr>
              <w:r w:rsidRPr="00D76A9C">
                <w:t>000 latu</w:t>
              </w:r>
            </w:smartTag>
            <w:r w:rsidRPr="00D76A9C">
              <w:t xml:space="preserve"> par kvadrātkilometru gadā).</w:t>
            </w:r>
          </w:p>
          <w:p w:rsidR="00E438FE" w:rsidRPr="00D76A9C" w:rsidRDefault="00E438FE" w:rsidP="00267736">
            <w:pPr>
              <w:pStyle w:val="BodyText"/>
              <w:spacing w:after="120"/>
              <w:jc w:val="both"/>
              <w:rPr>
                <w:sz w:val="24"/>
                <w:szCs w:val="24"/>
              </w:rPr>
            </w:pPr>
            <w:r w:rsidRPr="00D76A9C">
              <w:rPr>
                <w:bCs/>
                <w:sz w:val="24"/>
                <w:szCs w:val="24"/>
              </w:rPr>
              <w:t xml:space="preserve">Noteikumu projekta pieņemšana un tā prasību īstenošana </w:t>
            </w:r>
            <w:r w:rsidRPr="00D76A9C">
              <w:rPr>
                <w:bCs/>
                <w:sz w:val="24"/>
                <w:szCs w:val="24"/>
              </w:rPr>
              <w:lastRenderedPageBreak/>
              <w:t>atrisinās šīs sadaļas 2.punktā aprakstītās problēmas</w:t>
            </w:r>
            <w:r>
              <w:rPr>
                <w:bCs/>
                <w:sz w:val="24"/>
                <w:szCs w:val="24"/>
              </w:rPr>
              <w:t>.</w:t>
            </w:r>
          </w:p>
        </w:tc>
      </w:tr>
      <w:tr w:rsidR="00E438FE" w:rsidRPr="00380A54" w:rsidTr="00D76A9C">
        <w:trPr>
          <w:gridBefore w:val="1"/>
          <w:gridAfter w:val="1"/>
          <w:wBefore w:w="34" w:type="dxa"/>
          <w:wAfter w:w="34" w:type="dxa"/>
        </w:trPr>
        <w:tc>
          <w:tcPr>
            <w:tcW w:w="2748" w:type="dxa"/>
          </w:tcPr>
          <w:p w:rsidR="00E438FE" w:rsidRPr="00380A54" w:rsidRDefault="00E438FE"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lastRenderedPageBreak/>
              <w:t>5. Projekta izstrādē iesaistītās institūcijas</w:t>
            </w:r>
          </w:p>
        </w:tc>
        <w:tc>
          <w:tcPr>
            <w:tcW w:w="6540" w:type="dxa"/>
            <w:gridSpan w:val="2"/>
          </w:tcPr>
          <w:p w:rsidR="00E438FE" w:rsidRDefault="00E438FE" w:rsidP="00D77F5F">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Vides aizsardzības un reģionālās attīstības ministrija.</w:t>
            </w:r>
          </w:p>
          <w:p w:rsidR="00E438FE" w:rsidRPr="00380A54" w:rsidRDefault="00E438FE" w:rsidP="00C77836">
            <w:pPr>
              <w:pStyle w:val="naiskr"/>
              <w:spacing w:before="0" w:after="120"/>
              <w:ind w:left="104" w:right="57"/>
              <w:jc w:val="both"/>
            </w:pPr>
          </w:p>
        </w:tc>
      </w:tr>
      <w:tr w:rsidR="00E438FE" w:rsidRPr="00380A54" w:rsidTr="00D76A9C">
        <w:trPr>
          <w:gridBefore w:val="1"/>
          <w:gridAfter w:val="1"/>
          <w:wBefore w:w="34" w:type="dxa"/>
          <w:wAfter w:w="34" w:type="dxa"/>
        </w:trPr>
        <w:tc>
          <w:tcPr>
            <w:tcW w:w="2748" w:type="dxa"/>
          </w:tcPr>
          <w:p w:rsidR="00E438FE" w:rsidRPr="00380A54" w:rsidRDefault="00E438FE"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6. Iemesli, kādēļ netika nodrošināta sabiedrības līdzdalība</w:t>
            </w:r>
          </w:p>
        </w:tc>
        <w:tc>
          <w:tcPr>
            <w:tcW w:w="6540" w:type="dxa"/>
            <w:gridSpan w:val="2"/>
          </w:tcPr>
          <w:p w:rsidR="00E438FE" w:rsidRPr="00380A54" w:rsidRDefault="00E438FE" w:rsidP="00D76A9C">
            <w:pPr>
              <w:pStyle w:val="Footer"/>
              <w:tabs>
                <w:tab w:val="clear" w:pos="4153"/>
                <w:tab w:val="clear" w:pos="8306"/>
              </w:tabs>
              <w:jc w:val="both"/>
            </w:pPr>
            <w:r w:rsidRPr="00D76A9C">
              <w:rPr>
                <w:rFonts w:ascii="Times New Roman" w:hAnsi="Times New Roman"/>
                <w:sz w:val="24"/>
                <w:szCs w:val="24"/>
              </w:rPr>
              <w:t xml:space="preserve">Noteikumu projektā minētās </w:t>
            </w:r>
            <w:r>
              <w:rPr>
                <w:rFonts w:ascii="Times New Roman" w:hAnsi="Times New Roman"/>
                <w:sz w:val="24"/>
                <w:szCs w:val="24"/>
              </w:rPr>
              <w:t>normas par publisko ūdeņu un jūras izmantošanu, kā arī</w:t>
            </w:r>
            <w:r w:rsidRPr="00D76A9C">
              <w:rPr>
                <w:rFonts w:ascii="Times New Roman" w:hAnsi="Times New Roman"/>
                <w:sz w:val="24"/>
                <w:szCs w:val="24"/>
              </w:rPr>
              <w:t xml:space="preserve"> jaunas valsts nodevas noteikšana izriet no </w:t>
            </w:r>
            <w:r w:rsidRPr="00D76A9C">
              <w:rPr>
                <w:rFonts w:ascii="Times New Roman" w:hAnsi="Times New Roman"/>
                <w:iCs/>
                <w:sz w:val="24"/>
                <w:szCs w:val="24"/>
              </w:rPr>
              <w:t>likum</w:t>
            </w:r>
            <w:r>
              <w:rPr>
                <w:rFonts w:ascii="Times New Roman" w:hAnsi="Times New Roman"/>
                <w:iCs/>
                <w:sz w:val="24"/>
                <w:szCs w:val="24"/>
              </w:rPr>
              <w:t>ā</w:t>
            </w:r>
            <w:r w:rsidRPr="00D76A9C">
              <w:rPr>
                <w:rFonts w:ascii="Times New Roman" w:hAnsi="Times New Roman"/>
                <w:iCs/>
                <w:sz w:val="24"/>
                <w:szCs w:val="24"/>
              </w:rPr>
              <w:t xml:space="preserve"> „Par zemes dzīlēm”</w:t>
            </w:r>
            <w:r w:rsidRPr="00D76A9C">
              <w:rPr>
                <w:rFonts w:ascii="Times New Roman" w:hAnsi="Times New Roman"/>
                <w:sz w:val="24"/>
                <w:szCs w:val="24"/>
              </w:rPr>
              <w:t xml:space="preserve"> noteiktā </w:t>
            </w:r>
            <w:r w:rsidRPr="00D76A9C">
              <w:rPr>
                <w:rFonts w:ascii="Times New Roman" w:hAnsi="Times New Roman"/>
                <w:iCs/>
                <w:sz w:val="24"/>
                <w:szCs w:val="24"/>
              </w:rPr>
              <w:t xml:space="preserve">deleģējuma, līdz ar to sabiedrības informēšanas un līdzdalības pasākumi tika veikti, izstrādājot un virzot likumprojektu „Grozījumi likumā „Par zemes dzīlēm””. Attiecīgie likuma grozījumi, kas nosaka arī valsts nodevas piemērošanu, ir publicēti un pieejami ikvienam </w:t>
            </w:r>
            <w:r>
              <w:rPr>
                <w:rFonts w:ascii="Times New Roman" w:hAnsi="Times New Roman"/>
                <w:iCs/>
                <w:sz w:val="24"/>
                <w:szCs w:val="24"/>
              </w:rPr>
              <w:t>tīmekļa vietnē</w:t>
            </w:r>
            <w:r w:rsidRPr="00D76A9C">
              <w:rPr>
                <w:rFonts w:ascii="Times New Roman" w:hAnsi="Times New Roman"/>
                <w:iCs/>
                <w:sz w:val="24"/>
                <w:szCs w:val="24"/>
              </w:rPr>
              <w:t xml:space="preserve"> </w:t>
            </w:r>
            <w:hyperlink r:id="rId8" w:history="1">
              <w:r w:rsidRPr="00D76A9C">
                <w:rPr>
                  <w:rStyle w:val="Hyperlink"/>
                  <w:iCs/>
                  <w:sz w:val="24"/>
                  <w:szCs w:val="24"/>
                </w:rPr>
                <w:t>www.likumi.lv</w:t>
              </w:r>
            </w:hyperlink>
            <w:r w:rsidRPr="00D76A9C">
              <w:rPr>
                <w:rFonts w:ascii="Times New Roman" w:hAnsi="Times New Roman"/>
                <w:iCs/>
                <w:sz w:val="24"/>
                <w:szCs w:val="24"/>
              </w:rPr>
              <w:t xml:space="preserve">, kā arī </w:t>
            </w:r>
            <w:r w:rsidRPr="00D76A9C">
              <w:rPr>
                <w:rFonts w:ascii="Times New Roman" w:hAnsi="Times New Roman"/>
                <w:sz w:val="24"/>
                <w:szCs w:val="24"/>
              </w:rPr>
              <w:t xml:space="preserve">Vides aizsardzības un reģionālās attīstības ministrijas </w:t>
            </w:r>
            <w:r>
              <w:rPr>
                <w:rFonts w:ascii="Times New Roman" w:hAnsi="Times New Roman"/>
                <w:sz w:val="24"/>
                <w:szCs w:val="24"/>
              </w:rPr>
              <w:t>tīmekļa vietnē</w:t>
            </w:r>
            <w:r w:rsidRPr="00D76A9C">
              <w:rPr>
                <w:rFonts w:ascii="Times New Roman" w:hAnsi="Times New Roman"/>
                <w:sz w:val="24"/>
                <w:szCs w:val="24"/>
              </w:rPr>
              <w:t xml:space="preserve"> </w:t>
            </w:r>
            <w:hyperlink r:id="rId9" w:history="1">
              <w:r w:rsidRPr="00D76A9C">
                <w:rPr>
                  <w:rStyle w:val="Hyperlink"/>
                  <w:sz w:val="24"/>
                  <w:szCs w:val="24"/>
                </w:rPr>
                <w:t>www.varam.gov.lv</w:t>
              </w:r>
            </w:hyperlink>
            <w:r w:rsidRPr="00D76A9C">
              <w:rPr>
                <w:rFonts w:ascii="Times New Roman" w:hAnsi="Times New Roman"/>
                <w:sz w:val="24"/>
                <w:szCs w:val="24"/>
              </w:rPr>
              <w:t>.</w:t>
            </w:r>
            <w:r>
              <w:rPr>
                <w:rFonts w:ascii="Times New Roman" w:hAnsi="Times New Roman"/>
                <w:sz w:val="24"/>
                <w:szCs w:val="24"/>
              </w:rPr>
              <w:t xml:space="preserve">  </w:t>
            </w:r>
          </w:p>
        </w:tc>
      </w:tr>
      <w:tr w:rsidR="00E438FE" w:rsidRPr="00380A54" w:rsidTr="00D76A9C">
        <w:trPr>
          <w:gridBefore w:val="1"/>
          <w:gridAfter w:val="1"/>
          <w:wBefore w:w="34" w:type="dxa"/>
          <w:wAfter w:w="34" w:type="dxa"/>
        </w:trPr>
        <w:tc>
          <w:tcPr>
            <w:tcW w:w="2748" w:type="dxa"/>
          </w:tcPr>
          <w:p w:rsidR="00E438FE" w:rsidRPr="00380A54" w:rsidRDefault="00E438FE"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7. Cita informācija</w:t>
            </w:r>
          </w:p>
        </w:tc>
        <w:tc>
          <w:tcPr>
            <w:tcW w:w="6540" w:type="dxa"/>
            <w:gridSpan w:val="2"/>
          </w:tcPr>
          <w:p w:rsidR="00E438FE" w:rsidRPr="00380A54" w:rsidRDefault="00E438FE" w:rsidP="00C77836">
            <w:r>
              <w:t xml:space="preserve"> N</w:t>
            </w:r>
            <w:r w:rsidRPr="00380A54">
              <w:t>av.</w:t>
            </w:r>
          </w:p>
        </w:tc>
      </w:tr>
      <w:tr w:rsidR="00E438FE" w:rsidRPr="00380A54" w:rsidTr="00D76A9C">
        <w:tc>
          <w:tcPr>
            <w:tcW w:w="9356" w:type="dxa"/>
            <w:gridSpan w:val="5"/>
            <w:tcBorders>
              <w:bottom w:val="nil"/>
            </w:tcBorders>
          </w:tcPr>
          <w:p w:rsidR="00E438FE" w:rsidRDefault="00E438FE" w:rsidP="00D76A9C">
            <w:pPr>
              <w:jc w:val="center"/>
            </w:pPr>
            <w:r w:rsidRPr="00380A54">
              <w:br w:type="page"/>
            </w:r>
            <w:r w:rsidRPr="00380A54">
              <w:br w:type="page"/>
            </w:r>
          </w:p>
          <w:p w:rsidR="00E438FE" w:rsidRDefault="00E438FE" w:rsidP="00D76A9C">
            <w:pPr>
              <w:jc w:val="center"/>
              <w:rPr>
                <w:b/>
                <w:bCs/>
              </w:rPr>
            </w:pPr>
            <w:r w:rsidRPr="00380A54">
              <w:rPr>
                <w:b/>
              </w:rPr>
              <w:t xml:space="preserve">II. </w:t>
            </w:r>
            <w:r w:rsidRPr="00380A54">
              <w:rPr>
                <w:b/>
                <w:bCs/>
              </w:rPr>
              <w:t>Tiesību akta projekta ietekme uz sabiedrību</w:t>
            </w:r>
          </w:p>
          <w:p w:rsidR="00E438FE" w:rsidRPr="00380A54" w:rsidRDefault="00E438FE" w:rsidP="00D76A9C">
            <w:pPr>
              <w:jc w:val="center"/>
              <w:rPr>
                <w:b/>
              </w:rPr>
            </w:pPr>
          </w:p>
        </w:tc>
      </w:tr>
      <w:tr w:rsidR="00E438FE" w:rsidRPr="00380A54" w:rsidTr="00D76A9C">
        <w:tc>
          <w:tcPr>
            <w:tcW w:w="2836" w:type="dxa"/>
            <w:gridSpan w:val="3"/>
            <w:tcBorders>
              <w:right w:val="single" w:sz="4" w:space="0" w:color="auto"/>
            </w:tcBorders>
          </w:tcPr>
          <w:p w:rsidR="00E438FE" w:rsidRPr="00380A54" w:rsidRDefault="00E438FE" w:rsidP="00D76A9C">
            <w:pPr>
              <w:ind w:left="284" w:hanging="284"/>
              <w:jc w:val="both"/>
            </w:pPr>
            <w:r w:rsidRPr="00380A54">
              <w:t xml:space="preserve">1. Sabiedrības </w:t>
            </w:r>
            <w:proofErr w:type="spellStart"/>
            <w:r w:rsidRPr="00380A54">
              <w:t>mērķgrupa</w:t>
            </w:r>
            <w:proofErr w:type="spellEnd"/>
            <w:r w:rsidRPr="00380A54">
              <w:t xml:space="preserve"> </w:t>
            </w:r>
          </w:p>
        </w:tc>
        <w:tc>
          <w:tcPr>
            <w:tcW w:w="6520" w:type="dxa"/>
            <w:gridSpan w:val="2"/>
            <w:tcBorders>
              <w:left w:val="single" w:sz="4" w:space="0" w:color="auto"/>
            </w:tcBorders>
          </w:tcPr>
          <w:p w:rsidR="00E438FE" w:rsidRPr="00D76A9C" w:rsidRDefault="00E438FE" w:rsidP="00F8554F">
            <w:pPr>
              <w:pStyle w:val="Footer"/>
              <w:tabs>
                <w:tab w:val="clear" w:pos="4153"/>
                <w:tab w:val="clear" w:pos="8306"/>
              </w:tabs>
              <w:jc w:val="both"/>
              <w:rPr>
                <w:rFonts w:ascii="Times New Roman" w:hAnsi="Times New Roman"/>
                <w:sz w:val="24"/>
                <w:szCs w:val="24"/>
              </w:rPr>
            </w:pPr>
            <w:r w:rsidRPr="00D76A9C">
              <w:rPr>
                <w:rFonts w:ascii="Times New Roman" w:hAnsi="Times New Roman"/>
                <w:sz w:val="24"/>
                <w:szCs w:val="24"/>
              </w:rPr>
              <w:t>Komersanti, kuri vēlēsies saņemt tiesības un saņems tiesības izmantot zemes dzīles publiskajos ūdeņos, Latvijas Republikas teritoriālajā jūrā un ekskluzīvajā ekonomiskajā zonā.</w:t>
            </w:r>
          </w:p>
          <w:p w:rsidR="00E438FE" w:rsidRPr="00D76A9C" w:rsidRDefault="00E438FE" w:rsidP="00D76A9C">
            <w:pPr>
              <w:pStyle w:val="Footer"/>
              <w:tabs>
                <w:tab w:val="clear" w:pos="4153"/>
                <w:tab w:val="clear" w:pos="8306"/>
              </w:tabs>
              <w:jc w:val="both"/>
              <w:rPr>
                <w:rFonts w:ascii="Times New Roman" w:hAnsi="Times New Roman"/>
                <w:sz w:val="24"/>
                <w:szCs w:val="24"/>
              </w:rPr>
            </w:pPr>
          </w:p>
        </w:tc>
      </w:tr>
      <w:tr w:rsidR="00E438FE" w:rsidRPr="00380A54" w:rsidTr="00D76A9C">
        <w:tc>
          <w:tcPr>
            <w:tcW w:w="2836" w:type="dxa"/>
            <w:gridSpan w:val="3"/>
            <w:tcBorders>
              <w:right w:val="single" w:sz="4" w:space="0" w:color="auto"/>
            </w:tcBorders>
          </w:tcPr>
          <w:p w:rsidR="00E438FE" w:rsidRPr="00380A54" w:rsidRDefault="00E438FE" w:rsidP="00D76A9C">
            <w:pPr>
              <w:jc w:val="both"/>
            </w:pPr>
            <w:r w:rsidRPr="00380A54">
              <w:t xml:space="preserve">2. Citas sabiedrības grupas (bez </w:t>
            </w:r>
            <w:proofErr w:type="spellStart"/>
            <w:r w:rsidRPr="00380A54">
              <w:t>mērķgrupas</w:t>
            </w:r>
            <w:proofErr w:type="spellEnd"/>
            <w:r w:rsidRPr="00380A54">
              <w:t>), kuras tiesiskais regulējums arī ietekmē vai varētu ietekmēt</w:t>
            </w:r>
          </w:p>
        </w:tc>
        <w:tc>
          <w:tcPr>
            <w:tcW w:w="6520" w:type="dxa"/>
            <w:gridSpan w:val="2"/>
            <w:tcBorders>
              <w:left w:val="single" w:sz="4" w:space="0" w:color="auto"/>
            </w:tcBorders>
          </w:tcPr>
          <w:p w:rsidR="00E438FE" w:rsidRPr="00380A54" w:rsidRDefault="00E438FE" w:rsidP="00D76A9C">
            <w:pPr>
              <w:jc w:val="both"/>
            </w:pPr>
            <w:r w:rsidRPr="00380A54">
              <w:t>Dabas aizsardzības, zivsaimniecības, ģeoloģijas, jūrlietu un aizsardzības nozares pārstāvji – gan sabiedriskās organizācijas, gan valsts</w:t>
            </w:r>
            <w:r>
              <w:t xml:space="preserve"> </w:t>
            </w:r>
            <w:r w:rsidRPr="00380A54">
              <w:t>iestādes</w:t>
            </w:r>
            <w:r>
              <w:t>, pašvaldības un plānošanas reģionu administrācijas</w:t>
            </w:r>
            <w:r w:rsidRPr="00380A54">
              <w:t xml:space="preserve">. </w:t>
            </w:r>
          </w:p>
        </w:tc>
      </w:tr>
      <w:tr w:rsidR="00E438FE" w:rsidRPr="00380A54" w:rsidTr="00D76A9C">
        <w:tc>
          <w:tcPr>
            <w:tcW w:w="2836" w:type="dxa"/>
            <w:gridSpan w:val="3"/>
          </w:tcPr>
          <w:p w:rsidR="00E438FE" w:rsidRPr="00380A54" w:rsidRDefault="00E438FE" w:rsidP="00D76A9C">
            <w:pPr>
              <w:pStyle w:val="naiskr"/>
              <w:spacing w:before="0" w:after="0"/>
              <w:jc w:val="both"/>
            </w:pPr>
            <w:r w:rsidRPr="00380A54">
              <w:t>3. Tiesiskā regulējuma finansiālā ietekme</w:t>
            </w:r>
          </w:p>
        </w:tc>
        <w:tc>
          <w:tcPr>
            <w:tcW w:w="6520" w:type="dxa"/>
            <w:gridSpan w:val="2"/>
          </w:tcPr>
          <w:p w:rsidR="00E438FE" w:rsidRPr="00D76A9C" w:rsidRDefault="00E438FE" w:rsidP="00D76A9C">
            <w:pPr>
              <w:pStyle w:val="NormalWeb"/>
              <w:spacing w:before="0" w:beforeAutospacing="0" w:after="0" w:afterAutospacing="0"/>
              <w:ind w:right="112"/>
              <w:jc w:val="both"/>
            </w:pPr>
            <w:r w:rsidRPr="00D76A9C">
              <w:t>Ministru kabineta noteikumu projektā paredzēt</w:t>
            </w:r>
            <w:r>
              <w:t>ā</w:t>
            </w:r>
            <w:r w:rsidRPr="00D76A9C">
              <w:t>s ikgadējas valsts nodevas apmērs ir:</w:t>
            </w:r>
          </w:p>
          <w:p w:rsidR="00E438FE" w:rsidRPr="00D76A9C" w:rsidRDefault="00E438FE" w:rsidP="00885371">
            <w:pPr>
              <w:pStyle w:val="ListParagraph"/>
              <w:numPr>
                <w:ilvl w:val="0"/>
                <w:numId w:val="7"/>
              </w:numPr>
              <w:jc w:val="both"/>
            </w:pPr>
            <w:r w:rsidRPr="00D76A9C">
              <w:t xml:space="preserve">par tiesībām izmantot zemes dzīles publiskajos ūdeņos </w:t>
            </w:r>
            <w:smartTag w:uri="schemas-tilde-lv/tildestengine" w:element="phone">
              <w:smartTagPr>
                <w:attr w:name="phone_prefix" w:val="6"/>
                <w:attr w:name="phone_number" w:val="7026518"/>
              </w:smartTagPr>
              <w:r w:rsidRPr="00D76A9C">
                <w:t>0,001 lats</w:t>
              </w:r>
            </w:smartTag>
            <w:r w:rsidRPr="00D76A9C">
              <w:t xml:space="preserve"> par </w:t>
            </w:r>
            <w:r w:rsidRPr="00D76A9C">
              <w:rPr>
                <w:bCs/>
              </w:rPr>
              <w:t>a</w:t>
            </w:r>
            <w:r w:rsidRPr="00D76A9C">
              <w:t>ttiecīgās atļaujas (licences) laukuma kvadrātmetru gadā (</w:t>
            </w:r>
            <w:smartTag w:uri="schemas-tilde-lv/tildestengine" w:element="phone">
              <w:smartTagPr>
                <w:attr w:name="phone_prefix" w:val="6"/>
                <w:attr w:name="phone_number" w:val="7026518"/>
              </w:smartTagPr>
              <w:r w:rsidRPr="00D76A9C">
                <w:t>1000 latu</w:t>
              </w:r>
            </w:smartTag>
            <w:r w:rsidRPr="00D76A9C">
              <w:t xml:space="preserve"> par kvadrātkilometru gadā);</w:t>
            </w:r>
          </w:p>
          <w:p w:rsidR="00E438FE" w:rsidRPr="00D76A9C" w:rsidRDefault="00E438FE" w:rsidP="00885371">
            <w:pPr>
              <w:pStyle w:val="ListParagraph"/>
              <w:numPr>
                <w:ilvl w:val="0"/>
                <w:numId w:val="7"/>
              </w:numPr>
              <w:jc w:val="both"/>
            </w:pPr>
            <w:r w:rsidRPr="00D76A9C">
              <w:t xml:space="preserve">par tiesībām izmantot zemes dzīles Latvijas Republikas teritoriālajā jūrā un ekskluzīvajā ekonomiskajā zonā </w:t>
            </w:r>
            <w:smartTag w:uri="schemas-tilde-lv/tildestengine" w:element="phone">
              <w:smartTagPr>
                <w:attr w:name="phone_prefix" w:val="6"/>
                <w:attr w:name="phone_number" w:val="7026518"/>
              </w:smartTagPr>
              <w:r w:rsidRPr="00D76A9C">
                <w:t>0,01 lats</w:t>
              </w:r>
            </w:smartTag>
            <w:r w:rsidRPr="00D76A9C">
              <w:t xml:space="preserve"> par </w:t>
            </w:r>
            <w:r w:rsidRPr="00D76A9C">
              <w:rPr>
                <w:bCs/>
              </w:rPr>
              <w:t>a</w:t>
            </w:r>
            <w:r w:rsidRPr="00D76A9C">
              <w:t xml:space="preserve">ttiecīgās atļaujas (licences) laukuma kvadrātmetru gadā (10 </w:t>
            </w:r>
            <w:smartTag w:uri="schemas-tilde-lv/tildestengine" w:element="phone">
              <w:smartTagPr>
                <w:attr w:name="phone_prefix" w:val="6"/>
                <w:attr w:name="phone_number" w:val="7026518"/>
              </w:smartTagPr>
              <w:r w:rsidRPr="00D76A9C">
                <w:t>000 latu</w:t>
              </w:r>
            </w:smartTag>
            <w:r w:rsidRPr="00D76A9C">
              <w:t xml:space="preserve"> par kvadrātkilometru gadā).</w:t>
            </w:r>
          </w:p>
          <w:p w:rsidR="00E438FE" w:rsidRDefault="00E438FE" w:rsidP="00885371">
            <w:pPr>
              <w:spacing w:after="120"/>
              <w:jc w:val="both"/>
              <w:rPr>
                <w:sz w:val="28"/>
                <w:szCs w:val="28"/>
              </w:rPr>
            </w:pPr>
            <w:r w:rsidRPr="0094554F">
              <w:t xml:space="preserve">Konkursa par zemes dzīļu izmantošanas licenci dalībnieki maksās maksu par konkursa nolikuma saņemšanu un par dalību konkursā. Maksa paredzēta izdevumiem </w:t>
            </w:r>
            <w:r>
              <w:t>par publikācijām „Latvijas Vēst</w:t>
            </w:r>
            <w:r w:rsidRPr="0094554F">
              <w:t>nesī”, kā arī, lai nodrošinātu Valsts vides dienesta darbību sakarā ar konkursa organizēšanu.</w:t>
            </w:r>
            <w:r w:rsidRPr="003E1F56">
              <w:rPr>
                <w:sz w:val="28"/>
                <w:szCs w:val="28"/>
              </w:rPr>
              <w:t xml:space="preserve"> </w:t>
            </w:r>
          </w:p>
          <w:p w:rsidR="00E438FE" w:rsidRPr="00F57A5D" w:rsidRDefault="00E438FE" w:rsidP="00D76A9C">
            <w:pPr>
              <w:spacing w:after="120"/>
              <w:jc w:val="both"/>
            </w:pPr>
            <w:r w:rsidRPr="00F57A5D">
              <w:t xml:space="preserve">Citas sabiedrības grupas projekts finansiāli neietekmē. </w:t>
            </w:r>
          </w:p>
        </w:tc>
      </w:tr>
      <w:tr w:rsidR="00E438FE" w:rsidRPr="00380A54" w:rsidTr="00D76A9C">
        <w:trPr>
          <w:trHeight w:val="174"/>
        </w:trPr>
        <w:tc>
          <w:tcPr>
            <w:tcW w:w="2836" w:type="dxa"/>
            <w:gridSpan w:val="3"/>
          </w:tcPr>
          <w:p w:rsidR="00E438FE" w:rsidRPr="00380A54" w:rsidRDefault="00E438FE" w:rsidP="00D76A9C">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4. Tiesiskā regulējuma nefinansiālā ietekme</w:t>
            </w:r>
          </w:p>
        </w:tc>
        <w:tc>
          <w:tcPr>
            <w:tcW w:w="6520" w:type="dxa"/>
            <w:gridSpan w:val="2"/>
          </w:tcPr>
          <w:p w:rsidR="00E438FE" w:rsidRDefault="00E438FE" w:rsidP="00D76A9C">
            <w:pPr>
              <w:pStyle w:val="Footer"/>
              <w:tabs>
                <w:tab w:val="clear" w:pos="4153"/>
                <w:tab w:val="clear" w:pos="8306"/>
              </w:tabs>
              <w:jc w:val="both"/>
              <w:rPr>
                <w:rFonts w:ascii="Times New Roman" w:hAnsi="Times New Roman"/>
                <w:sz w:val="24"/>
                <w:szCs w:val="24"/>
              </w:rPr>
            </w:pPr>
            <w:r w:rsidRPr="00380A54">
              <w:rPr>
                <w:rFonts w:ascii="Times New Roman" w:hAnsi="Times New Roman"/>
                <w:sz w:val="24"/>
                <w:szCs w:val="24"/>
              </w:rPr>
              <w:t xml:space="preserve">Noteikta kārtība, kādā izmanto zemes dzīles jūrā un publiskajos ūdeņos. Līdz šim darbībām publiskajos ūdeņos bija nepieciešams Ministru kabineta </w:t>
            </w:r>
            <w:smartTag w:uri="schemas-tilde-lv/tildestengine" w:element="phone">
              <w:smartTagPr>
                <w:attr w:name="phone_prefix" w:val="6"/>
                <w:attr w:name="phone_number" w:val="7026518"/>
              </w:smartTagPr>
              <w:r w:rsidRPr="00380A54">
                <w:rPr>
                  <w:rFonts w:ascii="Times New Roman" w:hAnsi="Times New Roman"/>
                  <w:sz w:val="24"/>
                  <w:szCs w:val="24"/>
                </w:rPr>
                <w:t>rīkojums</w:t>
              </w:r>
            </w:smartTag>
            <w:r w:rsidRPr="00380A54">
              <w:rPr>
                <w:rFonts w:ascii="Times New Roman" w:hAnsi="Times New Roman"/>
                <w:sz w:val="24"/>
                <w:szCs w:val="24"/>
              </w:rPr>
              <w:t>, pēc šī projekta spēkā stāšanās administratīva procedūra būs skaidra un vienkāršāka nekā pašlaik.</w:t>
            </w:r>
          </w:p>
          <w:p w:rsidR="00E438FE" w:rsidRPr="00380A54" w:rsidRDefault="00E438FE" w:rsidP="00D76A9C">
            <w:pPr>
              <w:pStyle w:val="Footer"/>
              <w:tabs>
                <w:tab w:val="clear" w:pos="4153"/>
                <w:tab w:val="clear" w:pos="8306"/>
              </w:tabs>
              <w:jc w:val="both"/>
              <w:rPr>
                <w:rFonts w:ascii="Times New Roman" w:hAnsi="Times New Roman"/>
                <w:sz w:val="24"/>
                <w:szCs w:val="24"/>
              </w:rPr>
            </w:pPr>
          </w:p>
        </w:tc>
      </w:tr>
      <w:tr w:rsidR="00E438FE" w:rsidRPr="00380A54" w:rsidTr="00D76A9C">
        <w:tc>
          <w:tcPr>
            <w:tcW w:w="2836" w:type="dxa"/>
            <w:gridSpan w:val="3"/>
          </w:tcPr>
          <w:p w:rsidR="00E438FE" w:rsidRPr="00380A54" w:rsidRDefault="00E438FE" w:rsidP="00D76A9C">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lastRenderedPageBreak/>
              <w:t>5. Administratīvās procedūras raksturojums</w:t>
            </w:r>
          </w:p>
        </w:tc>
        <w:tc>
          <w:tcPr>
            <w:tcW w:w="6520" w:type="dxa"/>
            <w:gridSpan w:val="2"/>
          </w:tcPr>
          <w:p w:rsidR="00E438FE" w:rsidRPr="00380A54" w:rsidRDefault="00E438FE" w:rsidP="00D76A9C">
            <w:pPr>
              <w:pStyle w:val="naisf"/>
              <w:spacing w:before="120" w:after="120"/>
              <w:ind w:firstLine="0"/>
            </w:pPr>
            <w:r w:rsidRPr="00380A54">
              <w:rPr>
                <w:b/>
              </w:rPr>
              <w:t>Jūra.</w:t>
            </w:r>
            <w:r w:rsidRPr="00380A54">
              <w:t xml:space="preserve"> Ierosinātājs vēršas Vides aizsardzības un reģionālās attīstības ministrijā ar iesniegumu. Ministrija izvērtē iesniegumu, tajā skaitā ņem</w:t>
            </w:r>
            <w:r>
              <w:t>ot</w:t>
            </w:r>
            <w:r w:rsidRPr="00380A54">
              <w:t xml:space="preserve"> vērā starp Aizsardzības ministriju, Ekonomikas ministriju, Vides ministriju, Reģionālās attīstības un pašvaldību lietu ministriju, Zemkopības ministriju, </w:t>
            </w:r>
            <w:r w:rsidRPr="00404D26">
              <w:t>Iekšlietu ministriju</w:t>
            </w:r>
            <w:r w:rsidRPr="00380A54">
              <w:t xml:space="preserve"> un VAS „Latvijas Jūras administrācija” noslēgto starpresoru vienošanos Nr.1</w:t>
            </w:r>
            <w:r>
              <w:t>, kas stājās spēkā 2010.gada 6.septembrī</w:t>
            </w:r>
            <w:r w:rsidRPr="00380A54">
              <w:t>. Vienošanās</w:t>
            </w:r>
            <w:r>
              <w:t xml:space="preserve"> nosaka kārtību, kā</w:t>
            </w:r>
            <w:r w:rsidRPr="00380A54">
              <w:t xml:space="preserve"> </w:t>
            </w:r>
            <w:r>
              <w:t>institūcijas apmainās ar informāciju, ja saņemts iesniegums vai tās pašas plāno noteikt jūras teritorijai kādu izmantošanas veidu.</w:t>
            </w:r>
            <w:r w:rsidR="00267736">
              <w:t xml:space="preserve"> Ministrija noskaidro ierosinātajam licences laukumam tuvāko pašvaldību viedokli.</w:t>
            </w:r>
          </w:p>
          <w:p w:rsidR="00E438FE" w:rsidRPr="00380A54" w:rsidRDefault="00E438FE" w:rsidP="00D76A9C">
            <w:pPr>
              <w:pStyle w:val="naisf"/>
              <w:spacing w:before="120" w:after="120"/>
            </w:pPr>
            <w:r w:rsidRPr="00380A54">
              <w:t xml:space="preserve">Ja nav atklājušies būtiski šķēršļi zemes dzīļu izmantošanai jūrā, ministrija sagatavo Ministru kabineta rīkojuma projektu par licences laukuma noteikšanu un virza to uz Ministru kabinetu </w:t>
            </w:r>
            <w:r>
              <w:t xml:space="preserve">Kārtības rullī </w:t>
            </w:r>
            <w:r w:rsidRPr="00380A54">
              <w:t xml:space="preserve">noteiktajā kārtībā. Pēc rīkojuma spēkā stāšanās, ministrija izveido konkursa komisiju, kurā iekļauj Vides aizsardzības un reģionālās attīstības </w:t>
            </w:r>
            <w:r w:rsidRPr="002C4E43">
              <w:t>ministrijas pārstāvjus</w:t>
            </w:r>
            <w:r w:rsidRPr="00380A54">
              <w:t>,</w:t>
            </w:r>
            <w:r>
              <w:t xml:space="preserve"> Valsts vides dienesta pārstāvi,</w:t>
            </w:r>
            <w:r w:rsidRPr="00380A54">
              <w:t xml:space="preserve"> Ekonomikas ministrijas pārstāvi, Zemkopības ministrijas pārstāvi, Satiksmes ministrijas pārstāvi, ja nepieciešams - citu institūciju pārstāvjus. Komisijas sastāvu apstiprina</w:t>
            </w:r>
            <w:r w:rsidR="00CB6CA7">
              <w:t xml:space="preserve"> Ministru kabinets</w:t>
            </w:r>
            <w:r w:rsidRPr="00380A54">
              <w:t xml:space="preserve">. Komisijas darbu </w:t>
            </w:r>
            <w:r w:rsidR="00CB6CA7">
              <w:t xml:space="preserve">nodrošina </w:t>
            </w:r>
            <w:r w:rsidRPr="00380A54">
              <w:t>Valsts vides dienests.</w:t>
            </w:r>
            <w:r w:rsidR="00CB6CA7">
              <w:t xml:space="preserve"> </w:t>
            </w:r>
            <w:r w:rsidR="00CB6CA7" w:rsidRPr="00CB6CA7">
              <w:t>Konkursa nolikuma izstrādi organizē un nolikumu apstiprina ministrija.</w:t>
            </w:r>
            <w:r w:rsidRPr="00380A54">
              <w:t xml:space="preserve"> Valsts vides dienests plašsaziņas līdzekļos izsludina konkursu. Komisija atbilstoši noteikumos un konkursa nolikumā noteiktaj</w:t>
            </w:r>
            <w:r>
              <w:t>a</w:t>
            </w:r>
            <w:r w:rsidRPr="00380A54">
              <w:t>m izvērtē pretendentus un nosaka konkursa uzvarētāju. Valsts vides dienests konkursa uzvarētājam izsniedz licenci</w:t>
            </w:r>
            <w:r>
              <w:t>, ņemot vērā zemes dzīļu izmantošanas licenču izsniegšanas kārtību.</w:t>
            </w:r>
            <w:r w:rsidRPr="00380A54">
              <w:t xml:space="preserve"> </w:t>
            </w:r>
          </w:p>
          <w:p w:rsidR="00E438FE" w:rsidRPr="00CB6CA7" w:rsidRDefault="00E438FE" w:rsidP="00D76A9C">
            <w:pPr>
              <w:pStyle w:val="naisf"/>
              <w:spacing w:before="120" w:after="120"/>
              <w:ind w:firstLine="0"/>
            </w:pPr>
            <w:r w:rsidRPr="00380A54">
              <w:t xml:space="preserve">Licences saņemšana konkursa uzvarētāju neatbrīvo no ietekmes uz vidi novērtējuma veikšanas, ja tāds nepieciešams. Tāpat licenciātam savas darbības jūrā jāsaskaņo ar Latvijas Jūras administrāciju, </w:t>
            </w:r>
            <w:r w:rsidR="00CB6CA7" w:rsidRPr="00CB6CA7">
              <w:t>valsts aģentūru „Civilās aviācijas aģentūra”</w:t>
            </w:r>
            <w:proofErr w:type="gramStart"/>
            <w:r w:rsidR="00CB6CA7">
              <w:t xml:space="preserve">  </w:t>
            </w:r>
            <w:proofErr w:type="gramEnd"/>
            <w:r w:rsidR="00CB6CA7">
              <w:t>(ja tiek izmantoti gaisa kuģi),</w:t>
            </w:r>
            <w:r w:rsidR="00CB6CA7" w:rsidRPr="00CB6CA7">
              <w:t xml:space="preserve"> </w:t>
            </w:r>
            <w:r w:rsidRPr="00380A54">
              <w:t>kā arī jānodrošina jūras gultnes drošības pārbaudi, ko veic Nacionālie bruņotie spēki.</w:t>
            </w:r>
            <w:r w:rsidR="00CB6CA7">
              <w:t xml:space="preserve"> Ja licences laukums pārklājas ar ieeju ostā, darbu grafiks jāsaskaņo </w:t>
            </w:r>
            <w:r w:rsidR="00CB6CA7" w:rsidRPr="00CB6CA7">
              <w:t>ar attiecīgās ostas pārvaldi</w:t>
            </w:r>
            <w:r w:rsidR="00CB6CA7">
              <w:t>.</w:t>
            </w:r>
          </w:p>
          <w:p w:rsidR="00E438FE" w:rsidRPr="00380A54" w:rsidRDefault="00E438FE" w:rsidP="00D76A9C">
            <w:pPr>
              <w:pStyle w:val="naisf"/>
              <w:spacing w:before="120" w:after="120"/>
              <w:ind w:firstLine="0"/>
            </w:pPr>
            <w:r w:rsidRPr="00380A54">
              <w:rPr>
                <w:b/>
              </w:rPr>
              <w:t>Publiskie ūdeņi</w:t>
            </w:r>
            <w:r w:rsidRPr="00380A54">
              <w:t xml:space="preserve">. Noteikumu projektā noteikts, ka, tāpat kā jūrā, </w:t>
            </w:r>
            <w:r w:rsidR="00CB6CA7">
              <w:t xml:space="preserve">būvju </w:t>
            </w:r>
            <w:r w:rsidRPr="00380A54">
              <w:t xml:space="preserve">būvniecības gadījumā </w:t>
            </w:r>
            <w:r w:rsidR="00CB6CA7">
              <w:t xml:space="preserve">zemes dzīļu izmantošanas </w:t>
            </w:r>
            <w:r w:rsidRPr="00380A54">
              <w:t xml:space="preserve">licenci </w:t>
            </w:r>
            <w:r w:rsidR="00CB6CA7">
              <w:t xml:space="preserve">Valsts vides dienests </w:t>
            </w:r>
            <w:r w:rsidRPr="00380A54">
              <w:t xml:space="preserve">izsniedz ģeoloģiskās izpētes pasūtītājam vai pasūtītāja izvēlētajam ģeoloģiskās izpētes veicējam. Tā kā </w:t>
            </w:r>
            <w:r>
              <w:t xml:space="preserve">zeme zem publiskajiem </w:t>
            </w:r>
            <w:r w:rsidRPr="00380A54">
              <w:t>ūdeņi</w:t>
            </w:r>
            <w:r>
              <w:t>em</w:t>
            </w:r>
            <w:r w:rsidRPr="00380A54">
              <w:t xml:space="preserve"> ir valsts zeme, būvniecības gadījumā iepriekš jau </w:t>
            </w:r>
            <w:r w:rsidR="00B25E35">
              <w:t>būtu jābūt konkursam</w:t>
            </w:r>
            <w:r w:rsidRPr="00380A54">
              <w:t xml:space="preserve"> par </w:t>
            </w:r>
            <w:r w:rsidR="00B25E35">
              <w:t>būvniecības</w:t>
            </w:r>
            <w:r w:rsidRPr="00380A54">
              <w:t xml:space="preserve"> veikšanu. </w:t>
            </w:r>
          </w:p>
          <w:p w:rsidR="00E438FE" w:rsidRPr="00380A54" w:rsidRDefault="00E438FE" w:rsidP="00D76A9C">
            <w:pPr>
              <w:pStyle w:val="naisf"/>
              <w:spacing w:before="120" w:after="120"/>
              <w:ind w:firstLine="0"/>
            </w:pPr>
            <w:r w:rsidRPr="00380A54">
              <w:t xml:space="preserve">Ja zemes dzīles nepieciešams izmantot ar būvniecību nesaistītā veidā, ierosinātājs iesniedz </w:t>
            </w:r>
            <w:r w:rsidR="00CB6CA7" w:rsidRPr="00CB6CA7">
              <w:t>Valsts vides dienestam</w:t>
            </w:r>
            <w:r w:rsidR="0065287F">
              <w:t xml:space="preserve"> (VVD)</w:t>
            </w:r>
            <w:r w:rsidR="00CB6CA7" w:rsidRPr="00380A54">
              <w:t xml:space="preserve"> </w:t>
            </w:r>
            <w:r w:rsidRPr="00380A54">
              <w:t>iesniegumu</w:t>
            </w:r>
            <w:r w:rsidR="0065287F">
              <w:t xml:space="preserve"> par licences laukuma noteikšanu. VVD noskaidro pašvaldību viedokli – vai </w:t>
            </w:r>
            <w:r w:rsidR="0065287F" w:rsidRPr="0065287F">
              <w:t>ierosinātā licences laukuma noteikšana nav pretrunā spēkā esošajiem teritorijas attīstības plānošanas dokumentiem</w:t>
            </w:r>
            <w:r w:rsidR="0065287F">
              <w:t>.</w:t>
            </w:r>
            <w:r w:rsidR="0065287F" w:rsidRPr="0065287F">
              <w:t xml:space="preserve"> </w:t>
            </w:r>
            <w:r w:rsidR="0065287F">
              <w:t>Ja VVD</w:t>
            </w:r>
            <w:r w:rsidRPr="00380A54">
              <w:t xml:space="preserve"> rīcībā nav informācijas, ka zemes dzīļu </w:t>
            </w:r>
            <w:r w:rsidRPr="00380A54">
              <w:lastRenderedPageBreak/>
              <w:t>izmantošana nav pieļaujama, izveido konk</w:t>
            </w:r>
            <w:r w:rsidR="00B25E35">
              <w:t>ursa komisiju. Komisijā iekļauj</w:t>
            </w:r>
            <w:r w:rsidRPr="00380A54">
              <w:t xml:space="preserve"> </w:t>
            </w:r>
            <w:r w:rsidR="0065287F" w:rsidRPr="00380A54">
              <w:t>Valsts vides dienesta pārstāvi</w:t>
            </w:r>
            <w:r w:rsidR="0065287F">
              <w:t>,</w:t>
            </w:r>
            <w:r w:rsidR="0065287F" w:rsidRPr="00380A54">
              <w:t xml:space="preserve"> </w:t>
            </w:r>
            <w:r w:rsidRPr="00380A54">
              <w:t xml:space="preserve">pašvaldības pārstāvjus (ja ierosinātais licences laukums pieguļ vai atrodas vairāku pašvaldību teritorijā, komisijā iekļauj vismaz vienu pārstāvi no katras pašvaldības), </w:t>
            </w:r>
            <w:r w:rsidR="0065287F" w:rsidRPr="00380A54">
              <w:t>plānošanas reģiona pārstāvi</w:t>
            </w:r>
            <w:r w:rsidR="0065287F">
              <w:t>,</w:t>
            </w:r>
            <w:r w:rsidR="0065287F" w:rsidRPr="00380A54">
              <w:t xml:space="preserve"> </w:t>
            </w:r>
            <w:r w:rsidRPr="00380A54">
              <w:t>ja nepieciešams - citu institūciju pārstāvjus.</w:t>
            </w:r>
            <w:r w:rsidR="0065287F">
              <w:t xml:space="preserve"> Komisija izstrādā konkursa nolikumu, kuru apstiprina VVD ģenerāldirektors. </w:t>
            </w:r>
            <w:r w:rsidRPr="00380A54">
              <w:t xml:space="preserve">Konkursa procedūra noteikta tāda pati kā attiecībā uz jūru. </w:t>
            </w:r>
          </w:p>
          <w:p w:rsidR="00E438FE" w:rsidRPr="00380A54" w:rsidRDefault="00E438FE" w:rsidP="002C4E43">
            <w:pPr>
              <w:pStyle w:val="naisf"/>
              <w:spacing w:before="120" w:after="120"/>
              <w:ind w:firstLine="709"/>
              <w:rPr>
                <w:color w:val="92D050"/>
                <w:szCs w:val="28"/>
              </w:rPr>
            </w:pPr>
            <w:r w:rsidRPr="00380A54">
              <w:t>Izmantojot zemes dzīles publiskajos ūdeņos, licenciātam ir pienākums ievērot normatīv</w:t>
            </w:r>
            <w:r>
              <w:t>os aktu</w:t>
            </w:r>
            <w:r w:rsidRPr="00380A54">
              <w:t xml:space="preserve">s par </w:t>
            </w:r>
            <w:r w:rsidRPr="00380A54">
              <w:rPr>
                <w:rFonts w:ascii="TimesNewRomanPSMT" w:hAnsi="TimesNewRomanPSMT" w:cs="TimesNewRomanPSMT"/>
                <w:lang w:eastAsia="en-US"/>
              </w:rPr>
              <w:t xml:space="preserve">virszemes ūdensobjektu un ostu akvatoriju tīrīšanas un padziļināšanas kārtību, ciktāl tie nav pretrunā ar šiem noteikumiem, un ietekmes uz vidi novērtējumu regulējošos normatīvos aktus. </w:t>
            </w:r>
          </w:p>
        </w:tc>
      </w:tr>
      <w:tr w:rsidR="00E438FE" w:rsidRPr="00380A54" w:rsidTr="00D76A9C">
        <w:tc>
          <w:tcPr>
            <w:tcW w:w="2836" w:type="dxa"/>
            <w:gridSpan w:val="3"/>
          </w:tcPr>
          <w:p w:rsidR="00E438FE" w:rsidRPr="00380A54" w:rsidRDefault="00E438FE" w:rsidP="00D76A9C">
            <w:pPr>
              <w:pStyle w:val="naiskr"/>
              <w:spacing w:before="0" w:after="0"/>
            </w:pPr>
            <w:r w:rsidRPr="00380A54">
              <w:lastRenderedPageBreak/>
              <w:t>6. Administratīvo izmaksu monetārs novērtējums</w:t>
            </w:r>
          </w:p>
        </w:tc>
        <w:tc>
          <w:tcPr>
            <w:tcW w:w="6520" w:type="dxa"/>
            <w:gridSpan w:val="2"/>
          </w:tcPr>
          <w:p w:rsidR="00E438FE" w:rsidRPr="00380A54" w:rsidRDefault="00E438FE" w:rsidP="00D76A9C">
            <w:pPr>
              <w:rPr>
                <w:szCs w:val="28"/>
              </w:rPr>
            </w:pPr>
            <w:r>
              <w:t>Projekts šo jomu neskar.</w:t>
            </w:r>
          </w:p>
        </w:tc>
      </w:tr>
      <w:tr w:rsidR="00E438FE" w:rsidRPr="00380A54" w:rsidTr="00D76A9C">
        <w:tc>
          <w:tcPr>
            <w:tcW w:w="2836" w:type="dxa"/>
            <w:gridSpan w:val="3"/>
          </w:tcPr>
          <w:p w:rsidR="00E438FE" w:rsidRPr="00380A54" w:rsidRDefault="00E438FE" w:rsidP="00D76A9C">
            <w:pPr>
              <w:pStyle w:val="naiskr"/>
              <w:spacing w:before="0" w:after="0"/>
            </w:pPr>
            <w:r w:rsidRPr="00380A54">
              <w:t>7. Cita informācija</w:t>
            </w:r>
          </w:p>
        </w:tc>
        <w:tc>
          <w:tcPr>
            <w:tcW w:w="6520" w:type="dxa"/>
            <w:gridSpan w:val="2"/>
          </w:tcPr>
          <w:p w:rsidR="00E438FE" w:rsidRPr="00380A54" w:rsidRDefault="00E438FE" w:rsidP="00A456F0">
            <w:pPr>
              <w:rPr>
                <w:szCs w:val="28"/>
              </w:rPr>
            </w:pPr>
            <w:r w:rsidRPr="00380A54">
              <w:rPr>
                <w:szCs w:val="28"/>
              </w:rPr>
              <w:t xml:space="preserve">Nav </w:t>
            </w:r>
          </w:p>
        </w:tc>
      </w:tr>
    </w:tbl>
    <w:p w:rsidR="00E438FE" w:rsidRPr="00380A54" w:rsidRDefault="00E438FE" w:rsidP="00C77836">
      <w:pPr>
        <w:pStyle w:val="Footer"/>
        <w:tabs>
          <w:tab w:val="clear" w:pos="4153"/>
          <w:tab w:val="clear" w:pos="8306"/>
        </w:tabs>
        <w:rPr>
          <w:rFonts w:ascii="Times New Roman" w:hAnsi="Times New Roman"/>
          <w:sz w:val="24"/>
          <w:szCs w:val="24"/>
        </w:rPr>
      </w:pPr>
    </w:p>
    <w:tbl>
      <w:tblPr>
        <w:tblpPr w:leftFromText="180" w:rightFromText="180" w:vertAnchor="text" w:horzAnchor="margin" w:tblpX="-118" w:tblpY="1"/>
        <w:tblOverlap w:val="never"/>
        <w:tblW w:w="9268"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0A0" w:firstRow="1" w:lastRow="0" w:firstColumn="1" w:lastColumn="0" w:noHBand="0" w:noVBand="0"/>
      </w:tblPr>
      <w:tblGrid>
        <w:gridCol w:w="2834"/>
        <w:gridCol w:w="1227"/>
        <w:gridCol w:w="1430"/>
        <w:gridCol w:w="1259"/>
        <w:gridCol w:w="1259"/>
        <w:gridCol w:w="1259"/>
      </w:tblGrid>
      <w:tr w:rsidR="00E438FE" w:rsidRPr="00380A54" w:rsidTr="00380A54">
        <w:tc>
          <w:tcPr>
            <w:tcW w:w="9268" w:type="dxa"/>
            <w:gridSpan w:val="6"/>
            <w:tcBorders>
              <w:top w:val="outset" w:sz="6" w:space="0" w:color="auto"/>
              <w:bottom w:val="outset" w:sz="6" w:space="0" w:color="auto"/>
            </w:tcBorders>
          </w:tcPr>
          <w:p w:rsidR="00E438FE" w:rsidRPr="00380A54" w:rsidRDefault="00E438FE" w:rsidP="00380A54">
            <w:pPr>
              <w:spacing w:before="100" w:beforeAutospacing="1" w:after="100" w:afterAutospacing="1"/>
              <w:jc w:val="center"/>
              <w:rPr>
                <w:lang w:eastAsia="en-US"/>
              </w:rPr>
            </w:pPr>
            <w:r w:rsidRPr="00380A54">
              <w:rPr>
                <w:b/>
                <w:bCs/>
                <w:lang w:eastAsia="en-US"/>
              </w:rPr>
              <w:t>III. Tiesību akta projekta ietekme uz valsts budžetu un pašvaldību budžetiem</w:t>
            </w:r>
          </w:p>
        </w:tc>
      </w:tr>
      <w:tr w:rsidR="00E438FE" w:rsidRPr="00380A54" w:rsidTr="00380A54">
        <w:tc>
          <w:tcPr>
            <w:tcW w:w="2834" w:type="dxa"/>
            <w:vMerge w:val="restart"/>
            <w:tcBorders>
              <w:top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b/>
                <w:bCs/>
                <w:lang w:eastAsia="en-US"/>
              </w:rPr>
              <w:t>Rādītāji</w:t>
            </w:r>
          </w:p>
        </w:tc>
        <w:tc>
          <w:tcPr>
            <w:tcW w:w="2657" w:type="dxa"/>
            <w:gridSpan w:val="2"/>
            <w:vMerge w:val="restart"/>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Pr>
                <w:b/>
                <w:bCs/>
                <w:lang w:eastAsia="en-US"/>
              </w:rPr>
              <w:t>2012.</w:t>
            </w:r>
            <w:r w:rsidRPr="00380A54">
              <w:rPr>
                <w:b/>
                <w:bCs/>
                <w:lang w:eastAsia="en-US"/>
              </w:rPr>
              <w:t>gads</w:t>
            </w:r>
          </w:p>
        </w:tc>
        <w:tc>
          <w:tcPr>
            <w:tcW w:w="3777" w:type="dxa"/>
            <w:gridSpan w:val="3"/>
            <w:tcBorders>
              <w:top w:val="outset" w:sz="6" w:space="0" w:color="auto"/>
              <w:left w:val="outset" w:sz="6" w:space="0" w:color="auto"/>
              <w:bottom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Turpmākie trīs gadi (</w:t>
            </w:r>
            <w:proofErr w:type="spellStart"/>
            <w:r w:rsidRPr="00380A54">
              <w:rPr>
                <w:lang w:eastAsia="en-US"/>
              </w:rPr>
              <w:t>tūkst</w:t>
            </w:r>
            <w:proofErr w:type="spellEnd"/>
            <w:r w:rsidRPr="00380A54">
              <w:rPr>
                <w:lang w:eastAsia="en-US"/>
              </w:rPr>
              <w:t>. latu)</w:t>
            </w:r>
          </w:p>
        </w:tc>
      </w:tr>
      <w:tr w:rsidR="00E438FE" w:rsidRPr="00380A54" w:rsidTr="00380A54">
        <w:tc>
          <w:tcPr>
            <w:tcW w:w="2834" w:type="dxa"/>
            <w:vMerge/>
            <w:tcBorders>
              <w:top w:val="outset" w:sz="6" w:space="0" w:color="auto"/>
              <w:bottom w:val="outset" w:sz="6" w:space="0" w:color="auto"/>
              <w:right w:val="outset" w:sz="6" w:space="0" w:color="auto"/>
            </w:tcBorders>
            <w:vAlign w:val="center"/>
          </w:tcPr>
          <w:p w:rsidR="00E438FE" w:rsidRPr="00380A54" w:rsidRDefault="00E438FE" w:rsidP="00380A54">
            <w:pPr>
              <w:rPr>
                <w:lang w:eastAsia="en-US"/>
              </w:rPr>
            </w:pPr>
          </w:p>
        </w:tc>
        <w:tc>
          <w:tcPr>
            <w:tcW w:w="2657" w:type="dxa"/>
            <w:gridSpan w:val="2"/>
            <w:vMerge/>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rPr>
                <w:lang w:eastAsia="en-US"/>
              </w:rPr>
            </w:pPr>
          </w:p>
        </w:tc>
        <w:tc>
          <w:tcPr>
            <w:tcW w:w="1259"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Pr>
                <w:b/>
                <w:bCs/>
                <w:lang w:eastAsia="en-US"/>
              </w:rPr>
              <w:t xml:space="preserve">2013.gads </w:t>
            </w:r>
          </w:p>
        </w:tc>
        <w:tc>
          <w:tcPr>
            <w:tcW w:w="1259"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Pr>
                <w:b/>
                <w:bCs/>
                <w:lang w:eastAsia="en-US"/>
              </w:rPr>
              <w:t xml:space="preserve">2014.gads </w:t>
            </w:r>
          </w:p>
        </w:tc>
        <w:tc>
          <w:tcPr>
            <w:tcW w:w="1259" w:type="dxa"/>
            <w:tcBorders>
              <w:top w:val="outset" w:sz="6" w:space="0" w:color="auto"/>
              <w:left w:val="outset" w:sz="6" w:space="0" w:color="auto"/>
              <w:bottom w:val="outset" w:sz="6" w:space="0" w:color="auto"/>
            </w:tcBorders>
            <w:vAlign w:val="center"/>
          </w:tcPr>
          <w:p w:rsidR="00E438FE" w:rsidRPr="00380A54" w:rsidRDefault="00E438FE" w:rsidP="00380A54">
            <w:pPr>
              <w:spacing w:before="100" w:beforeAutospacing="1" w:after="100" w:afterAutospacing="1"/>
              <w:jc w:val="center"/>
              <w:rPr>
                <w:lang w:eastAsia="en-US"/>
              </w:rPr>
            </w:pPr>
            <w:r>
              <w:rPr>
                <w:b/>
                <w:bCs/>
                <w:lang w:eastAsia="en-US"/>
              </w:rPr>
              <w:t xml:space="preserve">2015.gads </w:t>
            </w:r>
          </w:p>
        </w:tc>
      </w:tr>
      <w:tr w:rsidR="00E438FE" w:rsidRPr="00380A54" w:rsidTr="00380A54">
        <w:tc>
          <w:tcPr>
            <w:tcW w:w="2834" w:type="dxa"/>
            <w:vMerge/>
            <w:tcBorders>
              <w:top w:val="outset" w:sz="6" w:space="0" w:color="auto"/>
              <w:bottom w:val="outset" w:sz="6" w:space="0" w:color="auto"/>
              <w:right w:val="outset" w:sz="6" w:space="0" w:color="auto"/>
            </w:tcBorders>
            <w:vAlign w:val="center"/>
          </w:tcPr>
          <w:p w:rsidR="00E438FE" w:rsidRPr="00380A54" w:rsidRDefault="00E438FE" w:rsidP="00380A54">
            <w:pPr>
              <w:rPr>
                <w:lang w:eastAsia="en-US"/>
              </w:rPr>
            </w:pPr>
          </w:p>
        </w:tc>
        <w:tc>
          <w:tcPr>
            <w:tcW w:w="1227"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Saskaņā ar valsts budžetu kārtējam gadam</w:t>
            </w:r>
          </w:p>
        </w:tc>
        <w:tc>
          <w:tcPr>
            <w:tcW w:w="1430"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Izmaiņas kārtējā gadā, salīdzinot ar budžetu kārtējam gadam</w:t>
            </w:r>
          </w:p>
        </w:tc>
        <w:tc>
          <w:tcPr>
            <w:tcW w:w="1259"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Izmaiņas, salīdzinot ar kārtējo (n) gadu</w:t>
            </w:r>
          </w:p>
        </w:tc>
        <w:tc>
          <w:tcPr>
            <w:tcW w:w="1259"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Izmaiņas, salīdzinot ar kārtējo (n) gadu</w:t>
            </w:r>
          </w:p>
        </w:tc>
        <w:tc>
          <w:tcPr>
            <w:tcW w:w="1259" w:type="dxa"/>
            <w:tcBorders>
              <w:top w:val="outset" w:sz="6" w:space="0" w:color="auto"/>
              <w:left w:val="outset" w:sz="6" w:space="0" w:color="auto"/>
              <w:bottom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Izmaiņas, salīdzinot ar kārtējo (n) gadu</w:t>
            </w:r>
          </w:p>
        </w:tc>
      </w:tr>
      <w:tr w:rsidR="00E438FE" w:rsidRPr="00380A54" w:rsidTr="00380A54">
        <w:tc>
          <w:tcPr>
            <w:tcW w:w="2834" w:type="dxa"/>
            <w:tcBorders>
              <w:top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1</w:t>
            </w:r>
          </w:p>
        </w:tc>
        <w:tc>
          <w:tcPr>
            <w:tcW w:w="1227"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2</w:t>
            </w:r>
          </w:p>
        </w:tc>
        <w:tc>
          <w:tcPr>
            <w:tcW w:w="1430"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3</w:t>
            </w:r>
          </w:p>
        </w:tc>
        <w:tc>
          <w:tcPr>
            <w:tcW w:w="1259"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4</w:t>
            </w:r>
          </w:p>
        </w:tc>
        <w:tc>
          <w:tcPr>
            <w:tcW w:w="1259"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5</w:t>
            </w:r>
          </w:p>
        </w:tc>
        <w:tc>
          <w:tcPr>
            <w:tcW w:w="1259" w:type="dxa"/>
            <w:tcBorders>
              <w:top w:val="outset" w:sz="6" w:space="0" w:color="auto"/>
              <w:left w:val="outset" w:sz="6" w:space="0" w:color="auto"/>
              <w:bottom w:val="outset" w:sz="6" w:space="0" w:color="auto"/>
            </w:tcBorders>
            <w:vAlign w:val="center"/>
          </w:tcPr>
          <w:p w:rsidR="00E438FE" w:rsidRPr="00380A54" w:rsidRDefault="00E438FE" w:rsidP="00380A54">
            <w:pPr>
              <w:spacing w:before="100" w:beforeAutospacing="1" w:after="100" w:afterAutospacing="1"/>
              <w:jc w:val="center"/>
              <w:rPr>
                <w:lang w:eastAsia="en-US"/>
              </w:rPr>
            </w:pPr>
            <w:r w:rsidRPr="00380A54">
              <w:rPr>
                <w:lang w:eastAsia="en-US"/>
              </w:rPr>
              <w:t>6</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1. Budžeta ieņēmumi:</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jc w:val="center"/>
              <w:rPr>
                <w:lang w:eastAsia="en-US"/>
              </w:rPr>
            </w:pPr>
            <w:r>
              <w:rPr>
                <w:lang w:eastAsia="en-US"/>
              </w:rPr>
              <w:t>0</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tcBorders>
          </w:tcPr>
          <w:p w:rsidR="00E438FE" w:rsidRPr="00380A54" w:rsidRDefault="00E438FE" w:rsidP="00E43AFF">
            <w:pPr>
              <w:jc w:val="center"/>
              <w:rPr>
                <w:lang w:eastAsia="en-US"/>
              </w:rPr>
            </w:pPr>
            <w:r>
              <w:rPr>
                <w:lang w:eastAsia="en-US"/>
              </w:rPr>
              <w:t>Nav precīzi aprēķināms</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1.1. valsts pamatbudžets, tai skaitā ieņēmumi no maksas pakalpojumiem un citi pašu ieņēmumi</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jc w:val="center"/>
              <w:rPr>
                <w:lang w:eastAsia="en-US"/>
              </w:rPr>
            </w:pPr>
            <w:r>
              <w:rPr>
                <w:lang w:eastAsia="en-US"/>
              </w:rPr>
              <w:t>0</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tcBorders>
          </w:tcPr>
          <w:p w:rsidR="00E438FE" w:rsidRPr="00380A54" w:rsidRDefault="00E438FE" w:rsidP="00E43AFF">
            <w:pPr>
              <w:jc w:val="center"/>
              <w:rPr>
                <w:lang w:eastAsia="en-US"/>
              </w:rPr>
            </w:pPr>
            <w:r>
              <w:rPr>
                <w:lang w:eastAsia="en-US"/>
              </w:rPr>
              <w:t>Nav precīzi aprēķināms</w:t>
            </w:r>
          </w:p>
        </w:tc>
      </w:tr>
      <w:tr w:rsidR="00E438FE" w:rsidRPr="00380A54" w:rsidTr="00B00A0E">
        <w:trPr>
          <w:trHeight w:val="928"/>
        </w:trPr>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1.2. valsts speciālais budžets</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1.3. pašvaldību budžets</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2. Budžeta izdevumi:</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2.1. valsts pamatbudžets</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2.2. valsts speciālais budžets</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 xml:space="preserve">Projekts </w:t>
            </w:r>
            <w:r>
              <w:lastRenderedPageBreak/>
              <w:t>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lastRenderedPageBreak/>
              <w:t xml:space="preserve">Projekts šo </w:t>
            </w:r>
            <w:r>
              <w:lastRenderedPageBreak/>
              <w:t>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lastRenderedPageBreak/>
              <w:t xml:space="preserve">Projekts </w:t>
            </w:r>
            <w:r>
              <w:lastRenderedPageBreak/>
              <w:t>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lastRenderedPageBreak/>
              <w:t xml:space="preserve">Projekts </w:t>
            </w:r>
            <w:r>
              <w:lastRenderedPageBreak/>
              <w:t>šo jomu neskar.</w:t>
            </w:r>
          </w:p>
        </w:tc>
        <w:tc>
          <w:tcPr>
            <w:tcW w:w="1259" w:type="dxa"/>
            <w:tcBorders>
              <w:top w:val="outset" w:sz="6" w:space="0" w:color="auto"/>
              <w:left w:val="outset" w:sz="6" w:space="0" w:color="auto"/>
              <w:bottom w:val="outset" w:sz="6" w:space="0" w:color="auto"/>
            </w:tcBorders>
          </w:tcPr>
          <w:p w:rsidR="00E438FE" w:rsidRPr="00380A54" w:rsidRDefault="00E438FE" w:rsidP="00E43AFF">
            <w:pPr>
              <w:pStyle w:val="naiskr"/>
              <w:spacing w:before="0" w:after="0"/>
              <w:ind w:left="104" w:right="57"/>
              <w:jc w:val="center"/>
              <w:rPr>
                <w:lang w:eastAsia="en-US"/>
              </w:rPr>
            </w:pPr>
            <w:r>
              <w:lastRenderedPageBreak/>
              <w:t xml:space="preserve">Projekts </w:t>
            </w:r>
            <w:r>
              <w:lastRenderedPageBreak/>
              <w:t>šo jomu neskar.</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lastRenderedPageBreak/>
              <w:t>2.3. pašvaldību budžets</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3. Finansiālā ietekme:</w:t>
            </w:r>
          </w:p>
        </w:tc>
        <w:tc>
          <w:tcPr>
            <w:tcW w:w="1227" w:type="dxa"/>
            <w:tcBorders>
              <w:top w:val="outset" w:sz="6" w:space="0" w:color="auto"/>
              <w:left w:val="outset" w:sz="6" w:space="0" w:color="auto"/>
              <w:bottom w:val="outset" w:sz="6" w:space="0" w:color="auto"/>
              <w:right w:val="outset" w:sz="6" w:space="0" w:color="auto"/>
            </w:tcBorders>
            <w:vAlign w:val="center"/>
          </w:tcPr>
          <w:p w:rsidR="00E438FE" w:rsidRPr="00380A54" w:rsidRDefault="00E438FE" w:rsidP="00E43AFF">
            <w:pPr>
              <w:pStyle w:val="naiskr"/>
              <w:spacing w:before="0" w:after="0"/>
              <w:ind w:left="104" w:right="57"/>
              <w:jc w:val="center"/>
              <w:rPr>
                <w:lang w:eastAsia="en-US"/>
              </w:rPr>
            </w:pPr>
            <w:r>
              <w:t>Projekts 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tcBorders>
          </w:tcPr>
          <w:p w:rsidR="00E438FE" w:rsidRPr="00380A54" w:rsidRDefault="00E438FE" w:rsidP="00E43AFF">
            <w:pPr>
              <w:jc w:val="center"/>
              <w:rPr>
                <w:lang w:eastAsia="en-US"/>
              </w:rPr>
            </w:pPr>
            <w:r>
              <w:rPr>
                <w:lang w:eastAsia="en-US"/>
              </w:rPr>
              <w:t>Nav precīzi aprēķināms</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3.1. valsts pamatbudžets</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jc w:val="center"/>
              <w:rPr>
                <w:lang w:eastAsia="en-US"/>
              </w:rPr>
            </w:pPr>
            <w:r>
              <w:rPr>
                <w:lang w:eastAsia="en-US"/>
              </w:rPr>
              <w:t>Nav precīzi aprēķināms</w:t>
            </w:r>
          </w:p>
        </w:tc>
        <w:tc>
          <w:tcPr>
            <w:tcW w:w="1259" w:type="dxa"/>
            <w:tcBorders>
              <w:top w:val="outset" w:sz="6" w:space="0" w:color="auto"/>
              <w:left w:val="outset" w:sz="6" w:space="0" w:color="auto"/>
              <w:bottom w:val="outset" w:sz="6" w:space="0" w:color="auto"/>
            </w:tcBorders>
          </w:tcPr>
          <w:p w:rsidR="00E438FE" w:rsidRPr="00380A54" w:rsidRDefault="00E438FE" w:rsidP="00E43AFF">
            <w:pPr>
              <w:jc w:val="center"/>
              <w:rPr>
                <w:lang w:eastAsia="en-US"/>
              </w:rPr>
            </w:pPr>
            <w:r>
              <w:rPr>
                <w:lang w:eastAsia="en-US"/>
              </w:rPr>
              <w:t>Nav precīzi aprēķināms</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3.2. speciālais budžets</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3.3. pašvaldību budžets</w:t>
            </w:r>
          </w:p>
        </w:tc>
        <w:tc>
          <w:tcPr>
            <w:tcW w:w="1227"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r>
      <w:tr w:rsidR="00E438FE" w:rsidRPr="00380A54" w:rsidTr="00380A54">
        <w:trPr>
          <w:trHeight w:val="486"/>
        </w:trPr>
        <w:tc>
          <w:tcPr>
            <w:tcW w:w="2834" w:type="dxa"/>
            <w:vMerge w:val="restart"/>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4. Finanšu līdzekļi papildu izde</w:t>
            </w:r>
            <w:r w:rsidRPr="00380A54">
              <w:rPr>
                <w:lang w:eastAsia="en-US"/>
              </w:rPr>
              <w:softHyphen/>
              <w:t>vumu finansēšanai (kompensējošu izdevumu samazinājumu norāda ar "+" zīmi)</w:t>
            </w:r>
          </w:p>
        </w:tc>
        <w:tc>
          <w:tcPr>
            <w:tcW w:w="1227" w:type="dxa"/>
            <w:vMerge w:val="restart"/>
            <w:tcBorders>
              <w:top w:val="outset" w:sz="6" w:space="0" w:color="auto"/>
              <w:left w:val="outset" w:sz="6" w:space="0" w:color="auto"/>
              <w:bottom w:val="outset" w:sz="6" w:space="0" w:color="auto"/>
              <w:right w:val="outset" w:sz="6" w:space="0" w:color="auto"/>
            </w:tcBorders>
          </w:tcPr>
          <w:p w:rsidR="00E438FE" w:rsidRPr="00380A54" w:rsidRDefault="00E438FE" w:rsidP="00E43AFF">
            <w:pPr>
              <w:spacing w:before="100" w:beforeAutospacing="1"/>
              <w:jc w:val="center"/>
              <w:rPr>
                <w:lang w:eastAsia="en-US"/>
              </w:rPr>
            </w:pPr>
            <w:r w:rsidRPr="00380A54">
              <w:rPr>
                <w:lang w:eastAsia="en-US"/>
              </w:rPr>
              <w:t>X</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c>
          <w:tcPr>
            <w:tcW w:w="1259" w:type="dxa"/>
            <w:tcBorders>
              <w:top w:val="outset" w:sz="6" w:space="0" w:color="auto"/>
              <w:left w:val="outset" w:sz="6" w:space="0" w:color="auto"/>
              <w:bottom w:val="outset" w:sz="6" w:space="0" w:color="auto"/>
            </w:tcBorders>
          </w:tcPr>
          <w:p w:rsidR="00E438FE" w:rsidRPr="00380A54" w:rsidRDefault="00E438FE" w:rsidP="00E43AFF">
            <w:pPr>
              <w:pStyle w:val="naiskr"/>
              <w:spacing w:before="0" w:after="0"/>
              <w:ind w:left="104" w:right="57"/>
              <w:jc w:val="center"/>
              <w:rPr>
                <w:lang w:eastAsia="en-US"/>
              </w:rPr>
            </w:pPr>
            <w:r>
              <w:t>Projekts šo jomu neskar.</w:t>
            </w:r>
          </w:p>
        </w:tc>
      </w:tr>
      <w:tr w:rsidR="00E438FE" w:rsidRPr="00380A54" w:rsidTr="00380A54">
        <w:trPr>
          <w:trHeight w:val="366"/>
        </w:trPr>
        <w:tc>
          <w:tcPr>
            <w:tcW w:w="2834" w:type="dxa"/>
            <w:vMerge/>
            <w:tcBorders>
              <w:top w:val="outset" w:sz="6" w:space="0" w:color="auto"/>
              <w:bottom w:val="outset" w:sz="6" w:space="0" w:color="auto"/>
              <w:right w:val="outset" w:sz="6" w:space="0" w:color="auto"/>
            </w:tcBorders>
            <w:vAlign w:val="center"/>
          </w:tcPr>
          <w:p w:rsidR="00E438FE" w:rsidRPr="00380A54" w:rsidRDefault="00E438FE" w:rsidP="00B00A0E">
            <w:pPr>
              <w:rPr>
                <w:lang w:eastAsia="en-US"/>
              </w:rPr>
            </w:pPr>
          </w:p>
        </w:tc>
        <w:tc>
          <w:tcPr>
            <w:tcW w:w="1227" w:type="dxa"/>
            <w:vMerge/>
            <w:tcBorders>
              <w:top w:val="outset" w:sz="6" w:space="0" w:color="auto"/>
              <w:left w:val="outset" w:sz="6" w:space="0" w:color="auto"/>
              <w:bottom w:val="outset" w:sz="6" w:space="0" w:color="auto"/>
              <w:right w:val="outset" w:sz="6" w:space="0" w:color="auto"/>
            </w:tcBorders>
            <w:vAlign w:val="center"/>
          </w:tcPr>
          <w:p w:rsidR="00E438FE" w:rsidRPr="00380A54" w:rsidRDefault="00E438FE" w:rsidP="00B00A0E">
            <w:pPr>
              <w:rPr>
                <w:lang w:eastAsia="en-US"/>
              </w:rPr>
            </w:pP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p>
        </w:tc>
        <w:tc>
          <w:tcPr>
            <w:tcW w:w="1259" w:type="dxa"/>
            <w:tcBorders>
              <w:top w:val="outset" w:sz="6" w:space="0" w:color="auto"/>
              <w:left w:val="outset" w:sz="6" w:space="0" w:color="auto"/>
              <w:bottom w:val="outset" w:sz="6" w:space="0" w:color="auto"/>
            </w:tcBorders>
          </w:tcPr>
          <w:p w:rsidR="00E438FE" w:rsidRPr="00380A54" w:rsidRDefault="00E438FE" w:rsidP="00B00A0E">
            <w:pPr>
              <w:rPr>
                <w:lang w:eastAsia="en-US"/>
              </w:rPr>
            </w:pPr>
          </w:p>
        </w:tc>
      </w:tr>
      <w:tr w:rsidR="00E438FE" w:rsidRPr="00380A54" w:rsidTr="00380A54">
        <w:tc>
          <w:tcPr>
            <w:tcW w:w="2834" w:type="dxa"/>
            <w:vMerge/>
            <w:tcBorders>
              <w:top w:val="outset" w:sz="6" w:space="0" w:color="auto"/>
              <w:bottom w:val="outset" w:sz="6" w:space="0" w:color="auto"/>
              <w:right w:val="outset" w:sz="6" w:space="0" w:color="auto"/>
            </w:tcBorders>
            <w:vAlign w:val="center"/>
          </w:tcPr>
          <w:p w:rsidR="00E438FE" w:rsidRPr="00380A54" w:rsidRDefault="00E438FE" w:rsidP="00B00A0E">
            <w:pPr>
              <w:rPr>
                <w:lang w:eastAsia="en-US"/>
              </w:rPr>
            </w:pPr>
          </w:p>
        </w:tc>
        <w:tc>
          <w:tcPr>
            <w:tcW w:w="1227" w:type="dxa"/>
            <w:vMerge/>
            <w:tcBorders>
              <w:top w:val="outset" w:sz="6" w:space="0" w:color="auto"/>
              <w:left w:val="outset" w:sz="6" w:space="0" w:color="auto"/>
              <w:bottom w:val="outset" w:sz="6" w:space="0" w:color="auto"/>
              <w:right w:val="outset" w:sz="6" w:space="0" w:color="auto"/>
            </w:tcBorders>
            <w:vAlign w:val="center"/>
          </w:tcPr>
          <w:p w:rsidR="00E438FE" w:rsidRPr="00380A54" w:rsidRDefault="00E438FE" w:rsidP="00B00A0E">
            <w:pPr>
              <w:rPr>
                <w:lang w:eastAsia="en-US"/>
              </w:rPr>
            </w:pP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p>
        </w:tc>
        <w:tc>
          <w:tcPr>
            <w:tcW w:w="1259" w:type="dxa"/>
            <w:tcBorders>
              <w:top w:val="outset" w:sz="6" w:space="0" w:color="auto"/>
              <w:left w:val="outset" w:sz="6" w:space="0" w:color="auto"/>
              <w:bottom w:val="outset" w:sz="6" w:space="0" w:color="auto"/>
            </w:tcBorders>
          </w:tcPr>
          <w:p w:rsidR="00E438FE" w:rsidRPr="00380A54" w:rsidRDefault="00E438FE" w:rsidP="00B00A0E">
            <w:pPr>
              <w:rPr>
                <w:lang w:eastAsia="en-US"/>
              </w:rPr>
            </w:pP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5. Precizēta finansiālā ietekme:</w:t>
            </w:r>
          </w:p>
        </w:tc>
        <w:tc>
          <w:tcPr>
            <w:tcW w:w="1227" w:type="dxa"/>
            <w:vMerge w:val="restart"/>
            <w:tcBorders>
              <w:top w:val="outset" w:sz="6" w:space="0" w:color="auto"/>
              <w:left w:val="outset" w:sz="6" w:space="0" w:color="auto"/>
              <w:bottom w:val="outset" w:sz="6" w:space="0" w:color="auto"/>
              <w:right w:val="outset" w:sz="6" w:space="0" w:color="auto"/>
            </w:tcBorders>
          </w:tcPr>
          <w:p w:rsidR="00E438FE" w:rsidRPr="00380A54" w:rsidRDefault="00E438FE" w:rsidP="00B00A0E">
            <w:pPr>
              <w:spacing w:before="100" w:beforeAutospacing="1"/>
              <w:jc w:val="center"/>
              <w:rPr>
                <w:lang w:eastAsia="en-US"/>
              </w:rPr>
            </w:pPr>
            <w:r w:rsidRPr="00380A54">
              <w:rPr>
                <w:lang w:eastAsia="en-US"/>
              </w:rPr>
              <w:t>X</w:t>
            </w: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r>
              <w:rPr>
                <w:lang w:eastAsia="en-US"/>
              </w:rPr>
              <w:t>Nav precīzi aprēķināms</w:t>
            </w:r>
          </w:p>
        </w:tc>
        <w:tc>
          <w:tcPr>
            <w:tcW w:w="1259" w:type="dxa"/>
            <w:tcBorders>
              <w:top w:val="outset" w:sz="6" w:space="0" w:color="auto"/>
              <w:left w:val="outset" w:sz="6" w:space="0" w:color="auto"/>
              <w:bottom w:val="outset" w:sz="6" w:space="0" w:color="auto"/>
            </w:tcBorders>
          </w:tcPr>
          <w:p w:rsidR="00E438FE" w:rsidRPr="00380A54" w:rsidRDefault="00E438FE" w:rsidP="00B00A0E">
            <w:pPr>
              <w:rPr>
                <w:lang w:eastAsia="en-US"/>
              </w:rPr>
            </w:pPr>
            <w:r>
              <w:rPr>
                <w:lang w:eastAsia="en-US"/>
              </w:rPr>
              <w:t>Nav precīzi aprēķināms</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5.1. valsts pamatbudžets</w:t>
            </w:r>
          </w:p>
        </w:tc>
        <w:tc>
          <w:tcPr>
            <w:tcW w:w="1227" w:type="dxa"/>
            <w:vMerge/>
            <w:tcBorders>
              <w:top w:val="outset" w:sz="6" w:space="0" w:color="auto"/>
              <w:left w:val="outset" w:sz="6" w:space="0" w:color="auto"/>
              <w:bottom w:val="outset" w:sz="6" w:space="0" w:color="auto"/>
              <w:right w:val="outset" w:sz="6" w:space="0" w:color="auto"/>
            </w:tcBorders>
            <w:vAlign w:val="center"/>
          </w:tcPr>
          <w:p w:rsidR="00E438FE" w:rsidRPr="00380A54" w:rsidRDefault="00E438FE" w:rsidP="00B00A0E">
            <w:pPr>
              <w:rPr>
                <w:lang w:eastAsia="en-US"/>
              </w:rPr>
            </w:pP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r>
              <w:rPr>
                <w:lang w:eastAsia="en-US"/>
              </w:rPr>
              <w:t>Nav precīzi aprēķināms</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rPr>
                <w:lang w:eastAsia="en-US"/>
              </w:rPr>
            </w:pPr>
            <w:r>
              <w:rPr>
                <w:lang w:eastAsia="en-US"/>
              </w:rPr>
              <w:t>Nav precīzi aprēķināms</w:t>
            </w:r>
          </w:p>
        </w:tc>
        <w:tc>
          <w:tcPr>
            <w:tcW w:w="1259" w:type="dxa"/>
            <w:tcBorders>
              <w:top w:val="outset" w:sz="6" w:space="0" w:color="auto"/>
              <w:left w:val="outset" w:sz="6" w:space="0" w:color="auto"/>
              <w:bottom w:val="outset" w:sz="6" w:space="0" w:color="auto"/>
            </w:tcBorders>
          </w:tcPr>
          <w:p w:rsidR="00E438FE" w:rsidRPr="00380A54" w:rsidRDefault="00E438FE" w:rsidP="00B00A0E">
            <w:pPr>
              <w:rPr>
                <w:lang w:eastAsia="en-US"/>
              </w:rPr>
            </w:pPr>
            <w:r>
              <w:rPr>
                <w:lang w:eastAsia="en-US"/>
              </w:rPr>
              <w:t>Nav precīzi aprēķināms</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5.2. speciālais budžets</w:t>
            </w:r>
          </w:p>
        </w:tc>
        <w:tc>
          <w:tcPr>
            <w:tcW w:w="1227" w:type="dxa"/>
            <w:vMerge/>
            <w:tcBorders>
              <w:top w:val="outset" w:sz="6" w:space="0" w:color="auto"/>
              <w:left w:val="outset" w:sz="6" w:space="0" w:color="auto"/>
              <w:bottom w:val="outset" w:sz="6" w:space="0" w:color="auto"/>
              <w:right w:val="outset" w:sz="6" w:space="0" w:color="auto"/>
            </w:tcBorders>
            <w:vAlign w:val="center"/>
          </w:tcPr>
          <w:p w:rsidR="00E438FE" w:rsidRPr="00380A54" w:rsidRDefault="00E438FE" w:rsidP="00B00A0E">
            <w:pPr>
              <w:rPr>
                <w:lang w:eastAsia="en-US"/>
              </w:rPr>
            </w:pPr>
          </w:p>
        </w:tc>
        <w:tc>
          <w:tcPr>
            <w:tcW w:w="1430"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pStyle w:val="naiskr"/>
              <w:spacing w:before="0" w:after="0"/>
              <w:ind w:left="104" w:right="57"/>
              <w:jc w:val="both"/>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pStyle w:val="naiskr"/>
              <w:spacing w:before="0" w:after="0"/>
              <w:ind w:left="104" w:right="57"/>
              <w:jc w:val="both"/>
              <w:rPr>
                <w:lang w:eastAsia="en-US"/>
              </w:rPr>
            </w:pPr>
            <w:r>
              <w:t>Projekts šo jomu neskar.</w:t>
            </w:r>
          </w:p>
        </w:tc>
        <w:tc>
          <w:tcPr>
            <w:tcW w:w="1259" w:type="dxa"/>
            <w:tcBorders>
              <w:top w:val="outset" w:sz="6" w:space="0" w:color="auto"/>
              <w:left w:val="outset" w:sz="6" w:space="0" w:color="auto"/>
              <w:bottom w:val="outset" w:sz="6" w:space="0" w:color="auto"/>
              <w:right w:val="outset" w:sz="6" w:space="0" w:color="auto"/>
            </w:tcBorders>
          </w:tcPr>
          <w:p w:rsidR="00E438FE" w:rsidRPr="00380A54" w:rsidRDefault="00E438FE" w:rsidP="00B00A0E">
            <w:pPr>
              <w:pStyle w:val="naiskr"/>
              <w:spacing w:before="0" w:after="0"/>
              <w:ind w:left="104" w:right="57"/>
              <w:jc w:val="both"/>
              <w:rPr>
                <w:lang w:eastAsia="en-US"/>
              </w:rPr>
            </w:pPr>
            <w:r>
              <w:t>Projekts šo jomu neskar.</w:t>
            </w:r>
          </w:p>
        </w:tc>
        <w:tc>
          <w:tcPr>
            <w:tcW w:w="1259" w:type="dxa"/>
            <w:tcBorders>
              <w:top w:val="outset" w:sz="6" w:space="0" w:color="auto"/>
              <w:left w:val="outset" w:sz="6" w:space="0" w:color="auto"/>
              <w:bottom w:val="outset" w:sz="6" w:space="0" w:color="auto"/>
            </w:tcBorders>
          </w:tcPr>
          <w:p w:rsidR="00E438FE" w:rsidRPr="00380A54" w:rsidRDefault="00E438FE" w:rsidP="00B00A0E">
            <w:pPr>
              <w:pStyle w:val="naiskr"/>
              <w:spacing w:before="0" w:after="0"/>
              <w:ind w:left="104" w:right="57"/>
              <w:jc w:val="both"/>
              <w:rPr>
                <w:lang w:eastAsia="en-US"/>
              </w:rPr>
            </w:pPr>
            <w:r>
              <w:t>Projekts šo jomu neskar.</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5.3. pašvaldību budžets</w:t>
            </w:r>
          </w:p>
        </w:tc>
        <w:tc>
          <w:tcPr>
            <w:tcW w:w="1227" w:type="dxa"/>
            <w:vMerge/>
            <w:tcBorders>
              <w:top w:val="outset" w:sz="6" w:space="0" w:color="auto"/>
              <w:left w:val="outset" w:sz="6" w:space="0" w:color="auto"/>
              <w:bottom w:val="outset" w:sz="6" w:space="0" w:color="auto"/>
              <w:right w:val="outset" w:sz="6" w:space="0" w:color="auto"/>
            </w:tcBorders>
            <w:vAlign w:val="center"/>
          </w:tcPr>
          <w:p w:rsidR="00E438FE" w:rsidRPr="00380A54" w:rsidRDefault="00E438FE" w:rsidP="00B00A0E">
            <w:pPr>
              <w:rPr>
                <w:lang w:eastAsia="en-US"/>
              </w:rPr>
            </w:pPr>
          </w:p>
        </w:tc>
        <w:tc>
          <w:tcPr>
            <w:tcW w:w="1430" w:type="dxa"/>
            <w:tcBorders>
              <w:top w:val="outset" w:sz="6" w:space="0" w:color="auto"/>
              <w:left w:val="outset" w:sz="6" w:space="0" w:color="auto"/>
              <w:bottom w:val="outset" w:sz="6" w:space="0" w:color="auto"/>
              <w:right w:val="outset" w:sz="6" w:space="0" w:color="auto"/>
            </w:tcBorders>
          </w:tcPr>
          <w:p w:rsidR="00E438FE" w:rsidRDefault="00E438FE" w:rsidP="00B00A0E">
            <w:pPr>
              <w:pStyle w:val="naiskr"/>
              <w:spacing w:before="0" w:after="0"/>
              <w:ind w:left="104" w:right="57"/>
              <w:jc w:val="both"/>
            </w:pPr>
            <w:r>
              <w:t>Projekts šo jomu neskar.</w:t>
            </w:r>
          </w:p>
          <w:p w:rsidR="00E438FE" w:rsidRPr="00380A54" w:rsidRDefault="00E438FE" w:rsidP="00B00A0E">
            <w:pPr>
              <w:rPr>
                <w:lang w:eastAsia="en-US"/>
              </w:rPr>
            </w:pPr>
          </w:p>
        </w:tc>
        <w:tc>
          <w:tcPr>
            <w:tcW w:w="1259" w:type="dxa"/>
            <w:tcBorders>
              <w:top w:val="outset" w:sz="6" w:space="0" w:color="auto"/>
              <w:left w:val="outset" w:sz="6" w:space="0" w:color="auto"/>
              <w:bottom w:val="outset" w:sz="6" w:space="0" w:color="auto"/>
              <w:right w:val="outset" w:sz="6" w:space="0" w:color="auto"/>
            </w:tcBorders>
          </w:tcPr>
          <w:p w:rsidR="00E438FE" w:rsidRDefault="00E438FE" w:rsidP="00B00A0E">
            <w:pPr>
              <w:pStyle w:val="naiskr"/>
              <w:spacing w:before="0" w:after="0"/>
              <w:ind w:left="104" w:right="57"/>
              <w:jc w:val="both"/>
            </w:pPr>
            <w:r>
              <w:t>Projekts šo jomu neskar.</w:t>
            </w:r>
          </w:p>
          <w:p w:rsidR="00E438FE" w:rsidRPr="00380A54" w:rsidRDefault="00E438FE" w:rsidP="00B00A0E">
            <w:pPr>
              <w:rPr>
                <w:lang w:eastAsia="en-US"/>
              </w:rPr>
            </w:pPr>
          </w:p>
        </w:tc>
        <w:tc>
          <w:tcPr>
            <w:tcW w:w="1259" w:type="dxa"/>
            <w:tcBorders>
              <w:top w:val="outset" w:sz="6" w:space="0" w:color="auto"/>
              <w:left w:val="outset" w:sz="6" w:space="0" w:color="auto"/>
              <w:bottom w:val="outset" w:sz="6" w:space="0" w:color="auto"/>
              <w:right w:val="outset" w:sz="6" w:space="0" w:color="auto"/>
            </w:tcBorders>
          </w:tcPr>
          <w:p w:rsidR="00E438FE" w:rsidRDefault="00E438FE" w:rsidP="00B00A0E">
            <w:pPr>
              <w:pStyle w:val="naiskr"/>
              <w:spacing w:before="0" w:after="0"/>
              <w:ind w:left="104" w:right="57"/>
              <w:jc w:val="both"/>
            </w:pPr>
            <w:r>
              <w:t>Projekts šo jomu neskar.</w:t>
            </w:r>
          </w:p>
          <w:p w:rsidR="00E438FE" w:rsidRPr="00380A54" w:rsidRDefault="00E438FE" w:rsidP="00B00A0E">
            <w:pPr>
              <w:rPr>
                <w:lang w:eastAsia="en-US"/>
              </w:rPr>
            </w:pPr>
          </w:p>
        </w:tc>
        <w:tc>
          <w:tcPr>
            <w:tcW w:w="1259" w:type="dxa"/>
            <w:tcBorders>
              <w:top w:val="outset" w:sz="6" w:space="0" w:color="auto"/>
              <w:left w:val="outset" w:sz="6" w:space="0" w:color="auto"/>
              <w:bottom w:val="outset" w:sz="6" w:space="0" w:color="auto"/>
            </w:tcBorders>
          </w:tcPr>
          <w:p w:rsidR="00E438FE" w:rsidRDefault="00E438FE" w:rsidP="00B00A0E">
            <w:pPr>
              <w:pStyle w:val="naiskr"/>
              <w:spacing w:before="0" w:after="0"/>
              <w:ind w:left="104" w:right="57"/>
              <w:jc w:val="both"/>
            </w:pPr>
            <w:r>
              <w:t>Projekts šo jomu neskar.</w:t>
            </w:r>
          </w:p>
          <w:p w:rsidR="00E438FE" w:rsidRPr="00380A54" w:rsidRDefault="00E438FE" w:rsidP="00B00A0E">
            <w:pPr>
              <w:rPr>
                <w:lang w:eastAsia="en-US"/>
              </w:rPr>
            </w:pP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B00A0E">
            <w:pPr>
              <w:spacing w:before="100" w:beforeAutospacing="1"/>
              <w:rPr>
                <w:lang w:eastAsia="en-US"/>
              </w:rPr>
            </w:pPr>
            <w:r w:rsidRPr="00380A54">
              <w:rPr>
                <w:lang w:eastAsia="en-US"/>
              </w:rPr>
              <w:t>6. Detalizēts ieņēmumu un izdevu</w:t>
            </w:r>
            <w:r w:rsidRPr="00380A54">
              <w:rPr>
                <w:lang w:eastAsia="en-US"/>
              </w:rPr>
              <w:softHyphen/>
              <w:t>mu aprēķins (ja nepieciešams, detalizētu ieņēmumu un izdevumu aprēķinu var pievienot anotācijas pielikumā):</w:t>
            </w:r>
          </w:p>
        </w:tc>
        <w:tc>
          <w:tcPr>
            <w:tcW w:w="6434" w:type="dxa"/>
            <w:gridSpan w:val="5"/>
            <w:vMerge w:val="restart"/>
            <w:tcBorders>
              <w:top w:val="outset" w:sz="6" w:space="0" w:color="auto"/>
              <w:left w:val="outset" w:sz="6" w:space="0" w:color="auto"/>
              <w:bottom w:val="outset" w:sz="6" w:space="0" w:color="auto"/>
            </w:tcBorders>
            <w:vAlign w:val="center"/>
          </w:tcPr>
          <w:p w:rsidR="00E438FE" w:rsidRPr="00380A54" w:rsidRDefault="00E438FE" w:rsidP="00B00A0E">
            <w:pPr>
              <w:jc w:val="center"/>
              <w:rPr>
                <w:lang w:eastAsia="en-US"/>
              </w:rPr>
            </w:pPr>
            <w:r>
              <w:rPr>
                <w:lang w:eastAsia="en-US"/>
              </w:rPr>
              <w:t>Nav precīzi aprēķināms</w:t>
            </w:r>
          </w:p>
        </w:tc>
      </w:tr>
      <w:tr w:rsidR="00E438FE" w:rsidRPr="00380A54" w:rsidTr="00380A54">
        <w:tc>
          <w:tcPr>
            <w:tcW w:w="2834" w:type="dxa"/>
            <w:tcBorders>
              <w:top w:val="outset" w:sz="6" w:space="0" w:color="auto"/>
              <w:bottom w:val="outset" w:sz="6" w:space="0" w:color="auto"/>
              <w:right w:val="outset" w:sz="6" w:space="0" w:color="auto"/>
            </w:tcBorders>
          </w:tcPr>
          <w:p w:rsidR="00E438FE" w:rsidRPr="00380A54" w:rsidRDefault="00E438FE" w:rsidP="0008240F">
            <w:pPr>
              <w:spacing w:before="100" w:beforeAutospacing="1" w:after="100" w:afterAutospacing="1"/>
              <w:rPr>
                <w:lang w:eastAsia="en-US"/>
              </w:rPr>
            </w:pPr>
            <w:r w:rsidRPr="00380A54">
              <w:rPr>
                <w:lang w:eastAsia="en-US"/>
              </w:rPr>
              <w:t>6.1. detalizēts ieņēmumu aprēķins</w:t>
            </w:r>
          </w:p>
        </w:tc>
        <w:tc>
          <w:tcPr>
            <w:tcW w:w="6434" w:type="dxa"/>
            <w:gridSpan w:val="5"/>
            <w:vMerge/>
            <w:tcBorders>
              <w:top w:val="outset" w:sz="6" w:space="0" w:color="auto"/>
              <w:left w:val="outset" w:sz="6" w:space="0" w:color="auto"/>
              <w:bottom w:val="outset" w:sz="6" w:space="0" w:color="auto"/>
            </w:tcBorders>
            <w:vAlign w:val="center"/>
          </w:tcPr>
          <w:p w:rsidR="00E438FE" w:rsidRPr="00380A54" w:rsidRDefault="00E438FE" w:rsidP="0008240F">
            <w:pPr>
              <w:rPr>
                <w:lang w:eastAsia="en-US"/>
              </w:rPr>
            </w:pPr>
          </w:p>
        </w:tc>
      </w:tr>
      <w:tr w:rsidR="00E438FE" w:rsidRPr="00380A54" w:rsidTr="00907388">
        <w:tc>
          <w:tcPr>
            <w:tcW w:w="2834" w:type="dxa"/>
            <w:tcBorders>
              <w:top w:val="outset" w:sz="6" w:space="0" w:color="auto"/>
              <w:bottom w:val="outset" w:sz="6" w:space="0" w:color="auto"/>
              <w:right w:val="outset" w:sz="6" w:space="0" w:color="auto"/>
            </w:tcBorders>
          </w:tcPr>
          <w:p w:rsidR="00E438FE" w:rsidRPr="00380A54" w:rsidRDefault="00E438FE" w:rsidP="0008240F">
            <w:pPr>
              <w:spacing w:before="100" w:beforeAutospacing="1" w:after="100" w:afterAutospacing="1"/>
              <w:rPr>
                <w:lang w:eastAsia="en-US"/>
              </w:rPr>
            </w:pPr>
            <w:r w:rsidRPr="00380A54">
              <w:rPr>
                <w:lang w:eastAsia="en-US"/>
              </w:rPr>
              <w:t>6.2. detalizēts izdevumu aprēķins</w:t>
            </w:r>
          </w:p>
        </w:tc>
        <w:tc>
          <w:tcPr>
            <w:tcW w:w="6434" w:type="dxa"/>
            <w:gridSpan w:val="5"/>
            <w:vMerge/>
            <w:tcBorders>
              <w:top w:val="outset" w:sz="6" w:space="0" w:color="auto"/>
              <w:left w:val="outset" w:sz="6" w:space="0" w:color="auto"/>
              <w:bottom w:val="outset" w:sz="6" w:space="0" w:color="auto"/>
            </w:tcBorders>
            <w:vAlign w:val="center"/>
          </w:tcPr>
          <w:p w:rsidR="00E438FE" w:rsidRPr="00380A54" w:rsidRDefault="00E438FE" w:rsidP="0008240F">
            <w:pPr>
              <w:rPr>
                <w:lang w:eastAsia="en-US"/>
              </w:rPr>
            </w:pPr>
          </w:p>
        </w:tc>
      </w:tr>
      <w:tr w:rsidR="00E438FE" w:rsidRPr="00380A54" w:rsidTr="00907388">
        <w:tc>
          <w:tcPr>
            <w:tcW w:w="2834" w:type="dxa"/>
            <w:tcBorders>
              <w:top w:val="outset" w:sz="6" w:space="0" w:color="auto"/>
              <w:bottom w:val="single" w:sz="4" w:space="0" w:color="auto"/>
              <w:right w:val="outset" w:sz="6" w:space="0" w:color="auto"/>
            </w:tcBorders>
          </w:tcPr>
          <w:p w:rsidR="00E438FE" w:rsidRPr="00380A54" w:rsidRDefault="00E438FE" w:rsidP="0008240F">
            <w:pPr>
              <w:spacing w:before="100" w:beforeAutospacing="1" w:after="100" w:afterAutospacing="1"/>
              <w:rPr>
                <w:lang w:eastAsia="en-US"/>
              </w:rPr>
            </w:pPr>
            <w:r w:rsidRPr="00380A54">
              <w:rPr>
                <w:lang w:eastAsia="en-US"/>
              </w:rPr>
              <w:t>7. Cita informācija</w:t>
            </w:r>
          </w:p>
        </w:tc>
        <w:tc>
          <w:tcPr>
            <w:tcW w:w="6434" w:type="dxa"/>
            <w:gridSpan w:val="5"/>
            <w:tcBorders>
              <w:top w:val="outset" w:sz="6" w:space="0" w:color="auto"/>
              <w:left w:val="outset" w:sz="6" w:space="0" w:color="auto"/>
              <w:bottom w:val="single" w:sz="4" w:space="0" w:color="auto"/>
            </w:tcBorders>
          </w:tcPr>
          <w:p w:rsidR="00E438FE" w:rsidRPr="002D04F4" w:rsidRDefault="00E438FE" w:rsidP="002D04F4">
            <w:pPr>
              <w:spacing w:after="120"/>
              <w:jc w:val="both"/>
              <w:rPr>
                <w:lang w:eastAsia="en-US"/>
              </w:rPr>
            </w:pPr>
            <w:r w:rsidRPr="002D04F4">
              <w:rPr>
                <w:lang w:eastAsia="en-US"/>
              </w:rPr>
              <w:t xml:space="preserve">Noteikumu projektam ir ietekme uz valsts budžeta ieņēmumiem, jo noteikumu projekts paredz piemērot ikgadēju valsts nodevu par tiesībām </w:t>
            </w:r>
            <w:r w:rsidRPr="002D04F4">
              <w:t xml:space="preserve">izmantot zemes dzīles publiskajos ūdeņos un jūrā. Šobrīd </w:t>
            </w:r>
            <w:r w:rsidRPr="002D04F4">
              <w:lastRenderedPageBreak/>
              <w:t xml:space="preserve">nav iespējams prognozēt komersantu vēlmi </w:t>
            </w:r>
            <w:r w:rsidRPr="002D04F4">
              <w:rPr>
                <w:lang w:eastAsia="en-US"/>
              </w:rPr>
              <w:t>saņemt tiesības</w:t>
            </w:r>
            <w:r w:rsidRPr="002D04F4">
              <w:t xml:space="preserve"> izmantot zemes dzīles publiskajos ūdeņos un jūrā, kā arī potenciālo platību, kurā komersanti vēlēsies izmantot zemes dzīles, lai gan šāda interese pēdējā laikā ir kļuvusi aktuāla.</w:t>
            </w:r>
            <w:r w:rsidRPr="002D04F4">
              <w:rPr>
                <w:lang w:eastAsia="en-US"/>
              </w:rPr>
              <w:t xml:space="preserve"> Lielākās izpētītās derīgo izrakteņu atradnes publiskajos ūdeņos ir Daugavā (4 atradnes ar kopējo platību ap 752 hektāri), Ķīšezerā (2 atradnes ar kopējo platību ap 110 hektāri) un Liepājas ezerā (1 atradne ar platību 81hektārs). Pētījumi veikti arī Lielupē un Gaujā. </w:t>
            </w:r>
            <w:r>
              <w:rPr>
                <w:lang w:eastAsia="en-US"/>
              </w:rPr>
              <w:t xml:space="preserve">Vairākas pašvaldības ir izrādījušas interesi par derīgo izrakteņu ieguvi publiskajos ezeros. </w:t>
            </w:r>
            <w:r w:rsidRPr="002D04F4">
              <w:rPr>
                <w:lang w:eastAsia="en-US"/>
              </w:rPr>
              <w:t xml:space="preserve">Tomēr šobrīd nav precīzi aprēķināmi ieņēmumi no nodevas maksājumiem valsts budžetā konkrētos gados. Tiek prognozēts, ka ieņēmumi valsts budžetā, piemērojot valsts nodevu, pieaugs. </w:t>
            </w:r>
          </w:p>
          <w:p w:rsidR="00E438FE" w:rsidRPr="00380A54" w:rsidRDefault="00E438FE" w:rsidP="00DB19DF">
            <w:pPr>
              <w:spacing w:after="120"/>
              <w:jc w:val="both"/>
              <w:rPr>
                <w:lang w:eastAsia="en-US"/>
              </w:rPr>
            </w:pPr>
            <w:r w:rsidRPr="002D04F4">
              <w:rPr>
                <w:lang w:eastAsia="en-US"/>
              </w:rPr>
              <w:t>Papildus tiek prognozēts, ka nosakot, ka k</w:t>
            </w:r>
            <w:r w:rsidRPr="002D04F4">
              <w:t>on</w:t>
            </w:r>
            <w:r w:rsidRPr="0094554F">
              <w:t xml:space="preserve">kursa par zemes dzīļu izmantošanas licenci dalībnieki maksās maksu par konkursa nolikuma saņemšanu un par dalību konkursā. Maksa paredzēta izdevumiem </w:t>
            </w:r>
            <w:r>
              <w:t>par publikācijām „Latvijas Vēst</w:t>
            </w:r>
            <w:r w:rsidRPr="0094554F">
              <w:t>nesī”, kā arī, lai nodrošinātu Valsts vides dienesta darbību</w:t>
            </w:r>
            <w:r>
              <w:t xml:space="preserve"> </w:t>
            </w:r>
            <w:r w:rsidRPr="0094554F">
              <w:t>sakarā ar konkursa organizēšanu.</w:t>
            </w:r>
            <w:r w:rsidRPr="003E1F56">
              <w:rPr>
                <w:sz w:val="28"/>
                <w:szCs w:val="28"/>
              </w:rPr>
              <w:t xml:space="preserve"> </w:t>
            </w:r>
            <w:r w:rsidRPr="00B00A0E">
              <w:t>Arī šos ieņēmumus Valsts vides dienesta budžetā šobrīd nav iespējams aprēķināt. Tas būs atkarīgs no organizēto konkursu skaita.</w:t>
            </w:r>
            <w:r>
              <w:t xml:space="preserve"> Arī pašvaldības var noteikt maksu par piedalīšanos konkursā.</w:t>
            </w:r>
          </w:p>
        </w:tc>
      </w:tr>
    </w:tbl>
    <w:p w:rsidR="00E438FE" w:rsidRPr="00380A54" w:rsidRDefault="00E438FE" w:rsidP="00C77836">
      <w:pPr>
        <w:pStyle w:val="Footer"/>
        <w:tabs>
          <w:tab w:val="clear" w:pos="4153"/>
          <w:tab w:val="clear" w:pos="8306"/>
        </w:tabs>
        <w:rPr>
          <w:rFonts w:ascii="Times New Roman" w:hAnsi="Times New Roman"/>
          <w:sz w:val="24"/>
          <w:szCs w:val="24"/>
        </w:rPr>
      </w:pPr>
    </w:p>
    <w:tbl>
      <w:tblPr>
        <w:tblW w:w="504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2"/>
        <w:gridCol w:w="1962"/>
        <w:gridCol w:w="6919"/>
      </w:tblGrid>
      <w:tr w:rsidR="00E438FE" w:rsidRPr="00095FEE" w:rsidTr="00B00A0E">
        <w:tc>
          <w:tcPr>
            <w:tcW w:w="5000" w:type="pct"/>
            <w:gridSpan w:val="3"/>
            <w:tcBorders>
              <w:top w:val="single" w:sz="4" w:space="0" w:color="auto"/>
              <w:left w:val="single" w:sz="4" w:space="0" w:color="auto"/>
              <w:bottom w:val="single" w:sz="4" w:space="0" w:color="auto"/>
              <w:right w:val="single" w:sz="4" w:space="0" w:color="auto"/>
            </w:tcBorders>
          </w:tcPr>
          <w:p w:rsidR="00E438FE" w:rsidRPr="00B00A0E" w:rsidRDefault="00E438FE" w:rsidP="00D76A9C">
            <w:pPr>
              <w:spacing w:before="100" w:beforeAutospacing="1" w:after="100" w:afterAutospacing="1"/>
              <w:jc w:val="center"/>
              <w:rPr>
                <w:b/>
                <w:bCs/>
              </w:rPr>
            </w:pPr>
            <w:r w:rsidRPr="00B00A0E">
              <w:rPr>
                <w:b/>
                <w:bCs/>
              </w:rPr>
              <w:t>IV. Tiesību akta projekta ietekme uz spēkā esošo tiesību normu sistēmu</w:t>
            </w:r>
          </w:p>
        </w:tc>
      </w:tr>
      <w:tr w:rsidR="00E438FE" w:rsidRPr="00095FEE" w:rsidTr="00B00A0E">
        <w:tc>
          <w:tcPr>
            <w:tcW w:w="180" w:type="pct"/>
            <w:tcBorders>
              <w:top w:val="single" w:sz="4" w:space="0" w:color="auto"/>
              <w:bottom w:val="outset" w:sz="6" w:space="0" w:color="000000"/>
              <w:right w:val="outset" w:sz="6" w:space="0" w:color="000000"/>
            </w:tcBorders>
          </w:tcPr>
          <w:p w:rsidR="00E438FE" w:rsidRPr="00095FEE" w:rsidRDefault="00E438FE" w:rsidP="00D76A9C">
            <w:pPr>
              <w:spacing w:before="100" w:beforeAutospacing="1" w:after="100" w:afterAutospacing="1"/>
              <w:rPr>
                <w:sz w:val="28"/>
                <w:szCs w:val="28"/>
              </w:rPr>
            </w:pPr>
            <w:r w:rsidRPr="00095FEE">
              <w:rPr>
                <w:sz w:val="28"/>
                <w:szCs w:val="28"/>
              </w:rPr>
              <w:t>1.</w:t>
            </w:r>
          </w:p>
        </w:tc>
        <w:tc>
          <w:tcPr>
            <w:tcW w:w="1065" w:type="pct"/>
            <w:tcBorders>
              <w:top w:val="single" w:sz="4" w:space="0" w:color="auto"/>
              <w:left w:val="outset" w:sz="6" w:space="0" w:color="000000"/>
              <w:bottom w:val="outset" w:sz="6" w:space="0" w:color="000000"/>
              <w:right w:val="outset" w:sz="6" w:space="0" w:color="000000"/>
            </w:tcBorders>
          </w:tcPr>
          <w:p w:rsidR="00E438FE" w:rsidRPr="00B00A0E" w:rsidRDefault="00E438FE" w:rsidP="00D76A9C">
            <w:pPr>
              <w:spacing w:before="100" w:beforeAutospacing="1" w:after="100" w:afterAutospacing="1"/>
            </w:pPr>
            <w:r w:rsidRPr="00B00A0E">
              <w:t>Nepieciešamie saistītie tiesību aktu projekti</w:t>
            </w:r>
          </w:p>
        </w:tc>
        <w:tc>
          <w:tcPr>
            <w:tcW w:w="3755" w:type="pct"/>
            <w:tcBorders>
              <w:top w:val="single" w:sz="4" w:space="0" w:color="auto"/>
              <w:left w:val="outset" w:sz="6" w:space="0" w:color="000000"/>
              <w:bottom w:val="outset" w:sz="6" w:space="0" w:color="000000"/>
            </w:tcBorders>
          </w:tcPr>
          <w:p w:rsidR="00E438FE" w:rsidRPr="00B00A0E" w:rsidRDefault="00267736" w:rsidP="00267736">
            <w:pPr>
              <w:pStyle w:val="NormalWeb"/>
              <w:spacing w:before="0" w:beforeAutospacing="0" w:after="120" w:afterAutospacing="0"/>
              <w:ind w:right="119"/>
              <w:jc w:val="both"/>
              <w:rPr>
                <w:b/>
                <w:bCs/>
              </w:rPr>
            </w:pPr>
            <w:r>
              <w:rPr>
                <w:bCs/>
              </w:rPr>
              <w:t xml:space="preserve">  </w:t>
            </w:r>
            <w:r w:rsidRPr="00B00A0E">
              <w:t>Nav.</w:t>
            </w:r>
          </w:p>
        </w:tc>
      </w:tr>
      <w:tr w:rsidR="00E438FE" w:rsidRPr="00095FEE" w:rsidTr="00B00A0E">
        <w:tc>
          <w:tcPr>
            <w:tcW w:w="180" w:type="pct"/>
            <w:tcBorders>
              <w:top w:val="outset" w:sz="6" w:space="0" w:color="000000"/>
              <w:bottom w:val="outset" w:sz="6" w:space="0" w:color="000000"/>
              <w:right w:val="outset" w:sz="6" w:space="0" w:color="000000"/>
            </w:tcBorders>
          </w:tcPr>
          <w:p w:rsidR="00E438FE" w:rsidRPr="00095FEE" w:rsidRDefault="00E438FE" w:rsidP="00D76A9C">
            <w:pPr>
              <w:spacing w:before="100" w:beforeAutospacing="1" w:after="100" w:afterAutospacing="1"/>
              <w:rPr>
                <w:sz w:val="28"/>
                <w:szCs w:val="28"/>
              </w:rPr>
            </w:pPr>
            <w:r w:rsidRPr="00095FEE">
              <w:rPr>
                <w:sz w:val="28"/>
                <w:szCs w:val="28"/>
              </w:rPr>
              <w:t>2.</w:t>
            </w:r>
          </w:p>
        </w:tc>
        <w:tc>
          <w:tcPr>
            <w:tcW w:w="1065" w:type="pct"/>
            <w:tcBorders>
              <w:top w:val="outset" w:sz="6" w:space="0" w:color="000000"/>
              <w:left w:val="outset" w:sz="6" w:space="0" w:color="000000"/>
              <w:bottom w:val="outset" w:sz="6" w:space="0" w:color="000000"/>
              <w:right w:val="outset" w:sz="6" w:space="0" w:color="000000"/>
            </w:tcBorders>
          </w:tcPr>
          <w:p w:rsidR="00E438FE" w:rsidRPr="00B00A0E" w:rsidRDefault="00E438FE" w:rsidP="00D76A9C">
            <w:pPr>
              <w:spacing w:before="100" w:beforeAutospacing="1" w:after="100" w:afterAutospacing="1"/>
            </w:pPr>
            <w:r w:rsidRPr="00B00A0E">
              <w:t>Cita informācija</w:t>
            </w:r>
          </w:p>
        </w:tc>
        <w:tc>
          <w:tcPr>
            <w:tcW w:w="3755" w:type="pct"/>
            <w:tcBorders>
              <w:top w:val="outset" w:sz="6" w:space="0" w:color="000000"/>
              <w:left w:val="outset" w:sz="6" w:space="0" w:color="000000"/>
              <w:bottom w:val="outset" w:sz="6" w:space="0" w:color="000000"/>
            </w:tcBorders>
          </w:tcPr>
          <w:p w:rsidR="00E438FE" w:rsidRPr="00B00A0E" w:rsidRDefault="00E438FE" w:rsidP="00D76A9C">
            <w:pPr>
              <w:spacing w:before="100" w:beforeAutospacing="1" w:after="100" w:afterAutospacing="1"/>
              <w:ind w:left="150"/>
            </w:pPr>
            <w:r w:rsidRPr="00B00A0E">
              <w:t>Nav.</w:t>
            </w:r>
          </w:p>
        </w:tc>
      </w:tr>
    </w:tbl>
    <w:p w:rsidR="00E438FE" w:rsidRDefault="00E438FE" w:rsidP="00166BFC">
      <w:pPr>
        <w:pStyle w:val="naiskr"/>
        <w:spacing w:before="0" w:after="120"/>
        <w:ind w:left="104" w:right="57"/>
        <w:jc w:val="both"/>
        <w:rPr>
          <w:b/>
          <w:bCs/>
        </w:rPr>
      </w:pPr>
    </w:p>
    <w:p w:rsidR="00E438FE" w:rsidRDefault="00E438FE" w:rsidP="00166BFC">
      <w:pPr>
        <w:pStyle w:val="naiskr"/>
        <w:spacing w:before="0" w:after="120"/>
        <w:ind w:left="104" w:right="57"/>
        <w:jc w:val="both"/>
      </w:pPr>
      <w:r>
        <w:rPr>
          <w:b/>
          <w:bCs/>
        </w:rPr>
        <w:t xml:space="preserve">Anotācijas </w:t>
      </w:r>
      <w:proofErr w:type="spellStart"/>
      <w:r w:rsidRPr="00EC3D80">
        <w:rPr>
          <w:b/>
          <w:bCs/>
        </w:rPr>
        <w:t>V</w:t>
      </w:r>
      <w:r>
        <w:rPr>
          <w:b/>
          <w:bCs/>
        </w:rPr>
        <w:t>.,VI.</w:t>
      </w:r>
      <w:r w:rsidRPr="00EC3D80">
        <w:rPr>
          <w:b/>
          <w:bCs/>
        </w:rPr>
        <w:t>sadaļa</w:t>
      </w:r>
      <w:proofErr w:type="spellEnd"/>
      <w:r w:rsidRPr="00EC3D80">
        <w:rPr>
          <w:b/>
          <w:bCs/>
        </w:rPr>
        <w:t xml:space="preserve"> - </w:t>
      </w:r>
      <w:r>
        <w:t>P</w:t>
      </w:r>
      <w:r w:rsidRPr="00EC3D80">
        <w:t>rojekts šo jomu neskar.</w:t>
      </w:r>
    </w:p>
    <w:p w:rsidR="00E438FE" w:rsidRPr="00380A54" w:rsidRDefault="00E438FE" w:rsidP="00C77836">
      <w:pPr>
        <w:pStyle w:val="Footer"/>
        <w:tabs>
          <w:tab w:val="clear" w:pos="4153"/>
          <w:tab w:val="clear" w:pos="8306"/>
        </w:tabs>
        <w:rPr>
          <w:rFonts w:ascii="Times New Roman" w:hAnsi="Times New Roman"/>
          <w:sz w:val="24"/>
          <w:szCs w:val="24"/>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4785"/>
        <w:gridCol w:w="34"/>
      </w:tblGrid>
      <w:tr w:rsidR="00E438FE" w:rsidRPr="00380A54" w:rsidTr="00B00A0E">
        <w:trPr>
          <w:gridAfter w:val="1"/>
          <w:wAfter w:w="34" w:type="dxa"/>
        </w:trPr>
        <w:tc>
          <w:tcPr>
            <w:tcW w:w="9322" w:type="dxa"/>
            <w:gridSpan w:val="2"/>
          </w:tcPr>
          <w:p w:rsidR="00E438FE" w:rsidRPr="00380A54" w:rsidRDefault="00E438FE" w:rsidP="00C77836">
            <w:pPr>
              <w:jc w:val="center"/>
              <w:rPr>
                <w:b/>
              </w:rPr>
            </w:pPr>
            <w:r w:rsidRPr="00380A54">
              <w:br w:type="page"/>
            </w:r>
            <w:r w:rsidRPr="00380A54">
              <w:rPr>
                <w:b/>
              </w:rPr>
              <w:t xml:space="preserve">VII. </w:t>
            </w:r>
            <w:r w:rsidRPr="00380A54">
              <w:rPr>
                <w:b/>
                <w:bCs/>
              </w:rPr>
              <w:t>Tiesību akta projekta izpildes nodrošināšana un tās ietekme uz institūcijām</w:t>
            </w:r>
          </w:p>
        </w:tc>
      </w:tr>
      <w:tr w:rsidR="00E438FE" w:rsidRPr="00380A54" w:rsidTr="00B00A0E">
        <w:trPr>
          <w:trHeight w:val="607"/>
        </w:trPr>
        <w:tc>
          <w:tcPr>
            <w:tcW w:w="4537" w:type="dxa"/>
          </w:tcPr>
          <w:p w:rsidR="00E438FE" w:rsidRPr="00380A54" w:rsidRDefault="00E438FE" w:rsidP="00C77836">
            <w:pPr>
              <w:ind w:right="-57"/>
              <w:jc w:val="both"/>
            </w:pPr>
            <w:r w:rsidRPr="00380A54">
              <w:t xml:space="preserve">1. Projekta izpildē iesaistītās institūcijas </w:t>
            </w:r>
          </w:p>
        </w:tc>
        <w:tc>
          <w:tcPr>
            <w:tcW w:w="4819" w:type="dxa"/>
            <w:gridSpan w:val="2"/>
          </w:tcPr>
          <w:p w:rsidR="00E438FE" w:rsidRPr="00380A54" w:rsidRDefault="00E438FE" w:rsidP="008B7029">
            <w:pPr>
              <w:pStyle w:val="Footer"/>
              <w:tabs>
                <w:tab w:val="clear" w:pos="4153"/>
                <w:tab w:val="clear" w:pos="8306"/>
              </w:tabs>
              <w:spacing w:after="120"/>
              <w:ind w:firstLine="34"/>
              <w:jc w:val="both"/>
              <w:rPr>
                <w:rFonts w:ascii="Times New Roman" w:hAnsi="Times New Roman"/>
                <w:color w:val="7030A0"/>
                <w:sz w:val="24"/>
                <w:szCs w:val="24"/>
              </w:rPr>
            </w:pPr>
            <w:r w:rsidRPr="00380A54">
              <w:rPr>
                <w:rFonts w:ascii="Times New Roman" w:hAnsi="Times New Roman"/>
                <w:sz w:val="24"/>
                <w:szCs w:val="24"/>
              </w:rPr>
              <w:t>Vides aizsardzības un reģionālās attīstības ministrija</w:t>
            </w:r>
            <w:r>
              <w:rPr>
                <w:rFonts w:ascii="Times New Roman" w:hAnsi="Times New Roman"/>
                <w:sz w:val="24"/>
                <w:szCs w:val="24"/>
              </w:rPr>
              <w:t>,</w:t>
            </w:r>
            <w:r w:rsidRPr="00380A54">
              <w:rPr>
                <w:rFonts w:ascii="Times New Roman" w:hAnsi="Times New Roman"/>
                <w:sz w:val="24"/>
                <w:szCs w:val="24"/>
              </w:rPr>
              <w:t xml:space="preserve"> Valsts vides dienests, pašvaldības, plānošanas reģionu administrācijas</w:t>
            </w:r>
            <w:r>
              <w:rPr>
                <w:rFonts w:ascii="Times New Roman" w:hAnsi="Times New Roman"/>
                <w:sz w:val="24"/>
                <w:szCs w:val="24"/>
              </w:rPr>
              <w:t xml:space="preserve">, </w:t>
            </w:r>
            <w:r w:rsidRPr="008B7029">
              <w:rPr>
                <w:rFonts w:ascii="Times New Roman" w:hAnsi="Times New Roman"/>
                <w:sz w:val="24"/>
                <w:szCs w:val="24"/>
              </w:rPr>
              <w:t>Valsts ieņēmumu dienests.</w:t>
            </w:r>
          </w:p>
        </w:tc>
      </w:tr>
      <w:tr w:rsidR="00E438FE" w:rsidRPr="00380A54" w:rsidTr="00B00A0E">
        <w:trPr>
          <w:gridAfter w:val="1"/>
          <w:wAfter w:w="34" w:type="dxa"/>
          <w:trHeight w:val="607"/>
        </w:trPr>
        <w:tc>
          <w:tcPr>
            <w:tcW w:w="4537" w:type="dxa"/>
          </w:tcPr>
          <w:p w:rsidR="00E438FE" w:rsidRPr="00380A54" w:rsidRDefault="00E438FE" w:rsidP="00C77836">
            <w:pPr>
              <w:ind w:right="-57"/>
              <w:jc w:val="both"/>
              <w:rPr>
                <w:szCs w:val="28"/>
              </w:rPr>
            </w:pPr>
            <w:r w:rsidRPr="00380A54">
              <w:t>2. Projekta izpildes ietekme uz pārvaldes funkcijām</w:t>
            </w:r>
          </w:p>
        </w:tc>
        <w:tc>
          <w:tcPr>
            <w:tcW w:w="4785" w:type="dxa"/>
          </w:tcPr>
          <w:p w:rsidR="00E438FE" w:rsidRPr="00B00A0E" w:rsidRDefault="00E438FE" w:rsidP="00C77836">
            <w:pPr>
              <w:pStyle w:val="Footer"/>
              <w:tabs>
                <w:tab w:val="clear" w:pos="4153"/>
                <w:tab w:val="clear" w:pos="8306"/>
              </w:tabs>
              <w:spacing w:after="120"/>
              <w:ind w:firstLine="34"/>
              <w:jc w:val="both"/>
              <w:rPr>
                <w:rFonts w:ascii="Times New Roman" w:hAnsi="Times New Roman"/>
                <w:sz w:val="24"/>
                <w:szCs w:val="24"/>
              </w:rPr>
            </w:pPr>
            <w:r w:rsidRPr="00B00A0E">
              <w:rPr>
                <w:rFonts w:ascii="Times New Roman" w:hAnsi="Times New Roman"/>
                <w:sz w:val="24"/>
                <w:szCs w:val="24"/>
              </w:rPr>
              <w:t>Projekts šo jomu neskar.</w:t>
            </w:r>
          </w:p>
          <w:p w:rsidR="00E438FE" w:rsidRPr="00380A54" w:rsidRDefault="00E438FE" w:rsidP="00C77836">
            <w:pPr>
              <w:pStyle w:val="Footer"/>
              <w:tabs>
                <w:tab w:val="clear" w:pos="4153"/>
                <w:tab w:val="clear" w:pos="8306"/>
              </w:tabs>
              <w:spacing w:after="120"/>
              <w:ind w:firstLine="34"/>
              <w:jc w:val="both"/>
              <w:rPr>
                <w:rFonts w:ascii="Times New Roman" w:hAnsi="Times New Roman"/>
                <w:sz w:val="24"/>
                <w:szCs w:val="24"/>
              </w:rPr>
            </w:pPr>
          </w:p>
        </w:tc>
      </w:tr>
      <w:tr w:rsidR="00E438FE" w:rsidRPr="00380A54" w:rsidTr="00B00A0E">
        <w:trPr>
          <w:gridAfter w:val="1"/>
          <w:wAfter w:w="34" w:type="dxa"/>
          <w:trHeight w:val="607"/>
        </w:trPr>
        <w:tc>
          <w:tcPr>
            <w:tcW w:w="4537" w:type="dxa"/>
          </w:tcPr>
          <w:p w:rsidR="00E438FE" w:rsidRPr="00380A54" w:rsidRDefault="00E438FE" w:rsidP="00C77836">
            <w:r w:rsidRPr="00380A54">
              <w:t>3. Projekta izpildes ietekme uz pārvaldes institucionālo struktūru.</w:t>
            </w:r>
          </w:p>
          <w:p w:rsidR="00E438FE" w:rsidRPr="00380A54" w:rsidRDefault="00E438FE" w:rsidP="00C77836">
            <w:r w:rsidRPr="00380A54">
              <w:t>Jaunu institūciju izveide</w:t>
            </w:r>
          </w:p>
        </w:tc>
        <w:tc>
          <w:tcPr>
            <w:tcW w:w="4785" w:type="dxa"/>
          </w:tcPr>
          <w:p w:rsidR="00E438FE" w:rsidRDefault="00E438FE" w:rsidP="00B3565E">
            <w:pPr>
              <w:pStyle w:val="naisf"/>
              <w:spacing w:after="120"/>
              <w:ind w:firstLine="0"/>
            </w:pPr>
            <w:r>
              <w:t>Projekts šo jomu neskar.</w:t>
            </w:r>
          </w:p>
          <w:p w:rsidR="00E438FE" w:rsidRPr="00380A54" w:rsidRDefault="00E438FE" w:rsidP="00B3565E">
            <w:pPr>
              <w:pStyle w:val="naisf"/>
              <w:spacing w:after="120"/>
              <w:ind w:firstLine="0"/>
              <w:rPr>
                <w:szCs w:val="28"/>
              </w:rPr>
            </w:pPr>
            <w:r w:rsidRPr="00514A7B">
              <w:t>Jaun</w:t>
            </w:r>
            <w:r>
              <w:t>u</w:t>
            </w:r>
            <w:r w:rsidRPr="00514A7B">
              <w:t xml:space="preserve"> institūcij</w:t>
            </w:r>
            <w:r>
              <w:t xml:space="preserve">u izveide </w:t>
            </w:r>
            <w:r w:rsidRPr="00514A7B">
              <w:t>netiek paredzēta.</w:t>
            </w:r>
            <w:r>
              <w:t xml:space="preserve"> </w:t>
            </w:r>
          </w:p>
        </w:tc>
      </w:tr>
      <w:tr w:rsidR="00E438FE" w:rsidRPr="00380A54" w:rsidTr="00B00A0E">
        <w:trPr>
          <w:gridAfter w:val="1"/>
          <w:wAfter w:w="34" w:type="dxa"/>
          <w:trHeight w:val="607"/>
        </w:trPr>
        <w:tc>
          <w:tcPr>
            <w:tcW w:w="4537" w:type="dxa"/>
          </w:tcPr>
          <w:p w:rsidR="00E438FE" w:rsidRPr="00380A54" w:rsidRDefault="00E438FE" w:rsidP="00C77836">
            <w:r w:rsidRPr="00380A54">
              <w:t>4. Projekta izpildes ietekme uz pārvaldes institucionālo struktūru.</w:t>
            </w:r>
          </w:p>
          <w:p w:rsidR="00E438FE" w:rsidRPr="00380A54" w:rsidRDefault="00E438FE" w:rsidP="00C77836">
            <w:r w:rsidRPr="00380A54">
              <w:t>Esošu institūciju likvidācija</w:t>
            </w:r>
            <w:r>
              <w:t xml:space="preserve"> </w:t>
            </w:r>
          </w:p>
        </w:tc>
        <w:tc>
          <w:tcPr>
            <w:tcW w:w="4785" w:type="dxa"/>
          </w:tcPr>
          <w:p w:rsidR="00E438FE" w:rsidRDefault="00E438FE" w:rsidP="0062183F">
            <w:pPr>
              <w:pStyle w:val="naisf"/>
              <w:spacing w:after="120"/>
              <w:ind w:firstLine="34"/>
            </w:pPr>
            <w:r>
              <w:t>Projekts šo jomu neskar.</w:t>
            </w:r>
          </w:p>
          <w:p w:rsidR="00E438FE" w:rsidRPr="00380A54" w:rsidRDefault="00E438FE" w:rsidP="00524306">
            <w:pPr>
              <w:pStyle w:val="naisf"/>
              <w:spacing w:after="120"/>
              <w:ind w:firstLine="34"/>
              <w:rPr>
                <w:szCs w:val="28"/>
              </w:rPr>
            </w:pPr>
            <w:r w:rsidRPr="009640EB">
              <w:t>Esošu institūciju likvidācija</w:t>
            </w:r>
            <w:r>
              <w:t xml:space="preserve"> netiek paredzēta. </w:t>
            </w:r>
          </w:p>
        </w:tc>
      </w:tr>
      <w:tr w:rsidR="00E438FE" w:rsidRPr="00380A54" w:rsidTr="00B00A0E">
        <w:trPr>
          <w:gridAfter w:val="1"/>
          <w:wAfter w:w="34" w:type="dxa"/>
          <w:trHeight w:val="607"/>
        </w:trPr>
        <w:tc>
          <w:tcPr>
            <w:tcW w:w="4537" w:type="dxa"/>
          </w:tcPr>
          <w:p w:rsidR="00E438FE" w:rsidRPr="00380A54" w:rsidRDefault="00E438FE" w:rsidP="00C77836">
            <w:r w:rsidRPr="00380A54">
              <w:lastRenderedPageBreak/>
              <w:t>5. Projekta izpildes ietekme uz pārvaldes institucionālo struktūru.</w:t>
            </w:r>
          </w:p>
          <w:p w:rsidR="00E438FE" w:rsidRPr="00380A54" w:rsidRDefault="00E438FE" w:rsidP="00C77836">
            <w:r w:rsidRPr="00380A54">
              <w:t>Esošu institūciju reorganizācija</w:t>
            </w:r>
            <w:r>
              <w:t xml:space="preserve"> </w:t>
            </w:r>
          </w:p>
        </w:tc>
        <w:tc>
          <w:tcPr>
            <w:tcW w:w="4785" w:type="dxa"/>
          </w:tcPr>
          <w:p w:rsidR="00E438FE" w:rsidRDefault="00E438FE" w:rsidP="00DF0060">
            <w:pPr>
              <w:pStyle w:val="naisf"/>
              <w:spacing w:after="120"/>
              <w:ind w:firstLine="34"/>
            </w:pPr>
            <w:r>
              <w:t>Projekts šo jomu neskar.</w:t>
            </w:r>
          </w:p>
          <w:p w:rsidR="00E438FE" w:rsidRPr="00380A54" w:rsidRDefault="00E438FE" w:rsidP="00524306">
            <w:pPr>
              <w:pStyle w:val="naisf"/>
              <w:spacing w:after="120"/>
              <w:ind w:firstLine="34"/>
            </w:pPr>
            <w:r w:rsidRPr="009640EB">
              <w:t>Esošu institūciju reorganizācija</w:t>
            </w:r>
            <w:r>
              <w:t xml:space="preserve"> netiek paredzēta. </w:t>
            </w:r>
          </w:p>
        </w:tc>
      </w:tr>
      <w:tr w:rsidR="00E438FE" w:rsidRPr="00380A54" w:rsidTr="00B00A0E">
        <w:trPr>
          <w:gridAfter w:val="1"/>
          <w:wAfter w:w="34" w:type="dxa"/>
        </w:trPr>
        <w:tc>
          <w:tcPr>
            <w:tcW w:w="4537" w:type="dxa"/>
          </w:tcPr>
          <w:p w:rsidR="00E438FE" w:rsidRPr="00380A54" w:rsidRDefault="00E438FE" w:rsidP="00C77836">
            <w:pPr>
              <w:ind w:left="284" w:hanging="284"/>
              <w:rPr>
                <w:szCs w:val="28"/>
              </w:rPr>
            </w:pPr>
            <w:r w:rsidRPr="00380A54">
              <w:rPr>
                <w:szCs w:val="28"/>
              </w:rPr>
              <w:t>6. Cita informācija</w:t>
            </w:r>
          </w:p>
        </w:tc>
        <w:tc>
          <w:tcPr>
            <w:tcW w:w="4785" w:type="dxa"/>
          </w:tcPr>
          <w:p w:rsidR="00E438FE" w:rsidRPr="00380A54" w:rsidRDefault="00E438FE" w:rsidP="00C77836">
            <w:pPr>
              <w:rPr>
                <w:szCs w:val="28"/>
              </w:rPr>
            </w:pPr>
            <w:r w:rsidRPr="00380A54">
              <w:rPr>
                <w:szCs w:val="28"/>
              </w:rPr>
              <w:t xml:space="preserve">Nav </w:t>
            </w:r>
          </w:p>
        </w:tc>
      </w:tr>
    </w:tbl>
    <w:p w:rsidR="00E438FE" w:rsidRPr="00380A54" w:rsidRDefault="00E438FE" w:rsidP="00C77836">
      <w:pPr>
        <w:pStyle w:val="Header"/>
        <w:rPr>
          <w:szCs w:val="28"/>
        </w:rPr>
      </w:pPr>
      <w:r w:rsidRPr="00380A54">
        <w:rPr>
          <w:szCs w:val="28"/>
        </w:rPr>
        <w:t xml:space="preserve">                 </w:t>
      </w:r>
    </w:p>
    <w:p w:rsidR="00E438FE" w:rsidRDefault="00E438FE" w:rsidP="00C77836">
      <w:pPr>
        <w:tabs>
          <w:tab w:val="left" w:pos="0"/>
        </w:tabs>
        <w:jc w:val="both"/>
      </w:pPr>
    </w:p>
    <w:p w:rsidR="00E438FE" w:rsidRPr="00380A54" w:rsidRDefault="00E438FE" w:rsidP="00C77836">
      <w:pPr>
        <w:tabs>
          <w:tab w:val="left" w:pos="0"/>
        </w:tabs>
        <w:jc w:val="both"/>
      </w:pPr>
      <w:r w:rsidRPr="00380A54">
        <w:t>Vides aizsardzības un</w:t>
      </w:r>
    </w:p>
    <w:p w:rsidR="00E438FE" w:rsidRPr="00380A54" w:rsidRDefault="00E438FE" w:rsidP="00C77836">
      <w:pPr>
        <w:tabs>
          <w:tab w:val="left" w:pos="0"/>
        </w:tabs>
        <w:jc w:val="both"/>
        <w:rPr>
          <w:szCs w:val="28"/>
        </w:rPr>
      </w:pPr>
      <w:r w:rsidRPr="00380A54">
        <w:t xml:space="preserve"> reģionālās attīstības ministrs</w:t>
      </w:r>
      <w:r w:rsidRPr="00380A54">
        <w:rPr>
          <w:szCs w:val="28"/>
        </w:rPr>
        <w:t xml:space="preserve">                                                                          </w:t>
      </w:r>
      <w:proofErr w:type="spellStart"/>
      <w:r w:rsidRPr="00380A54">
        <w:rPr>
          <w:szCs w:val="28"/>
        </w:rPr>
        <w:t>E.Sprūdžs</w:t>
      </w:r>
      <w:proofErr w:type="spellEnd"/>
      <w:r w:rsidRPr="00380A54">
        <w:rPr>
          <w:szCs w:val="28"/>
        </w:rPr>
        <w:t xml:space="preserve">  </w:t>
      </w:r>
    </w:p>
    <w:p w:rsidR="00E438FE" w:rsidRPr="00380A54" w:rsidRDefault="00E438FE" w:rsidP="00C77836">
      <w:pPr>
        <w:tabs>
          <w:tab w:val="left" w:pos="0"/>
        </w:tabs>
        <w:jc w:val="both"/>
        <w:rPr>
          <w:szCs w:val="28"/>
        </w:rPr>
      </w:pPr>
    </w:p>
    <w:p w:rsidR="00E438FE" w:rsidRPr="00524306" w:rsidRDefault="00E438FE" w:rsidP="00C77836">
      <w:pPr>
        <w:tabs>
          <w:tab w:val="left" w:pos="0"/>
        </w:tabs>
        <w:jc w:val="both"/>
        <w:rPr>
          <w:b/>
          <w:szCs w:val="28"/>
        </w:rPr>
      </w:pPr>
      <w:r w:rsidRPr="00524306">
        <w:rPr>
          <w:b/>
          <w:szCs w:val="28"/>
        </w:rPr>
        <w:t>Vīza:</w:t>
      </w:r>
    </w:p>
    <w:p w:rsidR="00E438FE" w:rsidRPr="00380A54" w:rsidRDefault="00E438FE" w:rsidP="00C77836">
      <w:pPr>
        <w:tabs>
          <w:tab w:val="left" w:pos="0"/>
        </w:tabs>
        <w:jc w:val="both"/>
        <w:rPr>
          <w:szCs w:val="28"/>
        </w:rPr>
      </w:pPr>
      <w:r w:rsidRPr="00380A54">
        <w:rPr>
          <w:szCs w:val="28"/>
        </w:rPr>
        <w:t>Valsts sekretārs</w:t>
      </w:r>
      <w:r w:rsidRPr="00380A54">
        <w:rPr>
          <w:szCs w:val="28"/>
        </w:rPr>
        <w:tab/>
      </w:r>
      <w:r w:rsidRPr="00380A54">
        <w:rPr>
          <w:szCs w:val="28"/>
        </w:rPr>
        <w:tab/>
      </w:r>
      <w:r w:rsidRPr="00380A54">
        <w:rPr>
          <w:szCs w:val="28"/>
        </w:rPr>
        <w:tab/>
      </w:r>
      <w:r w:rsidRPr="00380A54">
        <w:rPr>
          <w:szCs w:val="28"/>
        </w:rPr>
        <w:tab/>
      </w:r>
      <w:r>
        <w:rPr>
          <w:szCs w:val="28"/>
        </w:rPr>
        <w:t xml:space="preserve">               </w:t>
      </w:r>
      <w:r w:rsidRPr="00380A54">
        <w:rPr>
          <w:szCs w:val="28"/>
        </w:rPr>
        <w:tab/>
      </w:r>
      <w:r>
        <w:rPr>
          <w:szCs w:val="28"/>
        </w:rPr>
        <w:t xml:space="preserve">                         </w:t>
      </w:r>
      <w:r w:rsidRPr="00380A54">
        <w:rPr>
          <w:szCs w:val="28"/>
        </w:rPr>
        <w:t>G.Puķītis</w:t>
      </w:r>
    </w:p>
    <w:p w:rsidR="00E438FE" w:rsidRPr="00380A54" w:rsidRDefault="00E438FE" w:rsidP="00C77836">
      <w:pPr>
        <w:pStyle w:val="Header"/>
        <w:rPr>
          <w:sz w:val="22"/>
          <w:szCs w:val="22"/>
        </w:rPr>
      </w:pPr>
    </w:p>
    <w:p w:rsidR="00E438FE" w:rsidRPr="00380A54" w:rsidRDefault="00E438FE" w:rsidP="00C77836">
      <w:pPr>
        <w:pStyle w:val="Header"/>
        <w:rPr>
          <w:sz w:val="22"/>
          <w:szCs w:val="22"/>
        </w:rPr>
      </w:pPr>
    </w:p>
    <w:p w:rsidR="00E438FE" w:rsidRPr="00380A54" w:rsidRDefault="00E438FE" w:rsidP="00C77836">
      <w:pPr>
        <w:pStyle w:val="Header"/>
        <w:rPr>
          <w:sz w:val="22"/>
          <w:szCs w:val="22"/>
        </w:rPr>
      </w:pPr>
    </w:p>
    <w:p w:rsidR="00E438FE" w:rsidRPr="00524306" w:rsidRDefault="003B0878" w:rsidP="00C77836">
      <w:pPr>
        <w:pStyle w:val="Header"/>
        <w:rPr>
          <w:sz w:val="24"/>
          <w:szCs w:val="24"/>
        </w:rPr>
      </w:pPr>
      <w:r>
        <w:rPr>
          <w:sz w:val="24"/>
          <w:szCs w:val="24"/>
        </w:rPr>
        <w:t>07.03</w:t>
      </w:r>
      <w:r w:rsidR="00E438FE" w:rsidRPr="00524306">
        <w:rPr>
          <w:sz w:val="24"/>
          <w:szCs w:val="24"/>
        </w:rPr>
        <w:t>.2012. 13.00</w:t>
      </w:r>
    </w:p>
    <w:p w:rsidR="00E438FE" w:rsidRPr="00524306" w:rsidRDefault="00E438FE" w:rsidP="00C77836">
      <w:pPr>
        <w:pStyle w:val="Header"/>
        <w:rPr>
          <w:sz w:val="24"/>
          <w:szCs w:val="24"/>
        </w:rPr>
      </w:pPr>
      <w:r>
        <w:rPr>
          <w:sz w:val="24"/>
          <w:szCs w:val="24"/>
        </w:rPr>
        <w:t>2</w:t>
      </w:r>
      <w:r w:rsidR="00B25E35">
        <w:rPr>
          <w:sz w:val="24"/>
          <w:szCs w:val="24"/>
        </w:rPr>
        <w:t>264</w:t>
      </w:r>
      <w:bookmarkStart w:id="4" w:name="_GoBack"/>
      <w:bookmarkEnd w:id="4"/>
    </w:p>
    <w:p w:rsidR="00E438FE" w:rsidRPr="00524306" w:rsidRDefault="00E438FE" w:rsidP="00C77836">
      <w:pPr>
        <w:pStyle w:val="Header"/>
        <w:rPr>
          <w:sz w:val="24"/>
          <w:szCs w:val="24"/>
        </w:rPr>
      </w:pPr>
      <w:r w:rsidRPr="00524306">
        <w:rPr>
          <w:sz w:val="24"/>
          <w:szCs w:val="24"/>
        </w:rPr>
        <w:t>D.Ozola</w:t>
      </w:r>
    </w:p>
    <w:p w:rsidR="00E438FE" w:rsidRPr="00524306" w:rsidRDefault="00E438FE" w:rsidP="00C77836">
      <w:pPr>
        <w:pStyle w:val="Header"/>
        <w:rPr>
          <w:sz w:val="24"/>
          <w:szCs w:val="24"/>
        </w:rPr>
      </w:pPr>
      <w:r w:rsidRPr="00524306">
        <w:rPr>
          <w:sz w:val="24"/>
          <w:szCs w:val="24"/>
        </w:rPr>
        <w:t xml:space="preserve">67026518; </w:t>
      </w:r>
      <w:hyperlink r:id="rId10" w:history="1">
        <w:r w:rsidRPr="00524306">
          <w:rPr>
            <w:rStyle w:val="Hyperlink"/>
            <w:sz w:val="24"/>
            <w:szCs w:val="24"/>
          </w:rPr>
          <w:t>dace.ozola@vidm.gov.lv</w:t>
        </w:r>
      </w:hyperlink>
      <w:r w:rsidRPr="00524306">
        <w:rPr>
          <w:sz w:val="24"/>
          <w:szCs w:val="24"/>
        </w:rPr>
        <w:t xml:space="preserve"> </w:t>
      </w:r>
    </w:p>
    <w:p w:rsidR="00E438FE" w:rsidRPr="00524306" w:rsidRDefault="00E438FE" w:rsidP="00C77836">
      <w:r w:rsidRPr="00524306">
        <w:t xml:space="preserve">R.Vesere </w:t>
      </w:r>
    </w:p>
    <w:p w:rsidR="00E438FE" w:rsidRPr="00380A54" w:rsidRDefault="00E438FE" w:rsidP="00C77836">
      <w:r w:rsidRPr="00524306">
        <w:t xml:space="preserve">67026464; </w:t>
      </w:r>
      <w:hyperlink r:id="rId11" w:history="1">
        <w:r w:rsidRPr="00524306">
          <w:rPr>
            <w:rStyle w:val="Hyperlink"/>
          </w:rPr>
          <w:t>rudite.vesere@varam.gov.lv</w:t>
        </w:r>
      </w:hyperlink>
      <w:r>
        <w:t xml:space="preserve"> </w:t>
      </w:r>
    </w:p>
    <w:p w:rsidR="00E438FE" w:rsidRPr="00380A54" w:rsidRDefault="00E438FE" w:rsidP="00C77836"/>
    <w:p w:rsidR="00E438FE" w:rsidRPr="00380A54" w:rsidRDefault="00E438FE" w:rsidP="00C77836"/>
    <w:p w:rsidR="00E438FE" w:rsidRPr="00380A54" w:rsidRDefault="00E438FE"/>
    <w:sectPr w:rsidR="00E438FE" w:rsidRPr="00380A54" w:rsidSect="00C77836">
      <w:headerReference w:type="even" r:id="rId12"/>
      <w:headerReference w:type="default" r:id="rId13"/>
      <w:footerReference w:type="defaul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7F" w:rsidRDefault="0065287F">
      <w:r>
        <w:separator/>
      </w:r>
    </w:p>
  </w:endnote>
  <w:endnote w:type="continuationSeparator" w:id="0">
    <w:p w:rsidR="0065287F" w:rsidRDefault="006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7F" w:rsidRPr="00D929FC" w:rsidRDefault="0065287F" w:rsidP="00E43AFF">
    <w:pPr>
      <w:pStyle w:val="BodyText"/>
      <w:jc w:val="both"/>
      <w:rPr>
        <w:b w:val="0"/>
        <w:sz w:val="22"/>
        <w:szCs w:val="22"/>
      </w:rPr>
    </w:pPr>
    <w:r>
      <w:rPr>
        <w:b w:val="0"/>
        <w:bCs/>
        <w:sz w:val="22"/>
        <w:szCs w:val="22"/>
      </w:rPr>
      <w:t xml:space="preserve">VARAMAnot_070312_ZDZūdeņi; </w:t>
    </w:r>
    <w:r w:rsidRPr="006A292E">
      <w:rPr>
        <w:b w:val="0"/>
        <w:bCs/>
        <w:sz w:val="22"/>
        <w:szCs w:val="22"/>
      </w:rPr>
      <w:t xml:space="preserve">Ministru kabineta noteikumu projekta </w:t>
    </w:r>
    <w:r w:rsidRPr="00582C82">
      <w:rPr>
        <w:b w:val="0"/>
        <w:bCs/>
        <w:sz w:val="22"/>
        <w:szCs w:val="22"/>
      </w:rPr>
      <w:t>„</w:t>
    </w:r>
    <w:r w:rsidRPr="00582C82">
      <w:rPr>
        <w:b w:val="0"/>
        <w:sz w:val="22"/>
        <w:szCs w:val="22"/>
      </w:rPr>
      <w:t>Zemes dzīļu izmantošanas kārtība iekšzemes publiskajos ūdeņos un jūrā”</w:t>
    </w:r>
    <w:r>
      <w:rPr>
        <w:b w:val="0"/>
        <w:sz w:val="22"/>
        <w:szCs w:val="22"/>
      </w:rPr>
      <w:t xml:space="preserve"> </w:t>
    </w:r>
    <w:r w:rsidRPr="00D929FC">
      <w:rPr>
        <w:b w:val="0"/>
        <w:bCs/>
        <w:sz w:val="22"/>
        <w:szCs w:val="22"/>
      </w:rPr>
      <w:t xml:space="preserve">sākotnējās ietekmes novērtējuma </w:t>
    </w:r>
    <w:smartTag w:uri="schemas-tilde-lv/tildestengine" w:element="veidnes">
      <w:smartTagPr>
        <w:attr w:name="text" w:val="ziņojums"/>
        <w:attr w:name="baseform" w:val="ziņojums"/>
        <w:attr w:name="id" w:val="-1"/>
      </w:smartTagPr>
      <w:r w:rsidRPr="00D929FC">
        <w:rPr>
          <w:b w:val="0"/>
          <w:bCs/>
          <w:sz w:val="22"/>
          <w:szCs w:val="22"/>
        </w:rPr>
        <w:t>ziņojums</w:t>
      </w:r>
    </w:smartTag>
    <w:r w:rsidRPr="00D929FC">
      <w:rPr>
        <w:b w:val="0"/>
        <w:bCs/>
        <w:sz w:val="22"/>
        <w:szCs w:val="22"/>
      </w:rPr>
      <w:t xml:space="preserve"> (anotācija)</w:t>
    </w:r>
  </w:p>
  <w:p w:rsidR="0065287F" w:rsidRPr="00D929FC" w:rsidRDefault="0065287F" w:rsidP="00C77836">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7F" w:rsidRDefault="0065287F">
      <w:r>
        <w:separator/>
      </w:r>
    </w:p>
  </w:footnote>
  <w:footnote w:type="continuationSeparator" w:id="0">
    <w:p w:rsidR="0065287F" w:rsidRDefault="0065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7F" w:rsidRDefault="0065287F" w:rsidP="00C778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5287F" w:rsidRDefault="00652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7F" w:rsidRDefault="0065287F" w:rsidP="00C778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E35">
      <w:rPr>
        <w:rStyle w:val="PageNumber"/>
        <w:noProof/>
      </w:rPr>
      <w:t>1</w:t>
    </w:r>
    <w:r>
      <w:rPr>
        <w:rStyle w:val="PageNumber"/>
      </w:rPr>
      <w:fldChar w:fldCharType="end"/>
    </w:r>
  </w:p>
  <w:p w:rsidR="0065287F" w:rsidRDefault="00652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3204"/>
    <w:multiLevelType w:val="hybridMultilevel"/>
    <w:tmpl w:val="5288C5A6"/>
    <w:lvl w:ilvl="0" w:tplc="4B5A1E14">
      <w:start w:val="1"/>
      <w:numFmt w:val="decimal"/>
      <w:lvlText w:val="%1)"/>
      <w:lvlJc w:val="left"/>
      <w:pPr>
        <w:tabs>
          <w:tab w:val="num" w:pos="417"/>
        </w:tabs>
        <w:ind w:left="417" w:hanging="360"/>
      </w:pPr>
      <w:rPr>
        <w:rFonts w:cs="Times New Roman"/>
      </w:rPr>
    </w:lvl>
    <w:lvl w:ilvl="1" w:tplc="04260019">
      <w:start w:val="1"/>
      <w:numFmt w:val="lowerLetter"/>
      <w:lvlText w:val="%2."/>
      <w:lvlJc w:val="left"/>
      <w:pPr>
        <w:tabs>
          <w:tab w:val="num" w:pos="1137"/>
        </w:tabs>
        <w:ind w:left="1137" w:hanging="360"/>
      </w:pPr>
      <w:rPr>
        <w:rFonts w:cs="Times New Roman"/>
      </w:rPr>
    </w:lvl>
    <w:lvl w:ilvl="2" w:tplc="0426001B">
      <w:start w:val="1"/>
      <w:numFmt w:val="lowerRoman"/>
      <w:lvlText w:val="%3."/>
      <w:lvlJc w:val="right"/>
      <w:pPr>
        <w:tabs>
          <w:tab w:val="num" w:pos="1857"/>
        </w:tabs>
        <w:ind w:left="1857" w:hanging="180"/>
      </w:pPr>
      <w:rPr>
        <w:rFonts w:cs="Times New Roman"/>
      </w:rPr>
    </w:lvl>
    <w:lvl w:ilvl="3" w:tplc="0426000F">
      <w:start w:val="1"/>
      <w:numFmt w:val="decimal"/>
      <w:lvlText w:val="%4."/>
      <w:lvlJc w:val="left"/>
      <w:pPr>
        <w:tabs>
          <w:tab w:val="num" w:pos="2577"/>
        </w:tabs>
        <w:ind w:left="2577" w:hanging="360"/>
      </w:pPr>
      <w:rPr>
        <w:rFonts w:cs="Times New Roman"/>
      </w:rPr>
    </w:lvl>
    <w:lvl w:ilvl="4" w:tplc="04260019">
      <w:start w:val="1"/>
      <w:numFmt w:val="lowerLetter"/>
      <w:lvlText w:val="%5."/>
      <w:lvlJc w:val="left"/>
      <w:pPr>
        <w:tabs>
          <w:tab w:val="num" w:pos="3297"/>
        </w:tabs>
        <w:ind w:left="3297" w:hanging="360"/>
      </w:pPr>
      <w:rPr>
        <w:rFonts w:cs="Times New Roman"/>
      </w:rPr>
    </w:lvl>
    <w:lvl w:ilvl="5" w:tplc="0426001B">
      <w:start w:val="1"/>
      <w:numFmt w:val="lowerRoman"/>
      <w:lvlText w:val="%6."/>
      <w:lvlJc w:val="right"/>
      <w:pPr>
        <w:tabs>
          <w:tab w:val="num" w:pos="4017"/>
        </w:tabs>
        <w:ind w:left="4017" w:hanging="180"/>
      </w:pPr>
      <w:rPr>
        <w:rFonts w:cs="Times New Roman"/>
      </w:rPr>
    </w:lvl>
    <w:lvl w:ilvl="6" w:tplc="0426000F">
      <w:start w:val="1"/>
      <w:numFmt w:val="decimal"/>
      <w:lvlText w:val="%7."/>
      <w:lvlJc w:val="left"/>
      <w:pPr>
        <w:tabs>
          <w:tab w:val="num" w:pos="4737"/>
        </w:tabs>
        <w:ind w:left="4737" w:hanging="360"/>
      </w:pPr>
      <w:rPr>
        <w:rFonts w:cs="Times New Roman"/>
      </w:rPr>
    </w:lvl>
    <w:lvl w:ilvl="7" w:tplc="04260019">
      <w:start w:val="1"/>
      <w:numFmt w:val="lowerLetter"/>
      <w:lvlText w:val="%8."/>
      <w:lvlJc w:val="left"/>
      <w:pPr>
        <w:tabs>
          <w:tab w:val="num" w:pos="5457"/>
        </w:tabs>
        <w:ind w:left="5457" w:hanging="360"/>
      </w:pPr>
      <w:rPr>
        <w:rFonts w:cs="Times New Roman"/>
      </w:rPr>
    </w:lvl>
    <w:lvl w:ilvl="8" w:tplc="0426001B">
      <w:start w:val="1"/>
      <w:numFmt w:val="lowerRoman"/>
      <w:lvlText w:val="%9."/>
      <w:lvlJc w:val="right"/>
      <w:pPr>
        <w:tabs>
          <w:tab w:val="num" w:pos="6177"/>
        </w:tabs>
        <w:ind w:left="6177" w:hanging="180"/>
      </w:pPr>
      <w:rPr>
        <w:rFonts w:cs="Times New Roman"/>
      </w:rPr>
    </w:lvl>
  </w:abstractNum>
  <w:abstractNum w:abstractNumId="1">
    <w:nsid w:val="2B080F38"/>
    <w:multiLevelType w:val="multilevel"/>
    <w:tmpl w:val="9B5A70B2"/>
    <w:lvl w:ilvl="0">
      <w:start w:val="2"/>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190" w:hanging="720"/>
      </w:pPr>
      <w:rPr>
        <w:rFonts w:cs="Times New Roman" w:hint="default"/>
      </w:rPr>
    </w:lvl>
    <w:lvl w:ilvl="2">
      <w:start w:val="1"/>
      <w:numFmt w:val="decimal"/>
      <w:isLgl/>
      <w:lvlText w:val="%1.%2.%3."/>
      <w:lvlJc w:val="left"/>
      <w:pPr>
        <w:ind w:left="1234"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682" w:hanging="1080"/>
      </w:pPr>
      <w:rPr>
        <w:rFonts w:cs="Times New Roman" w:hint="default"/>
      </w:rPr>
    </w:lvl>
    <w:lvl w:ilvl="5">
      <w:start w:val="1"/>
      <w:numFmt w:val="decimal"/>
      <w:isLgl/>
      <w:lvlText w:val="%1.%2.%3.%4.%5.%6."/>
      <w:lvlJc w:val="left"/>
      <w:pPr>
        <w:ind w:left="2086" w:hanging="1440"/>
      </w:pPr>
      <w:rPr>
        <w:rFonts w:cs="Times New Roman" w:hint="default"/>
      </w:rPr>
    </w:lvl>
    <w:lvl w:ilvl="6">
      <w:start w:val="1"/>
      <w:numFmt w:val="decimal"/>
      <w:isLgl/>
      <w:lvlText w:val="%1.%2.%3.%4.%5.%6.%7."/>
      <w:lvlJc w:val="left"/>
      <w:pPr>
        <w:ind w:left="2490"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938" w:hanging="2160"/>
      </w:pPr>
      <w:rPr>
        <w:rFonts w:cs="Times New Roman" w:hint="default"/>
      </w:rPr>
    </w:lvl>
  </w:abstractNum>
  <w:abstractNum w:abstractNumId="2">
    <w:nsid w:val="45A516EA"/>
    <w:multiLevelType w:val="hybridMultilevel"/>
    <w:tmpl w:val="9912E3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C3F613D"/>
    <w:multiLevelType w:val="hybridMultilevel"/>
    <w:tmpl w:val="68D090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6EC1B33"/>
    <w:multiLevelType w:val="hybridMultilevel"/>
    <w:tmpl w:val="55065F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F511C4A"/>
    <w:multiLevelType w:val="hybridMultilevel"/>
    <w:tmpl w:val="E5102A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3E3"/>
    <w:rsid w:val="000207AD"/>
    <w:rsid w:val="00024850"/>
    <w:rsid w:val="00060267"/>
    <w:rsid w:val="00081A74"/>
    <w:rsid w:val="0008240F"/>
    <w:rsid w:val="00095FEE"/>
    <w:rsid w:val="000A0F28"/>
    <w:rsid w:val="000B009F"/>
    <w:rsid w:val="000C59EF"/>
    <w:rsid w:val="000C7A89"/>
    <w:rsid w:val="000F448F"/>
    <w:rsid w:val="000F6759"/>
    <w:rsid w:val="00103904"/>
    <w:rsid w:val="00154483"/>
    <w:rsid w:val="00156016"/>
    <w:rsid w:val="00160B6A"/>
    <w:rsid w:val="00166BFC"/>
    <w:rsid w:val="00170D45"/>
    <w:rsid w:val="00181B53"/>
    <w:rsid w:val="001D160E"/>
    <w:rsid w:val="001D6A13"/>
    <w:rsid w:val="001E089C"/>
    <w:rsid w:val="00202C75"/>
    <w:rsid w:val="00267736"/>
    <w:rsid w:val="00281DA7"/>
    <w:rsid w:val="00286619"/>
    <w:rsid w:val="002A1BE8"/>
    <w:rsid w:val="002C0B12"/>
    <w:rsid w:val="002C4E43"/>
    <w:rsid w:val="002D04F4"/>
    <w:rsid w:val="002D33A5"/>
    <w:rsid w:val="002D351D"/>
    <w:rsid w:val="002F1413"/>
    <w:rsid w:val="00380A54"/>
    <w:rsid w:val="003A68B3"/>
    <w:rsid w:val="003B0878"/>
    <w:rsid w:val="003B194D"/>
    <w:rsid w:val="003E1F56"/>
    <w:rsid w:val="00400B1E"/>
    <w:rsid w:val="00404D26"/>
    <w:rsid w:val="004757A3"/>
    <w:rsid w:val="00476D6D"/>
    <w:rsid w:val="004A76BB"/>
    <w:rsid w:val="004C514D"/>
    <w:rsid w:val="004E2BD0"/>
    <w:rsid w:val="004E769D"/>
    <w:rsid w:val="00511950"/>
    <w:rsid w:val="00514906"/>
    <w:rsid w:val="00514A7B"/>
    <w:rsid w:val="00524306"/>
    <w:rsid w:val="00537EFA"/>
    <w:rsid w:val="00582C82"/>
    <w:rsid w:val="005A21C0"/>
    <w:rsid w:val="005C1BAC"/>
    <w:rsid w:val="005C39B9"/>
    <w:rsid w:val="0062183F"/>
    <w:rsid w:val="00634BE6"/>
    <w:rsid w:val="00642532"/>
    <w:rsid w:val="00645F39"/>
    <w:rsid w:val="0065287F"/>
    <w:rsid w:val="00652B08"/>
    <w:rsid w:val="006925C7"/>
    <w:rsid w:val="006953E3"/>
    <w:rsid w:val="006A292E"/>
    <w:rsid w:val="006F4CBC"/>
    <w:rsid w:val="006F5195"/>
    <w:rsid w:val="006F5FDD"/>
    <w:rsid w:val="00706267"/>
    <w:rsid w:val="00722826"/>
    <w:rsid w:val="00722BE2"/>
    <w:rsid w:val="00751E35"/>
    <w:rsid w:val="007714BE"/>
    <w:rsid w:val="00780E03"/>
    <w:rsid w:val="007907ED"/>
    <w:rsid w:val="00792B22"/>
    <w:rsid w:val="007A63A0"/>
    <w:rsid w:val="007B1612"/>
    <w:rsid w:val="007B1A99"/>
    <w:rsid w:val="007B28BC"/>
    <w:rsid w:val="007E3C6A"/>
    <w:rsid w:val="00806EEB"/>
    <w:rsid w:val="008440A8"/>
    <w:rsid w:val="008766DA"/>
    <w:rsid w:val="00885371"/>
    <w:rsid w:val="008B6A3E"/>
    <w:rsid w:val="008B7029"/>
    <w:rsid w:val="008D4383"/>
    <w:rsid w:val="008E3AD9"/>
    <w:rsid w:val="008E543A"/>
    <w:rsid w:val="00907388"/>
    <w:rsid w:val="00910012"/>
    <w:rsid w:val="00911A0A"/>
    <w:rsid w:val="00916E77"/>
    <w:rsid w:val="009263FF"/>
    <w:rsid w:val="00935207"/>
    <w:rsid w:val="0094554F"/>
    <w:rsid w:val="009640EB"/>
    <w:rsid w:val="00A26287"/>
    <w:rsid w:val="00A3255F"/>
    <w:rsid w:val="00A33994"/>
    <w:rsid w:val="00A4502A"/>
    <w:rsid w:val="00A456F0"/>
    <w:rsid w:val="00A56970"/>
    <w:rsid w:val="00A75344"/>
    <w:rsid w:val="00A76009"/>
    <w:rsid w:val="00AC53E7"/>
    <w:rsid w:val="00AE0EF4"/>
    <w:rsid w:val="00AF20B6"/>
    <w:rsid w:val="00B00A0E"/>
    <w:rsid w:val="00B11BF9"/>
    <w:rsid w:val="00B25E35"/>
    <w:rsid w:val="00B31213"/>
    <w:rsid w:val="00B32676"/>
    <w:rsid w:val="00B3565E"/>
    <w:rsid w:val="00B725E7"/>
    <w:rsid w:val="00B77BB5"/>
    <w:rsid w:val="00B829B9"/>
    <w:rsid w:val="00B83EAD"/>
    <w:rsid w:val="00B910B9"/>
    <w:rsid w:val="00BA778E"/>
    <w:rsid w:val="00BC2F02"/>
    <w:rsid w:val="00C07D87"/>
    <w:rsid w:val="00C446E5"/>
    <w:rsid w:val="00C70637"/>
    <w:rsid w:val="00C77836"/>
    <w:rsid w:val="00C814B3"/>
    <w:rsid w:val="00CA3910"/>
    <w:rsid w:val="00CB6CA7"/>
    <w:rsid w:val="00D36FE8"/>
    <w:rsid w:val="00D50841"/>
    <w:rsid w:val="00D7096E"/>
    <w:rsid w:val="00D719AA"/>
    <w:rsid w:val="00D76A9C"/>
    <w:rsid w:val="00D77F5F"/>
    <w:rsid w:val="00D850A9"/>
    <w:rsid w:val="00D929FC"/>
    <w:rsid w:val="00DA4393"/>
    <w:rsid w:val="00DB19DF"/>
    <w:rsid w:val="00DE1C60"/>
    <w:rsid w:val="00DF0060"/>
    <w:rsid w:val="00E11C5E"/>
    <w:rsid w:val="00E40E11"/>
    <w:rsid w:val="00E438FE"/>
    <w:rsid w:val="00E43AFF"/>
    <w:rsid w:val="00E90A21"/>
    <w:rsid w:val="00E97BC7"/>
    <w:rsid w:val="00EA1417"/>
    <w:rsid w:val="00EC3D80"/>
    <w:rsid w:val="00EF3128"/>
    <w:rsid w:val="00F066B6"/>
    <w:rsid w:val="00F12900"/>
    <w:rsid w:val="00F13217"/>
    <w:rsid w:val="00F247C3"/>
    <w:rsid w:val="00F57A5D"/>
    <w:rsid w:val="00F855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7836"/>
    <w:pPr>
      <w:jc w:val="center"/>
    </w:pPr>
    <w:rPr>
      <w:b/>
      <w:sz w:val="28"/>
      <w:szCs w:val="32"/>
    </w:rPr>
  </w:style>
  <w:style w:type="character" w:customStyle="1" w:styleId="BodyTextChar">
    <w:name w:val="Body Text Char"/>
    <w:basedOn w:val="DefaultParagraphFont"/>
    <w:link w:val="BodyText"/>
    <w:uiPriority w:val="99"/>
    <w:locked/>
    <w:rsid w:val="00C77836"/>
    <w:rPr>
      <w:rFonts w:ascii="Times New Roman" w:hAnsi="Times New Roman" w:cs="Times New Roman"/>
      <w:b/>
      <w:sz w:val="32"/>
      <w:szCs w:val="32"/>
      <w:lang w:val="lv-LV" w:eastAsia="lv-LV"/>
    </w:rPr>
  </w:style>
  <w:style w:type="paragraph" w:styleId="Footer">
    <w:name w:val="footer"/>
    <w:basedOn w:val="Normal"/>
    <w:link w:val="FooterChar"/>
    <w:uiPriority w:val="99"/>
    <w:rsid w:val="00C77836"/>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locked/>
    <w:rsid w:val="00C77836"/>
    <w:rPr>
      <w:rFonts w:ascii="RimTimes" w:hAnsi="RimTimes" w:cs="Times New Roman"/>
      <w:snapToGrid w:val="0"/>
      <w:sz w:val="20"/>
      <w:szCs w:val="20"/>
      <w:lang w:val="lv-LV"/>
    </w:rPr>
  </w:style>
  <w:style w:type="paragraph" w:styleId="Header">
    <w:name w:val="header"/>
    <w:basedOn w:val="Normal"/>
    <w:link w:val="HeaderChar"/>
    <w:uiPriority w:val="99"/>
    <w:rsid w:val="00C77836"/>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locked/>
    <w:rsid w:val="00C77836"/>
    <w:rPr>
      <w:rFonts w:ascii="Times New Roman" w:hAnsi="Times New Roman" w:cs="Times New Roman"/>
      <w:sz w:val="20"/>
      <w:szCs w:val="20"/>
      <w:lang w:val="lv-LV"/>
    </w:rPr>
  </w:style>
  <w:style w:type="character" w:styleId="Hyperlink">
    <w:name w:val="Hyperlink"/>
    <w:basedOn w:val="DefaultParagraphFont"/>
    <w:uiPriority w:val="99"/>
    <w:rsid w:val="00C77836"/>
    <w:rPr>
      <w:rFonts w:ascii="Times New Roman" w:hAnsi="Times New Roman" w:cs="Times New Roman"/>
      <w:color w:val="0000FF"/>
      <w:u w:val="single"/>
      <w:lang w:val="lv-LV"/>
    </w:rPr>
  </w:style>
  <w:style w:type="paragraph" w:customStyle="1" w:styleId="naisf">
    <w:name w:val="naisf"/>
    <w:basedOn w:val="Normal"/>
    <w:uiPriority w:val="99"/>
    <w:rsid w:val="00C77836"/>
    <w:pPr>
      <w:spacing w:before="75" w:after="75"/>
      <w:ind w:firstLine="375"/>
      <w:jc w:val="both"/>
    </w:pPr>
  </w:style>
  <w:style w:type="paragraph" w:customStyle="1" w:styleId="naiskr">
    <w:name w:val="naiskr"/>
    <w:basedOn w:val="Normal"/>
    <w:uiPriority w:val="99"/>
    <w:rsid w:val="00C77836"/>
    <w:pPr>
      <w:spacing w:before="75" w:after="75"/>
    </w:pPr>
  </w:style>
  <w:style w:type="paragraph" w:styleId="NormalWeb">
    <w:name w:val="Normal (Web)"/>
    <w:basedOn w:val="Normal"/>
    <w:link w:val="NormalWebChar"/>
    <w:uiPriority w:val="99"/>
    <w:rsid w:val="00C77836"/>
    <w:pPr>
      <w:spacing w:before="100" w:beforeAutospacing="1" w:after="100" w:afterAutospacing="1"/>
    </w:pPr>
  </w:style>
  <w:style w:type="character" w:styleId="Strong">
    <w:name w:val="Strong"/>
    <w:basedOn w:val="DefaultParagraphFont"/>
    <w:uiPriority w:val="99"/>
    <w:qFormat/>
    <w:rsid w:val="00C77836"/>
    <w:rPr>
      <w:rFonts w:cs="Times New Roman"/>
      <w:b/>
      <w:bCs/>
    </w:rPr>
  </w:style>
  <w:style w:type="paragraph" w:customStyle="1" w:styleId="naislab">
    <w:name w:val="naislab"/>
    <w:basedOn w:val="Normal"/>
    <w:uiPriority w:val="99"/>
    <w:rsid w:val="00C77836"/>
    <w:pPr>
      <w:spacing w:before="75" w:after="75"/>
      <w:jc w:val="right"/>
    </w:pPr>
    <w:rPr>
      <w:rFonts w:eastAsia="Calibri"/>
    </w:rPr>
  </w:style>
  <w:style w:type="character" w:styleId="PageNumber">
    <w:name w:val="page number"/>
    <w:basedOn w:val="DefaultParagraphFont"/>
    <w:uiPriority w:val="99"/>
    <w:rsid w:val="00C77836"/>
    <w:rPr>
      <w:rFonts w:cs="Times New Roman"/>
    </w:rPr>
  </w:style>
  <w:style w:type="paragraph" w:customStyle="1" w:styleId="naisnod">
    <w:name w:val="naisnod"/>
    <w:basedOn w:val="Normal"/>
    <w:uiPriority w:val="99"/>
    <w:rsid w:val="00E97BC7"/>
    <w:pPr>
      <w:spacing w:before="150" w:after="150"/>
      <w:jc w:val="center"/>
    </w:pPr>
    <w:rPr>
      <w:b/>
      <w:bCs/>
    </w:rPr>
  </w:style>
  <w:style w:type="paragraph" w:styleId="BodyText3">
    <w:name w:val="Body Text 3"/>
    <w:basedOn w:val="Normal"/>
    <w:link w:val="BodyText3Char"/>
    <w:uiPriority w:val="99"/>
    <w:rsid w:val="00D7096E"/>
    <w:pPr>
      <w:spacing w:after="120"/>
    </w:pPr>
    <w:rPr>
      <w:sz w:val="16"/>
      <w:szCs w:val="16"/>
    </w:rPr>
  </w:style>
  <w:style w:type="character" w:customStyle="1" w:styleId="BodyText3Char">
    <w:name w:val="Body Text 3 Char"/>
    <w:basedOn w:val="DefaultParagraphFont"/>
    <w:link w:val="BodyText3"/>
    <w:uiPriority w:val="99"/>
    <w:locked/>
    <w:rsid w:val="00D7096E"/>
    <w:rPr>
      <w:rFonts w:ascii="Times New Roman" w:hAnsi="Times New Roman" w:cs="Times New Roman"/>
      <w:sz w:val="16"/>
      <w:szCs w:val="16"/>
      <w:lang w:val="lv-LV" w:eastAsia="lv-LV"/>
    </w:rPr>
  </w:style>
  <w:style w:type="paragraph" w:customStyle="1" w:styleId="tvhtml">
    <w:name w:val="tv_html"/>
    <w:basedOn w:val="Normal"/>
    <w:uiPriority w:val="99"/>
    <w:rsid w:val="00380A54"/>
    <w:pPr>
      <w:spacing w:before="100" w:beforeAutospacing="1" w:after="100" w:afterAutospacing="1"/>
    </w:pPr>
    <w:rPr>
      <w:rFonts w:ascii="Verdana" w:hAnsi="Verdana"/>
      <w:sz w:val="18"/>
      <w:szCs w:val="18"/>
      <w:lang w:val="en-US" w:eastAsia="en-US"/>
    </w:rPr>
  </w:style>
  <w:style w:type="paragraph" w:styleId="ListParagraph">
    <w:name w:val="List Paragraph"/>
    <w:basedOn w:val="Normal"/>
    <w:uiPriority w:val="99"/>
    <w:qFormat/>
    <w:rsid w:val="007714BE"/>
    <w:pPr>
      <w:ind w:left="720"/>
      <w:contextualSpacing/>
    </w:pPr>
  </w:style>
  <w:style w:type="paragraph" w:styleId="BalloonText">
    <w:name w:val="Balloon Text"/>
    <w:basedOn w:val="Normal"/>
    <w:link w:val="BalloonTextChar"/>
    <w:uiPriority w:val="99"/>
    <w:semiHidden/>
    <w:rsid w:val="00D508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841"/>
    <w:rPr>
      <w:rFonts w:ascii="Tahoma" w:hAnsi="Tahoma" w:cs="Tahoma"/>
      <w:sz w:val="16"/>
      <w:szCs w:val="16"/>
      <w:lang w:val="lv-LV" w:eastAsia="lv-LV"/>
    </w:rPr>
  </w:style>
  <w:style w:type="character" w:customStyle="1" w:styleId="NormalWebChar">
    <w:name w:val="Normal (Web) Char"/>
    <w:link w:val="NormalWeb"/>
    <w:uiPriority w:val="99"/>
    <w:locked/>
    <w:rsid w:val="00885371"/>
    <w:rPr>
      <w:rFonts w:ascii="Times New Roman" w:hAnsi="Times New Roman"/>
      <w:sz w:val="24"/>
      <w:lang w:val="lv-LV" w:eastAsia="lv-LV"/>
    </w:rPr>
  </w:style>
  <w:style w:type="paragraph" w:styleId="Revision">
    <w:name w:val="Revision"/>
    <w:hidden/>
    <w:uiPriority w:val="99"/>
    <w:semiHidden/>
    <w:rsid w:val="0093520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3440">
      <w:marLeft w:val="35"/>
      <w:marRight w:val="35"/>
      <w:marTop w:val="69"/>
      <w:marBottom w:val="69"/>
      <w:divBdr>
        <w:top w:val="none" w:sz="0" w:space="0" w:color="auto"/>
        <w:left w:val="none" w:sz="0" w:space="0" w:color="auto"/>
        <w:bottom w:val="none" w:sz="0" w:space="0" w:color="auto"/>
        <w:right w:val="none" w:sz="0" w:space="0" w:color="auto"/>
      </w:divBdr>
      <w:divsChild>
        <w:div w:id="2099673442">
          <w:marLeft w:val="0"/>
          <w:marRight w:val="0"/>
          <w:marTop w:val="0"/>
          <w:marBottom w:val="567"/>
          <w:divBdr>
            <w:top w:val="none" w:sz="0" w:space="0" w:color="auto"/>
            <w:left w:val="none" w:sz="0" w:space="0" w:color="auto"/>
            <w:bottom w:val="none" w:sz="0" w:space="0" w:color="auto"/>
            <w:right w:val="none" w:sz="0" w:space="0" w:color="auto"/>
          </w:divBdr>
        </w:div>
      </w:divsChild>
    </w:div>
    <w:div w:id="2099673441">
      <w:marLeft w:val="45"/>
      <w:marRight w:val="45"/>
      <w:marTop w:val="90"/>
      <w:marBottom w:val="90"/>
      <w:divBdr>
        <w:top w:val="none" w:sz="0" w:space="0" w:color="auto"/>
        <w:left w:val="none" w:sz="0" w:space="0" w:color="auto"/>
        <w:bottom w:val="none" w:sz="0" w:space="0" w:color="auto"/>
        <w:right w:val="none" w:sz="0" w:space="0" w:color="auto"/>
      </w:divBdr>
      <w:divsChild>
        <w:div w:id="2099673443">
          <w:marLeft w:val="0"/>
          <w:marRight w:val="0"/>
          <w:marTop w:val="240"/>
          <w:marBottom w:val="0"/>
          <w:divBdr>
            <w:top w:val="none" w:sz="0" w:space="0" w:color="auto"/>
            <w:left w:val="none" w:sz="0" w:space="0" w:color="auto"/>
            <w:bottom w:val="none" w:sz="0" w:space="0" w:color="auto"/>
            <w:right w:val="none" w:sz="0" w:space="0" w:color="auto"/>
          </w:divBdr>
        </w:div>
      </w:divsChild>
    </w:div>
    <w:div w:id="2099673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dite.veser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ozola@vid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Par dzelzs un mangāna konkrēciju izpētes un ieguves licences laukumiem Latvijas Republikas teritoriālajā jūrā un konkursu licences saņemšanai</vt:lpstr>
    </vt:vector>
  </TitlesOfParts>
  <Company>VARAM</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dzelzs un mangāna konkrēciju izpētes un ieguves licences laukumiem Latvijas Republikas teritoriālajā jūrā un konkursu licences saņemšanai</dc:title>
  <dc:subject>Anotācija</dc:subject>
  <dc:creator>Dace Ozola</dc:creator>
  <cp:keywords/>
  <dc:description>dace.ozola@vidm.gov.lv 67026518</dc:description>
  <cp:lastModifiedBy>Dace Ozola</cp:lastModifiedBy>
  <cp:revision>13</cp:revision>
  <cp:lastPrinted>2012-01-24T07:44:00Z</cp:lastPrinted>
  <dcterms:created xsi:type="dcterms:W3CDTF">2012-01-23T12:57:00Z</dcterms:created>
  <dcterms:modified xsi:type="dcterms:W3CDTF">2012-03-22T15:44:00Z</dcterms:modified>
</cp:coreProperties>
</file>