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94" w:rsidRPr="00757F71" w:rsidRDefault="00E34A94" w:rsidP="00E34A94">
      <w:pPr>
        <w:pStyle w:val="naislab"/>
        <w:spacing w:before="0" w:after="0"/>
        <w:jc w:val="center"/>
        <w:outlineLvl w:val="0"/>
        <w:rPr>
          <w:b/>
        </w:rPr>
      </w:pPr>
      <w:r w:rsidRPr="00757F71">
        <w:rPr>
          <w:b/>
          <w:bCs/>
        </w:rPr>
        <w:t>Ministru kabineta noteikumu projekt</w:t>
      </w:r>
      <w:r w:rsidR="003F3227">
        <w:rPr>
          <w:b/>
          <w:bCs/>
        </w:rPr>
        <w:t xml:space="preserve">a „Grozījumi Ministru kabineta </w:t>
      </w:r>
      <w:r w:rsidRPr="00757F71">
        <w:rPr>
          <w:b/>
          <w:bCs/>
        </w:rPr>
        <w:t>2010.gada 10.augusta noteikumos Nr.766 „No</w:t>
      </w:r>
      <w:r w:rsidR="00FC4F5A">
        <w:rPr>
          <w:b/>
          <w:bCs/>
        </w:rPr>
        <w:t>teikumi par darbības programmas</w:t>
      </w:r>
      <w:r w:rsidRPr="00757F71">
        <w:rPr>
          <w:b/>
          <w:bCs/>
        </w:rPr>
        <w:t xml:space="preserve"> „Infrastruktūra un pakalpojumi” papildinājuma 3.2.2.1.1. apakšaktivitātes „Informācijas sistēmu un elektronisko pakalpojumu attīstība” projekta iesniegumu atlases otru </w:t>
      </w:r>
      <w:r w:rsidR="00FC4F5A">
        <w:rPr>
          <w:b/>
          <w:bCs/>
        </w:rPr>
        <w:t xml:space="preserve">un trešo </w:t>
      </w:r>
      <w:r w:rsidRPr="00757F71">
        <w:rPr>
          <w:b/>
          <w:bCs/>
        </w:rPr>
        <w:t xml:space="preserve">kārtu” </w:t>
      </w:r>
      <w:r w:rsidRPr="00757F71">
        <w:rPr>
          <w:b/>
        </w:rPr>
        <w:t xml:space="preserve">sākotnējās ietekmes novērtējuma </w:t>
      </w:r>
      <w:smartTag w:uri="schemas-tilde-lv/tildestengine" w:element="veidnes">
        <w:smartTagPr>
          <w:attr w:name="id" w:val="-1"/>
          <w:attr w:name="baseform" w:val="ziņojums"/>
          <w:attr w:name="text" w:val="ziņojums"/>
        </w:smartTagPr>
        <w:r w:rsidRPr="00757F71">
          <w:rPr>
            <w:b/>
          </w:rPr>
          <w:t>ziņojums</w:t>
        </w:r>
      </w:smartTag>
      <w:r w:rsidRPr="00757F71">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133"/>
        <w:gridCol w:w="5042"/>
      </w:tblGrid>
      <w:tr w:rsidR="00E34A94" w:rsidRPr="00757F71" w:rsidTr="00E60FD1">
        <w:tc>
          <w:tcPr>
            <w:tcW w:w="9725" w:type="dxa"/>
            <w:gridSpan w:val="3"/>
            <w:vAlign w:val="center"/>
          </w:tcPr>
          <w:p w:rsidR="00E34A94" w:rsidRPr="00757F71" w:rsidRDefault="00E34A94" w:rsidP="00E60FD1">
            <w:pPr>
              <w:pStyle w:val="naisnod"/>
              <w:spacing w:before="0" w:after="0"/>
            </w:pPr>
            <w:r w:rsidRPr="00757F71">
              <w:t>I. Tiesību akta projekta izstrādes nepieciešamība</w:t>
            </w:r>
          </w:p>
        </w:tc>
      </w:tr>
      <w:tr w:rsidR="00E34A94" w:rsidRPr="00757F71" w:rsidTr="00E60FD1">
        <w:trPr>
          <w:trHeight w:val="630"/>
        </w:trPr>
        <w:tc>
          <w:tcPr>
            <w:tcW w:w="550" w:type="dxa"/>
          </w:tcPr>
          <w:p w:rsidR="00E34A94" w:rsidRPr="00757F71" w:rsidRDefault="00E34A94" w:rsidP="00E60FD1">
            <w:pPr>
              <w:pStyle w:val="naiskr"/>
              <w:spacing w:before="0" w:after="0"/>
            </w:pPr>
            <w:r w:rsidRPr="00757F71">
              <w:t>1.</w:t>
            </w:r>
          </w:p>
        </w:tc>
        <w:tc>
          <w:tcPr>
            <w:tcW w:w="4133" w:type="dxa"/>
          </w:tcPr>
          <w:p w:rsidR="00E34A94" w:rsidRPr="00757F71" w:rsidRDefault="00E34A94" w:rsidP="00E60FD1">
            <w:pPr>
              <w:pStyle w:val="naiskr"/>
              <w:spacing w:before="0" w:after="0"/>
              <w:ind w:hanging="10"/>
            </w:pPr>
            <w:r w:rsidRPr="00757F71">
              <w:t>Pamatojums</w:t>
            </w:r>
          </w:p>
        </w:tc>
        <w:tc>
          <w:tcPr>
            <w:tcW w:w="5042" w:type="dxa"/>
          </w:tcPr>
          <w:p w:rsidR="003F3227" w:rsidRDefault="000B2986" w:rsidP="00311A16">
            <w:pPr>
              <w:jc w:val="both"/>
            </w:pPr>
            <w:r w:rsidRPr="000B2986">
              <w:t>Ministru kabineta 2012.gada 16.oktobra protokollēmuma (Nr.</w:t>
            </w:r>
            <w:r w:rsidR="00AB0D68">
              <w:t>58 </w:t>
            </w:r>
            <w:r w:rsidRPr="000B2986">
              <w:t>29.§) „Par Ministru kabineta 2012.gada 2.oktobra sēdes pro</w:t>
            </w:r>
            <w:r w:rsidR="00C82F17">
              <w:t>tokollēmuma (prot. Nr.54 37.§) „Noteikumu projekts „</w:t>
            </w:r>
            <w:r w:rsidRPr="000B2986">
              <w:t>Grozījumi Ministru kabineta 2010.gada 26.</w:t>
            </w:r>
            <w:r w:rsidR="00C82F17">
              <w:t>janvāra noteikumos Nr.91 „</w:t>
            </w:r>
            <w:r w:rsidRPr="000B2986">
              <w:t>Not</w:t>
            </w:r>
            <w:r w:rsidR="00C82F17">
              <w:t>eikumi par darbības programmas „Infrastruktūra un pakalpojumi”</w:t>
            </w:r>
            <w:r w:rsidRPr="000B2986">
              <w:t xml:space="preserve"> papildinājuma 3.6.1.1.</w:t>
            </w:r>
            <w:r w:rsidR="00C82F17">
              <w:t xml:space="preserve"> </w:t>
            </w:r>
            <w:r w:rsidR="00AB0D68">
              <w:t>aktivitāti „</w:t>
            </w:r>
            <w:r w:rsidRPr="000B2986">
              <w:t>Nacionālas un reģionālas nozīmes attīstības centru izaugsmes veicināšana l</w:t>
            </w:r>
            <w:r w:rsidR="00AB0D68">
              <w:t>īdzsvarotai valsts attīstībai””</w:t>
            </w:r>
            <w:r w:rsidRPr="000B2986">
              <w:t xml:space="preserve">” 5.punktā dotā uzdevuma izpildi” (turpmāk - Ministru kabineta 2012.gada 16.oktobra </w:t>
            </w:r>
            <w:proofErr w:type="spellStart"/>
            <w:r w:rsidRPr="000B2986">
              <w:t>protokollēmums</w:t>
            </w:r>
            <w:proofErr w:type="spellEnd"/>
            <w:r w:rsidRPr="000B2986">
              <w:t>) 4.1.</w:t>
            </w:r>
            <w:r w:rsidR="000D0897">
              <w:t>3. un 4.1.4.</w:t>
            </w:r>
            <w:r>
              <w:t>apakšpunkts</w:t>
            </w:r>
            <w:r w:rsidRPr="000B2986">
              <w:t xml:space="preserve"> un </w:t>
            </w:r>
            <w:r w:rsidR="00311A16">
              <w:t>7</w:t>
            </w:r>
            <w:r w:rsidRPr="000B2986">
              <w:t xml:space="preserve">. </w:t>
            </w:r>
            <w:r w:rsidR="00311A16" w:rsidRPr="000B2986">
              <w:t>punk</w:t>
            </w:r>
            <w:r w:rsidR="00311A16">
              <w:t>ts</w:t>
            </w:r>
            <w:r w:rsidRPr="000B2986">
              <w:t>.</w:t>
            </w:r>
          </w:p>
          <w:p w:rsidR="00311A16" w:rsidRPr="000B2986" w:rsidRDefault="00311A16" w:rsidP="00311A16">
            <w:pPr>
              <w:jc w:val="both"/>
            </w:pPr>
            <w:r>
              <w:t xml:space="preserve">Ministru kabineta </w:t>
            </w:r>
            <w:r w:rsidRPr="00311A16">
              <w:t xml:space="preserve">2013.gada 22.janvāra </w:t>
            </w:r>
            <w:r>
              <w:t>protokollēmuma</w:t>
            </w:r>
            <w:r w:rsidRPr="00311A16">
              <w:t xml:space="preserve"> (Nr.5, 29.§)</w:t>
            </w:r>
            <w:r>
              <w:t xml:space="preserve"> „Koncepcijas projekts "Par Darbības programmas "Infrastruktūra un pakalpojumi" papildinājuma 3.2.2.pasākuma "IKT infrastruktūra un pakalpojumi" 3.2.2.1.aktivitātes "Publiskās pārvaldes elektronisko pakalpojumu un informācijas sistēmu attīstība" 3.2.2.1.1.apakšaktivitātes "Informācijas sistēmu un elektronisko pakalpojumu attīstība" projekta "Iekšlietu ministrijas radiosakaru sistēmas modernizācija" radiosakaru sistēmas darbības koncepcijas aprakstu"”</w:t>
            </w:r>
            <w:r w:rsidRPr="00311A16">
              <w:t xml:space="preserve"> </w:t>
            </w:r>
            <w:r>
              <w:t>(turpmāk – Ministru kabineta 2013.gada 22.janvāra protokollēmums)</w:t>
            </w:r>
            <w:r w:rsidRPr="00311A16">
              <w:t xml:space="preserve"> 3.punkt</w:t>
            </w:r>
            <w:r>
              <w:t>s.</w:t>
            </w:r>
          </w:p>
        </w:tc>
      </w:tr>
      <w:tr w:rsidR="00E34A94" w:rsidRPr="00757F71" w:rsidTr="00E60FD1">
        <w:trPr>
          <w:trHeight w:val="472"/>
        </w:trPr>
        <w:tc>
          <w:tcPr>
            <w:tcW w:w="550" w:type="dxa"/>
          </w:tcPr>
          <w:p w:rsidR="00E34A94" w:rsidRPr="00757F71" w:rsidRDefault="00E34A94" w:rsidP="00E60FD1">
            <w:pPr>
              <w:pStyle w:val="naiskr"/>
              <w:spacing w:before="0" w:after="0"/>
            </w:pPr>
            <w:r w:rsidRPr="00757F71">
              <w:t>2.</w:t>
            </w:r>
          </w:p>
        </w:tc>
        <w:tc>
          <w:tcPr>
            <w:tcW w:w="4133" w:type="dxa"/>
          </w:tcPr>
          <w:p w:rsidR="00E34A94" w:rsidRPr="00757F71" w:rsidRDefault="00E34A94" w:rsidP="00E60FD1">
            <w:pPr>
              <w:pStyle w:val="naiskr"/>
              <w:tabs>
                <w:tab w:val="left" w:pos="170"/>
              </w:tabs>
              <w:spacing w:before="0" w:after="0"/>
            </w:pPr>
            <w:r w:rsidRPr="00757F71">
              <w:t>Pašreizējā situācija un problēmas</w:t>
            </w:r>
          </w:p>
        </w:tc>
        <w:tc>
          <w:tcPr>
            <w:tcW w:w="5042" w:type="dxa"/>
          </w:tcPr>
          <w:p w:rsidR="00E45EFE" w:rsidRDefault="00AB0D68" w:rsidP="00AB0D68">
            <w:pPr>
              <w:jc w:val="both"/>
            </w:pPr>
            <w:r w:rsidRPr="00536155">
              <w:t>Ministru kabineta 2012</w:t>
            </w:r>
            <w:r w:rsidR="00536155" w:rsidRPr="00536155">
              <w:t>.</w:t>
            </w:r>
            <w:r w:rsidR="00536155">
              <w:t> </w:t>
            </w:r>
            <w:r w:rsidR="00536155" w:rsidRPr="00536155">
              <w:t>gada 16.</w:t>
            </w:r>
            <w:r w:rsidR="00536155">
              <w:t> </w:t>
            </w:r>
            <w:r w:rsidR="00536155" w:rsidRPr="00536155">
              <w:t>oktobra protokollēmums</w:t>
            </w:r>
            <w:r w:rsidRPr="00536155">
              <w:t xml:space="preserve"> </w:t>
            </w:r>
            <w:r w:rsidR="00536155" w:rsidRPr="00536155">
              <w:t xml:space="preserve">paredz </w:t>
            </w:r>
            <w:r w:rsidRPr="00536155">
              <w:t>atlikt 3.2.2.1.1.</w:t>
            </w:r>
            <w:r w:rsidR="00536155" w:rsidRPr="00536155">
              <w:t> </w:t>
            </w:r>
            <w:r w:rsidRPr="00536155">
              <w:t>a</w:t>
            </w:r>
            <w:r w:rsidR="00536155">
              <w:t>pakšaktivitātes ietvaros plānoto</w:t>
            </w:r>
            <w:r w:rsidRPr="00536155">
              <w:t xml:space="preserve"> Valsts reģionāl</w:t>
            </w:r>
            <w:r w:rsidR="00536155" w:rsidRPr="00536155">
              <w:t>ās attīstības aģentūras p</w:t>
            </w:r>
            <w:r w:rsidR="00536155">
              <w:t>rojekta</w:t>
            </w:r>
            <w:r w:rsidRPr="00536155">
              <w:t xml:space="preserve"> „Fizisko un juridisko personu un publisko pārvaldes iestāžu datu apmaiņa ar Eiropas Savienības dalībvalstu informācijas reģistru tīklu (single Accesspoint)” īstenošanu par Eiropas Reģionālās attīstības fonda finansējumu (turpmāk</w:t>
            </w:r>
            <w:r w:rsidR="00536155" w:rsidRPr="00536155">
              <w:t xml:space="preserve"> – ERAF) 1 260 000 latu apmērā un</w:t>
            </w:r>
            <w:r w:rsidR="00536155">
              <w:t xml:space="preserve"> projekta</w:t>
            </w:r>
            <w:r w:rsidRPr="00536155">
              <w:t xml:space="preserve"> „Vienotas darbavietas izveidošanas fiziskām un juridiskām personām saziņai ar valsts pārvaldes un pašvaldību iestādēm” īstenošanu par ERAF fin</w:t>
            </w:r>
            <w:r w:rsidR="00536155">
              <w:t xml:space="preserve">ansējumu 2 970 000 latu apmērā. Tas arī paredz piešķirt </w:t>
            </w:r>
            <w:r w:rsidRPr="00536155">
              <w:t xml:space="preserve">radiosakaru sistēmas attīstības nodrošināšanai virssaistību finansējumu </w:t>
            </w:r>
            <w:r w:rsidRPr="00536155">
              <w:lastRenderedPageBreak/>
              <w:t>ne vairāk kā 6 643 627 latu apmērā un ERAF finansējumu ne vairāk kā 4 230 000 latu apmērā, nosakot Iekšlietu ministriju par projekta īstenošan</w:t>
            </w:r>
            <w:r w:rsidR="00536155">
              <w:t xml:space="preserve">u atbildīgo institūciju, kā arī piešķirt </w:t>
            </w:r>
            <w:r w:rsidRPr="00536155">
              <w:t xml:space="preserve">virssaistību finansējumu </w:t>
            </w:r>
            <w:r w:rsidR="00E60FD1">
              <w:t>P</w:t>
            </w:r>
            <w:r w:rsidR="00E60FD1" w:rsidRPr="00536155">
              <w:t xml:space="preserve">rokuratūras </w:t>
            </w:r>
            <w:r w:rsidRPr="00536155">
              <w:t>informācijas sistēmas projektu tiesu sistēmas attīstībai ne vairāk kā 1 780 250 latu apmērā, vienlaikus nosakot Latvijas Republikas Prokuratūru par projekta ī</w:t>
            </w:r>
            <w:r w:rsidR="00536155">
              <w:t>stenošanu atbildīgo institūciju.</w:t>
            </w:r>
            <w:r w:rsidR="00E45EFE">
              <w:t xml:space="preserve"> </w:t>
            </w:r>
          </w:p>
          <w:p w:rsidR="00AB20FD" w:rsidRPr="001062CD" w:rsidRDefault="00311A16" w:rsidP="00D94228">
            <w:pPr>
              <w:tabs>
                <w:tab w:val="left" w:pos="6663"/>
              </w:tabs>
              <w:jc w:val="both"/>
              <w:rPr>
                <w:rFonts w:eastAsia="Calibri"/>
              </w:rPr>
            </w:pPr>
            <w:r>
              <w:t xml:space="preserve">Savukārt Ministru kabineta 2013.gada 22.janvāra protokollēmuma </w:t>
            </w:r>
            <w:r w:rsidR="00AB20FD">
              <w:t xml:space="preserve">3.punkts nosaka, ka </w:t>
            </w:r>
            <w:r>
              <w:t xml:space="preserve">Iekšlietu ministrijai </w:t>
            </w:r>
            <w:r w:rsidR="00AB20FD">
              <w:t xml:space="preserve">radiosakaru sistēmas attīstības </w:t>
            </w:r>
            <w:r>
              <w:t>projektā paredzēto pasākumu īstenošanai nepieciešamo finansējumu ne vairāk kā 528 398 latu apmērā (tajā skaitā: rāciju iegādei Finanšu ministrijai ne vairāk kā 42 700 latu apmērā, Veselības ministrijai ne vairāk kā 429 458 latu apmērā un Satversmes aizsardzības birojam ne vairāk kā 51 240 latu apmērā, projekta komandas darbības nodrošināšanai Iekšlietu ministrijai ne vairāk kā 5 000 latu apmērā) izskatīt kopā ar visu ministriju jaunās politikas iniciatīvām likumprojekta „Par valsts budžetu 2014.gadam” sagatavošanas procesā vai pārskatot uzņemtās virssaistības.</w:t>
            </w:r>
            <w:r w:rsidR="00AB20FD">
              <w:t xml:space="preserve"> Ņemot vērā, ka 3.2.2.1.1.apakšaktivitātes </w:t>
            </w:r>
            <w:r w:rsidR="00AB20FD" w:rsidRPr="008012B6">
              <w:rPr>
                <w:rFonts w:eastAsia="Calibri"/>
              </w:rPr>
              <w:t xml:space="preserve">ietvaros ir pieejams virssaistību finansējums 1 059 776 </w:t>
            </w:r>
            <w:r w:rsidR="00D94228">
              <w:rPr>
                <w:rFonts w:eastAsia="Calibri"/>
              </w:rPr>
              <w:t>latu</w:t>
            </w:r>
            <w:r w:rsidR="00AB20FD" w:rsidRPr="008012B6">
              <w:rPr>
                <w:rFonts w:eastAsia="Calibri"/>
              </w:rPr>
              <w:t xml:space="preserve"> apjomā, kas nav šobrīd piesaistīts konkrēt</w:t>
            </w:r>
            <w:r w:rsidR="00AB20FD">
              <w:rPr>
                <w:rFonts w:eastAsia="Calibri"/>
              </w:rPr>
              <w:t>u</w:t>
            </w:r>
            <w:r w:rsidR="00AB20FD" w:rsidRPr="008012B6">
              <w:rPr>
                <w:rFonts w:eastAsia="Calibri"/>
              </w:rPr>
              <w:t xml:space="preserve"> projekt</w:t>
            </w:r>
            <w:r w:rsidR="00AB20FD">
              <w:rPr>
                <w:rFonts w:eastAsia="Calibri"/>
              </w:rPr>
              <w:t xml:space="preserve">u finansēšanai, </w:t>
            </w:r>
            <w:r w:rsidR="00E207B3">
              <w:rPr>
                <w:rFonts w:eastAsia="Calibri"/>
              </w:rPr>
              <w:t xml:space="preserve">papildu </w:t>
            </w:r>
            <w:r w:rsidR="00AB20FD">
              <w:rPr>
                <w:rFonts w:eastAsia="Calibri"/>
              </w:rPr>
              <w:t>virssaistību apjom</w:t>
            </w:r>
            <w:r w:rsidR="00E207B3">
              <w:rPr>
                <w:rFonts w:eastAsia="Calibri"/>
              </w:rPr>
              <w:t>s</w:t>
            </w:r>
            <w:r w:rsidR="00AB20FD">
              <w:rPr>
                <w:rFonts w:eastAsia="Calibri"/>
              </w:rPr>
              <w:t xml:space="preserve"> </w:t>
            </w:r>
            <w:r w:rsidR="00AB20FD" w:rsidRPr="00144E6A">
              <w:rPr>
                <w:rFonts w:eastAsia="Calibri"/>
              </w:rPr>
              <w:t xml:space="preserve">523 398 </w:t>
            </w:r>
            <w:r w:rsidR="00D94228">
              <w:rPr>
                <w:rFonts w:eastAsia="Calibri"/>
              </w:rPr>
              <w:t>latu</w:t>
            </w:r>
            <w:r w:rsidR="00AB20FD">
              <w:rPr>
                <w:rFonts w:eastAsia="Calibri"/>
              </w:rPr>
              <w:t xml:space="preserve"> </w:t>
            </w:r>
            <w:r w:rsidR="00AB20FD" w:rsidRPr="00144E6A">
              <w:rPr>
                <w:rFonts w:eastAsia="Calibri"/>
              </w:rPr>
              <w:t>apmērā</w:t>
            </w:r>
            <w:r w:rsidR="00AB20FD">
              <w:rPr>
                <w:rFonts w:eastAsia="Calibri"/>
              </w:rPr>
              <w:t xml:space="preserve"> </w:t>
            </w:r>
            <w:r w:rsidR="00E207B3">
              <w:rPr>
                <w:rFonts w:eastAsia="Calibri"/>
              </w:rPr>
              <w:t>tiek novirzīts projektam „</w:t>
            </w:r>
            <w:r w:rsidR="00E207B3">
              <w:t>Radiosakaru sistēmas attīstības nodrošināšana”</w:t>
            </w:r>
            <w:r w:rsidR="00E207B3">
              <w:rPr>
                <w:rFonts w:eastAsia="Calibri"/>
              </w:rPr>
              <w:t xml:space="preserve"> </w:t>
            </w:r>
            <w:r w:rsidR="00AB20FD" w:rsidRPr="0057028E">
              <w:rPr>
                <w:rFonts w:eastAsia="Calibri"/>
              </w:rPr>
              <w:t xml:space="preserve">radiostaciju iegādei </w:t>
            </w:r>
            <w:r w:rsidR="00E207B3">
              <w:t xml:space="preserve">Finanšu ministrijas, Veselības ministrijas un Satversmes aizsardzības biroja </w:t>
            </w:r>
            <w:r w:rsidR="00AB20FD" w:rsidRPr="0057028E">
              <w:rPr>
                <w:rFonts w:eastAsia="Calibri"/>
              </w:rPr>
              <w:t>vajadzīb</w:t>
            </w:r>
            <w:r w:rsidR="00E207B3">
              <w:rPr>
                <w:rFonts w:eastAsia="Calibri"/>
              </w:rPr>
              <w:t>u nodrošināšanai</w:t>
            </w:r>
            <w:r w:rsidR="00AB20FD" w:rsidRPr="0057028E">
              <w:rPr>
                <w:rFonts w:eastAsia="Calibri"/>
              </w:rPr>
              <w:t>, attiecīgi finansējumu 5 000 latu apmērā projekta komandas darbības nodrošināšanai finansējot Iekšlietu ministrijas budžeta ietvaros</w:t>
            </w:r>
            <w:r w:rsidR="00E207B3">
              <w:rPr>
                <w:rFonts w:eastAsia="Calibri"/>
              </w:rPr>
              <w:t xml:space="preserve">, ņemot vērā, ka </w:t>
            </w:r>
            <w:r w:rsidR="00D94228">
              <w:rPr>
                <w:rFonts w:eastAsia="Calibri"/>
              </w:rPr>
              <w:t>projekta vadības izmaksas</w:t>
            </w:r>
            <w:r w:rsidR="00E207B3">
              <w:rPr>
                <w:rFonts w:eastAsia="Calibri"/>
              </w:rPr>
              <w:t xml:space="preserve"> nav attiecināmās izmaksas 3.2.2.1.1.apakšaktivitātes </w:t>
            </w:r>
            <w:r w:rsidR="00E207B3" w:rsidRPr="001062CD">
              <w:rPr>
                <w:rFonts w:eastAsia="Calibri"/>
              </w:rPr>
              <w:t>ietvaros</w:t>
            </w:r>
            <w:r w:rsidR="00AB20FD" w:rsidRPr="001062CD">
              <w:rPr>
                <w:rFonts w:eastAsia="Calibri"/>
              </w:rPr>
              <w:t>.</w:t>
            </w:r>
          </w:p>
          <w:p w:rsidR="009E2BD1" w:rsidRPr="001062CD" w:rsidRDefault="009E2BD1" w:rsidP="009E2BD1">
            <w:pPr>
              <w:tabs>
                <w:tab w:val="left" w:pos="6663"/>
              </w:tabs>
              <w:jc w:val="both"/>
            </w:pPr>
            <w:r w:rsidRPr="001062CD">
              <w:rPr>
                <w:rFonts w:eastAsia="Calibri"/>
              </w:rPr>
              <w:t xml:space="preserve">Ja </w:t>
            </w:r>
            <w:r w:rsidRPr="001062CD">
              <w:t xml:space="preserve">radiosakaru sistēmas attīstības projektam </w:t>
            </w:r>
            <w:r w:rsidRPr="001062CD">
              <w:rPr>
                <w:rFonts w:eastAsia="Calibri"/>
              </w:rPr>
              <w:t xml:space="preserve">netiek </w:t>
            </w:r>
            <w:r w:rsidRPr="001062CD">
              <w:t xml:space="preserve">piešķirts papildu nepieciešamais finansējums </w:t>
            </w:r>
            <w:r w:rsidRPr="001062CD">
              <w:rPr>
                <w:rFonts w:eastAsia="Calibri"/>
              </w:rPr>
              <w:t xml:space="preserve">radiostaciju iegādei </w:t>
            </w:r>
            <w:r w:rsidRPr="001062CD">
              <w:t>Neatliekamās medicīniskās palīdzības dienesta</w:t>
            </w:r>
            <w:r w:rsidR="00920872" w:rsidRPr="001062CD">
              <w:t xml:space="preserve"> (Veselības ministrija)</w:t>
            </w:r>
            <w:r w:rsidRPr="001062CD">
              <w:t xml:space="preserve">, </w:t>
            </w:r>
            <w:r w:rsidRPr="001062CD">
              <w:rPr>
                <w:color w:val="000000"/>
                <w:lang w:eastAsia="en-US"/>
              </w:rPr>
              <w:t xml:space="preserve">Valsts </w:t>
            </w:r>
            <w:r w:rsidRPr="001062CD">
              <w:t>ieņēmumu</w:t>
            </w:r>
            <w:r w:rsidRPr="001062CD">
              <w:rPr>
                <w:color w:val="000000"/>
                <w:lang w:eastAsia="en-US"/>
              </w:rPr>
              <w:t xml:space="preserve"> dienesta </w:t>
            </w:r>
            <w:r w:rsidRPr="001062CD">
              <w:rPr>
                <w:rStyle w:val="sadalasnosaukums"/>
              </w:rPr>
              <w:t>Muitas kriminālpārvaldes</w:t>
            </w:r>
            <w:r w:rsidR="00920872" w:rsidRPr="001062CD">
              <w:rPr>
                <w:rStyle w:val="sadalasnosaukums"/>
              </w:rPr>
              <w:t xml:space="preserve"> (Finanšu ministrija)</w:t>
            </w:r>
            <w:r w:rsidRPr="001062CD">
              <w:rPr>
                <w:rStyle w:val="sadalasnosaukums"/>
              </w:rPr>
              <w:t xml:space="preserve"> </w:t>
            </w:r>
            <w:r w:rsidRPr="001062CD">
              <w:t>un Satversmes aizsardzības biroja vajadzību nodrošināšanai, pastāv šādi riski:</w:t>
            </w:r>
          </w:p>
          <w:p w:rsidR="009E2BD1" w:rsidRPr="001062CD" w:rsidRDefault="009E2BD1" w:rsidP="009E2BD1">
            <w:pPr>
              <w:pStyle w:val="ListParagraph"/>
              <w:numPr>
                <w:ilvl w:val="0"/>
                <w:numId w:val="4"/>
              </w:numPr>
              <w:tabs>
                <w:tab w:val="left" w:pos="6663"/>
              </w:tabs>
              <w:ind w:left="567" w:hanging="283"/>
              <w:jc w:val="both"/>
              <w:rPr>
                <w:rFonts w:eastAsia="Calibri"/>
              </w:rPr>
            </w:pPr>
            <w:r w:rsidRPr="001062CD">
              <w:t xml:space="preserve">darbības traucējumi būtiski ietekmētu valsts funkciju īstenošanu (savlaicīga iestāžu reaģēšana ārkārtas situācijās), </w:t>
            </w:r>
          </w:p>
          <w:p w:rsidR="009E2BD1" w:rsidRPr="001062CD" w:rsidRDefault="009E2BD1" w:rsidP="009E2BD1">
            <w:pPr>
              <w:pStyle w:val="ListParagraph"/>
              <w:numPr>
                <w:ilvl w:val="0"/>
                <w:numId w:val="4"/>
              </w:numPr>
              <w:tabs>
                <w:tab w:val="left" w:pos="6663"/>
              </w:tabs>
              <w:ind w:left="567" w:hanging="283"/>
              <w:jc w:val="both"/>
              <w:rPr>
                <w:rFonts w:eastAsia="Calibri"/>
              </w:rPr>
            </w:pPr>
            <w:r w:rsidRPr="001062CD">
              <w:t>cilvēku veselības aizsardzība (</w:t>
            </w:r>
            <w:r w:rsidR="00920872" w:rsidRPr="001062CD">
              <w:t xml:space="preserve">Neatliekamās </w:t>
            </w:r>
            <w:r w:rsidR="00920872" w:rsidRPr="001062CD">
              <w:lastRenderedPageBreak/>
              <w:t>medicīniskās palīdzības dienests</w:t>
            </w:r>
            <w:r w:rsidRPr="001062CD">
              <w:t xml:space="preserve"> nespēs savlaicīgi sniegt iedzīvotājiem neatliekamo medicīnisko palīdzību),</w:t>
            </w:r>
          </w:p>
          <w:p w:rsidR="009E2BD1" w:rsidRPr="001062CD" w:rsidRDefault="009E2BD1" w:rsidP="009E2BD1">
            <w:pPr>
              <w:pStyle w:val="ListParagraph"/>
              <w:numPr>
                <w:ilvl w:val="0"/>
                <w:numId w:val="4"/>
              </w:numPr>
              <w:tabs>
                <w:tab w:val="left" w:pos="6663"/>
              </w:tabs>
              <w:ind w:left="567" w:hanging="283"/>
              <w:jc w:val="both"/>
              <w:rPr>
                <w:rFonts w:eastAsia="Calibri"/>
              </w:rPr>
            </w:pPr>
            <w:r w:rsidRPr="001062CD">
              <w:t xml:space="preserve">drošība (tiks ierobežota </w:t>
            </w:r>
            <w:r w:rsidR="00920872" w:rsidRPr="001062CD">
              <w:t>Satversmes aizsardzības biroja</w:t>
            </w:r>
            <w:r w:rsidRPr="001062CD">
              <w:t xml:space="preserve"> operatīvā darbība),</w:t>
            </w:r>
          </w:p>
          <w:p w:rsidR="009E2BD1" w:rsidRPr="001062CD" w:rsidRDefault="009E2BD1" w:rsidP="009E2BD1">
            <w:pPr>
              <w:pStyle w:val="ListParagraph"/>
              <w:numPr>
                <w:ilvl w:val="0"/>
                <w:numId w:val="4"/>
              </w:numPr>
              <w:tabs>
                <w:tab w:val="left" w:pos="6663"/>
              </w:tabs>
              <w:ind w:left="567" w:hanging="283"/>
              <w:jc w:val="both"/>
              <w:rPr>
                <w:rFonts w:eastAsia="Calibri"/>
              </w:rPr>
            </w:pPr>
            <w:r w:rsidRPr="001062CD">
              <w:t>ekonomiskās vai sociālās labklājības nodrošināšana (</w:t>
            </w:r>
            <w:r w:rsidR="00920872" w:rsidRPr="001062CD">
              <w:rPr>
                <w:color w:val="000000"/>
                <w:lang w:eastAsia="en-US"/>
              </w:rPr>
              <w:t xml:space="preserve">Valsts </w:t>
            </w:r>
            <w:r w:rsidR="00920872" w:rsidRPr="001062CD">
              <w:t>ieņēmumu</w:t>
            </w:r>
            <w:r w:rsidR="00920872" w:rsidRPr="001062CD">
              <w:rPr>
                <w:color w:val="000000"/>
                <w:lang w:eastAsia="en-US"/>
              </w:rPr>
              <w:t xml:space="preserve"> dienesta </w:t>
            </w:r>
            <w:r w:rsidR="00920872" w:rsidRPr="001062CD">
              <w:rPr>
                <w:rStyle w:val="sadalasnosaukums"/>
              </w:rPr>
              <w:t>Muitas kriminālpārvalde</w:t>
            </w:r>
            <w:r w:rsidR="00920872" w:rsidRPr="001062CD">
              <w:t xml:space="preserve"> </w:t>
            </w:r>
            <w:r w:rsidRPr="001062CD">
              <w:t>nespēs pilnvērtīgi veikt kontraban</w:t>
            </w:r>
            <w:r w:rsidR="00920872" w:rsidRPr="001062CD">
              <w:t>d</w:t>
            </w:r>
            <w:r w:rsidRPr="001062CD">
              <w:t>as apkarošanu).</w:t>
            </w:r>
          </w:p>
          <w:p w:rsidR="008C7ACD" w:rsidRPr="004A1C4C" w:rsidRDefault="00E45EFE" w:rsidP="005679B5">
            <w:pPr>
              <w:jc w:val="both"/>
            </w:pPr>
            <w:r w:rsidRPr="001062CD">
              <w:t xml:space="preserve">Ievērojot minēto, </w:t>
            </w:r>
            <w:r w:rsidR="00536155" w:rsidRPr="001062CD">
              <w:rPr>
                <w:bCs/>
              </w:rPr>
              <w:t xml:space="preserve">ir nepieciešams veikt </w:t>
            </w:r>
            <w:r w:rsidRPr="001062CD">
              <w:rPr>
                <w:bCs/>
              </w:rPr>
              <w:t>grozījumus Ministru kabineta 2010.gada 10.augusta noteikumos Nr.766 „Noteikumi par darbības programmas „Infrastruktūra un pakalpojumi” papildinājuma 3.2.2.1.1. apakšaktivitātes „Informācijas sistēmu un elektronisko pakalpojumu attīstība</w:t>
            </w:r>
            <w:r w:rsidRPr="00757F71">
              <w:rPr>
                <w:bCs/>
              </w:rPr>
              <w:t xml:space="preserve">” projekta iesniegumu atlases otru </w:t>
            </w:r>
            <w:r>
              <w:rPr>
                <w:bCs/>
              </w:rPr>
              <w:t xml:space="preserve">un trešo </w:t>
            </w:r>
            <w:r w:rsidRPr="00757F71">
              <w:rPr>
                <w:bCs/>
              </w:rPr>
              <w:t>kārtu” (turpmāk – Noteikumi Nr. 766)</w:t>
            </w:r>
            <w:r>
              <w:rPr>
                <w:bCs/>
              </w:rPr>
              <w:t xml:space="preserve">. Proti, Noteikumos Nr. 766 svītrot </w:t>
            </w:r>
            <w:r w:rsidRPr="00536155">
              <w:t>Valsts reģionālās attīstības aģentūras</w:t>
            </w:r>
            <w:r>
              <w:t xml:space="preserve"> projektus un papildināt tos ar Iekšlietu ministrijas un Latvijas Republikas Prokuratūras projektiem.</w:t>
            </w:r>
          </w:p>
        </w:tc>
      </w:tr>
      <w:tr w:rsidR="00E34A94" w:rsidRPr="00757F71" w:rsidTr="00E60FD1">
        <w:trPr>
          <w:trHeight w:val="1071"/>
        </w:trPr>
        <w:tc>
          <w:tcPr>
            <w:tcW w:w="550" w:type="dxa"/>
          </w:tcPr>
          <w:p w:rsidR="00E34A94" w:rsidRPr="00757F71" w:rsidRDefault="00E34A94" w:rsidP="00E60FD1">
            <w:pPr>
              <w:pStyle w:val="naiskr"/>
              <w:spacing w:before="0" w:after="0"/>
            </w:pPr>
            <w:r w:rsidRPr="00757F71">
              <w:lastRenderedPageBreak/>
              <w:t>3.</w:t>
            </w:r>
          </w:p>
        </w:tc>
        <w:tc>
          <w:tcPr>
            <w:tcW w:w="4133" w:type="dxa"/>
          </w:tcPr>
          <w:p w:rsidR="00E34A94" w:rsidRPr="00757F71" w:rsidRDefault="00E34A94" w:rsidP="00E60FD1">
            <w:pPr>
              <w:pStyle w:val="naiskr"/>
              <w:spacing w:before="0" w:after="0"/>
            </w:pPr>
            <w:r w:rsidRPr="00757F71">
              <w:t>Saistītie politikas ietekmes novērtējumi un pētījumi</w:t>
            </w:r>
          </w:p>
        </w:tc>
        <w:tc>
          <w:tcPr>
            <w:tcW w:w="5042" w:type="dxa"/>
          </w:tcPr>
          <w:p w:rsidR="00E34A94" w:rsidRPr="00757F71" w:rsidRDefault="00E34A94" w:rsidP="00E60FD1">
            <w:pPr>
              <w:pStyle w:val="FootnoteText"/>
              <w:rPr>
                <w:sz w:val="24"/>
                <w:szCs w:val="24"/>
              </w:rPr>
            </w:pPr>
            <w:r w:rsidRPr="00757F71">
              <w:rPr>
                <w:sz w:val="24"/>
                <w:szCs w:val="24"/>
              </w:rPr>
              <w:t>Nav attiecināms</w:t>
            </w:r>
          </w:p>
        </w:tc>
      </w:tr>
      <w:tr w:rsidR="00E34A94" w:rsidRPr="00757F71" w:rsidTr="00E60FD1">
        <w:trPr>
          <w:trHeight w:val="384"/>
        </w:trPr>
        <w:tc>
          <w:tcPr>
            <w:tcW w:w="550" w:type="dxa"/>
          </w:tcPr>
          <w:p w:rsidR="00E34A94" w:rsidRPr="00757F71" w:rsidRDefault="00E34A94" w:rsidP="00E60FD1">
            <w:pPr>
              <w:pStyle w:val="naiskr"/>
              <w:spacing w:before="0" w:after="0"/>
            </w:pPr>
            <w:r w:rsidRPr="00757F71">
              <w:t>4.</w:t>
            </w:r>
          </w:p>
        </w:tc>
        <w:tc>
          <w:tcPr>
            <w:tcW w:w="4133" w:type="dxa"/>
          </w:tcPr>
          <w:p w:rsidR="00E34A94" w:rsidRPr="00757F71" w:rsidRDefault="00E34A94" w:rsidP="00E60FD1">
            <w:pPr>
              <w:pStyle w:val="naiskr"/>
              <w:spacing w:before="0" w:after="0"/>
            </w:pPr>
            <w:r w:rsidRPr="00757F71">
              <w:t>Tiesiskā regulējuma mērķis un būtība</w:t>
            </w:r>
          </w:p>
        </w:tc>
        <w:tc>
          <w:tcPr>
            <w:tcW w:w="5042" w:type="dxa"/>
          </w:tcPr>
          <w:p w:rsidR="00E34A94" w:rsidRPr="00757F71" w:rsidRDefault="00E34A94" w:rsidP="00E60FD1">
            <w:pPr>
              <w:pStyle w:val="naiskr"/>
              <w:spacing w:before="0" w:after="0"/>
              <w:jc w:val="both"/>
              <w:rPr>
                <w:bCs/>
              </w:rPr>
            </w:pPr>
            <w:r w:rsidRPr="00757F71">
              <w:rPr>
                <w:bCs/>
              </w:rPr>
              <w:t>Ministru kabineta noteikumu projekt</w:t>
            </w:r>
            <w:r w:rsidR="00E23855">
              <w:rPr>
                <w:bCs/>
              </w:rPr>
              <w:t>a</w:t>
            </w:r>
            <w:r w:rsidRPr="00757F71">
              <w:rPr>
                <w:bCs/>
              </w:rPr>
              <w:t xml:space="preserve"> „Grozījumi Ministru kabineta 2010.gada 10.augusta noteikumos Nr.766 „Noteikumi par darbības programmas  „Infrastruktūra un pakalpojumi” papildinājuma 3.2.2.1.1. apakšaktivitātes „Informācijas sistēmu un elektronisko pakalpojumu attīstība” projekta iesniegumu atlases otru </w:t>
            </w:r>
            <w:r w:rsidR="00E45EFE">
              <w:rPr>
                <w:bCs/>
              </w:rPr>
              <w:t xml:space="preserve">un trešo </w:t>
            </w:r>
            <w:r w:rsidRPr="00757F71">
              <w:rPr>
                <w:bCs/>
              </w:rPr>
              <w:t>kārtu” (turpmāk – noteikumu projekts)</w:t>
            </w:r>
            <w:r w:rsidR="00E23855">
              <w:rPr>
                <w:bCs/>
              </w:rPr>
              <w:t xml:space="preserve"> mērķis ir izstrādāt atbilstošu tiesisko regulējumu Iekšlietu ministrijas radio sakaru sistēmas un Prokuratūras informācijas sistēmas projektam, kā arī veikt citus aktuālus precizējumus tiesiskajā regulējumā,</w:t>
            </w:r>
            <w:r w:rsidRPr="00757F71">
              <w:rPr>
                <w:bCs/>
              </w:rPr>
              <w:t xml:space="preserve"> paredz</w:t>
            </w:r>
            <w:r w:rsidR="00E23855">
              <w:rPr>
                <w:bCs/>
              </w:rPr>
              <w:t xml:space="preserve">ot  </w:t>
            </w:r>
            <w:r w:rsidR="00E23855" w:rsidRPr="00757F71">
              <w:rPr>
                <w:bCs/>
              </w:rPr>
              <w:t xml:space="preserve"> </w:t>
            </w:r>
            <w:r w:rsidR="00E23855">
              <w:rPr>
                <w:bCs/>
              </w:rPr>
              <w:t>Noteikumos</w:t>
            </w:r>
            <w:r w:rsidR="00E23855" w:rsidRPr="00757F71">
              <w:rPr>
                <w:bCs/>
              </w:rPr>
              <w:t xml:space="preserve"> Nr. 766</w:t>
            </w:r>
            <w:r w:rsidR="00E23855">
              <w:rPr>
                <w:bCs/>
              </w:rPr>
              <w:t xml:space="preserve"> </w:t>
            </w:r>
            <w:r w:rsidRPr="00757F71">
              <w:rPr>
                <w:bCs/>
              </w:rPr>
              <w:t>izdarīt šādus grozījumus:</w:t>
            </w:r>
          </w:p>
          <w:p w:rsidR="008C7ACD" w:rsidRPr="00AB0D68" w:rsidRDefault="00D71FA5" w:rsidP="00AB0D68">
            <w:pPr>
              <w:pStyle w:val="naiskr"/>
              <w:numPr>
                <w:ilvl w:val="0"/>
                <w:numId w:val="1"/>
              </w:numPr>
              <w:spacing w:before="0" w:after="0"/>
              <w:ind w:left="0" w:firstLine="360"/>
              <w:jc w:val="both"/>
            </w:pPr>
            <w:r w:rsidRPr="004A1C4C">
              <w:t>p</w:t>
            </w:r>
            <w:r w:rsidR="00E45EFE">
              <w:t>recizēt</w:t>
            </w:r>
            <w:r w:rsidRPr="004A1C4C">
              <w:t xml:space="preserve"> </w:t>
            </w:r>
            <w:r w:rsidR="00803145" w:rsidRPr="004A1C4C">
              <w:rPr>
                <w:bCs/>
              </w:rPr>
              <w:t>Noteikumu Nr. 766</w:t>
            </w:r>
            <w:r w:rsidR="00E45EFE">
              <w:rPr>
                <w:bCs/>
              </w:rPr>
              <w:t xml:space="preserve"> nosaukumu un 1.1. apakšpunktu, nosakot, ka </w:t>
            </w:r>
            <w:r w:rsidR="00E45EFE">
              <w:t xml:space="preserve">Iekšlietu ministrijas un Latvijas Republikas Prokuratūras projekti tiks īstenoti kā projektu iesniegumu atlases ceturtās un piektās kārtas projekti. Vēršam uzmanību uz to, ka Iekšlietu ministrijas un Latvijas Republikas </w:t>
            </w:r>
            <w:r w:rsidR="000012F8">
              <w:t xml:space="preserve">Prokuratūras </w:t>
            </w:r>
            <w:r w:rsidR="00E45EFE">
              <w:t xml:space="preserve">projekti </w:t>
            </w:r>
            <w:r w:rsidR="000012F8">
              <w:t xml:space="preserve">(to vērtēšanas kritēriji) </w:t>
            </w:r>
            <w:r w:rsidR="00E45EFE">
              <w:t xml:space="preserve">atšķiras no projekta iesniegumu atlases otrās un trešās kārtas projektiem. Līdz ar to, lai </w:t>
            </w:r>
            <w:r w:rsidR="00DE15FF">
              <w:t xml:space="preserve">šo projektu </w:t>
            </w:r>
            <w:r w:rsidR="00E45EFE">
              <w:t xml:space="preserve">atlase notiktu atbilstoši </w:t>
            </w:r>
            <w:r w:rsidR="000012F8">
              <w:t xml:space="preserve">ERAF tiesiskajam regulējumam Iekšlietu ministrijas un Latvijas Republikas </w:t>
            </w:r>
            <w:r w:rsidR="00DE15FF">
              <w:t xml:space="preserve">Prokuratūras </w:t>
            </w:r>
            <w:r w:rsidR="000012F8">
              <w:t>projekti</w:t>
            </w:r>
            <w:r w:rsidR="00DE15FF">
              <w:t xml:space="preserve"> tiks īstenoti jaunu </w:t>
            </w:r>
            <w:r w:rsidR="00DE15FF">
              <w:lastRenderedPageBreak/>
              <w:t>atlases kārtu ietvaros;</w:t>
            </w:r>
          </w:p>
          <w:p w:rsidR="006A5868" w:rsidRDefault="006A5868" w:rsidP="00DE15FF">
            <w:pPr>
              <w:pStyle w:val="naiskr"/>
              <w:numPr>
                <w:ilvl w:val="0"/>
                <w:numId w:val="1"/>
              </w:numPr>
              <w:spacing w:before="0" w:after="0"/>
              <w:ind w:left="0" w:firstLine="360"/>
              <w:jc w:val="both"/>
            </w:pPr>
            <w:r>
              <w:t xml:space="preserve">precizēt Noteikumu Nr.766 4.punktu,  ņemot vērā, ka tiek precizēts otrās kārtas finansējuma apmērs. </w:t>
            </w:r>
          </w:p>
          <w:p w:rsidR="00DE15FF" w:rsidRDefault="006A5868" w:rsidP="00DE15FF">
            <w:pPr>
              <w:pStyle w:val="naiskr"/>
              <w:numPr>
                <w:ilvl w:val="0"/>
                <w:numId w:val="1"/>
              </w:numPr>
              <w:spacing w:before="0" w:after="0"/>
              <w:ind w:left="0" w:firstLine="360"/>
              <w:jc w:val="both"/>
            </w:pPr>
            <w:r>
              <w:t>papildin</w:t>
            </w:r>
            <w:r w:rsidR="00182BF5">
              <w:t>ā</w:t>
            </w:r>
            <w:r>
              <w:t>t Noteikumus Nr.766 ar 4.</w:t>
            </w:r>
            <w:r w:rsidRPr="000C06F5">
              <w:rPr>
                <w:vertAlign w:val="superscript"/>
              </w:rPr>
              <w:t>2</w:t>
            </w:r>
            <w:r>
              <w:rPr>
                <w:vertAlign w:val="superscript"/>
              </w:rPr>
              <w:t xml:space="preserve"> </w:t>
            </w:r>
            <w:r w:rsidR="00302A49" w:rsidRPr="00302A49">
              <w:t>un</w:t>
            </w:r>
            <w:r>
              <w:t xml:space="preserve"> 4.</w:t>
            </w:r>
            <w:r>
              <w:rPr>
                <w:vertAlign w:val="superscript"/>
              </w:rPr>
              <w:t xml:space="preserve">3 </w:t>
            </w:r>
            <w:r>
              <w:t>apakšpunktiem, nosakot ceturtās un piektās atlases kārtas finansējuma apmēru</w:t>
            </w:r>
            <w:r w:rsidR="00DE15FF">
              <w:t>;</w:t>
            </w:r>
          </w:p>
          <w:p w:rsidR="00904BAC" w:rsidRDefault="00904BAC" w:rsidP="00904BAC">
            <w:pPr>
              <w:pStyle w:val="naiskr"/>
              <w:numPr>
                <w:ilvl w:val="0"/>
                <w:numId w:val="1"/>
              </w:numPr>
              <w:spacing w:before="0" w:after="0"/>
              <w:ind w:left="0" w:firstLine="360"/>
              <w:jc w:val="both"/>
            </w:pPr>
            <w:r>
              <w:t>a</w:t>
            </w:r>
            <w:r w:rsidR="00DE15FF" w:rsidRPr="00DE15FF">
              <w:t>izstāt 12. punktā skaitli un vārdu „1. pielikumā” ar skaitļiem un vārdiem „1., 1.</w:t>
            </w:r>
            <w:r w:rsidR="00DE15FF" w:rsidRPr="00DE15FF">
              <w:rPr>
                <w:vertAlign w:val="superscript"/>
              </w:rPr>
              <w:t>2</w:t>
            </w:r>
            <w:r w:rsidR="00DE15FF" w:rsidRPr="00DE15FF">
              <w:t xml:space="preserve"> vai 1.</w:t>
            </w:r>
            <w:r w:rsidR="00DE15FF" w:rsidRPr="00DE15FF">
              <w:rPr>
                <w:vertAlign w:val="superscript"/>
              </w:rPr>
              <w:t>3</w:t>
            </w:r>
            <w:r w:rsidR="00DE15FF" w:rsidRPr="00DE15FF">
              <w:t xml:space="preserve"> pielikumā”</w:t>
            </w:r>
            <w:r w:rsidR="00DE15FF">
              <w:t>, jo Iekšlietu ministrijas un Latvijas Republikas Prokuratūrai par saviem projektiem būs jā</w:t>
            </w:r>
            <w:r>
              <w:t>sagatavo informācijas sistēmas darbības koncepcijas apraksts par projekta tēmu</w:t>
            </w:r>
            <w:r w:rsidR="002328B2">
              <w:t>;</w:t>
            </w:r>
          </w:p>
          <w:p w:rsidR="006A5868" w:rsidRDefault="006A5868" w:rsidP="00904BAC">
            <w:pPr>
              <w:pStyle w:val="naiskr"/>
              <w:numPr>
                <w:ilvl w:val="0"/>
                <w:numId w:val="1"/>
              </w:numPr>
              <w:spacing w:before="0" w:after="0"/>
              <w:ind w:left="0" w:firstLine="360"/>
              <w:jc w:val="both"/>
            </w:pPr>
            <w:r>
              <w:t>papildin</w:t>
            </w:r>
            <w:r w:rsidR="00182BF5">
              <w:t>ā</w:t>
            </w:r>
            <w:r>
              <w:t>t Noteikumus Nr.766 ar 14.2</w:t>
            </w:r>
            <w:r w:rsidRPr="000C06F5">
              <w:rPr>
                <w:vertAlign w:val="superscript"/>
              </w:rPr>
              <w:t>1</w:t>
            </w:r>
            <w:r w:rsidR="00182BF5">
              <w:t>. apakšpunktu</w:t>
            </w:r>
            <w:r>
              <w:t>, nosakot, ka apakšaktivitātes ceturtās atlases kārtas ietvaros ir</w:t>
            </w:r>
            <w:r w:rsidR="00CF015C">
              <w:t xml:space="preserve"> atbalstāma </w:t>
            </w:r>
            <w:r>
              <w:t>komunikāciju sistēmu izveide un attīstība;</w:t>
            </w:r>
          </w:p>
          <w:p w:rsidR="00B65D15" w:rsidRDefault="00B65D15" w:rsidP="00904BAC">
            <w:pPr>
              <w:pStyle w:val="naiskr"/>
              <w:numPr>
                <w:ilvl w:val="0"/>
                <w:numId w:val="1"/>
              </w:numPr>
              <w:spacing w:before="0" w:after="0"/>
              <w:ind w:left="0" w:firstLine="360"/>
              <w:jc w:val="both"/>
            </w:pPr>
            <w:r>
              <w:t xml:space="preserve">precizēt 16. punktā </w:t>
            </w:r>
            <w:r w:rsidR="002328B2">
              <w:t xml:space="preserve">minētās projekta attiecināmās izmaksas, attiecinot tās arī uz </w:t>
            </w:r>
            <w:r w:rsidR="004E6894">
              <w:t xml:space="preserve">komunikācijas </w:t>
            </w:r>
            <w:r w:rsidR="006A5868">
              <w:t>sistēmu projektu, ko plānots īstenot ceturtās atlases kārtas ietvaros</w:t>
            </w:r>
            <w:r w:rsidR="002328B2">
              <w:t>;</w:t>
            </w:r>
          </w:p>
          <w:p w:rsidR="00904BAC" w:rsidRDefault="00904BAC" w:rsidP="00904BAC">
            <w:pPr>
              <w:pStyle w:val="naiskr"/>
              <w:numPr>
                <w:ilvl w:val="0"/>
                <w:numId w:val="1"/>
              </w:numPr>
              <w:spacing w:before="0" w:after="0"/>
              <w:ind w:left="0" w:firstLine="360"/>
              <w:jc w:val="both"/>
            </w:pPr>
            <w:r>
              <w:t>p</w:t>
            </w:r>
            <w:r w:rsidRPr="00904BAC">
              <w:t>apildināt 23. un 24. punktā aiz vārda „institūcija” (attiecīgā locījumā) ar vārdiem „tiesu varas institūcija” (attiecīgā locījumā)</w:t>
            </w:r>
            <w:r>
              <w:t>, nosakot, ka Latvijas Republikas Prokuratūra var būt projekta iesniedzējs, bet nepieciešamības gadījumā par  Latvijas Republikas Prokuratūras sadarbības partneri var kļūt arī kāda cita tiesu varas institūcija.</w:t>
            </w:r>
            <w:r w:rsidRPr="00480034">
              <w:rPr>
                <w:sz w:val="28"/>
                <w:szCs w:val="28"/>
              </w:rPr>
              <w:t xml:space="preserve"> </w:t>
            </w:r>
            <w:r w:rsidRPr="00904BAC">
              <w:t>Informējam, ka atbilstoši Prokuratūras likuma 1. panta pirmajai daļai prokuratūra ir tiesu varas institūcija.</w:t>
            </w:r>
            <w:r>
              <w:t xml:space="preserve"> </w:t>
            </w:r>
          </w:p>
          <w:p w:rsidR="00904BAC" w:rsidRDefault="00904BAC" w:rsidP="00904BAC">
            <w:pPr>
              <w:pStyle w:val="naiskr"/>
              <w:numPr>
                <w:ilvl w:val="0"/>
                <w:numId w:val="1"/>
              </w:numPr>
              <w:spacing w:before="0" w:after="0"/>
              <w:ind w:left="0" w:firstLine="360"/>
              <w:jc w:val="both"/>
            </w:pPr>
            <w:r>
              <w:t>a</w:t>
            </w:r>
            <w:r w:rsidRPr="00904BAC">
              <w:t>izstāt 25.2. apakšpunktā skaitļus un vārdus „1. vai 1</w:t>
            </w:r>
            <w:r w:rsidRPr="00904BAC">
              <w:rPr>
                <w:vertAlign w:val="superscript"/>
              </w:rPr>
              <w:t>1</w:t>
            </w:r>
            <w:r w:rsidRPr="00904BAC">
              <w:t>. pielikums” ar skaitļiem un vārdiem „1., 1.</w:t>
            </w:r>
            <w:r w:rsidRPr="00904BAC">
              <w:rPr>
                <w:vertAlign w:val="superscript"/>
              </w:rPr>
              <w:t>1</w:t>
            </w:r>
            <w:r w:rsidRPr="00904BAC">
              <w:t>, 1.</w:t>
            </w:r>
            <w:r w:rsidRPr="00904BAC">
              <w:rPr>
                <w:vertAlign w:val="superscript"/>
              </w:rPr>
              <w:t xml:space="preserve">2 </w:t>
            </w:r>
            <w:r w:rsidRPr="00904BAC">
              <w:t>vai 1.</w:t>
            </w:r>
            <w:r w:rsidRPr="00904BAC">
              <w:rPr>
                <w:vertAlign w:val="superscript"/>
              </w:rPr>
              <w:t xml:space="preserve">3 </w:t>
            </w:r>
            <w:r w:rsidRPr="00904BAC">
              <w:t>pielikums” un skaitļus un vārdus „„ 1. vai 1</w:t>
            </w:r>
            <w:r w:rsidRPr="00904BAC">
              <w:rPr>
                <w:vertAlign w:val="superscript"/>
              </w:rPr>
              <w:t>1</w:t>
            </w:r>
            <w:r w:rsidRPr="00904BAC">
              <w:t>. pielikumā” ar skaitļiem un vārdiem „ 1., 1.</w:t>
            </w:r>
            <w:r w:rsidRPr="00904BAC">
              <w:rPr>
                <w:vertAlign w:val="superscript"/>
              </w:rPr>
              <w:t>1</w:t>
            </w:r>
            <w:r w:rsidRPr="00904BAC">
              <w:t>, 1.</w:t>
            </w:r>
            <w:r w:rsidRPr="00904BAC">
              <w:rPr>
                <w:vertAlign w:val="superscript"/>
              </w:rPr>
              <w:t>2</w:t>
            </w:r>
            <w:r w:rsidRPr="00904BAC">
              <w:t xml:space="preserve"> vai 1.</w:t>
            </w:r>
            <w:r w:rsidRPr="00904BAC">
              <w:rPr>
                <w:vertAlign w:val="superscript"/>
              </w:rPr>
              <w:t>3</w:t>
            </w:r>
            <w:r>
              <w:t> pielikumā” nosakot, ka projekta iesniegumā iekļautā projektu tēma atbilst plānoto projektu sarakstam;</w:t>
            </w:r>
          </w:p>
          <w:p w:rsidR="00CF015C" w:rsidRDefault="00CF015C" w:rsidP="00CF015C">
            <w:pPr>
              <w:pStyle w:val="naiskr"/>
              <w:numPr>
                <w:ilvl w:val="0"/>
                <w:numId w:val="1"/>
              </w:numPr>
              <w:spacing w:before="0" w:after="0"/>
              <w:ind w:left="0" w:firstLine="360"/>
              <w:jc w:val="both"/>
            </w:pPr>
            <w:r>
              <w:t>aizstāt 27.punktā skaitli un vārdu „2.pielikumam” ar skaitļiem un vārdiem „2.pielikumam vai 2.</w:t>
            </w:r>
            <w:r w:rsidRPr="00CF015C">
              <w:rPr>
                <w:vertAlign w:val="superscript"/>
              </w:rPr>
              <w:t>1</w:t>
            </w:r>
            <w:r>
              <w:t xml:space="preserve">pielikumam (projektu iesniegumu atlases ceturtā </w:t>
            </w:r>
            <w:r w:rsidR="004E6894">
              <w:t xml:space="preserve">un piektā </w:t>
            </w:r>
            <w:r>
              <w:t>kārta)”, ņemot vērā, ka Noteikumi Nr. 766 tiek papildināti ar pielikumā 2.</w:t>
            </w:r>
            <w:r w:rsidRPr="00CF015C">
              <w:rPr>
                <w:vertAlign w:val="superscript"/>
              </w:rPr>
              <w:t>1</w:t>
            </w:r>
            <w:r>
              <w:t xml:space="preserve"> ietverto projekta iesnieguma veidlapu, kas attiecas ceturto un piekto atlases kārtu; </w:t>
            </w:r>
          </w:p>
          <w:p w:rsidR="006A5F1B" w:rsidRDefault="00904BAC" w:rsidP="006A5F1B">
            <w:pPr>
              <w:pStyle w:val="naiskr"/>
              <w:numPr>
                <w:ilvl w:val="0"/>
                <w:numId w:val="1"/>
              </w:numPr>
              <w:spacing w:before="0" w:after="0"/>
              <w:ind w:left="0" w:firstLine="360"/>
              <w:jc w:val="both"/>
            </w:pPr>
            <w:r>
              <w:t>a</w:t>
            </w:r>
            <w:r w:rsidRPr="00904BAC">
              <w:t>izstāt 32. punktā skaitli un vārdu „1. pielikumā” ar skaitļiem un vārdiem „1., 1.</w:t>
            </w:r>
            <w:r w:rsidRPr="00904BAC">
              <w:rPr>
                <w:vertAlign w:val="superscript"/>
              </w:rPr>
              <w:t>2</w:t>
            </w:r>
            <w:r w:rsidRPr="00904BAC">
              <w:t xml:space="preserve"> vai 1.</w:t>
            </w:r>
            <w:r w:rsidRPr="00904BAC">
              <w:rPr>
                <w:vertAlign w:val="superscript"/>
              </w:rPr>
              <w:t>3</w:t>
            </w:r>
            <w:r>
              <w:t xml:space="preserve"> pielikumā”, nosakot, ka VARAM nosūta uzaicinājumu iesniegt Iekšlietu ministrijas un </w:t>
            </w:r>
            <w:r>
              <w:lastRenderedPageBreak/>
              <w:t>Latvijas Republikas Prokuratūras</w:t>
            </w:r>
            <w:r w:rsidR="006A5F1B">
              <w:t xml:space="preserve"> projektus;</w:t>
            </w:r>
            <w:r>
              <w:t xml:space="preserve"> </w:t>
            </w:r>
          </w:p>
          <w:p w:rsidR="006A5F1B" w:rsidRDefault="006A5F1B" w:rsidP="006A5F1B">
            <w:pPr>
              <w:pStyle w:val="naiskr"/>
              <w:numPr>
                <w:ilvl w:val="0"/>
                <w:numId w:val="1"/>
              </w:numPr>
              <w:spacing w:before="0" w:after="0"/>
              <w:ind w:left="0" w:firstLine="360"/>
              <w:jc w:val="both"/>
            </w:pPr>
            <w:r>
              <w:t>a</w:t>
            </w:r>
            <w:r w:rsidRPr="006A5F1B">
              <w:t>izstāt 38., 39., 40., 41., 42., 43., 44. un 48. punktā skaitli un vārdu „4. pielikumā” ar skaitļiem un vārdiem „4. vai 4.</w:t>
            </w:r>
            <w:r w:rsidRPr="006A5F1B">
              <w:rPr>
                <w:vertAlign w:val="superscript"/>
              </w:rPr>
              <w:t>1</w:t>
            </w:r>
            <w:r>
              <w:t xml:space="preserve"> pielikumā”, jo noteikumu projekts tiek papildināts ar jaunu pielikumu, kurā ir iekļauti jauni vērtēšanas kritēriji;</w:t>
            </w:r>
          </w:p>
          <w:p w:rsidR="006A5F1B" w:rsidRDefault="006A5F1B" w:rsidP="006A5F1B">
            <w:pPr>
              <w:pStyle w:val="naiskr"/>
              <w:numPr>
                <w:ilvl w:val="0"/>
                <w:numId w:val="1"/>
              </w:numPr>
              <w:spacing w:before="0" w:after="0"/>
              <w:ind w:left="0" w:firstLine="360"/>
              <w:jc w:val="both"/>
            </w:pPr>
            <w:r>
              <w:t>Noteikumi Nr. 766 tiek papildināti ar 1</w:t>
            </w:r>
            <w:r w:rsidRPr="00C53949">
              <w:t>.</w:t>
            </w:r>
            <w:r w:rsidRPr="006A5F1B">
              <w:rPr>
                <w:vertAlign w:val="superscript"/>
              </w:rPr>
              <w:t>2</w:t>
            </w:r>
            <w:r w:rsidRPr="00C53949">
              <w:t> </w:t>
            </w:r>
            <w:r>
              <w:t>un 1.</w:t>
            </w:r>
            <w:r w:rsidRPr="006A5F1B">
              <w:rPr>
                <w:vertAlign w:val="superscript"/>
              </w:rPr>
              <w:t xml:space="preserve">3 </w:t>
            </w:r>
            <w:r>
              <w:t>pielikumu, kas noteic jaunas projekta tēmas, atbildīgās institūcijas par to īstenošanu, kā arī pieejamo finansējuma apjomu;</w:t>
            </w:r>
          </w:p>
          <w:p w:rsidR="002328B2" w:rsidRPr="00C53949" w:rsidRDefault="002328B2" w:rsidP="006A5F1B">
            <w:pPr>
              <w:pStyle w:val="naiskr"/>
              <w:numPr>
                <w:ilvl w:val="0"/>
                <w:numId w:val="1"/>
              </w:numPr>
              <w:spacing w:before="0" w:after="0"/>
              <w:ind w:left="0" w:firstLine="360"/>
              <w:jc w:val="both"/>
            </w:pPr>
            <w:r>
              <w:t>Noteikumi Nr. 766 tiek papildināti ar 2.</w:t>
            </w:r>
            <w:r>
              <w:rPr>
                <w:vertAlign w:val="superscript"/>
              </w:rPr>
              <w:t>1</w:t>
            </w:r>
            <w:r>
              <w:t xml:space="preserve"> pielikumu, kurā ir ietverti </w:t>
            </w:r>
            <w:r w:rsidR="00352BDB">
              <w:t>papildus nosacījumi jaunajām kārtām.</w:t>
            </w:r>
          </w:p>
          <w:p w:rsidR="00DE15FF" w:rsidRDefault="006A5F1B" w:rsidP="006A5F1B">
            <w:pPr>
              <w:pStyle w:val="naiskr"/>
              <w:numPr>
                <w:ilvl w:val="0"/>
                <w:numId w:val="1"/>
              </w:numPr>
              <w:spacing w:before="0" w:after="0"/>
              <w:ind w:left="0" w:firstLine="360"/>
              <w:jc w:val="both"/>
            </w:pPr>
            <w:r>
              <w:t>Noteikumi Nr. 766 tiek papildināti ar 4</w:t>
            </w:r>
            <w:r w:rsidRPr="00C53949">
              <w:t>.</w:t>
            </w:r>
            <w:r>
              <w:rPr>
                <w:vertAlign w:val="superscript"/>
              </w:rPr>
              <w:t>1</w:t>
            </w:r>
            <w:r>
              <w:t xml:space="preserve"> pielikumu, kurā ir ietverti jauni vērtēšanas kritēriji</w:t>
            </w:r>
            <w:r w:rsidR="006A5868">
              <w:t xml:space="preserve"> ceturtajai un piektajai atlases kārtai</w:t>
            </w:r>
            <w:r>
              <w:t>.</w:t>
            </w:r>
            <w:r w:rsidRPr="00C53949">
              <w:t> </w:t>
            </w:r>
          </w:p>
          <w:p w:rsidR="0030007F" w:rsidRDefault="0030007F" w:rsidP="00E60FD1">
            <w:pPr>
              <w:pStyle w:val="naisc"/>
              <w:spacing w:before="0" w:after="0"/>
              <w:jc w:val="both"/>
              <w:rPr>
                <w:bCs/>
              </w:rPr>
            </w:pPr>
          </w:p>
          <w:p w:rsidR="00E60FD1" w:rsidRDefault="00E60FD1" w:rsidP="00E60FD1">
            <w:pPr>
              <w:pStyle w:val="naisc"/>
              <w:spacing w:before="0" w:after="0"/>
              <w:jc w:val="both"/>
              <w:rPr>
                <w:sz w:val="20"/>
                <w:szCs w:val="20"/>
              </w:rPr>
            </w:pPr>
            <w:r w:rsidRPr="00E60FD1">
              <w:rPr>
                <w:bCs/>
              </w:rPr>
              <w:t>Visi iepriekšminētie grozījumi attieksies tikai uz ceturto un piekto projektu iesniegumu atlases kārtu un netiks piemēroti uz jau esošām projektu iesniegumu atlases kārtām</w:t>
            </w:r>
            <w:r>
              <w:rPr>
                <w:sz w:val="20"/>
                <w:szCs w:val="20"/>
              </w:rPr>
              <w:t>.</w:t>
            </w:r>
          </w:p>
          <w:p w:rsidR="00E60FD1" w:rsidRPr="008C7ACD" w:rsidRDefault="00E60FD1" w:rsidP="007C64B0">
            <w:pPr>
              <w:pStyle w:val="naiskr"/>
              <w:spacing w:before="0" w:after="0"/>
              <w:jc w:val="both"/>
            </w:pPr>
          </w:p>
        </w:tc>
      </w:tr>
      <w:tr w:rsidR="00E34A94" w:rsidRPr="00757F71" w:rsidTr="00E60FD1">
        <w:trPr>
          <w:trHeight w:val="476"/>
        </w:trPr>
        <w:tc>
          <w:tcPr>
            <w:tcW w:w="550" w:type="dxa"/>
          </w:tcPr>
          <w:p w:rsidR="00E34A94" w:rsidRPr="00757F71" w:rsidRDefault="00E34A94" w:rsidP="00E60FD1">
            <w:pPr>
              <w:pStyle w:val="naiskr"/>
              <w:spacing w:before="0" w:after="0"/>
            </w:pPr>
            <w:r w:rsidRPr="00757F71">
              <w:lastRenderedPageBreak/>
              <w:t>5.</w:t>
            </w:r>
          </w:p>
        </w:tc>
        <w:tc>
          <w:tcPr>
            <w:tcW w:w="4133" w:type="dxa"/>
          </w:tcPr>
          <w:p w:rsidR="00E34A94" w:rsidRPr="00757F71" w:rsidRDefault="00E34A94" w:rsidP="00E60FD1">
            <w:pPr>
              <w:pStyle w:val="naiskr"/>
              <w:spacing w:before="0" w:after="0"/>
            </w:pPr>
            <w:r w:rsidRPr="00757F71">
              <w:t>Projekta izstrādē iesaistītās institūcijas</w:t>
            </w:r>
          </w:p>
        </w:tc>
        <w:tc>
          <w:tcPr>
            <w:tcW w:w="5042" w:type="dxa"/>
          </w:tcPr>
          <w:p w:rsidR="00E34A94" w:rsidRPr="00757F71" w:rsidRDefault="00E34A94" w:rsidP="00AB0D68">
            <w:pPr>
              <w:pStyle w:val="naiskr"/>
              <w:spacing w:before="0" w:after="0"/>
              <w:jc w:val="both"/>
            </w:pPr>
            <w:r w:rsidRPr="00757F71">
              <w:t xml:space="preserve">Vides aizsardzības un reģionālās attīstības ministrija </w:t>
            </w:r>
          </w:p>
        </w:tc>
      </w:tr>
      <w:tr w:rsidR="00E34A94" w:rsidRPr="00757F71" w:rsidTr="002D50F7">
        <w:trPr>
          <w:trHeight w:val="930"/>
        </w:trPr>
        <w:tc>
          <w:tcPr>
            <w:tcW w:w="550" w:type="dxa"/>
          </w:tcPr>
          <w:p w:rsidR="00E34A94" w:rsidRPr="00757F71" w:rsidRDefault="00E34A94" w:rsidP="00E60FD1">
            <w:pPr>
              <w:pStyle w:val="naiskr"/>
              <w:spacing w:before="0" w:after="0"/>
            </w:pPr>
            <w:r w:rsidRPr="00757F71">
              <w:t>6.</w:t>
            </w:r>
          </w:p>
        </w:tc>
        <w:tc>
          <w:tcPr>
            <w:tcW w:w="4133" w:type="dxa"/>
          </w:tcPr>
          <w:p w:rsidR="00E34A94" w:rsidRPr="00757F71" w:rsidRDefault="00E34A94" w:rsidP="00E60FD1">
            <w:pPr>
              <w:pStyle w:val="naiskr"/>
              <w:spacing w:before="0" w:after="0"/>
              <w:rPr>
                <w:i/>
              </w:rPr>
            </w:pPr>
            <w:r w:rsidRPr="00757F71">
              <w:t>Iemesli, kādēļ netika nodrošināta sabiedrības līdzdalība</w:t>
            </w:r>
          </w:p>
        </w:tc>
        <w:tc>
          <w:tcPr>
            <w:tcW w:w="5042" w:type="dxa"/>
          </w:tcPr>
          <w:p w:rsidR="00E34A94" w:rsidRPr="00757F71" w:rsidRDefault="00E34A94" w:rsidP="00E60FD1">
            <w:pPr>
              <w:pStyle w:val="FootnoteText"/>
              <w:jc w:val="both"/>
              <w:rPr>
                <w:sz w:val="24"/>
                <w:szCs w:val="24"/>
              </w:rPr>
            </w:pPr>
            <w:r w:rsidRPr="00757F71">
              <w:rPr>
                <w:sz w:val="24"/>
                <w:szCs w:val="24"/>
              </w:rPr>
              <w:t>Sabiedrības pārstāvji projekta izstrādes procesā netika iesaistīti, jo projekts ir tehniska rakstura un tiešā veidā neskar sabiedrības intereses.</w:t>
            </w:r>
          </w:p>
        </w:tc>
      </w:tr>
      <w:tr w:rsidR="00E34A94" w:rsidRPr="00757F71" w:rsidTr="00E60FD1">
        <w:tc>
          <w:tcPr>
            <w:tcW w:w="550" w:type="dxa"/>
          </w:tcPr>
          <w:p w:rsidR="00E34A94" w:rsidRPr="00757F71" w:rsidRDefault="00E34A94" w:rsidP="00E60FD1">
            <w:pPr>
              <w:pStyle w:val="naiskr"/>
              <w:spacing w:before="0" w:after="0"/>
            </w:pPr>
            <w:r w:rsidRPr="00757F71">
              <w:t>7.</w:t>
            </w:r>
          </w:p>
        </w:tc>
        <w:tc>
          <w:tcPr>
            <w:tcW w:w="4133" w:type="dxa"/>
          </w:tcPr>
          <w:p w:rsidR="00E34A94" w:rsidRPr="00757F71" w:rsidRDefault="00E34A94" w:rsidP="00E60FD1">
            <w:pPr>
              <w:pStyle w:val="naiskr"/>
              <w:spacing w:before="0" w:after="0"/>
            </w:pPr>
            <w:r w:rsidRPr="00757F71">
              <w:t>Cita informācija</w:t>
            </w:r>
          </w:p>
        </w:tc>
        <w:tc>
          <w:tcPr>
            <w:tcW w:w="5042" w:type="dxa"/>
          </w:tcPr>
          <w:p w:rsidR="00E34A94" w:rsidRPr="00757F71" w:rsidRDefault="00CA4AEF" w:rsidP="00E60FD1">
            <w:pPr>
              <w:pStyle w:val="naiskr"/>
              <w:spacing w:before="0" w:after="0"/>
              <w:jc w:val="both"/>
            </w:pPr>
            <w:r>
              <w:t>Nav.</w:t>
            </w:r>
          </w:p>
        </w:tc>
      </w:tr>
    </w:tbl>
    <w:p w:rsidR="00E34A94" w:rsidRPr="00757F71" w:rsidRDefault="00E34A94" w:rsidP="00E34A94">
      <w:pPr>
        <w:pStyle w:val="naisf"/>
        <w:spacing w:before="0" w:after="0"/>
        <w:ind w:firstLine="0"/>
      </w:pPr>
    </w:p>
    <w:p w:rsidR="00E34A94" w:rsidRPr="00757F71" w:rsidRDefault="00E34A94" w:rsidP="00E34A94">
      <w:pPr>
        <w:pStyle w:val="naisf"/>
        <w:spacing w:before="0" w:after="0"/>
        <w:ind w:firstLine="0"/>
        <w:jc w:val="left"/>
        <w:rPr>
          <w:b/>
        </w:rPr>
      </w:pPr>
    </w:p>
    <w:p w:rsidR="00E34A94" w:rsidRPr="00757F71" w:rsidRDefault="00E34A94" w:rsidP="00E34A94">
      <w:pPr>
        <w:pStyle w:val="naisf"/>
        <w:spacing w:before="0" w:after="0"/>
        <w:ind w:firstLine="0"/>
        <w:jc w:val="left"/>
      </w:pPr>
      <w:r w:rsidRPr="00757F71">
        <w:t>Anotācijas II, III, V, VI un VII sadaļa – noteikumu projekts šīs jomas neskar.</w:t>
      </w:r>
    </w:p>
    <w:p w:rsidR="00E34A94" w:rsidRPr="00757F71" w:rsidRDefault="00E34A94" w:rsidP="00E34A94">
      <w:pPr>
        <w:jc w:val="both"/>
        <w:rPr>
          <w:rStyle w:val="flexinput2"/>
        </w:rPr>
      </w:pPr>
    </w:p>
    <w:p w:rsidR="00E34A94" w:rsidRPr="00757F71" w:rsidRDefault="00E34A94" w:rsidP="00E34A94">
      <w:pPr>
        <w:jc w:val="both"/>
        <w:rPr>
          <w:rStyle w:val="flexinput2"/>
        </w:rPr>
      </w:pPr>
    </w:p>
    <w:p w:rsidR="00E34A94" w:rsidRPr="00757F71" w:rsidRDefault="00E34A94" w:rsidP="00E34A94">
      <w:pPr>
        <w:jc w:val="both"/>
        <w:rPr>
          <w:rStyle w:val="flexinput2"/>
        </w:rPr>
      </w:pPr>
      <w:r w:rsidRPr="00757F71">
        <w:rPr>
          <w:rStyle w:val="flexinput2"/>
        </w:rPr>
        <w:t xml:space="preserve">Vides aizsardzības un reģionālās </w:t>
      </w:r>
    </w:p>
    <w:p w:rsidR="00E34A94" w:rsidRPr="00757F71" w:rsidRDefault="00E34A94" w:rsidP="00E34A94">
      <w:pPr>
        <w:jc w:val="both"/>
        <w:rPr>
          <w:rStyle w:val="flexinput2"/>
        </w:rPr>
      </w:pPr>
      <w:r w:rsidRPr="00757F71">
        <w:rPr>
          <w:rStyle w:val="flexinput2"/>
        </w:rPr>
        <w:t xml:space="preserve">attīstības ministrs </w:t>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r>
      <w:r w:rsidRPr="00757F71">
        <w:rPr>
          <w:rStyle w:val="flexinput2"/>
        </w:rPr>
        <w:tab/>
        <w:t>E. Sprūdžs</w:t>
      </w:r>
    </w:p>
    <w:p w:rsidR="00E34A94" w:rsidRPr="00757F71" w:rsidRDefault="00E34A94" w:rsidP="00E34A94">
      <w:pPr>
        <w:jc w:val="both"/>
      </w:pPr>
    </w:p>
    <w:p w:rsidR="00FC4F5A" w:rsidRDefault="00FC4F5A" w:rsidP="00FC4F5A">
      <w:pPr>
        <w:jc w:val="both"/>
      </w:pPr>
    </w:p>
    <w:p w:rsidR="00FC4F5A" w:rsidRPr="000C70C6" w:rsidRDefault="00FC4F5A" w:rsidP="00FC4F5A">
      <w:pPr>
        <w:jc w:val="both"/>
        <w:rPr>
          <w:rStyle w:val="flexinput2"/>
        </w:rPr>
      </w:pPr>
      <w:r w:rsidRPr="000C70C6">
        <w:rPr>
          <w:rStyle w:val="flexinput2"/>
        </w:rPr>
        <w:t>Vīza:</w:t>
      </w:r>
    </w:p>
    <w:p w:rsidR="00FC4F5A" w:rsidRPr="000C70C6" w:rsidRDefault="00FC4F5A" w:rsidP="00FC4F5A">
      <w:pPr>
        <w:jc w:val="both"/>
        <w:rPr>
          <w:rStyle w:val="flexinput2"/>
        </w:rPr>
      </w:pPr>
      <w:r w:rsidRPr="000C70C6">
        <w:rPr>
          <w:rStyle w:val="flexinput2"/>
        </w:rPr>
        <w:t xml:space="preserve">Vides aizsardzības un reģionālās </w:t>
      </w:r>
    </w:p>
    <w:p w:rsidR="00E34A94" w:rsidRPr="00757F71" w:rsidRDefault="00FC4F5A" w:rsidP="00FC4F5A">
      <w:pPr>
        <w:jc w:val="both"/>
        <w:rPr>
          <w:lang w:val="fi-FI"/>
        </w:rPr>
      </w:pPr>
      <w:r w:rsidRPr="000C70C6">
        <w:rPr>
          <w:rStyle w:val="flexinput2"/>
        </w:rPr>
        <w:t>attīstības ministrijas valsts sekretārs</w:t>
      </w:r>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t>A. Antonovs</w:t>
      </w:r>
    </w:p>
    <w:p w:rsidR="00E34A94" w:rsidRPr="00757F71" w:rsidRDefault="00E34A94" w:rsidP="00E34A94">
      <w:pPr>
        <w:jc w:val="both"/>
        <w:rPr>
          <w:lang w:val="fi-FI"/>
        </w:rPr>
      </w:pPr>
    </w:p>
    <w:p w:rsidR="00E34A94" w:rsidRPr="00757F71" w:rsidRDefault="00E34A94" w:rsidP="00E34A94">
      <w:pPr>
        <w:jc w:val="both"/>
        <w:rPr>
          <w:lang w:val="fi-FI"/>
        </w:rPr>
      </w:pPr>
    </w:p>
    <w:p w:rsidR="00CF015C" w:rsidRPr="00C53949" w:rsidRDefault="009E2BD1" w:rsidP="00CF015C">
      <w:pPr>
        <w:jc w:val="both"/>
        <w:rPr>
          <w:sz w:val="20"/>
          <w:szCs w:val="20"/>
          <w:lang w:val="fi-FI"/>
        </w:rPr>
      </w:pPr>
      <w:r>
        <w:rPr>
          <w:sz w:val="20"/>
          <w:szCs w:val="20"/>
          <w:lang w:val="fi-FI"/>
        </w:rPr>
        <w:t>10</w:t>
      </w:r>
      <w:r w:rsidR="00D33C2E">
        <w:rPr>
          <w:sz w:val="20"/>
          <w:szCs w:val="20"/>
          <w:lang w:val="fi-FI"/>
        </w:rPr>
        <w:t>.04.</w:t>
      </w:r>
      <w:r w:rsidR="00CF015C">
        <w:rPr>
          <w:sz w:val="20"/>
          <w:szCs w:val="20"/>
          <w:lang w:val="fi-FI"/>
        </w:rPr>
        <w:t>2013. 11</w:t>
      </w:r>
      <w:r w:rsidR="00CF015C" w:rsidRPr="00C53949">
        <w:rPr>
          <w:sz w:val="20"/>
          <w:szCs w:val="20"/>
          <w:lang w:val="fi-FI"/>
        </w:rPr>
        <w:t>:30</w:t>
      </w:r>
    </w:p>
    <w:p w:rsidR="00CF015C" w:rsidRPr="00C53949" w:rsidRDefault="009E2BD1" w:rsidP="00CF015C">
      <w:pPr>
        <w:jc w:val="both"/>
        <w:rPr>
          <w:sz w:val="20"/>
          <w:szCs w:val="20"/>
          <w:lang w:val="fi-FI"/>
        </w:rPr>
      </w:pPr>
      <w:r>
        <w:rPr>
          <w:sz w:val="20"/>
          <w:szCs w:val="20"/>
          <w:lang w:val="fi-FI"/>
        </w:rPr>
        <w:t>1</w:t>
      </w:r>
      <w:r w:rsidR="000D0897">
        <w:rPr>
          <w:sz w:val="20"/>
          <w:szCs w:val="20"/>
          <w:lang w:val="fi-FI"/>
        </w:rPr>
        <w:t>300</w:t>
      </w:r>
    </w:p>
    <w:p w:rsidR="00CF015C" w:rsidRPr="00C53949" w:rsidRDefault="00CF015C" w:rsidP="00CF015C">
      <w:pPr>
        <w:pStyle w:val="BodyText"/>
        <w:jc w:val="left"/>
        <w:rPr>
          <w:b w:val="0"/>
          <w:sz w:val="20"/>
          <w:szCs w:val="20"/>
          <w:lang w:val="fi-FI"/>
        </w:rPr>
      </w:pPr>
      <w:r>
        <w:rPr>
          <w:b w:val="0"/>
          <w:sz w:val="20"/>
          <w:szCs w:val="20"/>
          <w:lang w:val="fi-FI"/>
        </w:rPr>
        <w:t>I.Briņķe</w:t>
      </w:r>
    </w:p>
    <w:p w:rsidR="00CF015C" w:rsidRPr="00B92491" w:rsidRDefault="00CF015C" w:rsidP="00CF015C">
      <w:pPr>
        <w:pStyle w:val="BodyText"/>
        <w:jc w:val="left"/>
        <w:rPr>
          <w:b w:val="0"/>
          <w:sz w:val="20"/>
          <w:szCs w:val="20"/>
          <w:lang w:val="fi-FI"/>
        </w:rPr>
      </w:pPr>
      <w:r w:rsidRPr="00B92491">
        <w:rPr>
          <w:b w:val="0"/>
          <w:sz w:val="20"/>
          <w:szCs w:val="20"/>
          <w:lang w:val="fi-FI"/>
        </w:rPr>
        <w:t>Vides aizsardzības un reģionālās attīstības ministrijas</w:t>
      </w:r>
    </w:p>
    <w:p w:rsidR="00CF015C" w:rsidRPr="00B92491" w:rsidRDefault="00CF015C" w:rsidP="00CF015C">
      <w:pPr>
        <w:pStyle w:val="BodyText"/>
        <w:jc w:val="left"/>
        <w:rPr>
          <w:b w:val="0"/>
          <w:sz w:val="20"/>
          <w:szCs w:val="20"/>
          <w:lang w:val="fi-FI"/>
        </w:rPr>
      </w:pPr>
      <w:r w:rsidRPr="00B92491">
        <w:rPr>
          <w:b w:val="0"/>
          <w:sz w:val="20"/>
          <w:szCs w:val="20"/>
          <w:lang w:val="fi-FI"/>
        </w:rPr>
        <w:t>Investīciju politikas departamenta</w:t>
      </w:r>
    </w:p>
    <w:p w:rsidR="00CF015C" w:rsidRPr="00B92491" w:rsidRDefault="00CF015C" w:rsidP="00CF015C">
      <w:pPr>
        <w:pStyle w:val="BodyText"/>
        <w:jc w:val="left"/>
        <w:rPr>
          <w:b w:val="0"/>
          <w:sz w:val="20"/>
          <w:szCs w:val="20"/>
          <w:lang w:val="fi-FI"/>
        </w:rPr>
      </w:pPr>
      <w:r w:rsidRPr="00B92491">
        <w:rPr>
          <w:b w:val="0"/>
          <w:sz w:val="20"/>
          <w:szCs w:val="20"/>
          <w:lang w:val="fi-FI"/>
        </w:rPr>
        <w:t>Programmu vadības nodaļas</w:t>
      </w:r>
    </w:p>
    <w:p w:rsidR="00CF015C" w:rsidRPr="00B92491" w:rsidRDefault="00CF015C" w:rsidP="00CF015C">
      <w:pPr>
        <w:pStyle w:val="BodyText"/>
        <w:jc w:val="left"/>
        <w:rPr>
          <w:b w:val="0"/>
          <w:sz w:val="20"/>
          <w:szCs w:val="20"/>
          <w:lang w:val="fi-FI"/>
        </w:rPr>
      </w:pPr>
      <w:r w:rsidRPr="00B92491">
        <w:rPr>
          <w:b w:val="0"/>
          <w:sz w:val="20"/>
          <w:szCs w:val="20"/>
          <w:lang w:val="fi-FI"/>
        </w:rPr>
        <w:t>vecākā eksperte</w:t>
      </w:r>
    </w:p>
    <w:p w:rsidR="00774EE7" w:rsidRPr="00E34A94" w:rsidRDefault="00CF015C" w:rsidP="00CF015C">
      <w:pPr>
        <w:pStyle w:val="BodyText"/>
        <w:jc w:val="left"/>
      </w:pPr>
      <w:r w:rsidRPr="00B92491">
        <w:rPr>
          <w:b w:val="0"/>
          <w:sz w:val="20"/>
          <w:szCs w:val="20"/>
          <w:lang w:val="fi-FI"/>
        </w:rPr>
        <w:t>66016716</w:t>
      </w:r>
      <w:r>
        <w:rPr>
          <w:b w:val="0"/>
          <w:sz w:val="20"/>
          <w:szCs w:val="20"/>
          <w:lang w:val="fi-FI"/>
        </w:rPr>
        <w:t xml:space="preserve">, </w:t>
      </w:r>
      <w:r w:rsidRPr="00B92491">
        <w:rPr>
          <w:b w:val="0"/>
          <w:sz w:val="20"/>
          <w:szCs w:val="20"/>
          <w:lang w:val="fi-FI"/>
        </w:rPr>
        <w:t xml:space="preserve"> </w:t>
      </w:r>
      <w:hyperlink r:id="rId7" w:history="1">
        <w:r w:rsidRPr="00B92491">
          <w:rPr>
            <w:b w:val="0"/>
            <w:sz w:val="20"/>
            <w:szCs w:val="20"/>
            <w:lang w:val="fi-FI"/>
          </w:rPr>
          <w:t>ieva.brinke@varam.gov.lv</w:t>
        </w:r>
      </w:hyperlink>
      <w:r w:rsidRPr="00B92491">
        <w:rPr>
          <w:b w:val="0"/>
          <w:sz w:val="20"/>
          <w:szCs w:val="20"/>
          <w:lang w:val="fi-FI"/>
        </w:rPr>
        <w:t xml:space="preserve">  </w:t>
      </w:r>
    </w:p>
    <w:sectPr w:rsidR="00774EE7" w:rsidRPr="00E34A94" w:rsidSect="00E60FD1">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25" w:rsidRDefault="00C96C25" w:rsidP="00B65A55">
      <w:r>
        <w:separator/>
      </w:r>
    </w:p>
  </w:endnote>
  <w:endnote w:type="continuationSeparator" w:id="0">
    <w:p w:rsidR="00C96C25" w:rsidRDefault="00C96C25" w:rsidP="00B65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5" w:rsidRPr="00A5353B" w:rsidRDefault="005679B5" w:rsidP="00E60FD1">
    <w:pPr>
      <w:pStyle w:val="naislab"/>
      <w:spacing w:before="0" w:after="0"/>
      <w:jc w:val="both"/>
      <w:outlineLvl w:val="0"/>
      <w:rPr>
        <w:sz w:val="20"/>
        <w:szCs w:val="20"/>
      </w:rPr>
    </w:pPr>
    <w:r>
      <w:rPr>
        <w:sz w:val="20"/>
        <w:szCs w:val="20"/>
      </w:rPr>
      <w:t>VARAMAnot_</w:t>
    </w:r>
    <w:r w:rsidR="009E2BD1">
      <w:rPr>
        <w:sz w:val="20"/>
        <w:szCs w:val="20"/>
      </w:rPr>
      <w:t>100413</w:t>
    </w:r>
    <w:r w:rsidRPr="00A5353B">
      <w:rPr>
        <w:sz w:val="20"/>
        <w:szCs w:val="20"/>
      </w:rPr>
      <w:t>_</w:t>
    </w:r>
    <w:r w:rsidR="000B1AB5">
      <w:rPr>
        <w:sz w:val="20"/>
        <w:szCs w:val="20"/>
      </w:rPr>
      <w:t>groz</w:t>
    </w:r>
    <w:r w:rsidRPr="00A5353B">
      <w:rPr>
        <w:sz w:val="20"/>
        <w:szCs w:val="20"/>
      </w:rPr>
      <w:t>766;</w:t>
    </w:r>
    <w:r w:rsidRPr="00A5353B">
      <w:rPr>
        <w:bCs/>
        <w:sz w:val="20"/>
        <w:szCs w:val="20"/>
      </w:rPr>
      <w:t xml:space="preserve"> Ministru kabine</w:t>
    </w:r>
    <w:r>
      <w:rPr>
        <w:bCs/>
        <w:sz w:val="20"/>
        <w:szCs w:val="20"/>
      </w:rPr>
      <w:t>ta noteikumu projekta „Grozījumi</w:t>
    </w:r>
    <w:r w:rsidRPr="00A5353B">
      <w:rPr>
        <w:bCs/>
        <w:sz w:val="20"/>
        <w:szCs w:val="20"/>
      </w:rPr>
      <w:t xml:space="preserve"> Ministru kabineta</w:t>
    </w:r>
    <w:proofErr w:type="gramStart"/>
    <w:r w:rsidRPr="00A5353B">
      <w:rPr>
        <w:bCs/>
        <w:sz w:val="20"/>
        <w:szCs w:val="20"/>
      </w:rPr>
      <w:t xml:space="preserve">  </w:t>
    </w:r>
    <w:proofErr w:type="gramEnd"/>
    <w:r w:rsidRPr="00A5353B">
      <w:rPr>
        <w:bCs/>
        <w:sz w:val="20"/>
        <w:szCs w:val="20"/>
      </w:rPr>
      <w:t xml:space="preserve">2010.gada 10.augusta noteikumos Nr.766 „Noteikumi par darbības programmas  „Infrastruktūra un pakalpojumi” papildinājuma 3.2.2.1.1. apakšaktivitātes „Informācijas sistēmu un elektronisko pakalpojumu attīstība” </w:t>
    </w:r>
    <w:r>
      <w:rPr>
        <w:bCs/>
        <w:sz w:val="20"/>
        <w:szCs w:val="20"/>
      </w:rPr>
      <w:t>projekta iesniegumu atlases otro</w:t>
    </w:r>
    <w:r w:rsidRPr="00A5353B">
      <w:rPr>
        <w:bCs/>
        <w:sz w:val="20"/>
        <w:szCs w:val="20"/>
      </w:rPr>
      <w:t xml:space="preserve"> </w:t>
    </w:r>
    <w:r>
      <w:rPr>
        <w:bCs/>
        <w:sz w:val="20"/>
        <w:szCs w:val="20"/>
      </w:rPr>
      <w:t xml:space="preserve">un trešo </w:t>
    </w:r>
    <w:r w:rsidRPr="00A5353B">
      <w:rPr>
        <w:bCs/>
        <w:sz w:val="20"/>
        <w:szCs w:val="20"/>
      </w:rPr>
      <w:t xml:space="preserve">kārtu” </w:t>
    </w:r>
    <w:r w:rsidRPr="00A5353B">
      <w:rPr>
        <w:sz w:val="20"/>
        <w:szCs w:val="20"/>
      </w:rPr>
      <w:t xml:space="preserve">sākotnējās ietekmes novērtējuma </w:t>
    </w:r>
    <w:smartTag w:uri="schemas-tilde-lv/tildestengine" w:element="veidnes">
      <w:smartTagPr>
        <w:attr w:name="id" w:val="-1"/>
        <w:attr w:name="baseform" w:val="ziņojums"/>
        <w:attr w:name="text" w:val="ziņojums"/>
      </w:smartTagPr>
      <w:r w:rsidRPr="00A5353B">
        <w:rPr>
          <w:sz w:val="20"/>
          <w:szCs w:val="20"/>
        </w:rPr>
        <w:t>ziņojums</w:t>
      </w:r>
    </w:smartTag>
    <w:r w:rsidRPr="00A5353B">
      <w:rPr>
        <w:sz w:val="20"/>
        <w:szCs w:val="20"/>
      </w:rPr>
      <w:t xml:space="preserve"> (anotācija)</w:t>
    </w:r>
  </w:p>
  <w:p w:rsidR="005679B5" w:rsidRPr="00A5353B" w:rsidRDefault="005679B5" w:rsidP="00E60FD1">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5" w:rsidRPr="00A5353B" w:rsidRDefault="005679B5" w:rsidP="00E60FD1">
    <w:pPr>
      <w:pStyle w:val="naislab"/>
      <w:spacing w:before="0" w:after="0"/>
      <w:jc w:val="both"/>
      <w:outlineLvl w:val="0"/>
      <w:rPr>
        <w:sz w:val="20"/>
        <w:szCs w:val="20"/>
      </w:rPr>
    </w:pPr>
    <w:r>
      <w:rPr>
        <w:sz w:val="20"/>
        <w:szCs w:val="20"/>
      </w:rPr>
      <w:t>VARAMAnot_</w:t>
    </w:r>
    <w:r w:rsidR="009E2BD1">
      <w:rPr>
        <w:sz w:val="20"/>
        <w:szCs w:val="20"/>
      </w:rPr>
      <w:t>100413</w:t>
    </w:r>
    <w:r w:rsidRPr="00A5353B">
      <w:rPr>
        <w:sz w:val="20"/>
        <w:szCs w:val="20"/>
      </w:rPr>
      <w:t>_</w:t>
    </w:r>
    <w:r w:rsidR="000B1AB5">
      <w:rPr>
        <w:sz w:val="20"/>
        <w:szCs w:val="20"/>
      </w:rPr>
      <w:t>groz</w:t>
    </w:r>
    <w:r w:rsidRPr="00A5353B">
      <w:rPr>
        <w:sz w:val="20"/>
        <w:szCs w:val="20"/>
      </w:rPr>
      <w:t>766;</w:t>
    </w:r>
    <w:r w:rsidRPr="00A5353B">
      <w:rPr>
        <w:bCs/>
        <w:sz w:val="20"/>
        <w:szCs w:val="20"/>
      </w:rPr>
      <w:t xml:space="preserve"> </w:t>
    </w:r>
    <w:bookmarkStart w:id="0" w:name="OLE_LINK1"/>
    <w:bookmarkStart w:id="1" w:name="OLE_LINK2"/>
    <w:r w:rsidRPr="00A5353B">
      <w:rPr>
        <w:bCs/>
        <w:sz w:val="20"/>
        <w:szCs w:val="20"/>
      </w:rPr>
      <w:t>Ministru kabine</w:t>
    </w:r>
    <w:r>
      <w:rPr>
        <w:bCs/>
        <w:sz w:val="20"/>
        <w:szCs w:val="20"/>
      </w:rPr>
      <w:t>ta noteikumu projekta „Grozījumi Ministru kabineta</w:t>
    </w:r>
    <w:r w:rsidRPr="00A5353B">
      <w:rPr>
        <w:bCs/>
        <w:sz w:val="20"/>
        <w:szCs w:val="20"/>
      </w:rPr>
      <w:t xml:space="preserve"> 2010.gada 10.augusta noteikumos Nr.766 „Not</w:t>
    </w:r>
    <w:r>
      <w:rPr>
        <w:bCs/>
        <w:sz w:val="20"/>
        <w:szCs w:val="20"/>
      </w:rPr>
      <w:t xml:space="preserve">eikumi par darbības programmas </w:t>
    </w:r>
    <w:r w:rsidRPr="00A5353B">
      <w:rPr>
        <w:bCs/>
        <w:sz w:val="20"/>
        <w:szCs w:val="20"/>
      </w:rPr>
      <w:t>„Infrastruktūra un pakalpojumi” papildinājuma 3.2.2.1.1. apakšaktivitātes „Informācijas sistēmu un elektronisko pakalpojumu attīstība” p</w:t>
    </w:r>
    <w:r>
      <w:rPr>
        <w:bCs/>
        <w:sz w:val="20"/>
        <w:szCs w:val="20"/>
      </w:rPr>
      <w:t xml:space="preserve">rojekta iesniegumu atlases otro un trešo </w:t>
    </w:r>
    <w:r w:rsidRPr="00A5353B">
      <w:rPr>
        <w:bCs/>
        <w:sz w:val="20"/>
        <w:szCs w:val="20"/>
      </w:rPr>
      <w:t xml:space="preserve">kārtu” </w:t>
    </w:r>
    <w:r w:rsidRPr="00A5353B">
      <w:rPr>
        <w:sz w:val="20"/>
        <w:szCs w:val="20"/>
      </w:rPr>
      <w:t xml:space="preserve">sākotnējās ietekmes novērtējuma </w:t>
    </w:r>
    <w:smartTag w:uri="schemas-tilde-lv/tildestengine" w:element="veidnes">
      <w:smartTagPr>
        <w:attr w:name="id" w:val="-1"/>
        <w:attr w:name="baseform" w:val="ziņojums"/>
        <w:attr w:name="text" w:val="ziņojums"/>
      </w:smartTagPr>
      <w:r w:rsidRPr="00A5353B">
        <w:rPr>
          <w:sz w:val="20"/>
          <w:szCs w:val="20"/>
        </w:rPr>
        <w:t>ziņojums</w:t>
      </w:r>
    </w:smartTag>
    <w:r w:rsidRPr="00A5353B">
      <w:rPr>
        <w:sz w:val="20"/>
        <w:szCs w:val="20"/>
      </w:rPr>
      <w:t xml:space="preserve"> (anotācija)</w:t>
    </w:r>
    <w:bookmarkEnd w:id="0"/>
    <w:bookmarkEnd w:id="1"/>
  </w:p>
  <w:p w:rsidR="005679B5" w:rsidRPr="00A5353B" w:rsidRDefault="005679B5" w:rsidP="00E60FD1">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25" w:rsidRDefault="00C96C25" w:rsidP="00B65A55">
      <w:r>
        <w:separator/>
      </w:r>
    </w:p>
  </w:footnote>
  <w:footnote w:type="continuationSeparator" w:id="0">
    <w:p w:rsidR="00C96C25" w:rsidRDefault="00C96C25" w:rsidP="00B65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5" w:rsidRDefault="0041797B" w:rsidP="00E60FD1">
    <w:pPr>
      <w:pStyle w:val="Header"/>
      <w:framePr w:wrap="around" w:vAnchor="text" w:hAnchor="margin" w:xAlign="center" w:y="1"/>
      <w:rPr>
        <w:rStyle w:val="PageNumber"/>
      </w:rPr>
    </w:pPr>
    <w:r>
      <w:rPr>
        <w:rStyle w:val="PageNumber"/>
      </w:rPr>
      <w:fldChar w:fldCharType="begin"/>
    </w:r>
    <w:r w:rsidR="005679B5">
      <w:rPr>
        <w:rStyle w:val="PageNumber"/>
      </w:rPr>
      <w:instrText xml:space="preserve">PAGE  </w:instrText>
    </w:r>
    <w:r>
      <w:rPr>
        <w:rStyle w:val="PageNumber"/>
      </w:rPr>
      <w:fldChar w:fldCharType="end"/>
    </w:r>
  </w:p>
  <w:p w:rsidR="005679B5" w:rsidRDefault="00567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B5" w:rsidRDefault="0041797B" w:rsidP="00E60FD1">
    <w:pPr>
      <w:pStyle w:val="Header"/>
      <w:framePr w:wrap="around" w:vAnchor="text" w:hAnchor="margin" w:xAlign="center" w:y="1"/>
      <w:rPr>
        <w:rStyle w:val="PageNumber"/>
      </w:rPr>
    </w:pPr>
    <w:r>
      <w:rPr>
        <w:rStyle w:val="PageNumber"/>
      </w:rPr>
      <w:fldChar w:fldCharType="begin"/>
    </w:r>
    <w:r w:rsidR="005679B5">
      <w:rPr>
        <w:rStyle w:val="PageNumber"/>
      </w:rPr>
      <w:instrText xml:space="preserve">PAGE  </w:instrText>
    </w:r>
    <w:r>
      <w:rPr>
        <w:rStyle w:val="PageNumber"/>
      </w:rPr>
      <w:fldChar w:fldCharType="separate"/>
    </w:r>
    <w:r w:rsidR="000B1AB5">
      <w:rPr>
        <w:rStyle w:val="PageNumber"/>
        <w:noProof/>
      </w:rPr>
      <w:t>5</w:t>
    </w:r>
    <w:r>
      <w:rPr>
        <w:rStyle w:val="PageNumber"/>
      </w:rPr>
      <w:fldChar w:fldCharType="end"/>
    </w:r>
  </w:p>
  <w:p w:rsidR="005679B5" w:rsidRDefault="00567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7719A5"/>
    <w:multiLevelType w:val="hybridMultilevel"/>
    <w:tmpl w:val="FE629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AA0540"/>
    <w:multiLevelType w:val="hybridMultilevel"/>
    <w:tmpl w:val="967CB8C6"/>
    <w:lvl w:ilvl="0" w:tplc="9822D38E">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E8241A7"/>
    <w:multiLevelType w:val="hybridMultilevel"/>
    <w:tmpl w:val="8DD255B0"/>
    <w:lvl w:ilvl="0" w:tplc="59267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4A94"/>
    <w:rsid w:val="000012F8"/>
    <w:rsid w:val="0008331C"/>
    <w:rsid w:val="000A70A4"/>
    <w:rsid w:val="000B1AB5"/>
    <w:rsid w:val="000B2986"/>
    <w:rsid w:val="000C50AD"/>
    <w:rsid w:val="000D0897"/>
    <w:rsid w:val="000E57CB"/>
    <w:rsid w:val="000F261F"/>
    <w:rsid w:val="000F654A"/>
    <w:rsid w:val="001011ED"/>
    <w:rsid w:val="001062CD"/>
    <w:rsid w:val="00113E7A"/>
    <w:rsid w:val="00125A6F"/>
    <w:rsid w:val="00165813"/>
    <w:rsid w:val="00182BF5"/>
    <w:rsid w:val="00194427"/>
    <w:rsid w:val="00195E90"/>
    <w:rsid w:val="00197AB1"/>
    <w:rsid w:val="001A1941"/>
    <w:rsid w:val="001D4B28"/>
    <w:rsid w:val="001E749A"/>
    <w:rsid w:val="002328B2"/>
    <w:rsid w:val="0027776D"/>
    <w:rsid w:val="002806D2"/>
    <w:rsid w:val="0029148C"/>
    <w:rsid w:val="002C0812"/>
    <w:rsid w:val="002C0A2B"/>
    <w:rsid w:val="002D38D8"/>
    <w:rsid w:val="002D50F7"/>
    <w:rsid w:val="002E443E"/>
    <w:rsid w:val="0030007F"/>
    <w:rsid w:val="00302A49"/>
    <w:rsid w:val="00311A16"/>
    <w:rsid w:val="00336404"/>
    <w:rsid w:val="00343A17"/>
    <w:rsid w:val="00352BDB"/>
    <w:rsid w:val="00356212"/>
    <w:rsid w:val="00390F42"/>
    <w:rsid w:val="003B1170"/>
    <w:rsid w:val="003F3227"/>
    <w:rsid w:val="0041797B"/>
    <w:rsid w:val="00492599"/>
    <w:rsid w:val="004A1C4C"/>
    <w:rsid w:val="004C4F55"/>
    <w:rsid w:val="004C50C8"/>
    <w:rsid w:val="004E187E"/>
    <w:rsid w:val="004E6894"/>
    <w:rsid w:val="00526066"/>
    <w:rsid w:val="00536155"/>
    <w:rsid w:val="00550B2F"/>
    <w:rsid w:val="005679B5"/>
    <w:rsid w:val="00595A9B"/>
    <w:rsid w:val="005970C5"/>
    <w:rsid w:val="005D424B"/>
    <w:rsid w:val="00632164"/>
    <w:rsid w:val="0064675F"/>
    <w:rsid w:val="0065680A"/>
    <w:rsid w:val="006A5868"/>
    <w:rsid w:val="006A5F1B"/>
    <w:rsid w:val="006D2F4D"/>
    <w:rsid w:val="006F55D6"/>
    <w:rsid w:val="00755E51"/>
    <w:rsid w:val="007655AE"/>
    <w:rsid w:val="00774EE7"/>
    <w:rsid w:val="007818D3"/>
    <w:rsid w:val="007A3D98"/>
    <w:rsid w:val="007C64B0"/>
    <w:rsid w:val="007D2600"/>
    <w:rsid w:val="00803145"/>
    <w:rsid w:val="00847B84"/>
    <w:rsid w:val="00880AAE"/>
    <w:rsid w:val="008B013A"/>
    <w:rsid w:val="008C7ACD"/>
    <w:rsid w:val="008D6BB7"/>
    <w:rsid w:val="008E64BD"/>
    <w:rsid w:val="008F5C58"/>
    <w:rsid w:val="00904BAC"/>
    <w:rsid w:val="00920872"/>
    <w:rsid w:val="00923004"/>
    <w:rsid w:val="00925D48"/>
    <w:rsid w:val="009C3412"/>
    <w:rsid w:val="009C55A7"/>
    <w:rsid w:val="009E1520"/>
    <w:rsid w:val="009E2BD1"/>
    <w:rsid w:val="009E3C58"/>
    <w:rsid w:val="00A024E2"/>
    <w:rsid w:val="00A04BE1"/>
    <w:rsid w:val="00A4290C"/>
    <w:rsid w:val="00A64100"/>
    <w:rsid w:val="00A72384"/>
    <w:rsid w:val="00A92F07"/>
    <w:rsid w:val="00AA4464"/>
    <w:rsid w:val="00AB0D68"/>
    <w:rsid w:val="00AB20FD"/>
    <w:rsid w:val="00AB6FBC"/>
    <w:rsid w:val="00B65A55"/>
    <w:rsid w:val="00B65D15"/>
    <w:rsid w:val="00BF07A7"/>
    <w:rsid w:val="00C82F17"/>
    <w:rsid w:val="00C96C25"/>
    <w:rsid w:val="00CA4AEF"/>
    <w:rsid w:val="00CC2C1F"/>
    <w:rsid w:val="00CF015C"/>
    <w:rsid w:val="00CF57B8"/>
    <w:rsid w:val="00D01961"/>
    <w:rsid w:val="00D33C2E"/>
    <w:rsid w:val="00D57D5D"/>
    <w:rsid w:val="00D656E8"/>
    <w:rsid w:val="00D71FA5"/>
    <w:rsid w:val="00D74EA9"/>
    <w:rsid w:val="00D94228"/>
    <w:rsid w:val="00DD4364"/>
    <w:rsid w:val="00DE15FF"/>
    <w:rsid w:val="00DE3394"/>
    <w:rsid w:val="00E06926"/>
    <w:rsid w:val="00E14FDD"/>
    <w:rsid w:val="00E207B3"/>
    <w:rsid w:val="00E23855"/>
    <w:rsid w:val="00E34A94"/>
    <w:rsid w:val="00E45EFE"/>
    <w:rsid w:val="00E470D0"/>
    <w:rsid w:val="00E55526"/>
    <w:rsid w:val="00E60FD1"/>
    <w:rsid w:val="00E9455C"/>
    <w:rsid w:val="00EC4AEB"/>
    <w:rsid w:val="00ED724F"/>
    <w:rsid w:val="00EF2076"/>
    <w:rsid w:val="00EF3B9D"/>
    <w:rsid w:val="00F346C2"/>
    <w:rsid w:val="00F813E2"/>
    <w:rsid w:val="00F823A6"/>
    <w:rsid w:val="00F82504"/>
    <w:rsid w:val="00F9082B"/>
    <w:rsid w:val="00F975F3"/>
    <w:rsid w:val="00FC0F15"/>
    <w:rsid w:val="00FC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4"/>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000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A94"/>
    <w:pPr>
      <w:tabs>
        <w:tab w:val="center" w:pos="4153"/>
        <w:tab w:val="right" w:pos="8306"/>
      </w:tabs>
    </w:pPr>
  </w:style>
  <w:style w:type="character" w:customStyle="1" w:styleId="HeaderChar">
    <w:name w:val="Header Char"/>
    <w:basedOn w:val="DefaultParagraphFont"/>
    <w:link w:val="Header"/>
    <w:rsid w:val="00E34A94"/>
    <w:rPr>
      <w:rFonts w:ascii="Times New Roman" w:eastAsia="Times New Roman" w:hAnsi="Times New Roman" w:cs="Times New Roman"/>
      <w:sz w:val="24"/>
      <w:szCs w:val="24"/>
      <w:lang w:eastAsia="lv-LV"/>
    </w:rPr>
  </w:style>
  <w:style w:type="character" w:styleId="PageNumber">
    <w:name w:val="page number"/>
    <w:basedOn w:val="DefaultParagraphFont"/>
    <w:rsid w:val="00E34A94"/>
  </w:style>
  <w:style w:type="paragraph" w:customStyle="1" w:styleId="naisf">
    <w:name w:val="naisf"/>
    <w:basedOn w:val="Normal"/>
    <w:rsid w:val="00E34A94"/>
    <w:pPr>
      <w:spacing w:before="75" w:after="75"/>
      <w:ind w:firstLine="375"/>
      <w:jc w:val="both"/>
    </w:pPr>
  </w:style>
  <w:style w:type="paragraph" w:customStyle="1" w:styleId="naisnod">
    <w:name w:val="naisnod"/>
    <w:basedOn w:val="Normal"/>
    <w:rsid w:val="00E34A94"/>
    <w:pPr>
      <w:spacing w:before="150" w:after="150"/>
      <w:jc w:val="center"/>
    </w:pPr>
    <w:rPr>
      <w:b/>
      <w:bCs/>
    </w:rPr>
  </w:style>
  <w:style w:type="paragraph" w:customStyle="1" w:styleId="naislab">
    <w:name w:val="naislab"/>
    <w:basedOn w:val="Normal"/>
    <w:rsid w:val="00E34A94"/>
    <w:pPr>
      <w:spacing w:before="75" w:after="75"/>
      <w:jc w:val="right"/>
    </w:pPr>
  </w:style>
  <w:style w:type="paragraph" w:customStyle="1" w:styleId="naiskr">
    <w:name w:val="naiskr"/>
    <w:basedOn w:val="Normal"/>
    <w:rsid w:val="00E34A94"/>
    <w:pPr>
      <w:spacing w:before="75" w:after="75"/>
    </w:pPr>
  </w:style>
  <w:style w:type="paragraph" w:styleId="FootnoteText">
    <w:name w:val="footnote text"/>
    <w:basedOn w:val="Normal"/>
    <w:link w:val="FootnoteTextChar"/>
    <w:semiHidden/>
    <w:rsid w:val="00E34A94"/>
    <w:rPr>
      <w:sz w:val="20"/>
      <w:szCs w:val="20"/>
    </w:rPr>
  </w:style>
  <w:style w:type="character" w:customStyle="1" w:styleId="FootnoteTextChar">
    <w:name w:val="Footnote Text Char"/>
    <w:basedOn w:val="DefaultParagraphFont"/>
    <w:link w:val="FootnoteText"/>
    <w:semiHidden/>
    <w:rsid w:val="00E34A94"/>
    <w:rPr>
      <w:rFonts w:ascii="Times New Roman" w:eastAsia="Times New Roman" w:hAnsi="Times New Roman" w:cs="Times New Roman"/>
      <w:sz w:val="20"/>
      <w:szCs w:val="20"/>
      <w:lang w:eastAsia="lv-LV"/>
    </w:rPr>
  </w:style>
  <w:style w:type="paragraph" w:styleId="Footer">
    <w:name w:val="footer"/>
    <w:basedOn w:val="Normal"/>
    <w:link w:val="FooterChar"/>
    <w:rsid w:val="00E34A94"/>
    <w:pPr>
      <w:tabs>
        <w:tab w:val="center" w:pos="4153"/>
        <w:tab w:val="right" w:pos="8306"/>
      </w:tabs>
    </w:pPr>
  </w:style>
  <w:style w:type="character" w:customStyle="1" w:styleId="FooterChar">
    <w:name w:val="Footer Char"/>
    <w:basedOn w:val="DefaultParagraphFont"/>
    <w:link w:val="Footer"/>
    <w:rsid w:val="00E34A94"/>
    <w:rPr>
      <w:rFonts w:ascii="Times New Roman" w:eastAsia="Times New Roman" w:hAnsi="Times New Roman" w:cs="Times New Roman"/>
      <w:sz w:val="24"/>
      <w:szCs w:val="24"/>
      <w:lang w:eastAsia="lv-LV"/>
    </w:rPr>
  </w:style>
  <w:style w:type="character" w:styleId="Hyperlink">
    <w:name w:val="Hyperlink"/>
    <w:basedOn w:val="DefaultParagraphFont"/>
    <w:rsid w:val="00E34A94"/>
    <w:rPr>
      <w:color w:val="0000FF"/>
      <w:u w:val="single"/>
    </w:rPr>
  </w:style>
  <w:style w:type="character" w:customStyle="1" w:styleId="flexinput2">
    <w:name w:val="flexinput2"/>
    <w:basedOn w:val="DefaultParagraphFont"/>
    <w:rsid w:val="00E34A94"/>
  </w:style>
  <w:style w:type="paragraph" w:styleId="BodyText">
    <w:name w:val="Body Text"/>
    <w:aliases w:val="Pamatteksts Rakstz. Rakstz. Rakstz. Rakstz. Rakstz."/>
    <w:basedOn w:val="Normal"/>
    <w:link w:val="BodyTextChar"/>
    <w:rsid w:val="00E34A94"/>
    <w:pPr>
      <w:jc w:val="center"/>
    </w:pPr>
    <w:rPr>
      <w:b/>
      <w:bCs/>
      <w:sz w:val="28"/>
      <w:lang w:eastAsia="en-US"/>
    </w:rPr>
  </w:style>
  <w:style w:type="character" w:customStyle="1" w:styleId="BodyTextChar">
    <w:name w:val="Body Text Char"/>
    <w:aliases w:val="Pamatteksts Rakstz. Rakstz. Rakstz. Rakstz. Rakstz. Char"/>
    <w:basedOn w:val="DefaultParagraphFont"/>
    <w:link w:val="BodyText"/>
    <w:rsid w:val="00E34A94"/>
    <w:rPr>
      <w:rFonts w:ascii="Times New Roman" w:eastAsia="Times New Roman" w:hAnsi="Times New Roman" w:cs="Times New Roman"/>
      <w:b/>
      <w:bCs/>
      <w:sz w:val="28"/>
      <w:szCs w:val="24"/>
    </w:rPr>
  </w:style>
  <w:style w:type="character" w:customStyle="1" w:styleId="spelle">
    <w:name w:val="spelle"/>
    <w:basedOn w:val="DefaultParagraphFont"/>
    <w:rsid w:val="00E34A94"/>
  </w:style>
  <w:style w:type="paragraph" w:styleId="ListParagraph">
    <w:name w:val="List Paragraph"/>
    <w:basedOn w:val="Normal"/>
    <w:uiPriority w:val="34"/>
    <w:qFormat/>
    <w:rsid w:val="008D6BB7"/>
    <w:pPr>
      <w:ind w:left="720"/>
      <w:contextualSpacing/>
    </w:pPr>
  </w:style>
  <w:style w:type="paragraph" w:customStyle="1" w:styleId="tv2131">
    <w:name w:val="tv2131"/>
    <w:basedOn w:val="Normal"/>
    <w:rsid w:val="00DE15FF"/>
    <w:pPr>
      <w:spacing w:before="240" w:line="360" w:lineRule="auto"/>
      <w:ind w:firstLine="300"/>
      <w:jc w:val="both"/>
    </w:pPr>
    <w:rPr>
      <w:rFonts w:ascii="Verdana" w:hAnsi="Verdana"/>
      <w:sz w:val="18"/>
      <w:szCs w:val="18"/>
    </w:rPr>
  </w:style>
  <w:style w:type="paragraph" w:customStyle="1" w:styleId="naisc">
    <w:name w:val="naisc"/>
    <w:basedOn w:val="Normal"/>
    <w:rsid w:val="006A5F1B"/>
    <w:pPr>
      <w:spacing w:before="75" w:after="75"/>
      <w:jc w:val="center"/>
    </w:pPr>
  </w:style>
  <w:style w:type="paragraph" w:styleId="BalloonText">
    <w:name w:val="Balloon Text"/>
    <w:basedOn w:val="Normal"/>
    <w:link w:val="BalloonTextChar"/>
    <w:uiPriority w:val="99"/>
    <w:semiHidden/>
    <w:unhideWhenUsed/>
    <w:rsid w:val="00E23855"/>
    <w:rPr>
      <w:rFonts w:ascii="Tahoma" w:hAnsi="Tahoma" w:cs="Tahoma"/>
      <w:sz w:val="16"/>
      <w:szCs w:val="16"/>
    </w:rPr>
  </w:style>
  <w:style w:type="character" w:customStyle="1" w:styleId="BalloonTextChar">
    <w:name w:val="Balloon Text Char"/>
    <w:basedOn w:val="DefaultParagraphFont"/>
    <w:link w:val="BalloonText"/>
    <w:uiPriority w:val="99"/>
    <w:semiHidden/>
    <w:rsid w:val="00E23855"/>
    <w:rPr>
      <w:rFonts w:ascii="Tahoma" w:eastAsia="Times New Roman" w:hAnsi="Tahoma" w:cs="Tahoma"/>
      <w:sz w:val="16"/>
      <w:szCs w:val="16"/>
      <w:lang w:eastAsia="lv-LV"/>
    </w:rPr>
  </w:style>
  <w:style w:type="character" w:customStyle="1" w:styleId="tvhtml">
    <w:name w:val="tv_html"/>
    <w:basedOn w:val="DefaultParagraphFont"/>
    <w:rsid w:val="00D74EA9"/>
  </w:style>
  <w:style w:type="character" w:customStyle="1" w:styleId="Heading3Char">
    <w:name w:val="Heading 3 Char"/>
    <w:basedOn w:val="DefaultParagraphFont"/>
    <w:link w:val="Heading3"/>
    <w:uiPriority w:val="9"/>
    <w:rsid w:val="0030007F"/>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182BF5"/>
    <w:rPr>
      <w:sz w:val="16"/>
      <w:szCs w:val="16"/>
    </w:rPr>
  </w:style>
  <w:style w:type="paragraph" w:styleId="CommentText">
    <w:name w:val="annotation text"/>
    <w:basedOn w:val="Normal"/>
    <w:link w:val="CommentTextChar"/>
    <w:uiPriority w:val="99"/>
    <w:semiHidden/>
    <w:unhideWhenUsed/>
    <w:rsid w:val="00182BF5"/>
    <w:rPr>
      <w:sz w:val="20"/>
      <w:szCs w:val="20"/>
    </w:rPr>
  </w:style>
  <w:style w:type="character" w:customStyle="1" w:styleId="CommentTextChar">
    <w:name w:val="Comment Text Char"/>
    <w:basedOn w:val="DefaultParagraphFont"/>
    <w:link w:val="CommentText"/>
    <w:uiPriority w:val="99"/>
    <w:semiHidden/>
    <w:rsid w:val="00182BF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2BF5"/>
    <w:rPr>
      <w:b/>
      <w:bCs/>
    </w:rPr>
  </w:style>
  <w:style w:type="character" w:customStyle="1" w:styleId="CommentSubjectChar">
    <w:name w:val="Comment Subject Char"/>
    <w:basedOn w:val="CommentTextChar"/>
    <w:link w:val="CommentSubject"/>
    <w:uiPriority w:val="99"/>
    <w:semiHidden/>
    <w:rsid w:val="00182BF5"/>
    <w:rPr>
      <w:b/>
      <w:bCs/>
    </w:rPr>
  </w:style>
  <w:style w:type="paragraph" w:styleId="Revision">
    <w:name w:val="Revision"/>
    <w:hidden/>
    <w:uiPriority w:val="99"/>
    <w:semiHidden/>
    <w:rsid w:val="004E6894"/>
    <w:pPr>
      <w:spacing w:after="0" w:line="240" w:lineRule="auto"/>
    </w:pPr>
    <w:rPr>
      <w:rFonts w:ascii="Times New Roman" w:eastAsia="Times New Roman" w:hAnsi="Times New Roman" w:cs="Times New Roman"/>
      <w:sz w:val="24"/>
      <w:szCs w:val="24"/>
      <w:lang w:eastAsia="lv-LV"/>
    </w:rPr>
  </w:style>
  <w:style w:type="character" w:customStyle="1" w:styleId="sadalasnosaukums">
    <w:name w:val="sadalasnosaukums"/>
    <w:basedOn w:val="DefaultParagraphFont"/>
    <w:rsid w:val="00AB20FD"/>
  </w:style>
</w:styles>
</file>

<file path=word/webSettings.xml><?xml version="1.0" encoding="utf-8"?>
<w:webSettings xmlns:r="http://schemas.openxmlformats.org/officeDocument/2006/relationships" xmlns:w="http://schemas.openxmlformats.org/wordprocessingml/2006/main">
  <w:divs>
    <w:div w:id="1166701009">
      <w:bodyDiv w:val="1"/>
      <w:marLeft w:val="0"/>
      <w:marRight w:val="0"/>
      <w:marTop w:val="0"/>
      <w:marBottom w:val="0"/>
      <w:divBdr>
        <w:top w:val="none" w:sz="0" w:space="0" w:color="auto"/>
        <w:left w:val="none" w:sz="0" w:space="0" w:color="auto"/>
        <w:bottom w:val="none" w:sz="0" w:space="0" w:color="auto"/>
        <w:right w:val="none" w:sz="0" w:space="0" w:color="auto"/>
      </w:divBdr>
    </w:div>
    <w:div w:id="1751393402">
      <w:bodyDiv w:val="1"/>
      <w:marLeft w:val="0"/>
      <w:marRight w:val="0"/>
      <w:marTop w:val="0"/>
      <w:marBottom w:val="0"/>
      <w:divBdr>
        <w:top w:val="none" w:sz="0" w:space="0" w:color="auto"/>
        <w:left w:val="none" w:sz="0" w:space="0" w:color="auto"/>
        <w:bottom w:val="none" w:sz="0" w:space="0" w:color="auto"/>
        <w:right w:val="none" w:sz="0" w:space="0" w:color="auto"/>
      </w:divBdr>
    </w:div>
    <w:div w:id="1883207378">
      <w:bodyDiv w:val="1"/>
      <w:marLeft w:val="0"/>
      <w:marRight w:val="0"/>
      <w:marTop w:val="0"/>
      <w:marBottom w:val="0"/>
      <w:divBdr>
        <w:top w:val="none" w:sz="0" w:space="0" w:color="auto"/>
        <w:left w:val="none" w:sz="0" w:space="0" w:color="auto"/>
        <w:bottom w:val="none" w:sz="0" w:space="0" w:color="auto"/>
        <w:right w:val="none" w:sz="0" w:space="0" w:color="auto"/>
      </w:divBdr>
    </w:div>
    <w:div w:id="19664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ne.dorbe@rap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6792</Words>
  <Characters>3873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Briņķe</dc:creator>
  <cp:lastModifiedBy>IevaBrinke</cp:lastModifiedBy>
  <cp:revision>3</cp:revision>
  <dcterms:created xsi:type="dcterms:W3CDTF">2013-04-10T14:46:00Z</dcterms:created>
  <dcterms:modified xsi:type="dcterms:W3CDTF">2013-04-10T14:54:00Z</dcterms:modified>
</cp:coreProperties>
</file>