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9A" w:rsidRPr="00AF609A" w:rsidRDefault="00AF609A" w:rsidP="00AF609A">
      <w:pPr>
        <w:pStyle w:val="naisc"/>
        <w:spacing w:before="0" w:after="0"/>
        <w:rPr>
          <w:b/>
          <w:bCs/>
        </w:rPr>
      </w:pPr>
      <w:r w:rsidRPr="00AF609A">
        <w:rPr>
          <w:b/>
          <w:bCs/>
        </w:rPr>
        <w:t>Ministru kabineta rīkojuma projekta</w:t>
      </w:r>
    </w:p>
    <w:p w:rsidR="00AF609A" w:rsidRPr="00AF609A" w:rsidRDefault="00AF609A" w:rsidP="00AF609A">
      <w:pPr>
        <w:spacing w:before="0" w:beforeAutospacing="0" w:after="0" w:afterAutospacing="0"/>
        <w:jc w:val="center"/>
        <w:rPr>
          <w:b/>
        </w:rPr>
      </w:pPr>
      <w:r w:rsidRPr="00AF609A">
        <w:rPr>
          <w:b/>
          <w:bCs/>
        </w:rPr>
        <w:t xml:space="preserve">„Grozījumi darbības programmas „Infrastruktūra un pakalpojumi” papildinājumā” </w:t>
      </w:r>
      <w:r w:rsidRPr="00AF609A">
        <w:rPr>
          <w:b/>
        </w:rPr>
        <w:t xml:space="preserve">sākotnējās ietekmes novērtējuma </w:t>
      </w:r>
      <w:smartTag w:uri="schemas-tilde-lv/tildestengine" w:element="veidnes">
        <w:smartTagPr>
          <w:attr w:name="text" w:val="ziņojums"/>
          <w:attr w:name="baseform" w:val="ziņojums"/>
          <w:attr w:name="id" w:val="-1"/>
        </w:smartTagPr>
        <w:r w:rsidRPr="00AF609A">
          <w:rPr>
            <w:b/>
          </w:rPr>
          <w:t>ziņojums</w:t>
        </w:r>
      </w:smartTag>
      <w:r w:rsidRPr="00AF609A">
        <w:rPr>
          <w:b/>
        </w:rPr>
        <w:t xml:space="preserve"> (anotācija)</w:t>
      </w:r>
    </w:p>
    <w:p w:rsidR="00D65F29" w:rsidRPr="00D65F29" w:rsidRDefault="00D65F29" w:rsidP="00AF609A">
      <w:pPr>
        <w:spacing w:before="0" w:beforeAutospacing="0" w:after="0" w:afterAutospacing="0"/>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283"/>
        <w:gridCol w:w="5244"/>
      </w:tblGrid>
      <w:tr w:rsidR="00BC04C1" w:rsidRPr="00542F93" w:rsidTr="00D13399">
        <w:tc>
          <w:tcPr>
            <w:tcW w:w="9077" w:type="dxa"/>
            <w:gridSpan w:val="3"/>
            <w:vAlign w:val="center"/>
          </w:tcPr>
          <w:p w:rsidR="00BC04C1" w:rsidRPr="00D65F29" w:rsidRDefault="00BC04C1" w:rsidP="007B3198">
            <w:pPr>
              <w:pStyle w:val="naisnod"/>
              <w:spacing w:before="0" w:after="0"/>
            </w:pPr>
            <w:r w:rsidRPr="00D65F29">
              <w:rPr>
                <w:bCs w:val="0"/>
              </w:rPr>
              <w:t>I. Tiesību akta projekta izstrādes nepieciešamība</w:t>
            </w:r>
          </w:p>
        </w:tc>
      </w:tr>
      <w:tr w:rsidR="00BC04C1" w:rsidRPr="00542F93" w:rsidTr="00D13399">
        <w:trPr>
          <w:trHeight w:val="467"/>
        </w:trPr>
        <w:tc>
          <w:tcPr>
            <w:tcW w:w="550" w:type="dxa"/>
          </w:tcPr>
          <w:p w:rsidR="00BC04C1" w:rsidRPr="00542F93" w:rsidRDefault="00BC04C1" w:rsidP="007B3198">
            <w:pPr>
              <w:pStyle w:val="naiskr"/>
              <w:spacing w:before="0" w:after="0"/>
            </w:pPr>
            <w:r w:rsidRPr="00542F93">
              <w:t>1.</w:t>
            </w:r>
          </w:p>
        </w:tc>
        <w:tc>
          <w:tcPr>
            <w:tcW w:w="3283" w:type="dxa"/>
          </w:tcPr>
          <w:p w:rsidR="00BC04C1" w:rsidRDefault="00BC04C1" w:rsidP="00980A89">
            <w:pPr>
              <w:jc w:val="both"/>
            </w:pPr>
            <w:r>
              <w:t>Pamatojums</w:t>
            </w:r>
          </w:p>
        </w:tc>
        <w:tc>
          <w:tcPr>
            <w:tcW w:w="5244" w:type="dxa"/>
          </w:tcPr>
          <w:p w:rsidR="00BC04C1" w:rsidRPr="00AF609A" w:rsidRDefault="00AF609A" w:rsidP="00980A89">
            <w:pPr>
              <w:pStyle w:val="naiskr"/>
              <w:spacing w:before="0" w:after="0"/>
              <w:ind w:left="102" w:right="142"/>
              <w:jc w:val="both"/>
              <w:rPr>
                <w:iCs/>
              </w:rPr>
            </w:pPr>
            <w:r w:rsidRPr="00AF609A">
              <w:t>Ministru kabineta rīkojuma projektu „</w:t>
            </w:r>
            <w:r w:rsidRPr="00AF609A">
              <w:rPr>
                <w:bCs/>
              </w:rPr>
              <w:t xml:space="preserve">Grozījumi darbības programmas „Infrastruktūra un pakalpojumi” papildinājumā”” (turpmāk – rīkojuma projekts) </w:t>
            </w:r>
            <w:r w:rsidRPr="00AF609A">
              <w:t xml:space="preserve">Vides aizsardzības un reģionālās attīstības ministrija (turpmāk – VARAM) izstrādājusi saskaņā ar Eiropas Savienības struktūrfondu un Kohēzijas fonda vadības likuma 13.panta pirmās daļas 1.punktu, Ministru kabineta 2007.gada 29.jūnija noteikumu Nr.419 „Kārtība, kādā Eiropas Savienības struktūrfondu un Kohēzijas fonda vadībā iesaistītās institūcijas nodrošina plānošanas dokumentu sagatavošanu un šo fondu ieviešanu” 9.punktu un Ministru kabineta 2012.gada 16.oktobra </w:t>
            </w:r>
            <w:proofErr w:type="spellStart"/>
            <w:r w:rsidRPr="00AF609A">
              <w:t>protokollēmuma</w:t>
            </w:r>
            <w:proofErr w:type="spellEnd"/>
            <w:r w:rsidRPr="00AF609A">
              <w:t xml:space="preserve"> (Nr.58 29.§) „Par Ministru kabineta 2012.gada 2.oktobra sēdes </w:t>
            </w:r>
            <w:proofErr w:type="spellStart"/>
            <w:r w:rsidRPr="00AF609A">
              <w:t>protokollēmuma</w:t>
            </w:r>
            <w:proofErr w:type="spellEnd"/>
            <w:r w:rsidRPr="00AF609A">
              <w:t xml:space="preserve"> (prot. Nr.54 37.§) "Noteikumu projekts "Grozījumi Ministru kabineta 2010.gada 26.janvāra noteikumos Nr.91 "Noteikumi par darbības programmas "Infrastruktūra un pakalpojumi" papildinājuma 3.6.1.1.aktivitāti "Nacionālas un reģionālas nozīmes attīstības centru izaugsmes veicināšana līdzsvarotai valsts attīstībai"""” 5.punktā dotā uzdevuma izpildi” (turpmāk - Ministru kabineta 2012.gada 16.oktobra </w:t>
            </w:r>
            <w:proofErr w:type="spellStart"/>
            <w:r w:rsidRPr="00AF609A">
              <w:t>protokollēmums</w:t>
            </w:r>
            <w:proofErr w:type="spellEnd"/>
            <w:r w:rsidRPr="00AF609A">
              <w:t>) 4.1.3., 4.1.4.apakšpunktu un 14. punktu.</w:t>
            </w:r>
          </w:p>
        </w:tc>
      </w:tr>
      <w:tr w:rsidR="00BC04C1" w:rsidRPr="00542F93" w:rsidTr="001B321F">
        <w:trPr>
          <w:trHeight w:val="5519"/>
        </w:trPr>
        <w:tc>
          <w:tcPr>
            <w:tcW w:w="550" w:type="dxa"/>
          </w:tcPr>
          <w:p w:rsidR="00BC04C1" w:rsidRPr="00542F93" w:rsidRDefault="00BC04C1" w:rsidP="007B3198">
            <w:pPr>
              <w:pStyle w:val="naiskr"/>
              <w:spacing w:before="0" w:after="0"/>
            </w:pPr>
            <w:r w:rsidRPr="00542F93">
              <w:t>2.</w:t>
            </w:r>
          </w:p>
        </w:tc>
        <w:tc>
          <w:tcPr>
            <w:tcW w:w="3283" w:type="dxa"/>
          </w:tcPr>
          <w:p w:rsidR="00BC04C1" w:rsidRDefault="00BC04C1" w:rsidP="00980A89">
            <w:pPr>
              <w:jc w:val="both"/>
            </w:pPr>
            <w:r>
              <w:t>Pašreizējā situācija un problēmas</w:t>
            </w:r>
          </w:p>
        </w:tc>
        <w:tc>
          <w:tcPr>
            <w:tcW w:w="5244" w:type="dxa"/>
          </w:tcPr>
          <w:p w:rsidR="00AF609A" w:rsidRPr="00AF609A" w:rsidRDefault="00AF609A" w:rsidP="00AF609A">
            <w:pPr>
              <w:spacing w:before="0" w:beforeAutospacing="0" w:after="0" w:afterAutospacing="0"/>
              <w:jc w:val="both"/>
            </w:pPr>
            <w:r w:rsidRPr="00AF609A">
              <w:t xml:space="preserve">Šobrīd spēkā esošā darbības programmas „Infrastruktūra un pakalpojumi” papildinājuma (turpmāk – DPP) redakcija nosaka, ka finansējuma saņēmēji 3.2.2.1.1.apakšaktivitātes „Informācijas sistēmu un elektronisko pakalpojumu attīstība” (turpmāk - 3.2.2.1.1.apakšaktivitāte) projekta ietvaros var būt tiešās valsts pārvaldes iestādes, tām pakļautībā un pārraudzībā esošas institūcijas, plānošanas reģioni. </w:t>
            </w:r>
          </w:p>
          <w:p w:rsidR="00AF609A" w:rsidRPr="00AF609A" w:rsidRDefault="00AF609A" w:rsidP="00AF609A">
            <w:pPr>
              <w:spacing w:before="0" w:beforeAutospacing="0" w:after="0" w:afterAutospacing="0"/>
              <w:jc w:val="both"/>
            </w:pPr>
            <w:r w:rsidRPr="00AF609A">
              <w:t xml:space="preserve">Saskaņā ar Ministru kabineta 2012.gada 16.oktobra </w:t>
            </w:r>
            <w:proofErr w:type="spellStart"/>
            <w:r w:rsidRPr="00AF609A">
              <w:t>protokollēmuma</w:t>
            </w:r>
            <w:proofErr w:type="spellEnd"/>
            <w:r w:rsidRPr="00AF609A">
              <w:t xml:space="preserve"> 4.1.4.apakšpunktā doto uzdevumu 3.2.2.1.1.apakšaktivitātes ietvaros ir jāīsteno Ģenerālprokuratūras informācijas sistēmas projekts tiesu sistēmas attīstībai, vienlaikus nosakot Latvijas Republikas Prokuratūru par projekta īstenošanu atbildīgo institūciju, un saskaņā ar Ministru kabineta 2012.gada 16.oktobra </w:t>
            </w:r>
            <w:proofErr w:type="spellStart"/>
            <w:r w:rsidRPr="00AF609A">
              <w:t>protokollēmuma</w:t>
            </w:r>
            <w:proofErr w:type="spellEnd"/>
            <w:r w:rsidRPr="00AF609A">
              <w:t xml:space="preserve"> 14.apakšpunktā noteikto VARAM līdz 2012.gada 11.decembrim ir jāiesniedz apstiprināšanai Ministru kabinetā grozījumi DPP, kas paredz noteikt Latvijas Republikas Prokuratūru kā finansējuma saņēmēju </w:t>
            </w:r>
            <w:r w:rsidRPr="00AF609A">
              <w:lastRenderedPageBreak/>
              <w:t>3.2.2.1.1.apakšaktivitātes ietvaros.</w:t>
            </w:r>
          </w:p>
          <w:p w:rsidR="00AF609A" w:rsidRPr="00AF609A" w:rsidRDefault="00AF609A" w:rsidP="00AF609A">
            <w:pPr>
              <w:spacing w:before="0" w:beforeAutospacing="0" w:after="0" w:afterAutospacing="0"/>
              <w:jc w:val="both"/>
            </w:pPr>
            <w:r w:rsidRPr="00AF609A">
              <w:t xml:space="preserve">Šobrīd spēkā esošā DPP redakcija nosaka, ka 3.2.2.1.1.apakšaktivitātes mērķis ir vērsts uz informācijas un komunikācijas tehnoloģiju infrastruktūras attīstību, bet sadaļā „Atbalsta veids” norādītā informācija aptver projektus, kuru ietvaros tiek izveidotas vai uzlabotas informācijas sistēmas vai elektroniskie pakalpojumi, bet ne projektus, kuri ir vērsti uz komunikācijas tehnoloģiju infrastruktūras attīstību. </w:t>
            </w:r>
          </w:p>
          <w:p w:rsidR="00F155F6" w:rsidRPr="00AF609A" w:rsidRDefault="00AF609A" w:rsidP="001B321F">
            <w:pPr>
              <w:pStyle w:val="naiskr"/>
              <w:spacing w:before="0" w:after="0"/>
              <w:ind w:right="142"/>
              <w:jc w:val="both"/>
              <w:rPr>
                <w:iCs/>
              </w:rPr>
            </w:pPr>
            <w:r w:rsidRPr="00AF609A">
              <w:t xml:space="preserve">Ņemot vērā, ka saskaņā ar Ministru kabineta 2012.gada 16.oktobra </w:t>
            </w:r>
            <w:proofErr w:type="spellStart"/>
            <w:r w:rsidRPr="00AF609A">
              <w:t>protokollēmuma</w:t>
            </w:r>
            <w:proofErr w:type="spellEnd"/>
            <w:r w:rsidRPr="00AF609A">
              <w:t xml:space="preserve"> 4.1.3.apakšpunktā doto uzdevumu 3.2.2.1.1.apakšaktivitātes ietvaros ir jānovirza finansējums radiosakaru sistēmas attīstības nodrošināšanai, kas atbilst 3.2.2.1.1.apakšaktivitātes mērķim, ir jāprecizē DPP sadaļa „Atbalsta veids” , to papildinot ar informāciju par komunikācijas tehnoloģiju infrastruktūras projektiem.</w:t>
            </w:r>
          </w:p>
        </w:tc>
      </w:tr>
      <w:tr w:rsidR="00AF609A" w:rsidRPr="00542F93" w:rsidTr="00D13399">
        <w:trPr>
          <w:trHeight w:val="517"/>
        </w:trPr>
        <w:tc>
          <w:tcPr>
            <w:tcW w:w="550" w:type="dxa"/>
          </w:tcPr>
          <w:p w:rsidR="00AF609A" w:rsidRPr="00542F93" w:rsidRDefault="00AF609A" w:rsidP="007B3198">
            <w:pPr>
              <w:pStyle w:val="naiskr"/>
              <w:spacing w:before="0" w:after="0"/>
            </w:pPr>
            <w:r w:rsidRPr="00542F93">
              <w:lastRenderedPageBreak/>
              <w:t>3.</w:t>
            </w:r>
          </w:p>
        </w:tc>
        <w:tc>
          <w:tcPr>
            <w:tcW w:w="3283" w:type="dxa"/>
          </w:tcPr>
          <w:p w:rsidR="00AF609A" w:rsidRDefault="00AF609A" w:rsidP="00980A89">
            <w:pPr>
              <w:jc w:val="both"/>
            </w:pPr>
            <w:r>
              <w:t>Saistītie politikas ietekmes novērtējumi un pētījumi</w:t>
            </w:r>
          </w:p>
        </w:tc>
        <w:tc>
          <w:tcPr>
            <w:tcW w:w="5244" w:type="dxa"/>
          </w:tcPr>
          <w:p w:rsidR="00AF609A" w:rsidRPr="00AF609A" w:rsidRDefault="00AF609A" w:rsidP="00AF609A">
            <w:r w:rsidRPr="00AF609A">
              <w:t>Nav attiecināms</w:t>
            </w:r>
          </w:p>
        </w:tc>
      </w:tr>
      <w:tr w:rsidR="00AF609A" w:rsidRPr="00542F93" w:rsidTr="00D13399">
        <w:trPr>
          <w:trHeight w:val="517"/>
        </w:trPr>
        <w:tc>
          <w:tcPr>
            <w:tcW w:w="550" w:type="dxa"/>
          </w:tcPr>
          <w:p w:rsidR="00AF609A" w:rsidRPr="00542F93" w:rsidRDefault="00AF609A" w:rsidP="00980A89">
            <w:pPr>
              <w:pStyle w:val="naiskr"/>
              <w:spacing w:before="0" w:after="0"/>
              <w:jc w:val="both"/>
            </w:pPr>
            <w:r w:rsidRPr="00542F93">
              <w:t>4.</w:t>
            </w:r>
          </w:p>
        </w:tc>
        <w:tc>
          <w:tcPr>
            <w:tcW w:w="3283" w:type="dxa"/>
          </w:tcPr>
          <w:p w:rsidR="00AF609A" w:rsidRDefault="00AF609A" w:rsidP="00980A89">
            <w:pPr>
              <w:jc w:val="both"/>
            </w:pPr>
            <w:r>
              <w:t>Tiesiskā regulējuma mērķis un būtība</w:t>
            </w:r>
          </w:p>
        </w:tc>
        <w:tc>
          <w:tcPr>
            <w:tcW w:w="5244" w:type="dxa"/>
          </w:tcPr>
          <w:p w:rsidR="00AF609A" w:rsidRPr="00AF609A" w:rsidRDefault="00AF609A" w:rsidP="00AF609A">
            <w:pPr>
              <w:spacing w:before="0" w:beforeAutospacing="0" w:after="0" w:afterAutospacing="0"/>
              <w:jc w:val="both"/>
            </w:pPr>
            <w:r w:rsidRPr="00AF609A">
              <w:t>Rīkojuma projekts paredz, ka tiek precizēts finansējuma saņēmēju loks 3.2.2.1.1.apakšaktivitātes ietvaros, kā iespējamo finansējuma saņēmēju nosakot arī tiesu varas institūciju, jo atbilstoši Prokuratūras likuma 1. panta pirmajai daļai prokuratūra ir tiesu varas institūcija.</w:t>
            </w:r>
          </w:p>
          <w:p w:rsidR="00AF609A" w:rsidRPr="00AF609A" w:rsidRDefault="00AF609A" w:rsidP="00AF609A">
            <w:pPr>
              <w:spacing w:before="0" w:beforeAutospacing="0" w:after="0" w:afterAutospacing="0"/>
              <w:jc w:val="both"/>
            </w:pPr>
            <w:r w:rsidRPr="00AF609A">
              <w:t xml:space="preserve">Rīkojuma projekts paredz, ka tiek precizētas atbalstāmās darbības 3.2.2.1.1.apakšaktivitātes ietvaros, kā iespējamo atbalsta veidu nosakot arī komunikācijas tehnoloģiju infrastruktūras projektu īstenošanu. </w:t>
            </w:r>
          </w:p>
        </w:tc>
      </w:tr>
      <w:tr w:rsidR="00AF609A" w:rsidRPr="00542F93" w:rsidTr="00D13399">
        <w:trPr>
          <w:trHeight w:val="531"/>
        </w:trPr>
        <w:tc>
          <w:tcPr>
            <w:tcW w:w="550" w:type="dxa"/>
          </w:tcPr>
          <w:p w:rsidR="00AF609A" w:rsidRPr="00542F93" w:rsidRDefault="00AF609A" w:rsidP="00980A89">
            <w:pPr>
              <w:pStyle w:val="naiskr"/>
              <w:spacing w:before="0" w:after="0"/>
              <w:jc w:val="both"/>
            </w:pPr>
            <w:r w:rsidRPr="00542F93">
              <w:t>5.</w:t>
            </w:r>
          </w:p>
        </w:tc>
        <w:tc>
          <w:tcPr>
            <w:tcW w:w="3283" w:type="dxa"/>
          </w:tcPr>
          <w:p w:rsidR="00AF609A" w:rsidRDefault="00AF609A" w:rsidP="00980A89">
            <w:pPr>
              <w:jc w:val="both"/>
            </w:pPr>
            <w:r>
              <w:t>Projekta izstrādē iesaistītās institūcijas</w:t>
            </w:r>
          </w:p>
        </w:tc>
        <w:tc>
          <w:tcPr>
            <w:tcW w:w="5244" w:type="dxa"/>
          </w:tcPr>
          <w:p w:rsidR="00AF609A" w:rsidRPr="00AF609A" w:rsidRDefault="00AF609A" w:rsidP="00AF609A">
            <w:r w:rsidRPr="00AF609A">
              <w:t>Nav attiecināms</w:t>
            </w:r>
          </w:p>
        </w:tc>
      </w:tr>
      <w:tr w:rsidR="00AF609A" w:rsidRPr="00542F93" w:rsidTr="00D13399">
        <w:trPr>
          <w:trHeight w:val="357"/>
        </w:trPr>
        <w:tc>
          <w:tcPr>
            <w:tcW w:w="550" w:type="dxa"/>
          </w:tcPr>
          <w:p w:rsidR="00AF609A" w:rsidRPr="00542F93" w:rsidRDefault="00AF609A" w:rsidP="00980A89">
            <w:pPr>
              <w:pStyle w:val="naiskr"/>
              <w:spacing w:before="0" w:after="0"/>
              <w:jc w:val="both"/>
            </w:pPr>
            <w:r w:rsidRPr="00542F93">
              <w:t>6.</w:t>
            </w:r>
          </w:p>
        </w:tc>
        <w:tc>
          <w:tcPr>
            <w:tcW w:w="3283" w:type="dxa"/>
          </w:tcPr>
          <w:p w:rsidR="00AF609A" w:rsidRDefault="00AF609A" w:rsidP="00980A89">
            <w:pPr>
              <w:jc w:val="both"/>
            </w:pPr>
            <w:r>
              <w:t>Iemesli, kādēļ netika nodrošināta sabiedrības līdzdalība</w:t>
            </w:r>
          </w:p>
        </w:tc>
        <w:tc>
          <w:tcPr>
            <w:tcW w:w="5244" w:type="dxa"/>
          </w:tcPr>
          <w:p w:rsidR="00AF609A" w:rsidRPr="00AF609A" w:rsidRDefault="00AF609A" w:rsidP="00AF609A">
            <w:pPr>
              <w:jc w:val="both"/>
            </w:pPr>
            <w:r w:rsidRPr="00AF609A">
              <w:t>Nav attiecināms</w:t>
            </w:r>
          </w:p>
        </w:tc>
      </w:tr>
      <w:tr w:rsidR="00AF609A" w:rsidRPr="00542F93" w:rsidTr="00D13399">
        <w:tc>
          <w:tcPr>
            <w:tcW w:w="550" w:type="dxa"/>
          </w:tcPr>
          <w:p w:rsidR="00AF609A" w:rsidRPr="00542F93" w:rsidRDefault="00AF609A" w:rsidP="00980A89">
            <w:pPr>
              <w:pStyle w:val="naiskr"/>
              <w:spacing w:before="0" w:after="0"/>
              <w:jc w:val="both"/>
            </w:pPr>
            <w:r w:rsidRPr="00542F93">
              <w:t>7.</w:t>
            </w:r>
          </w:p>
        </w:tc>
        <w:tc>
          <w:tcPr>
            <w:tcW w:w="3283" w:type="dxa"/>
          </w:tcPr>
          <w:p w:rsidR="00AF609A" w:rsidRDefault="00AF609A" w:rsidP="00980A89">
            <w:pPr>
              <w:jc w:val="both"/>
            </w:pPr>
            <w:r>
              <w:t>Cita informācija</w:t>
            </w:r>
          </w:p>
        </w:tc>
        <w:tc>
          <w:tcPr>
            <w:tcW w:w="5244" w:type="dxa"/>
          </w:tcPr>
          <w:p w:rsidR="00AF609A" w:rsidRPr="00AF609A" w:rsidRDefault="00AF609A" w:rsidP="00AF609A">
            <w:r w:rsidRPr="00AF609A">
              <w:t>Nav attiecināms</w:t>
            </w:r>
          </w:p>
        </w:tc>
      </w:tr>
    </w:tbl>
    <w:p w:rsidR="00BC04C1" w:rsidRDefault="00BC04C1" w:rsidP="00980A89">
      <w:pPr>
        <w:spacing w:before="0" w:beforeAutospacing="0" w:after="0" w:afterAutospacing="0"/>
        <w:ind w:firstLine="720"/>
        <w:jc w:val="both"/>
      </w:pPr>
    </w:p>
    <w:p w:rsidR="00BC04C1" w:rsidRDefault="00BC04C1" w:rsidP="001565BC">
      <w:pPr>
        <w:spacing w:before="0" w:beforeAutospacing="0" w:after="0" w:afterAutospacing="0"/>
        <w:jc w:val="both"/>
      </w:pPr>
    </w:p>
    <w:tbl>
      <w:tblPr>
        <w:tblW w:w="9175"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2985"/>
        <w:gridCol w:w="5336"/>
      </w:tblGrid>
      <w:tr w:rsidR="001565BC" w:rsidRPr="007C0F2C" w:rsidTr="008E3C5B">
        <w:trPr>
          <w:jc w:val="center"/>
        </w:trPr>
        <w:tc>
          <w:tcPr>
            <w:tcW w:w="9175" w:type="dxa"/>
            <w:gridSpan w:val="3"/>
          </w:tcPr>
          <w:p w:rsidR="001565BC" w:rsidRPr="007C0F2C" w:rsidRDefault="001565BC" w:rsidP="003344B3">
            <w:pPr>
              <w:pStyle w:val="naisnod"/>
              <w:spacing w:before="0" w:after="0"/>
              <w:jc w:val="both"/>
            </w:pPr>
            <w:r w:rsidRPr="00004EFF">
              <w:t>IV. Tiesību akta projekta ietekme uz spēkā esošo tiesību normu sistēmu</w:t>
            </w:r>
            <w:r w:rsidRPr="007C0F2C">
              <w:t xml:space="preserve"> </w:t>
            </w:r>
          </w:p>
        </w:tc>
      </w:tr>
      <w:tr w:rsidR="001565BC" w:rsidRPr="00327620" w:rsidTr="008E3C5B">
        <w:trPr>
          <w:jc w:val="center"/>
        </w:trPr>
        <w:tc>
          <w:tcPr>
            <w:tcW w:w="854" w:type="dxa"/>
          </w:tcPr>
          <w:p w:rsidR="001565BC" w:rsidRPr="0025465D" w:rsidRDefault="001565BC" w:rsidP="003344B3">
            <w:pPr>
              <w:pStyle w:val="naiskr"/>
              <w:spacing w:before="0" w:after="0"/>
            </w:pPr>
            <w:r w:rsidRPr="0025465D">
              <w:t>1.</w:t>
            </w:r>
          </w:p>
        </w:tc>
        <w:tc>
          <w:tcPr>
            <w:tcW w:w="2985" w:type="dxa"/>
          </w:tcPr>
          <w:p w:rsidR="001565BC" w:rsidRPr="0025465D" w:rsidRDefault="001565BC" w:rsidP="003344B3">
            <w:pPr>
              <w:pStyle w:val="naiskr"/>
              <w:spacing w:before="0" w:after="0"/>
            </w:pPr>
            <w:r w:rsidRPr="00004EFF">
              <w:t>Nepieciešamie saistītie tiesību aktu projekti</w:t>
            </w:r>
          </w:p>
        </w:tc>
        <w:tc>
          <w:tcPr>
            <w:tcW w:w="5336" w:type="dxa"/>
          </w:tcPr>
          <w:p w:rsidR="00CB646F" w:rsidRPr="00A03416" w:rsidRDefault="00584C06" w:rsidP="00E83342">
            <w:pPr>
              <w:pStyle w:val="naiskr"/>
              <w:tabs>
                <w:tab w:val="left" w:pos="2628"/>
              </w:tabs>
              <w:spacing w:before="0" w:after="0"/>
              <w:ind w:right="142"/>
              <w:jc w:val="both"/>
              <w:rPr>
                <w:color w:val="000000" w:themeColor="text1"/>
              </w:rPr>
            </w:pPr>
            <w:r>
              <w:rPr>
                <w:iCs/>
              </w:rPr>
              <w:t xml:space="preserve">Atbilstoši grozījumiem </w:t>
            </w:r>
            <w:r w:rsidR="00E83342">
              <w:rPr>
                <w:iCs/>
              </w:rPr>
              <w:t xml:space="preserve">DPP </w:t>
            </w:r>
            <w:r w:rsidR="00980A89" w:rsidRPr="00980A89">
              <w:rPr>
                <w:iCs/>
              </w:rPr>
              <w:t>Vides aizsardzības un reģionālās attīstības ministrija</w:t>
            </w:r>
            <w:r w:rsidR="00E83342">
              <w:rPr>
                <w:iCs/>
              </w:rPr>
              <w:t xml:space="preserve"> izstrādās grozījumus </w:t>
            </w:r>
            <w:r w:rsidR="00E83342" w:rsidRPr="00E83342">
              <w:rPr>
                <w:iCs/>
              </w:rPr>
              <w:t xml:space="preserve">Ministra kabineta noteikumos par 3.2.2.1.1.apakšaktivitātes īstenošanu, paredzot precizēt projekta iesniedzēju loku 3.2.2.1.1.apakšaktivitātes ietvaros, kā arī noteikt, ka 3.2.2.1.1.apakšaktivitātes ietvaros tiek īstenots Ģenerālprokuratūras informācijas sistēmas projekts tiesu sistēmas attīstībai un </w:t>
            </w:r>
            <w:r w:rsidR="004624BD">
              <w:rPr>
                <w:iCs/>
              </w:rPr>
              <w:t xml:space="preserve">Iekšlietu ministrijas </w:t>
            </w:r>
            <w:r w:rsidR="00E83342" w:rsidRPr="00E83342">
              <w:rPr>
                <w:iCs/>
              </w:rPr>
              <w:t>radiosakaru sistēmas attīstības projekts.</w:t>
            </w:r>
          </w:p>
        </w:tc>
      </w:tr>
      <w:tr w:rsidR="001565BC" w:rsidRPr="00327620" w:rsidTr="008E3C5B">
        <w:trPr>
          <w:jc w:val="center"/>
        </w:trPr>
        <w:tc>
          <w:tcPr>
            <w:tcW w:w="854" w:type="dxa"/>
          </w:tcPr>
          <w:p w:rsidR="001565BC" w:rsidRPr="0025465D" w:rsidRDefault="001565BC" w:rsidP="003344B3">
            <w:pPr>
              <w:pStyle w:val="naiskr"/>
              <w:spacing w:before="0" w:after="0"/>
            </w:pPr>
            <w:r w:rsidRPr="00004EFF">
              <w:lastRenderedPageBreak/>
              <w:t>2.</w:t>
            </w:r>
          </w:p>
        </w:tc>
        <w:tc>
          <w:tcPr>
            <w:tcW w:w="2985" w:type="dxa"/>
          </w:tcPr>
          <w:p w:rsidR="001565BC" w:rsidRPr="0025465D" w:rsidRDefault="001565BC" w:rsidP="003344B3">
            <w:pPr>
              <w:pStyle w:val="naiskr"/>
              <w:spacing w:before="0" w:after="0"/>
            </w:pPr>
            <w:r w:rsidRPr="00004EFF">
              <w:t>Cita informācija</w:t>
            </w:r>
          </w:p>
        </w:tc>
        <w:tc>
          <w:tcPr>
            <w:tcW w:w="5336" w:type="dxa"/>
          </w:tcPr>
          <w:p w:rsidR="001565BC" w:rsidRPr="00327620" w:rsidRDefault="001565BC" w:rsidP="001B321F">
            <w:pPr>
              <w:pStyle w:val="naiskr"/>
              <w:tabs>
                <w:tab w:val="left" w:pos="2628"/>
              </w:tabs>
              <w:spacing w:before="0" w:after="0"/>
              <w:ind w:right="142"/>
              <w:jc w:val="both"/>
            </w:pPr>
            <w:r>
              <w:t>Nav attiecināms.</w:t>
            </w:r>
          </w:p>
        </w:tc>
      </w:tr>
    </w:tbl>
    <w:p w:rsidR="001565BC" w:rsidRDefault="001565BC" w:rsidP="001565BC">
      <w:pPr>
        <w:spacing w:before="0" w:beforeAutospacing="0" w:after="0" w:afterAutospacing="0"/>
        <w:jc w:val="both"/>
      </w:pPr>
    </w:p>
    <w:p w:rsidR="00606BB1" w:rsidRPr="00A03416" w:rsidRDefault="00606BB1" w:rsidP="00F155F6">
      <w:pPr>
        <w:pStyle w:val="naisf"/>
        <w:spacing w:before="0" w:beforeAutospacing="0" w:after="0" w:afterAutospacing="0"/>
        <w:rPr>
          <w:color w:val="FF0000"/>
          <w:lang w:val="lv-LV"/>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03"/>
      </w:tblGrid>
      <w:tr w:rsidR="00606BB1" w:rsidRPr="00542F93" w:rsidTr="00D13399">
        <w:tc>
          <w:tcPr>
            <w:tcW w:w="9503" w:type="dxa"/>
          </w:tcPr>
          <w:p w:rsidR="00606BB1" w:rsidRPr="00A03416" w:rsidRDefault="00606BB1" w:rsidP="008E3C5B">
            <w:pPr>
              <w:pStyle w:val="naisf"/>
              <w:spacing w:before="0" w:after="0"/>
              <w:jc w:val="left"/>
              <w:rPr>
                <w:lang w:val="lv-LV"/>
              </w:rPr>
            </w:pPr>
            <w:r w:rsidRPr="00A03416">
              <w:rPr>
                <w:lang w:val="lv-LV"/>
              </w:rPr>
              <w:t xml:space="preserve">Anotācijas </w:t>
            </w:r>
            <w:r w:rsidR="008E3C5B" w:rsidRPr="00A03416">
              <w:rPr>
                <w:lang w:val="lv-LV"/>
              </w:rPr>
              <w:t xml:space="preserve">II, III, V, VI, </w:t>
            </w:r>
            <w:r w:rsidRPr="00A03416">
              <w:rPr>
                <w:lang w:val="lv-LV"/>
              </w:rPr>
              <w:t>VI</w:t>
            </w:r>
            <w:r w:rsidR="008E3C5B" w:rsidRPr="00A03416">
              <w:rPr>
                <w:lang w:val="lv-LV"/>
              </w:rPr>
              <w:t>I</w:t>
            </w:r>
            <w:r w:rsidRPr="00A03416">
              <w:rPr>
                <w:lang w:val="lv-LV"/>
              </w:rPr>
              <w:t xml:space="preserve"> sadaļas – nav attiecināmas.</w:t>
            </w:r>
          </w:p>
        </w:tc>
      </w:tr>
    </w:tbl>
    <w:p w:rsidR="00F155F6" w:rsidRDefault="00F155F6" w:rsidP="001307EA">
      <w:pPr>
        <w:pStyle w:val="BodyTextIndent"/>
        <w:tabs>
          <w:tab w:val="num" w:pos="1090"/>
        </w:tabs>
        <w:rPr>
          <w:sz w:val="24"/>
          <w:szCs w:val="24"/>
        </w:rPr>
      </w:pPr>
    </w:p>
    <w:p w:rsidR="00F155F6" w:rsidRDefault="00F155F6" w:rsidP="001307EA">
      <w:pPr>
        <w:pStyle w:val="BodyTextIndent"/>
        <w:tabs>
          <w:tab w:val="num" w:pos="1090"/>
        </w:tabs>
        <w:rPr>
          <w:sz w:val="24"/>
          <w:szCs w:val="24"/>
        </w:rPr>
      </w:pPr>
    </w:p>
    <w:p w:rsidR="00F155F6" w:rsidRPr="001B321F" w:rsidRDefault="00F155F6" w:rsidP="001307EA">
      <w:pPr>
        <w:pStyle w:val="BodyTextIndent"/>
        <w:tabs>
          <w:tab w:val="num" w:pos="1090"/>
        </w:tabs>
        <w:rPr>
          <w:sz w:val="24"/>
          <w:szCs w:val="24"/>
        </w:rPr>
      </w:pPr>
    </w:p>
    <w:p w:rsidR="00AF609A" w:rsidRPr="001B321F" w:rsidRDefault="00AF609A" w:rsidP="00AF609A">
      <w:pPr>
        <w:pStyle w:val="BodyTextIndent"/>
        <w:tabs>
          <w:tab w:val="num" w:pos="1090"/>
        </w:tabs>
        <w:rPr>
          <w:sz w:val="24"/>
          <w:szCs w:val="24"/>
        </w:rPr>
      </w:pPr>
      <w:r w:rsidRPr="001B321F">
        <w:rPr>
          <w:sz w:val="24"/>
          <w:szCs w:val="24"/>
        </w:rPr>
        <w:t xml:space="preserve">Iesniedzējs: </w:t>
      </w:r>
    </w:p>
    <w:p w:rsidR="00AF609A" w:rsidRPr="001B321F" w:rsidRDefault="00AF609A" w:rsidP="00AF609A">
      <w:pPr>
        <w:spacing w:before="0" w:beforeAutospacing="0" w:after="0" w:afterAutospacing="0"/>
        <w:jc w:val="both"/>
        <w:rPr>
          <w:lang w:bidi="lo-LA"/>
        </w:rPr>
      </w:pPr>
      <w:r w:rsidRPr="001B321F">
        <w:rPr>
          <w:lang w:bidi="lo-LA"/>
        </w:rPr>
        <w:t>Vides aizsardzības un reģionālās attīstības ministrs</w:t>
      </w:r>
      <w:r w:rsidRPr="001B321F">
        <w:rPr>
          <w:lang w:bidi="lo-LA"/>
        </w:rPr>
        <w:tab/>
      </w:r>
      <w:r w:rsidRPr="001B321F">
        <w:rPr>
          <w:lang w:bidi="lo-LA"/>
        </w:rPr>
        <w:tab/>
      </w:r>
      <w:r w:rsidRPr="001B321F">
        <w:rPr>
          <w:lang w:bidi="lo-LA"/>
        </w:rPr>
        <w:tab/>
      </w:r>
      <w:r w:rsidRPr="001B321F">
        <w:rPr>
          <w:lang w:bidi="lo-LA"/>
        </w:rPr>
        <w:tab/>
        <w:t>E.Sprūdžs</w:t>
      </w:r>
    </w:p>
    <w:p w:rsidR="00AF609A" w:rsidRPr="001B321F" w:rsidRDefault="00AF609A" w:rsidP="00AF609A">
      <w:pPr>
        <w:spacing w:before="0" w:beforeAutospacing="0" w:after="0" w:afterAutospacing="0"/>
        <w:jc w:val="both"/>
      </w:pPr>
    </w:p>
    <w:p w:rsidR="00AF609A" w:rsidRPr="001B321F" w:rsidRDefault="00AF609A" w:rsidP="00AF609A">
      <w:pPr>
        <w:spacing w:before="0" w:beforeAutospacing="0" w:after="0" w:afterAutospacing="0"/>
        <w:jc w:val="both"/>
      </w:pPr>
    </w:p>
    <w:p w:rsidR="00AF609A" w:rsidRPr="001B321F" w:rsidRDefault="00AF609A" w:rsidP="00AF609A">
      <w:pPr>
        <w:spacing w:before="0" w:beforeAutospacing="0" w:after="0" w:afterAutospacing="0"/>
        <w:jc w:val="both"/>
      </w:pPr>
      <w:r w:rsidRPr="001B321F">
        <w:t xml:space="preserve">Vizē: </w:t>
      </w:r>
    </w:p>
    <w:p w:rsidR="00AF609A" w:rsidRPr="001B321F" w:rsidRDefault="001B321F" w:rsidP="00AF609A">
      <w:pPr>
        <w:spacing w:before="0" w:beforeAutospacing="0" w:after="0" w:afterAutospacing="0"/>
        <w:jc w:val="both"/>
        <w:rPr>
          <w:noProof/>
        </w:rPr>
      </w:pPr>
      <w:r>
        <w:t>Valsts sekretārs</w:t>
      </w:r>
      <w:r>
        <w:tab/>
      </w:r>
      <w:r>
        <w:tab/>
      </w:r>
      <w:r>
        <w:tab/>
      </w:r>
      <w:r>
        <w:tab/>
      </w:r>
      <w:r>
        <w:tab/>
      </w:r>
      <w:r>
        <w:tab/>
      </w:r>
      <w:r>
        <w:tab/>
      </w:r>
      <w:r>
        <w:tab/>
        <w:t xml:space="preserve"> </w:t>
      </w:r>
      <w:r w:rsidR="00AF609A" w:rsidRPr="001B321F">
        <w:t>A.Antonovs</w:t>
      </w:r>
    </w:p>
    <w:p w:rsidR="00AF609A" w:rsidRPr="00E5786F" w:rsidRDefault="00AF609A" w:rsidP="00AF609A">
      <w:pPr>
        <w:spacing w:before="0" w:beforeAutospacing="0" w:after="0" w:afterAutospacing="0"/>
        <w:rPr>
          <w:noProof/>
          <w:sz w:val="20"/>
          <w:szCs w:val="20"/>
        </w:rPr>
      </w:pPr>
    </w:p>
    <w:p w:rsidR="00AF609A" w:rsidRDefault="00AF609A" w:rsidP="00AF609A">
      <w:pPr>
        <w:spacing w:before="0" w:beforeAutospacing="0" w:after="0" w:afterAutospacing="0"/>
        <w:rPr>
          <w:noProof/>
          <w:sz w:val="20"/>
          <w:szCs w:val="20"/>
        </w:rPr>
      </w:pPr>
    </w:p>
    <w:p w:rsidR="00AF609A" w:rsidRDefault="00AF609A"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spacing w:before="0" w:beforeAutospacing="0" w:after="0" w:afterAutospacing="0"/>
        <w:rPr>
          <w:noProof/>
          <w:sz w:val="20"/>
          <w:szCs w:val="20"/>
        </w:rPr>
      </w:pPr>
    </w:p>
    <w:p w:rsidR="001B321F" w:rsidRDefault="001B321F" w:rsidP="00AF609A">
      <w:pPr>
        <w:pStyle w:val="BodyTextIndent"/>
        <w:tabs>
          <w:tab w:val="num" w:pos="1090"/>
        </w:tabs>
        <w:rPr>
          <w:sz w:val="20"/>
        </w:rPr>
      </w:pPr>
    </w:p>
    <w:p w:rsidR="001B321F" w:rsidRDefault="001B321F" w:rsidP="00AF609A">
      <w:pPr>
        <w:pStyle w:val="BodyTextIndent"/>
        <w:tabs>
          <w:tab w:val="num" w:pos="1090"/>
        </w:tabs>
        <w:rPr>
          <w:sz w:val="20"/>
        </w:rPr>
      </w:pPr>
    </w:p>
    <w:p w:rsidR="001B321F" w:rsidRDefault="001B321F" w:rsidP="00AF609A">
      <w:pPr>
        <w:pStyle w:val="BodyTextIndent"/>
        <w:tabs>
          <w:tab w:val="num" w:pos="1090"/>
        </w:tabs>
        <w:rPr>
          <w:sz w:val="20"/>
        </w:rPr>
      </w:pPr>
    </w:p>
    <w:p w:rsidR="001B321F" w:rsidRDefault="001B321F" w:rsidP="00AF609A">
      <w:pPr>
        <w:pStyle w:val="BodyTextIndent"/>
        <w:tabs>
          <w:tab w:val="num" w:pos="1090"/>
        </w:tabs>
        <w:rPr>
          <w:sz w:val="20"/>
        </w:rPr>
      </w:pPr>
    </w:p>
    <w:p w:rsidR="001B321F" w:rsidRDefault="001B321F" w:rsidP="00AF609A">
      <w:pPr>
        <w:pStyle w:val="BodyTextIndent"/>
        <w:tabs>
          <w:tab w:val="num" w:pos="1090"/>
        </w:tabs>
        <w:rPr>
          <w:sz w:val="20"/>
        </w:rPr>
      </w:pPr>
    </w:p>
    <w:p w:rsidR="001B321F" w:rsidRDefault="001B321F" w:rsidP="00AF609A">
      <w:pPr>
        <w:pStyle w:val="BodyTextIndent"/>
        <w:tabs>
          <w:tab w:val="num" w:pos="1090"/>
        </w:tabs>
        <w:rPr>
          <w:sz w:val="20"/>
        </w:rPr>
      </w:pPr>
    </w:p>
    <w:p w:rsidR="001B321F" w:rsidRDefault="001B321F" w:rsidP="00AF609A">
      <w:pPr>
        <w:pStyle w:val="BodyTextIndent"/>
        <w:tabs>
          <w:tab w:val="num" w:pos="1090"/>
        </w:tabs>
        <w:rPr>
          <w:sz w:val="20"/>
        </w:rPr>
      </w:pPr>
    </w:p>
    <w:p w:rsidR="001B321F" w:rsidRDefault="001B321F" w:rsidP="00AF609A">
      <w:pPr>
        <w:pStyle w:val="BodyTextIndent"/>
        <w:tabs>
          <w:tab w:val="num" w:pos="1090"/>
        </w:tabs>
        <w:rPr>
          <w:sz w:val="20"/>
        </w:rPr>
      </w:pPr>
    </w:p>
    <w:p w:rsidR="001B321F" w:rsidRDefault="001B321F" w:rsidP="00AF609A">
      <w:pPr>
        <w:pStyle w:val="BodyTextIndent"/>
        <w:tabs>
          <w:tab w:val="num" w:pos="1090"/>
        </w:tabs>
        <w:rPr>
          <w:sz w:val="20"/>
        </w:rPr>
      </w:pPr>
    </w:p>
    <w:p w:rsidR="001B321F" w:rsidRDefault="001B321F" w:rsidP="00AF609A">
      <w:pPr>
        <w:pStyle w:val="BodyTextIndent"/>
        <w:tabs>
          <w:tab w:val="num" w:pos="1090"/>
        </w:tabs>
        <w:rPr>
          <w:sz w:val="20"/>
        </w:rPr>
      </w:pPr>
    </w:p>
    <w:p w:rsidR="00AF609A" w:rsidRPr="00B534D2" w:rsidRDefault="000372DA" w:rsidP="00AF609A">
      <w:pPr>
        <w:pStyle w:val="BodyTextIndent"/>
        <w:tabs>
          <w:tab w:val="num" w:pos="1090"/>
        </w:tabs>
        <w:rPr>
          <w:sz w:val="20"/>
        </w:rPr>
      </w:pPr>
      <w:r>
        <w:rPr>
          <w:sz w:val="20"/>
        </w:rPr>
        <w:t>11</w:t>
      </w:r>
      <w:r w:rsidR="001B321F">
        <w:rPr>
          <w:sz w:val="20"/>
        </w:rPr>
        <w:t>.12</w:t>
      </w:r>
      <w:r w:rsidR="00AF609A">
        <w:rPr>
          <w:sz w:val="20"/>
        </w:rPr>
        <w:t>.2012.</w:t>
      </w:r>
      <w:r w:rsidR="00AF609A" w:rsidRPr="00B534D2">
        <w:rPr>
          <w:sz w:val="20"/>
        </w:rPr>
        <w:t xml:space="preserve"> 1</w:t>
      </w:r>
      <w:r w:rsidR="00AF609A">
        <w:rPr>
          <w:sz w:val="20"/>
        </w:rPr>
        <w:t>4</w:t>
      </w:r>
      <w:r w:rsidR="00AF609A" w:rsidRPr="00B534D2">
        <w:rPr>
          <w:sz w:val="20"/>
        </w:rPr>
        <w:t>:</w:t>
      </w:r>
      <w:r w:rsidR="00AF609A">
        <w:rPr>
          <w:sz w:val="20"/>
        </w:rPr>
        <w:t>30</w:t>
      </w:r>
    </w:p>
    <w:p w:rsidR="00AF609A" w:rsidRPr="00B534D2" w:rsidRDefault="00E83342" w:rsidP="00AF609A">
      <w:pPr>
        <w:pStyle w:val="BodyTextIndent"/>
        <w:tabs>
          <w:tab w:val="num" w:pos="1090"/>
        </w:tabs>
        <w:rPr>
          <w:sz w:val="20"/>
        </w:rPr>
      </w:pPr>
      <w:r>
        <w:rPr>
          <w:sz w:val="20"/>
        </w:rPr>
        <w:t>53</w:t>
      </w:r>
      <w:r w:rsidR="004624BD">
        <w:rPr>
          <w:sz w:val="20"/>
        </w:rPr>
        <w:t>5</w:t>
      </w:r>
    </w:p>
    <w:p w:rsidR="00AF609A" w:rsidRDefault="00AF609A" w:rsidP="00AF609A">
      <w:pPr>
        <w:pStyle w:val="BodyTextIndent"/>
        <w:tabs>
          <w:tab w:val="num" w:pos="1090"/>
        </w:tabs>
        <w:rPr>
          <w:sz w:val="20"/>
        </w:rPr>
      </w:pPr>
      <w:r w:rsidRPr="00B534D2">
        <w:rPr>
          <w:sz w:val="20"/>
        </w:rPr>
        <w:t>I.Briņķe</w:t>
      </w:r>
      <w:r>
        <w:rPr>
          <w:sz w:val="20"/>
        </w:rPr>
        <w:t xml:space="preserve"> </w:t>
      </w:r>
      <w:r w:rsidRPr="00B534D2">
        <w:rPr>
          <w:sz w:val="20"/>
        </w:rPr>
        <w:t xml:space="preserve">67770326, </w:t>
      </w:r>
    </w:p>
    <w:p w:rsidR="00D13399" w:rsidRDefault="00AF609A" w:rsidP="001307EA">
      <w:pPr>
        <w:spacing w:before="0" w:beforeAutospacing="0" w:after="0" w:afterAutospacing="0"/>
        <w:rPr>
          <w:noProof/>
          <w:sz w:val="20"/>
          <w:szCs w:val="20"/>
        </w:rPr>
      </w:pPr>
      <w:r w:rsidRPr="00B534D2">
        <w:rPr>
          <w:sz w:val="20"/>
        </w:rPr>
        <w:t>Ieva.Brinke@varam.gov.lv</w:t>
      </w:r>
    </w:p>
    <w:p w:rsidR="007011B6" w:rsidRDefault="007011B6" w:rsidP="001307EA">
      <w:pPr>
        <w:spacing w:before="0" w:beforeAutospacing="0" w:after="0" w:afterAutospacing="0"/>
        <w:rPr>
          <w:noProof/>
          <w:sz w:val="20"/>
          <w:szCs w:val="20"/>
        </w:rPr>
      </w:pPr>
    </w:p>
    <w:p w:rsidR="00FF5533" w:rsidRDefault="00FF5533" w:rsidP="00670FC5">
      <w:pPr>
        <w:spacing w:before="0" w:beforeAutospacing="0" w:after="0" w:afterAutospacing="0"/>
      </w:pPr>
    </w:p>
    <w:sectPr w:rsidR="00FF5533" w:rsidSect="00D13399">
      <w:headerReference w:type="even" r:id="rId7"/>
      <w:headerReference w:type="default" r:id="rId8"/>
      <w:footerReference w:type="default" r:id="rId9"/>
      <w:footerReference w:type="first" r:id="rId10"/>
      <w:pgSz w:w="11906" w:h="16838"/>
      <w:pgMar w:top="1418" w:right="1134" w:bottom="1134" w:left="1701" w:header="709" w:footer="3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06" w:rsidRDefault="00584C06">
      <w:r>
        <w:separator/>
      </w:r>
    </w:p>
  </w:endnote>
  <w:endnote w:type="continuationSeparator" w:id="0">
    <w:p w:rsidR="00584C06" w:rsidRDefault="0058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06" w:rsidRPr="00AF609A" w:rsidRDefault="00584C06" w:rsidP="00AF609A">
    <w:pPr>
      <w:pStyle w:val="naisc"/>
      <w:spacing w:before="0" w:after="0"/>
      <w:jc w:val="both"/>
      <w:rPr>
        <w:sz w:val="20"/>
        <w:szCs w:val="20"/>
      </w:rPr>
    </w:pPr>
    <w:r>
      <w:rPr>
        <w:sz w:val="20"/>
        <w:szCs w:val="20"/>
      </w:rPr>
      <w:t xml:space="preserve">VARAMAnot_111212_DPP_groz; Ministru kabineta rīkojuma projekta „Grozījumi darbības programmas „Infrastruktūra un pakalpojumi” papildinājumā” sākotnējās ietekmes novērtējuma </w:t>
    </w:r>
    <w:smartTag w:uri="schemas-tilde-lv/tildestengine" w:element="veidnes">
      <w:smartTagPr>
        <w:attr w:name="id" w:val="-1"/>
        <w:attr w:name="baseform" w:val="ziņojums"/>
        <w:attr w:name="text" w:val="ziņojums"/>
      </w:smartTagPr>
      <w:r>
        <w:rPr>
          <w:sz w:val="20"/>
          <w:szCs w:val="20"/>
        </w:rPr>
        <w:t>ziņojums</w:t>
      </w:r>
    </w:smartTag>
    <w:r>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06" w:rsidRPr="00AF609A" w:rsidRDefault="00584C06" w:rsidP="00AF609A">
    <w:pPr>
      <w:pStyle w:val="naisc"/>
      <w:spacing w:before="0" w:after="0"/>
      <w:jc w:val="both"/>
      <w:rPr>
        <w:sz w:val="20"/>
        <w:szCs w:val="20"/>
      </w:rPr>
    </w:pPr>
    <w:r>
      <w:rPr>
        <w:sz w:val="20"/>
        <w:szCs w:val="20"/>
      </w:rPr>
      <w:t xml:space="preserve">VARAMAnot_111212_DPPgroz; Ministru kabineta rīkojuma projekta „Grozījumi darbības programmas „Infrastruktūra un pakalpojumi” papildinājumā” sākotnējās ietekmes novērtējuma </w:t>
    </w:r>
    <w:smartTag w:uri="schemas-tilde-lv/tildestengine" w:element="veidnes">
      <w:smartTagPr>
        <w:attr w:name="id" w:val="-1"/>
        <w:attr w:name="baseform" w:val="ziņojums"/>
        <w:attr w:name="text" w:val="ziņojums"/>
      </w:smartTagPr>
      <w:r>
        <w:rPr>
          <w:sz w:val="20"/>
          <w:szCs w:val="20"/>
        </w:rPr>
        <w:t>ziņojums</w:t>
      </w:r>
    </w:smartTag>
    <w:r>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06" w:rsidRDefault="00584C06">
      <w:r>
        <w:separator/>
      </w:r>
    </w:p>
  </w:footnote>
  <w:footnote w:type="continuationSeparator" w:id="0">
    <w:p w:rsidR="00584C06" w:rsidRDefault="0058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06" w:rsidRDefault="00A315FF" w:rsidP="004210C4">
    <w:pPr>
      <w:pStyle w:val="Header"/>
      <w:framePr w:wrap="around" w:vAnchor="text" w:hAnchor="margin" w:xAlign="center" w:y="1"/>
      <w:rPr>
        <w:rStyle w:val="PageNumber"/>
      </w:rPr>
    </w:pPr>
    <w:r>
      <w:rPr>
        <w:rStyle w:val="PageNumber"/>
      </w:rPr>
      <w:fldChar w:fldCharType="begin"/>
    </w:r>
    <w:r w:rsidR="00584C06">
      <w:rPr>
        <w:rStyle w:val="PageNumber"/>
      </w:rPr>
      <w:instrText xml:space="preserve">PAGE  </w:instrText>
    </w:r>
    <w:r>
      <w:rPr>
        <w:rStyle w:val="PageNumber"/>
      </w:rPr>
      <w:fldChar w:fldCharType="separate"/>
    </w:r>
    <w:r w:rsidR="00584C06">
      <w:rPr>
        <w:rStyle w:val="PageNumber"/>
        <w:noProof/>
      </w:rPr>
      <w:t>2</w:t>
    </w:r>
    <w:r>
      <w:rPr>
        <w:rStyle w:val="PageNumber"/>
      </w:rPr>
      <w:fldChar w:fldCharType="end"/>
    </w:r>
  </w:p>
  <w:p w:rsidR="00584C06" w:rsidRDefault="00584C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06" w:rsidRDefault="00A315FF" w:rsidP="004210C4">
    <w:pPr>
      <w:pStyle w:val="Header"/>
      <w:framePr w:wrap="around" w:vAnchor="text" w:hAnchor="margin" w:xAlign="center" w:y="1"/>
      <w:rPr>
        <w:rStyle w:val="PageNumber"/>
      </w:rPr>
    </w:pPr>
    <w:r>
      <w:rPr>
        <w:rStyle w:val="PageNumber"/>
      </w:rPr>
      <w:fldChar w:fldCharType="begin"/>
    </w:r>
    <w:r w:rsidR="00584C06">
      <w:rPr>
        <w:rStyle w:val="PageNumber"/>
      </w:rPr>
      <w:instrText xml:space="preserve">PAGE  </w:instrText>
    </w:r>
    <w:r>
      <w:rPr>
        <w:rStyle w:val="PageNumber"/>
      </w:rPr>
      <w:fldChar w:fldCharType="separate"/>
    </w:r>
    <w:r w:rsidR="004624BD">
      <w:rPr>
        <w:rStyle w:val="PageNumber"/>
        <w:noProof/>
      </w:rPr>
      <w:t>3</w:t>
    </w:r>
    <w:r>
      <w:rPr>
        <w:rStyle w:val="PageNumber"/>
      </w:rPr>
      <w:fldChar w:fldCharType="end"/>
    </w:r>
  </w:p>
  <w:p w:rsidR="00584C06" w:rsidRDefault="00584C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F9C"/>
    <w:multiLevelType w:val="hybridMultilevel"/>
    <w:tmpl w:val="33F2583C"/>
    <w:lvl w:ilvl="0" w:tplc="55589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944A21"/>
    <w:multiLevelType w:val="hybridMultilevel"/>
    <w:tmpl w:val="5BC862F4"/>
    <w:lvl w:ilvl="0" w:tplc="4378A6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5315E1B"/>
    <w:multiLevelType w:val="hybridMultilevel"/>
    <w:tmpl w:val="DC042CF6"/>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764BA"/>
    <w:rsid w:val="0000045A"/>
    <w:rsid w:val="00005D0E"/>
    <w:rsid w:val="0000637D"/>
    <w:rsid w:val="000154CB"/>
    <w:rsid w:val="00031B23"/>
    <w:rsid w:val="000372DA"/>
    <w:rsid w:val="00053967"/>
    <w:rsid w:val="00055411"/>
    <w:rsid w:val="00084D71"/>
    <w:rsid w:val="000A03AF"/>
    <w:rsid w:val="000A3740"/>
    <w:rsid w:val="000B05A9"/>
    <w:rsid w:val="000B4B94"/>
    <w:rsid w:val="000D2F5E"/>
    <w:rsid w:val="000D4369"/>
    <w:rsid w:val="000D6B90"/>
    <w:rsid w:val="000D6C4A"/>
    <w:rsid w:val="000E5AAF"/>
    <w:rsid w:val="000F3793"/>
    <w:rsid w:val="00102E9E"/>
    <w:rsid w:val="00127A5D"/>
    <w:rsid w:val="001307EA"/>
    <w:rsid w:val="00130C60"/>
    <w:rsid w:val="00152DB2"/>
    <w:rsid w:val="001565BC"/>
    <w:rsid w:val="00161F68"/>
    <w:rsid w:val="00175F41"/>
    <w:rsid w:val="00182121"/>
    <w:rsid w:val="001835DF"/>
    <w:rsid w:val="0019213E"/>
    <w:rsid w:val="001B321F"/>
    <w:rsid w:val="001C32FE"/>
    <w:rsid w:val="001E7278"/>
    <w:rsid w:val="001E7DAA"/>
    <w:rsid w:val="002172CC"/>
    <w:rsid w:val="00252472"/>
    <w:rsid w:val="002651C7"/>
    <w:rsid w:val="0029464E"/>
    <w:rsid w:val="002A2473"/>
    <w:rsid w:val="002B6263"/>
    <w:rsid w:val="002D5893"/>
    <w:rsid w:val="002D6E8A"/>
    <w:rsid w:val="002D6FDC"/>
    <w:rsid w:val="002F1AED"/>
    <w:rsid w:val="00300F76"/>
    <w:rsid w:val="0030188C"/>
    <w:rsid w:val="00302F42"/>
    <w:rsid w:val="0031023E"/>
    <w:rsid w:val="00315F34"/>
    <w:rsid w:val="00322417"/>
    <w:rsid w:val="003326F2"/>
    <w:rsid w:val="00333FF2"/>
    <w:rsid w:val="003344B3"/>
    <w:rsid w:val="0033733A"/>
    <w:rsid w:val="00355F15"/>
    <w:rsid w:val="003663FA"/>
    <w:rsid w:val="003929B8"/>
    <w:rsid w:val="00393A82"/>
    <w:rsid w:val="003B1797"/>
    <w:rsid w:val="003B4241"/>
    <w:rsid w:val="003B598C"/>
    <w:rsid w:val="004020E7"/>
    <w:rsid w:val="004210C4"/>
    <w:rsid w:val="00421B90"/>
    <w:rsid w:val="00447AC9"/>
    <w:rsid w:val="004624BD"/>
    <w:rsid w:val="004809E4"/>
    <w:rsid w:val="00483FA1"/>
    <w:rsid w:val="00485099"/>
    <w:rsid w:val="0049083E"/>
    <w:rsid w:val="004B36D3"/>
    <w:rsid w:val="004C77B1"/>
    <w:rsid w:val="004D600A"/>
    <w:rsid w:val="004E6E28"/>
    <w:rsid w:val="004F2F71"/>
    <w:rsid w:val="00506615"/>
    <w:rsid w:val="005122FF"/>
    <w:rsid w:val="00516FAD"/>
    <w:rsid w:val="00537D29"/>
    <w:rsid w:val="00546397"/>
    <w:rsid w:val="00565FFC"/>
    <w:rsid w:val="00573770"/>
    <w:rsid w:val="00583831"/>
    <w:rsid w:val="00584C06"/>
    <w:rsid w:val="0058740D"/>
    <w:rsid w:val="00593B00"/>
    <w:rsid w:val="005A1D8A"/>
    <w:rsid w:val="005A7B26"/>
    <w:rsid w:val="005C6545"/>
    <w:rsid w:val="005E313E"/>
    <w:rsid w:val="005F493A"/>
    <w:rsid w:val="00603A20"/>
    <w:rsid w:val="00604030"/>
    <w:rsid w:val="006064D0"/>
    <w:rsid w:val="00606BB1"/>
    <w:rsid w:val="0061387B"/>
    <w:rsid w:val="00623C81"/>
    <w:rsid w:val="00631F5B"/>
    <w:rsid w:val="00634DDA"/>
    <w:rsid w:val="00641C5F"/>
    <w:rsid w:val="006424BB"/>
    <w:rsid w:val="00670FC5"/>
    <w:rsid w:val="00677CC2"/>
    <w:rsid w:val="00691865"/>
    <w:rsid w:val="00693056"/>
    <w:rsid w:val="00693E09"/>
    <w:rsid w:val="006A3D78"/>
    <w:rsid w:val="006D02BA"/>
    <w:rsid w:val="006D2D82"/>
    <w:rsid w:val="006E03EC"/>
    <w:rsid w:val="006F0B27"/>
    <w:rsid w:val="006F25EF"/>
    <w:rsid w:val="006F471C"/>
    <w:rsid w:val="007011B6"/>
    <w:rsid w:val="007128A3"/>
    <w:rsid w:val="00716AA6"/>
    <w:rsid w:val="00721BD8"/>
    <w:rsid w:val="00725E87"/>
    <w:rsid w:val="007267C6"/>
    <w:rsid w:val="0072740A"/>
    <w:rsid w:val="0075734F"/>
    <w:rsid w:val="007671BC"/>
    <w:rsid w:val="00774648"/>
    <w:rsid w:val="0078224C"/>
    <w:rsid w:val="007947F7"/>
    <w:rsid w:val="007A4E6B"/>
    <w:rsid w:val="007B3198"/>
    <w:rsid w:val="007C00D3"/>
    <w:rsid w:val="007C1A44"/>
    <w:rsid w:val="007C5711"/>
    <w:rsid w:val="007F7FB0"/>
    <w:rsid w:val="008133A1"/>
    <w:rsid w:val="00817CC5"/>
    <w:rsid w:val="008468B3"/>
    <w:rsid w:val="00850FDF"/>
    <w:rsid w:val="008549A4"/>
    <w:rsid w:val="00855D73"/>
    <w:rsid w:val="008678B8"/>
    <w:rsid w:val="00870A45"/>
    <w:rsid w:val="008743CA"/>
    <w:rsid w:val="00875DE6"/>
    <w:rsid w:val="008962A1"/>
    <w:rsid w:val="008A1513"/>
    <w:rsid w:val="008B48B4"/>
    <w:rsid w:val="008C6801"/>
    <w:rsid w:val="008D4A5E"/>
    <w:rsid w:val="008E3C5B"/>
    <w:rsid w:val="00904B54"/>
    <w:rsid w:val="00906071"/>
    <w:rsid w:val="0091018E"/>
    <w:rsid w:val="00920063"/>
    <w:rsid w:val="0092282D"/>
    <w:rsid w:val="009332A8"/>
    <w:rsid w:val="00937BE0"/>
    <w:rsid w:val="00950378"/>
    <w:rsid w:val="00953DDC"/>
    <w:rsid w:val="00953F8B"/>
    <w:rsid w:val="00956BC2"/>
    <w:rsid w:val="00964098"/>
    <w:rsid w:val="009750CB"/>
    <w:rsid w:val="00976096"/>
    <w:rsid w:val="009764BA"/>
    <w:rsid w:val="00980A89"/>
    <w:rsid w:val="009958CE"/>
    <w:rsid w:val="009B028A"/>
    <w:rsid w:val="009B48F9"/>
    <w:rsid w:val="009C6970"/>
    <w:rsid w:val="009E0C73"/>
    <w:rsid w:val="009F3E14"/>
    <w:rsid w:val="009F40E3"/>
    <w:rsid w:val="00A03416"/>
    <w:rsid w:val="00A05AC4"/>
    <w:rsid w:val="00A14C8C"/>
    <w:rsid w:val="00A21B13"/>
    <w:rsid w:val="00A315FF"/>
    <w:rsid w:val="00A511ED"/>
    <w:rsid w:val="00A52CC8"/>
    <w:rsid w:val="00A62D63"/>
    <w:rsid w:val="00A7172E"/>
    <w:rsid w:val="00A82340"/>
    <w:rsid w:val="00A87F8B"/>
    <w:rsid w:val="00A936A1"/>
    <w:rsid w:val="00AB65C1"/>
    <w:rsid w:val="00AD5C58"/>
    <w:rsid w:val="00AF609A"/>
    <w:rsid w:val="00B03E2E"/>
    <w:rsid w:val="00B05C5B"/>
    <w:rsid w:val="00B10E23"/>
    <w:rsid w:val="00B13D11"/>
    <w:rsid w:val="00B17161"/>
    <w:rsid w:val="00B179C7"/>
    <w:rsid w:val="00B418AB"/>
    <w:rsid w:val="00B50A47"/>
    <w:rsid w:val="00B50B54"/>
    <w:rsid w:val="00B60CA1"/>
    <w:rsid w:val="00B636B6"/>
    <w:rsid w:val="00B64B68"/>
    <w:rsid w:val="00B65DF2"/>
    <w:rsid w:val="00B751DE"/>
    <w:rsid w:val="00BC04C1"/>
    <w:rsid w:val="00BC5E31"/>
    <w:rsid w:val="00BC6C7B"/>
    <w:rsid w:val="00BF12E9"/>
    <w:rsid w:val="00C25C29"/>
    <w:rsid w:val="00C27809"/>
    <w:rsid w:val="00C50AED"/>
    <w:rsid w:val="00C51B20"/>
    <w:rsid w:val="00C52287"/>
    <w:rsid w:val="00C61B7D"/>
    <w:rsid w:val="00CA258F"/>
    <w:rsid w:val="00CA397E"/>
    <w:rsid w:val="00CB646F"/>
    <w:rsid w:val="00CC3EB1"/>
    <w:rsid w:val="00CD3430"/>
    <w:rsid w:val="00CD373B"/>
    <w:rsid w:val="00CE4BBD"/>
    <w:rsid w:val="00CE4F45"/>
    <w:rsid w:val="00CF53CC"/>
    <w:rsid w:val="00CF6435"/>
    <w:rsid w:val="00D13399"/>
    <w:rsid w:val="00D16022"/>
    <w:rsid w:val="00D17769"/>
    <w:rsid w:val="00D22743"/>
    <w:rsid w:val="00D36B03"/>
    <w:rsid w:val="00D403FA"/>
    <w:rsid w:val="00D405A2"/>
    <w:rsid w:val="00D40E88"/>
    <w:rsid w:val="00D622CB"/>
    <w:rsid w:val="00D6572D"/>
    <w:rsid w:val="00D65F29"/>
    <w:rsid w:val="00D96068"/>
    <w:rsid w:val="00DC5E0A"/>
    <w:rsid w:val="00DD0EE4"/>
    <w:rsid w:val="00DE49DB"/>
    <w:rsid w:val="00DF3054"/>
    <w:rsid w:val="00DF5D11"/>
    <w:rsid w:val="00E00297"/>
    <w:rsid w:val="00E22EEA"/>
    <w:rsid w:val="00E23390"/>
    <w:rsid w:val="00E236C6"/>
    <w:rsid w:val="00E25341"/>
    <w:rsid w:val="00E276F0"/>
    <w:rsid w:val="00E54D60"/>
    <w:rsid w:val="00E55D4E"/>
    <w:rsid w:val="00E7586E"/>
    <w:rsid w:val="00E823DF"/>
    <w:rsid w:val="00E83342"/>
    <w:rsid w:val="00E877D5"/>
    <w:rsid w:val="00E94EC7"/>
    <w:rsid w:val="00E979DB"/>
    <w:rsid w:val="00ED4C32"/>
    <w:rsid w:val="00EE232F"/>
    <w:rsid w:val="00EE2C4C"/>
    <w:rsid w:val="00EE6E3F"/>
    <w:rsid w:val="00EF5046"/>
    <w:rsid w:val="00EF50FB"/>
    <w:rsid w:val="00F155F6"/>
    <w:rsid w:val="00F3538B"/>
    <w:rsid w:val="00F54711"/>
    <w:rsid w:val="00F55006"/>
    <w:rsid w:val="00F84818"/>
    <w:rsid w:val="00F8655F"/>
    <w:rsid w:val="00F93213"/>
    <w:rsid w:val="00F9635C"/>
    <w:rsid w:val="00F96F5A"/>
    <w:rsid w:val="00FB13E7"/>
    <w:rsid w:val="00FC3715"/>
    <w:rsid w:val="00FF3588"/>
    <w:rsid w:val="00FF5533"/>
    <w:rsid w:val="00FF5C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4BA"/>
    <w:pPr>
      <w:spacing w:before="100" w:beforeAutospacing="1" w:after="100" w:afterAutospacing="1"/>
    </w:pPr>
    <w:rPr>
      <w:sz w:val="24"/>
      <w:szCs w:val="24"/>
    </w:rPr>
  </w:style>
  <w:style w:type="paragraph" w:styleId="Heading3">
    <w:name w:val="heading 3"/>
    <w:basedOn w:val="Normal"/>
    <w:next w:val="Normal"/>
    <w:link w:val="Heading3Char"/>
    <w:unhideWhenUsed/>
    <w:qFormat/>
    <w:rsid w:val="00175F41"/>
    <w:pPr>
      <w:keepNext/>
      <w:spacing w:before="240" w:after="60"/>
      <w:outlineLvl w:val="2"/>
    </w:pPr>
    <w:rPr>
      <w:rFonts w:ascii="Cambria" w:hAnsi="Cambria"/>
      <w:b/>
      <w:bCs/>
      <w:sz w:val="26"/>
      <w:szCs w:val="26"/>
    </w:rPr>
  </w:style>
  <w:style w:type="paragraph" w:styleId="Heading4">
    <w:name w:val="heading 4"/>
    <w:basedOn w:val="Normal"/>
    <w:qFormat/>
    <w:rsid w:val="009764BA"/>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64BA"/>
    <w:pPr>
      <w:jc w:val="both"/>
    </w:pPr>
    <w:rPr>
      <w:color w:val="000000"/>
      <w:sz w:val="20"/>
      <w:szCs w:val="20"/>
    </w:rPr>
  </w:style>
  <w:style w:type="paragraph" w:styleId="BodyTextIndent">
    <w:name w:val="Body Text Indent"/>
    <w:basedOn w:val="Normal"/>
    <w:rsid w:val="001307EA"/>
    <w:pPr>
      <w:spacing w:before="0" w:beforeAutospacing="0" w:after="0" w:afterAutospacing="0"/>
      <w:jc w:val="both"/>
    </w:pPr>
    <w:rPr>
      <w:sz w:val="28"/>
      <w:szCs w:val="20"/>
      <w:lang w:eastAsia="en-US"/>
    </w:rPr>
  </w:style>
  <w:style w:type="character" w:styleId="Hyperlink">
    <w:name w:val="Hyperlink"/>
    <w:basedOn w:val="DefaultParagraphFont"/>
    <w:rsid w:val="001307EA"/>
    <w:rPr>
      <w:rFonts w:cs="Times New Roman"/>
      <w:color w:val="0000FF"/>
      <w:u w:val="single"/>
    </w:rPr>
  </w:style>
  <w:style w:type="paragraph" w:styleId="Header">
    <w:name w:val="header"/>
    <w:basedOn w:val="Normal"/>
    <w:rsid w:val="006D02BA"/>
    <w:pPr>
      <w:tabs>
        <w:tab w:val="center" w:pos="4153"/>
        <w:tab w:val="right" w:pos="8306"/>
      </w:tabs>
    </w:pPr>
  </w:style>
  <w:style w:type="paragraph" w:styleId="Footer">
    <w:name w:val="footer"/>
    <w:basedOn w:val="Normal"/>
    <w:rsid w:val="006D02BA"/>
    <w:pPr>
      <w:tabs>
        <w:tab w:val="center" w:pos="4153"/>
        <w:tab w:val="right" w:pos="8306"/>
      </w:tabs>
    </w:pPr>
  </w:style>
  <w:style w:type="character" w:styleId="PageNumber">
    <w:name w:val="page number"/>
    <w:basedOn w:val="DefaultParagraphFont"/>
    <w:rsid w:val="006D02BA"/>
  </w:style>
  <w:style w:type="paragraph" w:customStyle="1" w:styleId="naisc">
    <w:name w:val="naisc"/>
    <w:basedOn w:val="Normal"/>
    <w:rsid w:val="002A2473"/>
    <w:pPr>
      <w:spacing w:before="75" w:beforeAutospacing="0" w:after="75" w:afterAutospacing="0"/>
      <w:jc w:val="center"/>
    </w:pPr>
  </w:style>
  <w:style w:type="paragraph" w:customStyle="1" w:styleId="naisf">
    <w:name w:val="naisf"/>
    <w:basedOn w:val="Normal"/>
    <w:uiPriority w:val="99"/>
    <w:rsid w:val="0033733A"/>
    <w:pPr>
      <w:jc w:val="both"/>
    </w:pPr>
    <w:rPr>
      <w:lang w:val="en-GB" w:eastAsia="en-US"/>
    </w:rPr>
  </w:style>
  <w:style w:type="paragraph" w:customStyle="1" w:styleId="naiskr">
    <w:name w:val="naiskr"/>
    <w:basedOn w:val="Normal"/>
    <w:rsid w:val="0033733A"/>
    <w:pPr>
      <w:spacing w:before="75" w:beforeAutospacing="0" w:after="75" w:afterAutospacing="0"/>
    </w:pPr>
  </w:style>
  <w:style w:type="character" w:customStyle="1" w:styleId="Heading3Char">
    <w:name w:val="Heading 3 Char"/>
    <w:basedOn w:val="DefaultParagraphFont"/>
    <w:link w:val="Heading3"/>
    <w:rsid w:val="00175F41"/>
    <w:rPr>
      <w:rFonts w:ascii="Cambria" w:eastAsia="Times New Roman" w:hAnsi="Cambria" w:cs="Times New Roman"/>
      <w:b/>
      <w:bCs/>
      <w:sz w:val="26"/>
      <w:szCs w:val="26"/>
    </w:rPr>
  </w:style>
  <w:style w:type="character" w:styleId="Strong">
    <w:name w:val="Strong"/>
    <w:basedOn w:val="DefaultParagraphFont"/>
    <w:uiPriority w:val="22"/>
    <w:qFormat/>
    <w:rsid w:val="008B48B4"/>
    <w:rPr>
      <w:b/>
      <w:bCs/>
    </w:rPr>
  </w:style>
  <w:style w:type="paragraph" w:customStyle="1" w:styleId="naisnod">
    <w:name w:val="naisnod"/>
    <w:basedOn w:val="Normal"/>
    <w:rsid w:val="00BC04C1"/>
    <w:pPr>
      <w:spacing w:before="150" w:beforeAutospacing="0" w:after="150" w:afterAutospacing="0"/>
      <w:jc w:val="center"/>
    </w:pPr>
    <w:rPr>
      <w:b/>
      <w:bCs/>
    </w:rPr>
  </w:style>
  <w:style w:type="paragraph" w:styleId="BalloonText">
    <w:name w:val="Balloon Text"/>
    <w:basedOn w:val="Normal"/>
    <w:link w:val="BalloonTextChar"/>
    <w:uiPriority w:val="99"/>
    <w:unhideWhenUsed/>
    <w:rsid w:val="003929B8"/>
    <w:pPr>
      <w:spacing w:before="0" w:beforeAutospacing="0" w:after="0" w:afterAutospacing="0"/>
    </w:pPr>
    <w:rPr>
      <w:rFonts w:ascii="Tahoma" w:hAnsi="Tahoma"/>
      <w:sz w:val="16"/>
      <w:szCs w:val="16"/>
      <w:lang w:eastAsia="en-US"/>
    </w:rPr>
  </w:style>
  <w:style w:type="character" w:customStyle="1" w:styleId="BalloonTextChar">
    <w:name w:val="Balloon Text Char"/>
    <w:basedOn w:val="DefaultParagraphFont"/>
    <w:link w:val="BalloonText"/>
    <w:uiPriority w:val="99"/>
    <w:rsid w:val="003929B8"/>
    <w:rPr>
      <w:rFonts w:ascii="Tahoma" w:hAnsi="Tahoma"/>
      <w:sz w:val="16"/>
      <w:szCs w:val="16"/>
      <w:lang w:eastAsia="en-US"/>
    </w:rPr>
  </w:style>
  <w:style w:type="character" w:styleId="CommentReference">
    <w:name w:val="annotation reference"/>
    <w:basedOn w:val="DefaultParagraphFont"/>
    <w:rsid w:val="008962A1"/>
    <w:rPr>
      <w:sz w:val="16"/>
      <w:szCs w:val="16"/>
    </w:rPr>
  </w:style>
  <w:style w:type="paragraph" w:styleId="CommentText">
    <w:name w:val="annotation text"/>
    <w:basedOn w:val="Normal"/>
    <w:link w:val="CommentTextChar"/>
    <w:rsid w:val="008962A1"/>
    <w:rPr>
      <w:sz w:val="20"/>
      <w:szCs w:val="20"/>
    </w:rPr>
  </w:style>
  <w:style w:type="character" w:customStyle="1" w:styleId="CommentTextChar">
    <w:name w:val="Comment Text Char"/>
    <w:basedOn w:val="DefaultParagraphFont"/>
    <w:link w:val="CommentText"/>
    <w:rsid w:val="008962A1"/>
  </w:style>
  <w:style w:type="paragraph" w:styleId="CommentSubject">
    <w:name w:val="annotation subject"/>
    <w:basedOn w:val="CommentText"/>
    <w:next w:val="CommentText"/>
    <w:link w:val="CommentSubjectChar"/>
    <w:rsid w:val="008962A1"/>
    <w:rPr>
      <w:b/>
      <w:bCs/>
    </w:rPr>
  </w:style>
  <w:style w:type="character" w:customStyle="1" w:styleId="CommentSubjectChar">
    <w:name w:val="Comment Subject Char"/>
    <w:basedOn w:val="CommentTextChar"/>
    <w:link w:val="CommentSubject"/>
    <w:rsid w:val="008962A1"/>
    <w:rPr>
      <w:b/>
      <w:bCs/>
    </w:rPr>
  </w:style>
  <w:style w:type="paragraph" w:styleId="FootnoteText">
    <w:name w:val="footnote text"/>
    <w:basedOn w:val="Normal"/>
    <w:link w:val="FootnoteTextChar"/>
    <w:rsid w:val="00EF5046"/>
    <w:pPr>
      <w:spacing w:before="0" w:beforeAutospacing="0" w:after="0" w:afterAutospacing="0"/>
    </w:pPr>
    <w:rPr>
      <w:sz w:val="20"/>
      <w:szCs w:val="20"/>
    </w:rPr>
  </w:style>
  <w:style w:type="character" w:customStyle="1" w:styleId="FootnoteTextChar">
    <w:name w:val="Footnote Text Char"/>
    <w:basedOn w:val="DefaultParagraphFont"/>
    <w:link w:val="FootnoteText"/>
    <w:rsid w:val="00EF5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535</Words>
  <Characters>4421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2008.gada 28.jūlija noteikumos Nr.606 „Noteikumi par darbības programmas „Infrastruktūra un pakalpojumi” papildinājuma 3.4.1.1.aktivitāti „Ūdenssaimniecības infrastruktūras attīstība apdzīv</vt:lpstr>
    </vt:vector>
  </TitlesOfParts>
  <Company>VARAM</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28.jūlija noteikumos Nr.606 „Noteikumi par darbības programmas „Infrastruktūra un pakalpojumi” papildinājuma 3.4.1.1.aktivitāti „Ūdenssaimniecības infrastruktūras attīstība apdzīv</dc:title>
  <dc:subject>sākotnējās ietekmes novērtējuma ziņojums (anotācija)</dc:subject>
  <dc:creator>Madars Laurs</dc:creator>
  <cp:lastModifiedBy>IevaBrinke</cp:lastModifiedBy>
  <cp:revision>5</cp:revision>
  <cp:lastPrinted>2011-07-14T14:15:00Z</cp:lastPrinted>
  <dcterms:created xsi:type="dcterms:W3CDTF">2012-12-06T06:40:00Z</dcterms:created>
  <dcterms:modified xsi:type="dcterms:W3CDTF">2012-12-11T14:47:00Z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50123911</vt:i4>
  </property>
</Properties>
</file>