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88" w:rsidRPr="00680D6B" w:rsidRDefault="006D1B88" w:rsidP="00613FC0">
      <w:pPr>
        <w:jc w:val="center"/>
        <w:rPr>
          <w:b/>
        </w:rPr>
      </w:pPr>
      <w:r>
        <w:rPr>
          <w:b/>
        </w:rPr>
        <w:t xml:space="preserve">Ministru kabineta noteikumu </w:t>
      </w:r>
      <w:r w:rsidRPr="0016726C">
        <w:rPr>
          <w:b/>
        </w:rPr>
        <w:t xml:space="preserve">„ Grozījumi Ministru kabineta 2002.gada 22.janvāra noteikumos Nr.34 „Noteikumi par piesārņojošo vielu emisiju ūdenī” </w:t>
      </w:r>
      <w:r w:rsidRPr="00680D6B">
        <w:rPr>
          <w:b/>
        </w:rPr>
        <w:t xml:space="preserve">sākotnējās ietekmes novērtējuma </w:t>
      </w:r>
      <w:smartTag w:uri="schemas-tilde-lv/tildestengine" w:element="veidnes">
        <w:smartTagPr>
          <w:attr w:name="id" w:val="-1"/>
          <w:attr w:name="baseform" w:val="ziņojums"/>
          <w:attr w:name="text" w:val="ziņojums"/>
        </w:smartTagPr>
        <w:r w:rsidRPr="00680D6B">
          <w:rPr>
            <w:b/>
          </w:rPr>
          <w:t>ziņojums</w:t>
        </w:r>
      </w:smartTag>
      <w:r w:rsidRPr="00680D6B">
        <w:rPr>
          <w:b/>
        </w:rPr>
        <w:t xml:space="preserve"> (anotācija)</w:t>
      </w:r>
    </w:p>
    <w:p w:rsidR="006D1B88" w:rsidRPr="0048013F" w:rsidRDefault="006D1B88" w:rsidP="00051C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6D1B88" w:rsidRPr="0048013F" w:rsidTr="00051CAD">
        <w:tc>
          <w:tcPr>
            <w:tcW w:w="9287" w:type="dxa"/>
            <w:gridSpan w:val="3"/>
          </w:tcPr>
          <w:p w:rsidR="006D1B88" w:rsidRPr="00680D6B" w:rsidRDefault="006D1B88" w:rsidP="00051CAD">
            <w:pPr>
              <w:jc w:val="center"/>
              <w:rPr>
                <w:b/>
              </w:rPr>
            </w:pPr>
            <w:r w:rsidRPr="00680D6B">
              <w:rPr>
                <w:b/>
              </w:rPr>
              <w:t>I. Tiesību akta projekta izstrādes nepieciešamība</w:t>
            </w:r>
          </w:p>
        </w:tc>
      </w:tr>
      <w:tr w:rsidR="006D1B88" w:rsidRPr="0048013F" w:rsidTr="00051CAD">
        <w:tc>
          <w:tcPr>
            <w:tcW w:w="648" w:type="dxa"/>
          </w:tcPr>
          <w:p w:rsidR="006D1B88" w:rsidRPr="00680D6B" w:rsidRDefault="006D1B88" w:rsidP="00051CAD">
            <w:pPr>
              <w:jc w:val="center"/>
            </w:pPr>
            <w:r w:rsidRPr="00680D6B">
              <w:t>1.</w:t>
            </w:r>
          </w:p>
        </w:tc>
        <w:tc>
          <w:tcPr>
            <w:tcW w:w="2700" w:type="dxa"/>
          </w:tcPr>
          <w:p w:rsidR="006D1B88" w:rsidRPr="00680D6B" w:rsidRDefault="006D1B88" w:rsidP="00051CAD">
            <w:r w:rsidRPr="00680D6B">
              <w:t>Pamatojums</w:t>
            </w:r>
          </w:p>
        </w:tc>
        <w:tc>
          <w:tcPr>
            <w:tcW w:w="5939" w:type="dxa"/>
          </w:tcPr>
          <w:p w:rsidR="006D1B88" w:rsidRDefault="006D1B88" w:rsidP="00654A8C">
            <w:pPr>
              <w:jc w:val="both"/>
              <w:rPr>
                <w:rStyle w:val="Strong"/>
                <w:b w:val="0"/>
                <w:bCs/>
              </w:rPr>
            </w:pPr>
            <w:r>
              <w:rPr>
                <w:rStyle w:val="Strong"/>
                <w:b w:val="0"/>
                <w:bCs/>
              </w:rPr>
              <w:t>Ministru kabineta noteikumu projekts</w:t>
            </w:r>
            <w:r w:rsidRPr="0092787D">
              <w:rPr>
                <w:rStyle w:val="Strong"/>
                <w:b w:val="0"/>
                <w:bCs/>
              </w:rPr>
              <w:t>„ Grozījumi Ministru kabineta 2002.gada 22.janvāra noteikumos Nr.34 „Noteikumi par piesārņojošo vielu emisiju ūdenī”</w:t>
            </w:r>
            <w:r>
              <w:rPr>
                <w:rStyle w:val="Strong"/>
                <w:b w:val="0"/>
                <w:bCs/>
              </w:rPr>
              <w:t xml:space="preserve"> (turpmāk – noteikumu projekts) izstrādāts, pamatojoties uz:</w:t>
            </w:r>
          </w:p>
          <w:p w:rsidR="006D1B88" w:rsidRPr="0045315A" w:rsidRDefault="006D1B88" w:rsidP="00385AF8">
            <w:pPr>
              <w:pStyle w:val="ListParagraph"/>
              <w:numPr>
                <w:ilvl w:val="0"/>
                <w:numId w:val="13"/>
              </w:numPr>
              <w:tabs>
                <w:tab w:val="left" w:pos="371"/>
                <w:tab w:val="left" w:pos="529"/>
                <w:tab w:val="left" w:pos="672"/>
              </w:tabs>
              <w:ind w:left="54" w:firstLine="0"/>
              <w:jc w:val="both"/>
              <w:rPr>
                <w:rStyle w:val="Strong"/>
                <w:b w:val="0"/>
                <w:bCs/>
              </w:rPr>
            </w:pPr>
            <w:r w:rsidRPr="0045315A">
              <w:rPr>
                <w:rStyle w:val="Strong"/>
                <w:b w:val="0"/>
                <w:bCs/>
              </w:rPr>
              <w:t xml:space="preserve">Vides aizsardzības un reģionālās attīstības ministrijas (turpmāk – VARAM) atbildi Eiropas Komisijai (turpmāk – Komisija) uz informācijas pieprasījumu </w:t>
            </w:r>
            <w:proofErr w:type="spellStart"/>
            <w:r w:rsidRPr="0045315A">
              <w:rPr>
                <w:rStyle w:val="Strong"/>
                <w:b w:val="0"/>
                <w:bCs/>
              </w:rPr>
              <w:t>Nr</w:t>
            </w:r>
            <w:proofErr w:type="spellEnd"/>
            <w:r w:rsidRPr="0045315A">
              <w:rPr>
                <w:rStyle w:val="Strong"/>
                <w:b w:val="0"/>
                <w:bCs/>
              </w:rPr>
              <w:t xml:space="preserve">. 3101/12/ENVI, kā arī </w:t>
            </w:r>
            <w:r>
              <w:t xml:space="preserve">Komisijas uzsākto pārkāpuma procedūras lietu 2012/2163. Informācijas pieprasījums un pārkāpuma procedūra saistīti ar nepilnībām un neprecizitātēm </w:t>
            </w:r>
            <w:r w:rsidRPr="0045315A">
              <w:rPr>
                <w:rStyle w:val="Strong"/>
                <w:b w:val="0"/>
                <w:bCs/>
              </w:rPr>
              <w:t xml:space="preserve">Eiropas Parlamenta un Padomes 2006.gada 12.decembra Direktīvas 2006/118/EK par gruntsūdeņu aizsardzību pret piesārņojumu un pasliktināšanos (turpmāk – Direktīva 2006/118/EK) pārņemšanā Latvijas tiesību aktos. </w:t>
            </w:r>
          </w:p>
          <w:p w:rsidR="006D1B88" w:rsidRPr="008D106A" w:rsidRDefault="006D1B88" w:rsidP="00385AF8">
            <w:pPr>
              <w:pStyle w:val="ListParagraph"/>
              <w:numPr>
                <w:ilvl w:val="0"/>
                <w:numId w:val="13"/>
              </w:numPr>
              <w:tabs>
                <w:tab w:val="left" w:pos="228"/>
                <w:tab w:val="left" w:pos="387"/>
              </w:tabs>
              <w:ind w:left="54" w:firstLine="0"/>
              <w:jc w:val="both"/>
              <w:rPr>
                <w:rStyle w:val="Strong"/>
                <w:b w:val="0"/>
                <w:bCs/>
              </w:rPr>
            </w:pPr>
            <w:r w:rsidRPr="008D106A">
              <w:t>VARAM atbildi Komisijai uz informācijas pieprasījumu Nr.ENVA.2SA/</w:t>
            </w:r>
            <w:proofErr w:type="spellStart"/>
            <w:r w:rsidRPr="008D106A">
              <w:t>amj</w:t>
            </w:r>
            <w:proofErr w:type="spellEnd"/>
            <w:r w:rsidRPr="008D106A">
              <w:t xml:space="preserve">/ARES(2009)17764 saistībā ar </w:t>
            </w:r>
            <w:r>
              <w:t xml:space="preserve">atsevišķām </w:t>
            </w:r>
            <w:r w:rsidRPr="008D106A">
              <w:t>neprecizitātēm Padomes 1991.gada 21.maija Direktīvas 91/271/EEK par komunālo notekūdeņu attīrīšanu (turpmāk – Direktīva 91/271/</w:t>
            </w:r>
            <w:smartTag w:uri="schemas-tilde-lv/tildestengine" w:element="currency2">
              <w:smartTagPr>
                <w:attr w:name="currency_text" w:val="EEK"/>
                <w:attr w:name="currency_value" w:val="1"/>
                <w:attr w:name="currency_key" w:val="EEK"/>
                <w:attr w:name="currency_id" w:val="14"/>
              </w:smartTagPr>
              <w:r w:rsidRPr="008D106A">
                <w:t>EEK</w:t>
              </w:r>
            </w:smartTag>
            <w:r w:rsidRPr="008D106A">
              <w:t xml:space="preserve">) </w:t>
            </w:r>
            <w:r w:rsidRPr="008D106A">
              <w:rPr>
                <w:rStyle w:val="Strong"/>
                <w:b w:val="0"/>
                <w:bCs/>
              </w:rPr>
              <w:t xml:space="preserve">pārņemšanā Latvijas tiesību aktos. </w:t>
            </w:r>
          </w:p>
          <w:p w:rsidR="006D1B88" w:rsidRPr="002F47C4" w:rsidRDefault="006D1B88" w:rsidP="00654A8C">
            <w:pPr>
              <w:jc w:val="both"/>
              <w:rPr>
                <w:b/>
              </w:rPr>
            </w:pPr>
            <w:r w:rsidRPr="0045315A">
              <w:rPr>
                <w:rStyle w:val="Strong"/>
                <w:b w:val="0"/>
                <w:bCs/>
              </w:rPr>
              <w:t>Noteikumu projekts izstrādāts, lai novērstu Latvijas puses atzītās nepilnības un neprecizitātes</w:t>
            </w:r>
            <w:r>
              <w:rPr>
                <w:rStyle w:val="Strong"/>
                <w:b w:val="0"/>
                <w:bCs/>
              </w:rPr>
              <w:t>.</w:t>
            </w:r>
          </w:p>
        </w:tc>
      </w:tr>
      <w:tr w:rsidR="006D1B88" w:rsidRPr="0048013F" w:rsidTr="00051CAD">
        <w:tc>
          <w:tcPr>
            <w:tcW w:w="648" w:type="dxa"/>
          </w:tcPr>
          <w:p w:rsidR="006D1B88" w:rsidRPr="00680D6B" w:rsidRDefault="006D1B88" w:rsidP="00051CAD">
            <w:pPr>
              <w:jc w:val="center"/>
            </w:pPr>
            <w:r w:rsidRPr="00680D6B">
              <w:t>2.</w:t>
            </w:r>
          </w:p>
        </w:tc>
        <w:tc>
          <w:tcPr>
            <w:tcW w:w="2700" w:type="dxa"/>
          </w:tcPr>
          <w:p w:rsidR="006D1B88" w:rsidRPr="00680D6B" w:rsidRDefault="006D1B88" w:rsidP="00051CAD">
            <w:r w:rsidRPr="00680D6B">
              <w:t>Pašreizējā situācija un problēmas</w:t>
            </w:r>
          </w:p>
        </w:tc>
        <w:tc>
          <w:tcPr>
            <w:tcW w:w="5939" w:type="dxa"/>
          </w:tcPr>
          <w:p w:rsidR="006D1B88" w:rsidRPr="00F63F02" w:rsidRDefault="006D1B88" w:rsidP="00DE0E9C">
            <w:pPr>
              <w:pStyle w:val="naisf"/>
              <w:spacing w:before="0" w:after="0"/>
              <w:ind w:firstLine="0"/>
            </w:pPr>
            <w:r w:rsidRPr="00F63F02">
              <w:t xml:space="preserve">Direktīvas 2006/118/EK prasības ir pārņemtas Ūdens apsaimniekošanas likumā un vairākos Ministru kabineta noteikumos, tai skaitā, Ministru kabineta 2002.gada 22.janvāra noteikumos Nr.34 „Noteikumi par piesārņojošo vielu emisiju ūdenī” (turpmāk – MK noteikumi Nr.34). </w:t>
            </w:r>
          </w:p>
          <w:p w:rsidR="006D1B88" w:rsidRPr="00F63F02" w:rsidRDefault="006D1B88" w:rsidP="00DE0E9C">
            <w:pPr>
              <w:pStyle w:val="naisf"/>
              <w:spacing w:before="0" w:after="0"/>
              <w:ind w:firstLine="0"/>
            </w:pPr>
            <w:r w:rsidRPr="00F63F02">
              <w:t xml:space="preserve">VARAM 2012.gada 23.februārī saņēma Komisijas informācijas pieprasījumu </w:t>
            </w:r>
            <w:proofErr w:type="spellStart"/>
            <w:r w:rsidRPr="00F63F02">
              <w:t>Nr</w:t>
            </w:r>
            <w:proofErr w:type="spellEnd"/>
            <w:r w:rsidRPr="00F63F02">
              <w:t xml:space="preserve">. 3101/12/ENVI par Direktīvas 2006/118/EK transponēšanu (EU Pilot pieprasījums). Tajā izklāstīts Komisijas viedoklis par Latvijas tiesību aktu atbilstību minētās direktīvas nosacījumiem un aicināts iesniegt apsvērumus par pieprasījumā uzdotajiem jautājumiem. Pēc saņemtās vēstules izvērtēšanas, VARAM 2012.gada 18.aprīļa atbildes vēstulē atzina, ka atsevišķi Direktīvas 2006/118/EK panti nav pārņemti precīzi, un apņēmās attiecīgos trūkumus novērst līdz 2012.gada 20.decembrim. </w:t>
            </w:r>
          </w:p>
          <w:p w:rsidR="006D1B88" w:rsidRDefault="006D1B88" w:rsidP="00676287">
            <w:pPr>
              <w:pStyle w:val="naisf"/>
              <w:spacing w:before="0" w:after="0"/>
              <w:ind w:firstLine="0"/>
            </w:pPr>
            <w:r w:rsidRPr="00F63F02">
              <w:t xml:space="preserve">Tomēr 2012. gada 3.oktobrī VARAM saņēma oficiālā paziņojuma vēstuli, ka Komisija pēc pašas iniciatīvas ir uzsākusi lietu 2012/2163 sakarā ar nepilnībām un neprecizitātēm Direktīvas 2006/118/EK pārņemšanā. Komisija aicina Latviju divu mēnešu laikā iesniegt </w:t>
            </w:r>
            <w:r w:rsidRPr="00F63F02">
              <w:lastRenderedPageBreak/>
              <w:t xml:space="preserve">apsvērumus par minēto lietu, pretējā gadījumā tā var izdot argumentēto atzinumu. Tādējādi vienlaikus ar nostājas projekta sagatavošanu nepieciešams virzīt grozījumus MK noteikumos </w:t>
            </w:r>
            <w:proofErr w:type="spellStart"/>
            <w:r w:rsidRPr="00F63F02">
              <w:t>Nr</w:t>
            </w:r>
            <w:proofErr w:type="spellEnd"/>
            <w:r w:rsidRPr="00F63F02">
              <w:t xml:space="preserve">. 34, lai novērstu Komisijas konstatētos trūkumus. </w:t>
            </w:r>
          </w:p>
          <w:p w:rsidR="006D1B88" w:rsidRPr="00B20E6F" w:rsidRDefault="006D1B88" w:rsidP="00275076">
            <w:pPr>
              <w:pStyle w:val="naisf"/>
              <w:spacing w:before="0" w:after="0"/>
              <w:ind w:firstLine="374"/>
            </w:pPr>
            <w:r w:rsidRPr="00B20E6F">
              <w:t>Komisijas Vides ģenerāldirektorāta 2009.gada 20.jūlija vēstulē Nr.ENVA.2SA/</w:t>
            </w:r>
            <w:proofErr w:type="spellStart"/>
            <w:r w:rsidRPr="00B20E6F">
              <w:t>amj</w:t>
            </w:r>
            <w:proofErr w:type="spellEnd"/>
            <w:r w:rsidRPr="00B20E6F">
              <w:t>/ARES(2009)17764 Latvijai tika ieteikts novērst atsevišķas neprecizitātes sakarā ar Padomes 1991.gada 21.maija Direktīvas 91/271/EEK par komunālo notekūdeņu attīrīšanu (turpmāk – Direktīva 91/271/</w:t>
            </w:r>
            <w:smartTag w:uri="schemas-tilde-lv/tildestengine" w:element="currency2">
              <w:smartTagPr>
                <w:attr w:name="currency_text" w:val="EEK"/>
                <w:attr w:name="currency_value" w:val="1"/>
                <w:attr w:name="currency_key" w:val="EEK"/>
                <w:attr w:name="currency_id" w:val="14"/>
              </w:smartTagPr>
              <w:r w:rsidRPr="00B20E6F">
                <w:t>EEK</w:t>
              </w:r>
            </w:smartTag>
            <w:r w:rsidRPr="00B20E6F">
              <w:t xml:space="preserve">) prasību pārņemšanu Latvijas tiesību aktos. VARAM 2009.gada 18.septembra atbildes vēstulē Komisijai informēja, ka atsevišķi Komisijas vēstulē minētie trūkumi tiks novērsti, iekļaujot attiecīgus precizējumus MK noteikumu Nr.34 grozījumos. Iepriekšminētie nosacījumi neietekmē Direktīvas 91/271/EEK ieviešanu, bet to iekļaušana noteikumu projektā novērsīs nepilnības direktīvas transponēšanā. </w:t>
            </w:r>
          </w:p>
          <w:p w:rsidR="006D1B88" w:rsidRPr="00F63F02" w:rsidRDefault="006D1B88" w:rsidP="00385AF8">
            <w:pPr>
              <w:pStyle w:val="Title"/>
              <w:ind w:firstLine="480"/>
              <w:jc w:val="both"/>
              <w:rPr>
                <w:b w:val="0"/>
                <w:color w:val="0070C0"/>
                <w:sz w:val="24"/>
              </w:rPr>
            </w:pPr>
            <w:r w:rsidRPr="00B20E6F">
              <w:rPr>
                <w:b w:val="0"/>
                <w:sz w:val="24"/>
              </w:rPr>
              <w:t xml:space="preserve">MK noteikumos Nr.34 ir pārņemtas atsevišķas prasības arī no 2008.gada 16.decembra Eiropas Parlamenta un Padomes Direktīvas 2008/105/EK par </w:t>
            </w:r>
            <w:r w:rsidRPr="00B20E6F">
              <w:rPr>
                <w:b w:val="0"/>
                <w:bCs/>
                <w:sz w:val="24"/>
              </w:rPr>
              <w:t xml:space="preserve">vides kvalitātes standartiem ūdens resursu politikas jomā, un ar ko groza un sekojoši atceļ </w:t>
            </w:r>
            <w:r w:rsidRPr="00B20E6F">
              <w:rPr>
                <w:b w:val="0"/>
                <w:sz w:val="24"/>
              </w:rPr>
              <w:t xml:space="preserve">Padomes Direktīvas 82/176/EEK, 83/513/EEK, 84/156/EEK, 84/491/EEK, 86/280/EEK, un ar ko groza Direktīvu 2000/60/EK (turpmāk - Direktīva 2008/105/EK). Minētā direktīva ir izstrādāta, lai īstenotu Ūdens </w:t>
            </w:r>
            <w:proofErr w:type="spellStart"/>
            <w:r w:rsidRPr="00B20E6F">
              <w:rPr>
                <w:b w:val="0"/>
                <w:sz w:val="24"/>
              </w:rPr>
              <w:t>struktūrdirektīvā</w:t>
            </w:r>
            <w:proofErr w:type="spellEnd"/>
            <w:r w:rsidRPr="00B20E6F">
              <w:rPr>
                <w:b w:val="0"/>
                <w:sz w:val="24"/>
              </w:rPr>
              <w:t xml:space="preserve"> (2000/60/EK) noteikto stratēģiju ūdeņu aizsardzībai pret ķīmisko piesārņojumu</w:t>
            </w:r>
            <w:r>
              <w:rPr>
                <w:b w:val="0"/>
                <w:sz w:val="24"/>
              </w:rPr>
              <w:t>.</w:t>
            </w:r>
            <w:r w:rsidRPr="00B20E6F">
              <w:rPr>
                <w:b w:val="0"/>
                <w:sz w:val="24"/>
              </w:rPr>
              <w:t xml:space="preserve"> Direktīvā 2008/105/EK ir noteikts prioritāro vielu un citu bīstamu vielu saraksts un tām attiecīgi vides kvalitātes normatīvi, kuru atbilstības kontrole ir īpaši nozīmīga virszemes ūdeņu kvalitātes aizsardzībai Eiropas Savienībā. Ar notekūdeņiem emitētās bīstamās ķīmiskās vielas nedrīkst būt tādos daudzumos, kas virszemes ūdeņos radītu kvalitātes normatīvu pārsniegumus un šo vielu koncentrāciju pieaugumu gan </w:t>
            </w:r>
            <w:proofErr w:type="spellStart"/>
            <w:r w:rsidRPr="00B20E6F">
              <w:rPr>
                <w:b w:val="0"/>
                <w:sz w:val="24"/>
              </w:rPr>
              <w:t>sedimentos</w:t>
            </w:r>
            <w:proofErr w:type="spellEnd"/>
            <w:r w:rsidRPr="00B20E6F">
              <w:rPr>
                <w:b w:val="0"/>
                <w:sz w:val="24"/>
              </w:rPr>
              <w:t>, gan dzīvajos organismos. Minētās normas ir pārņemtas Latvijas tiesību aktos. Vienlaikus Direktīva 2008/105/EK saskaņā ar 12.panta nosacījumu no 2012.gada 22.decembra atceļ piecu novecojušu direktīvu (Padomes Direktīvas 82/176/EEK, 83/513/EEK, 84/156/EEK, 84/491/EEK, 86/280/</w:t>
            </w:r>
            <w:smartTag w:uri="schemas-tilde-lv/tildestengine" w:element="currency2">
              <w:smartTagPr>
                <w:attr w:name="currency_text" w:val="EEK"/>
                <w:attr w:name="currency_value" w:val="1"/>
                <w:attr w:name="currency_key" w:val="EEK"/>
                <w:attr w:name="currency_id" w:val="14"/>
              </w:smartTagPr>
              <w:r w:rsidRPr="00B20E6F">
                <w:rPr>
                  <w:b w:val="0"/>
                  <w:sz w:val="24"/>
                </w:rPr>
                <w:t>EEK</w:t>
              </w:r>
            </w:smartTag>
            <w:r w:rsidRPr="00B20E6F">
              <w:rPr>
                <w:b w:val="0"/>
                <w:sz w:val="24"/>
              </w:rPr>
              <w:t xml:space="preserve">) prasības, kurās atsevišķām vielām noteiktie vides kvalitātes mērķi un to sasniegšanai noteiktās prasības vairs neatbilst jaunākajām zinātniskajām atziņām un līdz ar to nav atbilstošas arī Ūdens </w:t>
            </w:r>
            <w:proofErr w:type="spellStart"/>
            <w:r w:rsidRPr="00B20E6F">
              <w:rPr>
                <w:b w:val="0"/>
                <w:sz w:val="24"/>
              </w:rPr>
              <w:t>struktūrdirektīvas</w:t>
            </w:r>
            <w:proofErr w:type="spellEnd"/>
            <w:r w:rsidRPr="00B20E6F">
              <w:rPr>
                <w:b w:val="0"/>
                <w:sz w:val="24"/>
              </w:rPr>
              <w:t xml:space="preserve"> mērķiem un Latvijas vides aizsardzības normatīvajos aktos noteiktajām prasībām. Tāpēc nepieciešams attiecīgi preci</w:t>
            </w:r>
            <w:r>
              <w:rPr>
                <w:b w:val="0"/>
                <w:sz w:val="24"/>
              </w:rPr>
              <w:t xml:space="preserve">zēt MK noteikumus Nr.34, izslēdzot iepriekšminēto piecu novecojušo direktīvu prasības. </w:t>
            </w:r>
          </w:p>
          <w:p w:rsidR="006D1B88" w:rsidRPr="00F63F02" w:rsidRDefault="006D1B88" w:rsidP="00825127">
            <w:pPr>
              <w:pStyle w:val="naisf"/>
              <w:spacing w:before="0" w:after="120"/>
              <w:ind w:firstLine="0"/>
            </w:pPr>
            <w:r w:rsidRPr="00F63F02">
              <w:t>Ministru kabinetā 2011.gada 31.maij</w:t>
            </w:r>
            <w:r w:rsidR="00E5115D">
              <w:t>a</w:t>
            </w:r>
            <w:r w:rsidRPr="00F63F02">
              <w:t xml:space="preserve"> noteikumos Nr.418 </w:t>
            </w:r>
            <w:r>
              <w:lastRenderedPageBreak/>
              <w:t>„</w:t>
            </w:r>
            <w:r w:rsidRPr="00F63F02">
              <w:t>Noteikumi par riska ūdensobjektiem</w:t>
            </w:r>
            <w:r>
              <w:t>”</w:t>
            </w:r>
            <w:r w:rsidRPr="00F63F02">
              <w:t xml:space="preserve"> ir noteikts virszemes ūdensobjektu saraksts (tai skaitā to atrašanas vieta un pašvaldības, kuras atrodas šo ūdensobjektu sateces baseinā), kuros pastāv risks nesasniegt Ūdens apsaimniekošanas likumā noteikto labu stāvokli, ja slodze uz šo ūdensobjektu nemazināsies vai  jauna papildu slodze izraisīs ūdensobjekta stāvokļa pasliktināšanos tā pašlaik neapmierinošās kvalitātes vai dabīgā stāvokļa dēļ. Lai sasniegtu likumā noteiktos vides kvalitātes mērķus, riska ūdensobjektos </w:t>
            </w:r>
            <w:r>
              <w:t xml:space="preserve">emitētiem notekūdeņiem </w:t>
            </w:r>
            <w:r w:rsidRPr="00F63F02">
              <w:t>ir nepiec</w:t>
            </w:r>
            <w:r>
              <w:t xml:space="preserve">iešama intensīvāka attīrīšana, nekā to nosaka </w:t>
            </w:r>
            <w:r w:rsidRPr="0095551D">
              <w:t>Direktīva 91/271/EEK</w:t>
            </w:r>
            <w:r>
              <w:t xml:space="preserve"> un spēkā esošais normatīvais regulējums</w:t>
            </w:r>
            <w:r w:rsidRPr="00F63F02">
              <w:t>.</w:t>
            </w:r>
            <w:r>
              <w:t xml:space="preserve"> </w:t>
            </w:r>
          </w:p>
          <w:p w:rsidR="006D1B88" w:rsidRPr="000F6B1E" w:rsidRDefault="006D1B88" w:rsidP="008C2272">
            <w:pPr>
              <w:autoSpaceDE w:val="0"/>
              <w:autoSpaceDN w:val="0"/>
              <w:adjustRightInd w:val="0"/>
              <w:ind w:firstLine="432"/>
              <w:jc w:val="both"/>
            </w:pPr>
            <w:r w:rsidRPr="000F6B1E">
              <w:t xml:space="preserve">Ministru kabineta noteikumi Nr.34 nosaka, ka operatoru monitoringam nepieciešamās analīzes veic laboratorija, kas akreditēta atbilstoši standarta LVS EN ISO/IEC 17025:2005 „Testēšanas un kalibrēšanas laboratoriju kompetences vispārīgās prasības" prasībām. Vienlaikus jāatzīmē, ka paraugu ņemšana būtiski ietekmē testēšanas galarezultātus un līdz ar to normatīvajos aktos noteikto valsts statistikas vajadzībām apkopojamo datu kvalitāti. Ir nepieciešams novērst tādus gadījumus, kad operators, detalizēti nepārzinot attiecīgās paraugu ņemšanas un uzglabāšanas prasības, pats veic paraugu ņemšanu un nogādā to laboratorijā analīžu veikšanai. </w:t>
            </w:r>
            <w:r>
              <w:t xml:space="preserve">Ir nepieciešams noteikt, </w:t>
            </w:r>
            <w:r w:rsidRPr="000F6B1E">
              <w:t xml:space="preserve">ka operatoru monitoringā paraugi jāņem laboratorijai, kura attiecīgajā jomā ir akreditējusi metodes. </w:t>
            </w:r>
          </w:p>
          <w:p w:rsidR="006D1B88" w:rsidRDefault="006D1B88" w:rsidP="00ED6D96">
            <w:pPr>
              <w:autoSpaceDE w:val="0"/>
              <w:autoSpaceDN w:val="0"/>
              <w:adjustRightInd w:val="0"/>
              <w:ind w:firstLine="432"/>
              <w:jc w:val="both"/>
            </w:pPr>
            <w:r w:rsidRPr="00F63F02">
              <w:t>Pašlaik M</w:t>
            </w:r>
            <w:r>
              <w:t xml:space="preserve">K </w:t>
            </w:r>
            <w:r w:rsidRPr="00F63F02">
              <w:t xml:space="preserve">noteikumi Nr.34 nenosaka prasības ražošanas notekūdeņu attīrīšanai tajos gadījumos, ja tehnisku vai citu iemeslu dēļ </w:t>
            </w:r>
            <w:r>
              <w:t>šādi</w:t>
            </w:r>
            <w:r w:rsidRPr="00F63F02">
              <w:t xml:space="preserve"> notekūdeņi tiek ievadīti lietus notekūdeņu kanalizācijas sistēmā</w:t>
            </w:r>
            <w:r>
              <w:t>, piemēram no lielveikaliem.</w:t>
            </w:r>
            <w:r w:rsidRPr="00F63F02">
              <w:t xml:space="preserve"> Lai novērstu neatbilstošu lietus ūdeņu kanalizācijas sistēmas izmantošanu, noteikumu projektā ir </w:t>
            </w:r>
            <w:r>
              <w:t xml:space="preserve">nepieciešams iekļaut prasību, kas aizliedz neattīrītu ražošanas notekūdeņu novadīšanu </w:t>
            </w:r>
            <w:r w:rsidRPr="00F63F02">
              <w:t>lietus ūdeņu kanalizācijā.</w:t>
            </w:r>
          </w:p>
          <w:p w:rsidR="006D1B88" w:rsidRPr="00F63F02" w:rsidRDefault="006D1B88" w:rsidP="00ED6D96">
            <w:pPr>
              <w:autoSpaceDE w:val="0"/>
              <w:autoSpaceDN w:val="0"/>
              <w:adjustRightInd w:val="0"/>
              <w:ind w:firstLine="432"/>
              <w:jc w:val="both"/>
            </w:pPr>
            <w:r w:rsidRPr="00F63F02">
              <w:t xml:space="preserve"> </w:t>
            </w:r>
          </w:p>
        </w:tc>
      </w:tr>
      <w:tr w:rsidR="006D1B88" w:rsidRPr="0048013F" w:rsidTr="00051CAD">
        <w:tc>
          <w:tcPr>
            <w:tcW w:w="648" w:type="dxa"/>
          </w:tcPr>
          <w:p w:rsidR="006D1B88" w:rsidRPr="00680D6B" w:rsidRDefault="006D1B88" w:rsidP="00051CAD">
            <w:pPr>
              <w:jc w:val="center"/>
            </w:pPr>
            <w:r w:rsidRPr="00680D6B">
              <w:lastRenderedPageBreak/>
              <w:t>3.</w:t>
            </w:r>
          </w:p>
        </w:tc>
        <w:tc>
          <w:tcPr>
            <w:tcW w:w="2700" w:type="dxa"/>
          </w:tcPr>
          <w:p w:rsidR="006D1B88" w:rsidRPr="00680D6B" w:rsidRDefault="006D1B88" w:rsidP="00051CAD">
            <w:r w:rsidRPr="00680D6B">
              <w:t>Saistītie politikas ietekmes novērtējumi un pētījumi</w:t>
            </w:r>
          </w:p>
        </w:tc>
        <w:tc>
          <w:tcPr>
            <w:tcW w:w="5939" w:type="dxa"/>
          </w:tcPr>
          <w:p w:rsidR="006D1B88" w:rsidRPr="00680D6B" w:rsidRDefault="006D1B88" w:rsidP="00051CAD">
            <w:r>
              <w:t>Projekts šo jomu neskar</w:t>
            </w:r>
            <w:r w:rsidR="00012B78">
              <w:t>.</w:t>
            </w:r>
          </w:p>
        </w:tc>
      </w:tr>
      <w:tr w:rsidR="006D1B88" w:rsidRPr="0048013F" w:rsidTr="00051CAD">
        <w:tc>
          <w:tcPr>
            <w:tcW w:w="648" w:type="dxa"/>
          </w:tcPr>
          <w:p w:rsidR="006D1B88" w:rsidRPr="00680D6B" w:rsidRDefault="006D1B88" w:rsidP="00051CAD">
            <w:pPr>
              <w:jc w:val="center"/>
            </w:pPr>
            <w:r w:rsidRPr="00680D6B">
              <w:t>4.</w:t>
            </w:r>
          </w:p>
        </w:tc>
        <w:tc>
          <w:tcPr>
            <w:tcW w:w="2700" w:type="dxa"/>
          </w:tcPr>
          <w:p w:rsidR="006D1B88" w:rsidRPr="00680D6B" w:rsidRDefault="006D1B88" w:rsidP="00051CAD">
            <w:r w:rsidRPr="00680D6B">
              <w:t>Tiesiskā regulējuma mērķis un būtība</w:t>
            </w:r>
          </w:p>
        </w:tc>
        <w:tc>
          <w:tcPr>
            <w:tcW w:w="5939" w:type="dxa"/>
          </w:tcPr>
          <w:p w:rsidR="006D1B88" w:rsidRPr="009B6CF7" w:rsidRDefault="006D1B88" w:rsidP="00B34B6F">
            <w:pPr>
              <w:pStyle w:val="BodyTextIndent2"/>
              <w:spacing w:line="240" w:lineRule="auto"/>
              <w:ind w:left="0"/>
              <w:jc w:val="both"/>
            </w:pPr>
            <w:r w:rsidRPr="009B6CF7">
              <w:t xml:space="preserve">Lai pilnībā novērstu Komisijas konstatētos trūkumus Direktīvas 2006/118/EK pārņemšanā, noteikumu projektā ir precizēti nosacījumi, ar kādiem Valsts vides dienesta reģionālās vides pārvaldes (turpmāk – RVP) var atļaut piesārņojošo vielu ieplūšanu pazemes ūdensobjektos. </w:t>
            </w:r>
            <w:r w:rsidR="00385AF8" w:rsidRPr="009B6CF7">
              <w:t xml:space="preserve">Papildus tam noteikumu projektā  tiek </w:t>
            </w:r>
            <w:proofErr w:type="spellStart"/>
            <w:r w:rsidR="00AA6546" w:rsidRPr="009B6CF7">
              <w:t>detalizētāk</w:t>
            </w:r>
            <w:proofErr w:type="spellEnd"/>
            <w:r w:rsidR="00AA6546" w:rsidRPr="009B6CF7">
              <w:t xml:space="preserve"> noteikta </w:t>
            </w:r>
            <w:r w:rsidR="00E375AC" w:rsidRPr="009B6CF7">
              <w:t>RVP</w:t>
            </w:r>
            <w:r w:rsidR="00AA6546" w:rsidRPr="009B6CF7">
              <w:t xml:space="preserve"> rīcība tajos gadījumos, kad pazemes ūdensobjektā konstatēta stabila piesārņojuma pieauguma tendence.</w:t>
            </w:r>
            <w:r w:rsidR="00DC6B2E" w:rsidRPr="009B6CF7">
              <w:t xml:space="preserve"> Noteikumu projekts nosaka, ka šādos gadījumos </w:t>
            </w:r>
            <w:r w:rsidR="00E375AC" w:rsidRPr="009B6CF7">
              <w:t>RVP</w:t>
            </w:r>
            <w:r w:rsidR="00DC6B2E" w:rsidRPr="009B6CF7">
              <w:t xml:space="preserve"> neizsniedz atļauju</w:t>
            </w:r>
            <w:r w:rsidR="00246E11" w:rsidRPr="009B6CF7">
              <w:t xml:space="preserve"> piesārņojošām darbībām</w:t>
            </w:r>
            <w:r w:rsidR="00071F76" w:rsidRPr="009B6CF7">
              <w:t>, kuras varētu ietekmēt pazemes ūdeņu kvalitāti</w:t>
            </w:r>
            <w:r w:rsidR="002902C1" w:rsidRPr="009B6CF7">
              <w:t>, un</w:t>
            </w:r>
            <w:r w:rsidR="00071F76" w:rsidRPr="009B6CF7">
              <w:t xml:space="preserve"> </w:t>
            </w:r>
            <w:r w:rsidR="00BF0248" w:rsidRPr="009B6CF7">
              <w:t xml:space="preserve">tiesību aktā paredzētie </w:t>
            </w:r>
            <w:r w:rsidR="00071F76" w:rsidRPr="009B6CF7">
              <w:t>izņēmum</w:t>
            </w:r>
            <w:r w:rsidR="00BF0248" w:rsidRPr="009B6CF7">
              <w:t>i</w:t>
            </w:r>
            <w:r w:rsidR="00071F76" w:rsidRPr="009B6CF7">
              <w:t xml:space="preserve"> attiecībā uz tiešu vai netiešu emisiju pazemes ūdeņos</w:t>
            </w:r>
            <w:r w:rsidR="00BF0248" w:rsidRPr="009B6CF7">
              <w:t xml:space="preserve"> nav spēkā</w:t>
            </w:r>
            <w:r w:rsidR="00071F76" w:rsidRPr="009B6CF7">
              <w:t>.</w:t>
            </w:r>
            <w:r w:rsidR="00BF0248" w:rsidRPr="009B6CF7">
              <w:t xml:space="preserve"> Bez tam, </w:t>
            </w:r>
            <w:r w:rsidR="00EC5453" w:rsidRPr="009B6CF7">
              <w:t xml:space="preserve">noteikumu projekts nosaka, ka </w:t>
            </w:r>
            <w:r w:rsidR="00E375AC" w:rsidRPr="009B6CF7">
              <w:t>RVP, izsniedzot atļaujas piesārņojošām darbībām, kas varētu ietekmēt pazemes ūdeņu kvalitāti, nepieciešamības gadījumā ir tiesības</w:t>
            </w:r>
            <w:r w:rsidR="00EC5453" w:rsidRPr="009B6CF7">
              <w:t xml:space="preserve"> </w:t>
            </w:r>
            <w:r w:rsidR="00E375AC" w:rsidRPr="009B6CF7">
              <w:t>atļaujas nosacījumos iekļaut pasākumus</w:t>
            </w:r>
            <w:r w:rsidR="00545485" w:rsidRPr="009B6CF7">
              <w:t>, lai novērstu turpmāku piesārņojuma palielināšanos.</w:t>
            </w:r>
            <w:r w:rsidR="00E375AC" w:rsidRPr="009B6CF7">
              <w:t xml:space="preserve"> </w:t>
            </w:r>
          </w:p>
          <w:p w:rsidR="006D1B88" w:rsidRPr="009B6CF7" w:rsidRDefault="006D1B88" w:rsidP="00BA11BC">
            <w:pPr>
              <w:pStyle w:val="BodyTextIndent2"/>
              <w:spacing w:line="240" w:lineRule="auto"/>
              <w:ind w:left="0"/>
              <w:jc w:val="both"/>
            </w:pPr>
            <w:r w:rsidRPr="009B6CF7">
              <w:t>Ar mērķi samazināt punktveida piesārņojuma ietekmi uz riska ūdensobjektu stāvokli, kas rodas komunālo notekūdeņu vai atsevišķo rūpniecības notekūdeņu novadīšanas dēļ un lai nepasliktinātu un pakāpeniski uzlabotu riska ūdensobjektu stāvokli, noteikumu projektā ir  noteiktas papildus prasības, kādi nosacījumi un kādi apsvērumi RVP ir jāņem vērā, izdodot likuma „Par piesārņojumu” noteiktā kārtībā atļaujas piesārņojošām darbībām un nosakot atļaujās limitus punktveida piesārņojuma emisijām riska ūdensobjektos, kā arī izsniedzot C kategorijas piesārņojošās darbības apliecinājumus.</w:t>
            </w:r>
            <w:r w:rsidR="00474B2F" w:rsidRPr="009B6CF7">
              <w:t xml:space="preserve"> Noteikumu projekts nosaka, ka tajos gadījumos, kad notekūdeņi pēc attīrīšanas iekārtu rekonstrukcijas vai jaunu attīrīšanas iekārtu izbūves tiks novadīti ūdensobjektā, </w:t>
            </w:r>
            <w:r w:rsidR="00B1146C" w:rsidRPr="009B6CF7">
              <w:t>kas noteikts kā</w:t>
            </w:r>
            <w:r w:rsidR="00474B2F" w:rsidRPr="009B6CF7">
              <w:t xml:space="preserve"> risk</w:t>
            </w:r>
            <w:r w:rsidR="00B1146C" w:rsidRPr="009B6CF7">
              <w:t>a</w:t>
            </w:r>
            <w:r w:rsidR="00474B2F" w:rsidRPr="009B6CF7">
              <w:t xml:space="preserve"> </w:t>
            </w:r>
            <w:r w:rsidR="00B1146C" w:rsidRPr="009B6CF7">
              <w:t>objekts</w:t>
            </w:r>
            <w:r w:rsidR="00474B2F" w:rsidRPr="009B6CF7">
              <w:t xml:space="preserve"> </w:t>
            </w:r>
            <w:r w:rsidR="00B1146C" w:rsidRPr="009B6CF7">
              <w:t xml:space="preserve">punktveida </w:t>
            </w:r>
            <w:r w:rsidR="00474B2F" w:rsidRPr="009B6CF7">
              <w:t>piesārņojum</w:t>
            </w:r>
            <w:r w:rsidR="00B1146C" w:rsidRPr="009B6CF7">
              <w:t>a dēļ,</w:t>
            </w:r>
            <w:r w:rsidR="00474B2F" w:rsidRPr="009B6CF7">
              <w:t xml:space="preserve"> </w:t>
            </w:r>
            <w:r w:rsidR="00AD2717" w:rsidRPr="009B6CF7">
              <w:t>RVP</w:t>
            </w:r>
            <w:r w:rsidR="00474B2F" w:rsidRPr="009B6CF7">
              <w:t xml:space="preserve">, ņemot vērā piesārņojuma avota ietekmi uz ūdensobjektu, emisiju limitus attiecīgām vielām nosaka </w:t>
            </w:r>
            <w:r w:rsidR="00F7116B" w:rsidRPr="00535F05">
              <w:t>ne vairāk kā</w:t>
            </w:r>
            <w:r w:rsidR="00B1146C" w:rsidRPr="009B6CF7">
              <w:t xml:space="preserve"> </w:t>
            </w:r>
            <w:r w:rsidR="00474B2F" w:rsidRPr="009B6CF7">
              <w:t>par 25% stingrākus salīdzinājumā ar esošajām prasībām</w:t>
            </w:r>
            <w:r w:rsidR="009A10EC" w:rsidRPr="009B6CF7">
              <w:t>.</w:t>
            </w:r>
            <w:r w:rsidR="00B1146C" w:rsidRPr="009B6CF7">
              <w:t xml:space="preserve"> </w:t>
            </w:r>
            <w:r w:rsidR="00BC50A9" w:rsidRPr="009B6CF7">
              <w:t xml:space="preserve">Papildus noteikumu projektā </w:t>
            </w:r>
            <w:r w:rsidR="00B1146C" w:rsidRPr="009B6CF7">
              <w:t xml:space="preserve">tiek precizēts, ka tajos gadījumos, kad </w:t>
            </w:r>
            <w:r w:rsidR="00A27FFB" w:rsidRPr="009B6CF7">
              <w:t xml:space="preserve">centralizētajā kanalizācijas sistēmā vai uz ārējām attīrīšanas iekārtām tiek novadīti </w:t>
            </w:r>
            <w:r w:rsidR="00B1146C" w:rsidRPr="009B6CF7">
              <w:t>ražošanas ūdeņ</w:t>
            </w:r>
            <w:r w:rsidR="00A27FFB" w:rsidRPr="009B6CF7">
              <w:t xml:space="preserve">i, </w:t>
            </w:r>
            <w:r w:rsidR="00B1146C" w:rsidRPr="009B6CF7">
              <w:t xml:space="preserve">  </w:t>
            </w:r>
            <w:r w:rsidR="00AD2717" w:rsidRPr="009B6CF7">
              <w:t>RVP</w:t>
            </w:r>
            <w:r w:rsidR="00BC50A9" w:rsidRPr="009B6CF7">
              <w:t xml:space="preserve"> </w:t>
            </w:r>
            <w:r w:rsidR="00B1146C" w:rsidRPr="009B6CF7">
              <w:t>emisiju limitus</w:t>
            </w:r>
            <w:r w:rsidR="00A27FFB" w:rsidRPr="009B6CF7">
              <w:t xml:space="preserve"> nosaka</w:t>
            </w:r>
            <w:r w:rsidR="00B1146C" w:rsidRPr="009B6CF7">
              <w:t>,</w:t>
            </w:r>
            <w:r w:rsidR="00A27FFB" w:rsidRPr="009B6CF7">
              <w:t xml:space="preserve"> ņemot vērā informāciju par centralizētajā kanalizācijas sistēmā vai </w:t>
            </w:r>
            <w:r w:rsidR="00B1146C" w:rsidRPr="009B6CF7">
              <w:t xml:space="preserve"> </w:t>
            </w:r>
            <w:r w:rsidR="00BC50A9" w:rsidRPr="009B6CF7">
              <w:t>ārējām attīrīšanas iekārtām novadīto piesārņojošo vielu apjomu</w:t>
            </w:r>
            <w:r w:rsidR="00B1146C" w:rsidRPr="009B6CF7">
              <w:t>,</w:t>
            </w:r>
            <w:r w:rsidR="00C246FA" w:rsidRPr="009B6CF7">
              <w:t xml:space="preserve"> tai skaitā informāciju par prioritārām un bīstamām vielām. </w:t>
            </w:r>
            <w:r w:rsidR="00B1146C" w:rsidRPr="009B6CF7">
              <w:t xml:space="preserve"> </w:t>
            </w:r>
          </w:p>
          <w:p w:rsidR="006D1B88" w:rsidRPr="009B6CF7" w:rsidRDefault="006D1B88" w:rsidP="00131677">
            <w:pPr>
              <w:pStyle w:val="BodyTextIndent2"/>
              <w:spacing w:line="240" w:lineRule="auto"/>
              <w:ind w:left="0"/>
              <w:jc w:val="both"/>
            </w:pPr>
            <w:r w:rsidRPr="009B6CF7">
              <w:t xml:space="preserve">Lai novērstu nepilnības Direktīvas 91/271/EEK transponēšanā, ar noteikumu projektu tiek precizēti atsevišķi nosacījumi attiecībā uz klimatisko apstākļu (temperatūras) ietekmi uz notekūdeņu attīrīšanas ciklu, notekūdeņu novadīšanas vietu izvietojumu, lai pēc iespējas mazinātu punktveida piesārņojuma avotu ietekmi uz atsevišķiem ūdensobjektiem, kā arī noteiktas tās ražošanas nozares, kuru ražošanas ūdeņus, izpildot atbilstošus nosacījumus, var emitēt tieši pieņemošajos ūdeņos. </w:t>
            </w:r>
          </w:p>
          <w:p w:rsidR="00C246FA" w:rsidRPr="009B6CF7" w:rsidRDefault="00C246FA" w:rsidP="00131677">
            <w:pPr>
              <w:pStyle w:val="BodyTextIndent2"/>
              <w:spacing w:line="240" w:lineRule="auto"/>
              <w:ind w:left="0"/>
              <w:jc w:val="both"/>
            </w:pPr>
            <w:r w:rsidRPr="009B6CF7">
              <w:t>Lai nodrošinātu vides aizsardzības tiesību aktu savstarpējo saskaņotību attiecībā uz informācijas sniegšanu valsts statistikas vajadzībām</w:t>
            </w:r>
            <w:r w:rsidR="00D9332F" w:rsidRPr="009B6CF7">
              <w:t>, noteikumu projektā tiek precizēta norma, kas nosaka decentralizētajās kanalizācijas sistēmās savākto notekūdeņu un ar tiem saistīto utilizēto atkritumu uzskaiti, ja aglomerācijā ir izveidota centralizēta kanalizācijas sistēma un vietējā pašvaldība nodrošina minēto notekūdeņu un atkritumu savākšanu un attīrīšanu.</w:t>
            </w:r>
          </w:p>
          <w:p w:rsidR="00DB0AFD" w:rsidRPr="009B6CF7" w:rsidRDefault="006D1B88" w:rsidP="0017063C">
            <w:pPr>
              <w:pStyle w:val="BodyTextIndent2"/>
              <w:spacing w:line="240" w:lineRule="auto"/>
              <w:ind w:left="0"/>
              <w:jc w:val="both"/>
              <w:rPr>
                <w:b/>
              </w:rPr>
            </w:pPr>
            <w:r w:rsidRPr="009B6CF7">
              <w:t xml:space="preserve">Lai nodrošinātu konsekventu pieeju bīstamu ķīmisko vielu emisiju ierobežošanai ūdeņu vidē atbilstoši Ūdens </w:t>
            </w:r>
            <w:proofErr w:type="spellStart"/>
            <w:r w:rsidRPr="009B6CF7">
              <w:t>struktūrdirektīvas</w:t>
            </w:r>
            <w:proofErr w:type="spellEnd"/>
            <w:r w:rsidRPr="009B6CF7">
              <w:t xml:space="preserve"> 2000/60/EK un Latvijas normatīvo aktu prasībām, kā arī lai nodrošinātu Eiropas Savienības un Latvijas tiesību aktu saskaņotību attiecīgajā jomā, ar noteikumu projektu tiek atceltas prasības, kuras MK noteikumos Nr.34 bija iekļautas saskaņā ar Padomes Direktīvu 82/176/EEK, 83/513/EEK, 84/156/EEK, 84/491/EEK, 86/280/EEK prasībām. </w:t>
            </w:r>
            <w:r w:rsidR="00047CD6" w:rsidRPr="009B6CF7">
              <w:t xml:space="preserve">Tāpēc </w:t>
            </w:r>
            <w:r w:rsidR="007B057F" w:rsidRPr="009B6CF7">
              <w:t xml:space="preserve"> noteikumu projekt</w:t>
            </w:r>
            <w:r w:rsidR="00DE0542" w:rsidRPr="009B6CF7">
              <w:t>ā</w:t>
            </w:r>
            <w:r w:rsidR="007B057F" w:rsidRPr="009B6CF7">
              <w:t xml:space="preserve"> svītrot</w:t>
            </w:r>
            <w:r w:rsidR="00DE0542" w:rsidRPr="009B6CF7">
              <w:t>a</w:t>
            </w:r>
            <w:r w:rsidR="007B057F" w:rsidRPr="009B6CF7">
              <w:t xml:space="preserve"> </w:t>
            </w:r>
            <w:r w:rsidR="00047CD6" w:rsidRPr="009B6CF7">
              <w:t>informatīv</w:t>
            </w:r>
            <w:r w:rsidR="00DE0542" w:rsidRPr="009B6CF7">
              <w:t>ā</w:t>
            </w:r>
            <w:r w:rsidR="00047CD6" w:rsidRPr="009B6CF7">
              <w:t xml:space="preserve"> atsauc</w:t>
            </w:r>
            <w:r w:rsidR="00DE0542" w:rsidRPr="009B6CF7">
              <w:t>e</w:t>
            </w:r>
            <w:r w:rsidR="00047CD6" w:rsidRPr="009B6CF7">
              <w:t xml:space="preserve"> uz minētajām direktīvām, kā arī </w:t>
            </w:r>
            <w:r w:rsidR="007B057F" w:rsidRPr="009B6CF7">
              <w:t xml:space="preserve">MK </w:t>
            </w:r>
            <w:r w:rsidR="00DE0542" w:rsidRPr="009B6CF7">
              <w:t>noteikumu Nr.34 3.un 4.pielikums</w:t>
            </w:r>
            <w:r w:rsidR="007B057F" w:rsidRPr="009B6CF7">
              <w:t xml:space="preserve">, kuros noteiktas prasības </w:t>
            </w:r>
            <w:r w:rsidR="00047CD6" w:rsidRPr="009B6CF7">
              <w:t>atsevišķu</w:t>
            </w:r>
            <w:r w:rsidR="007B057F" w:rsidRPr="009B6CF7">
              <w:t xml:space="preserve"> prioritāro un bīstamo vielu emisijām no specifiskām rūpniecības ražotnēm un to robežvērtību</w:t>
            </w:r>
            <w:r w:rsidR="00047CD6" w:rsidRPr="009B6CF7">
              <w:t xml:space="preserve"> </w:t>
            </w:r>
            <w:r w:rsidR="007B057F" w:rsidRPr="009B6CF7">
              <w:t>piemērošanai, minēto vielu monitoring</w:t>
            </w:r>
            <w:r w:rsidR="00A9306C" w:rsidRPr="009B6CF7">
              <w:t>am</w:t>
            </w:r>
            <w:r w:rsidR="007B057F" w:rsidRPr="009B6CF7">
              <w:t xml:space="preserve"> izmantojamās references analīzes metodes</w:t>
            </w:r>
            <w:r w:rsidR="00A9306C" w:rsidRPr="009B6CF7">
              <w:t xml:space="preserve"> un </w:t>
            </w:r>
            <w:r w:rsidR="00047CD6" w:rsidRPr="009B6CF7">
              <w:t xml:space="preserve">attiecīgi </w:t>
            </w:r>
            <w:r w:rsidR="00A9306C" w:rsidRPr="009B6CF7">
              <w:t>prasības to veiktspējas parametriem – metodes noteikšanas robežai, precizitātei un pareizībai.</w:t>
            </w:r>
            <w:r w:rsidR="00047CD6" w:rsidRPr="009B6CF7">
              <w:t xml:space="preserve"> </w:t>
            </w:r>
            <w:r w:rsidR="00AF4A61" w:rsidRPr="009B6CF7">
              <w:t>Ņemot vērā</w:t>
            </w:r>
            <w:r w:rsidR="00047CD6" w:rsidRPr="009B6CF7">
              <w:t xml:space="preserve"> </w:t>
            </w:r>
            <w:r w:rsidR="00AF4A61" w:rsidRPr="009B6CF7">
              <w:t>iepriekš minēt</w:t>
            </w:r>
            <w:r w:rsidR="00DE0542" w:rsidRPr="009B6CF7">
              <w:t>o</w:t>
            </w:r>
            <w:r w:rsidR="00AF4A61" w:rsidRPr="009B6CF7">
              <w:t>,</w:t>
            </w:r>
            <w:r w:rsidR="00047CD6" w:rsidRPr="009B6CF7">
              <w:t xml:space="preserve"> noteikumu projekt</w:t>
            </w:r>
            <w:r w:rsidR="00AF4A61" w:rsidRPr="009B6CF7">
              <w:t>ā atbilstoši tiek</w:t>
            </w:r>
            <w:r w:rsidR="002902C1" w:rsidRPr="009B6CF7">
              <w:t xml:space="preserve"> veikti tehniski</w:t>
            </w:r>
            <w:r w:rsidR="00047CD6" w:rsidRPr="009B6CF7">
              <w:t xml:space="preserve"> precizē</w:t>
            </w:r>
            <w:r w:rsidR="002902C1" w:rsidRPr="009B6CF7">
              <w:t>jumi</w:t>
            </w:r>
            <w:r w:rsidR="00047CD6" w:rsidRPr="009B6CF7">
              <w:t xml:space="preserve"> pār</w:t>
            </w:r>
            <w:r w:rsidR="00AF4A61" w:rsidRPr="009B6CF7">
              <w:t>ē</w:t>
            </w:r>
            <w:r w:rsidR="00047CD6" w:rsidRPr="009B6CF7">
              <w:t>j</w:t>
            </w:r>
            <w:r w:rsidR="002902C1" w:rsidRPr="009B6CF7">
              <w:t>ā</w:t>
            </w:r>
            <w:r w:rsidR="00047CD6" w:rsidRPr="009B6CF7">
              <w:t xml:space="preserve"> MK noteikumu </w:t>
            </w:r>
            <w:r w:rsidR="002902C1" w:rsidRPr="009B6CF7">
              <w:t>Nr.34 tekstā</w:t>
            </w:r>
            <w:r w:rsidR="00DE0542" w:rsidRPr="009B6CF7">
              <w:t>.</w:t>
            </w:r>
          </w:p>
          <w:p w:rsidR="006D1B88" w:rsidRPr="009B6CF7" w:rsidRDefault="006D1B88" w:rsidP="0017063C">
            <w:pPr>
              <w:pStyle w:val="BodyTextIndent2"/>
              <w:spacing w:line="240" w:lineRule="auto"/>
              <w:ind w:left="0"/>
              <w:jc w:val="both"/>
              <w:rPr>
                <w:bCs/>
              </w:rPr>
            </w:pPr>
            <w:r w:rsidRPr="009B6CF7">
              <w:rPr>
                <w:bCs/>
              </w:rPr>
              <w:t>Operatoru monitoringa datu kvalitātes un ticamības nodrošināšanai</w:t>
            </w:r>
            <w:r w:rsidRPr="009B6CF7">
              <w:t xml:space="preserve"> noteikumu projektā tiek noteikts, kādas prasības operatoram jāievēro attiecībā uz prioritāro vielu un bīstamo vielu analīzes metodēm un  rezultātu kvalitātes nodrošinājuma un kontroles procedūrām. Bez tam, lai </w:t>
            </w:r>
            <w:r w:rsidRPr="009B6CF7">
              <w:rPr>
                <w:bCs/>
              </w:rPr>
              <w:t xml:space="preserve">operatora monitoringa datu kvalitāti neietekmētu neatbilstoši veikta paraugu ņemšana, ar noteikumu projektu tiek noteikts, ka arī paraugu ņemšana jāveic laboratorijas speciālistiem atbilstoši akreditētas metodes prasībām. </w:t>
            </w:r>
          </w:p>
          <w:p w:rsidR="006D1B88" w:rsidRPr="009B6CF7" w:rsidRDefault="006D1B88" w:rsidP="00E55B02">
            <w:pPr>
              <w:autoSpaceDE w:val="0"/>
              <w:autoSpaceDN w:val="0"/>
              <w:adjustRightInd w:val="0"/>
              <w:ind w:firstLine="432"/>
              <w:jc w:val="both"/>
            </w:pPr>
            <w:r w:rsidRPr="009B6CF7">
              <w:t>Lai nepieļautu lietus ūdeņu kanalizācijas sistēmas izmantošanu neatbilstoši tai paredzētajam mērķim, noteikumu projektā ir iekļauts aizliegums novadīt neattīrītus ražošanas vai komunālos notekūdeņus lietus notekūdeņu kanalizācijā.</w:t>
            </w:r>
          </w:p>
          <w:p w:rsidR="00C16269" w:rsidRPr="00535F05" w:rsidRDefault="00C16269" w:rsidP="00E55B02">
            <w:pPr>
              <w:autoSpaceDE w:val="0"/>
              <w:autoSpaceDN w:val="0"/>
              <w:adjustRightInd w:val="0"/>
              <w:ind w:firstLine="432"/>
              <w:jc w:val="both"/>
            </w:pPr>
            <w:r w:rsidRPr="00535F05">
              <w:t>Ņemot vērā, ka 2012.gada 8.novembrī Valsts sekretāru sanāksmē ir izsludināts MK noteikumu projekts „Par Ministru kabineta 2007.gada 18.decembra noteikumu Nr.912 „Ūdensapgādes, notekūdeņu savākšanas un attīrīšanas būvju būvniecības kārtība” atzīšanu par spēku zaudējušiem” (VSS-1138), noteikumu projektā ir svītrota atsauce uz minēto normatīvo aktu.</w:t>
            </w:r>
          </w:p>
          <w:p w:rsidR="006D1B88" w:rsidRPr="009B6CF7" w:rsidRDefault="006D1B88" w:rsidP="00E55B02">
            <w:pPr>
              <w:autoSpaceDE w:val="0"/>
              <w:autoSpaceDN w:val="0"/>
              <w:adjustRightInd w:val="0"/>
              <w:ind w:firstLine="432"/>
              <w:jc w:val="both"/>
            </w:pPr>
            <w:r w:rsidRPr="009B6CF7">
              <w:t>Noteikumu projektā ir precizētas atsevišķas normas</w:t>
            </w:r>
            <w:r w:rsidR="00E375AC" w:rsidRPr="009B6CF7">
              <w:t xml:space="preserve"> un termini</w:t>
            </w:r>
            <w:r w:rsidRPr="009B6CF7">
              <w:t>, lai panāktu to atbilstību citiem spēkā esošajiem normatīvajiem</w:t>
            </w:r>
            <w:r w:rsidR="0072236C" w:rsidRPr="009B6CF7">
              <w:t xml:space="preserve"> aktiem vides aizsardzības jomā</w:t>
            </w:r>
            <w:r w:rsidR="0072236C" w:rsidRPr="009B6CF7">
              <w:rPr>
                <w:b/>
              </w:rPr>
              <w:t xml:space="preserve">, </w:t>
            </w:r>
            <w:r w:rsidR="0072236C" w:rsidRPr="009B6CF7">
              <w:t>kā arī svītroti terminu skaidrojumi, kas doti citos normatīvajos aktos.</w:t>
            </w:r>
          </w:p>
          <w:p w:rsidR="006D1B88" w:rsidRPr="009B6CF7" w:rsidRDefault="006D1B88" w:rsidP="003E2AF4">
            <w:pPr>
              <w:autoSpaceDE w:val="0"/>
              <w:autoSpaceDN w:val="0"/>
              <w:adjustRightInd w:val="0"/>
              <w:ind w:firstLine="432"/>
              <w:jc w:val="both"/>
            </w:pPr>
          </w:p>
        </w:tc>
      </w:tr>
      <w:tr w:rsidR="006D1B88" w:rsidRPr="0048013F" w:rsidTr="00051CAD">
        <w:tc>
          <w:tcPr>
            <w:tcW w:w="648" w:type="dxa"/>
          </w:tcPr>
          <w:p w:rsidR="006D1B88" w:rsidRPr="00680D6B" w:rsidRDefault="006D1B88" w:rsidP="00051CAD">
            <w:pPr>
              <w:jc w:val="center"/>
            </w:pPr>
            <w:r w:rsidRPr="00680D6B">
              <w:t>5.</w:t>
            </w:r>
          </w:p>
        </w:tc>
        <w:tc>
          <w:tcPr>
            <w:tcW w:w="2700" w:type="dxa"/>
          </w:tcPr>
          <w:p w:rsidR="006D1B88" w:rsidRPr="00680D6B" w:rsidRDefault="006D1B88" w:rsidP="00051CAD">
            <w:r w:rsidRPr="00680D6B">
              <w:t>Projekta izstrādē iesaistītās institūcijas</w:t>
            </w:r>
          </w:p>
        </w:tc>
        <w:tc>
          <w:tcPr>
            <w:tcW w:w="5939" w:type="dxa"/>
          </w:tcPr>
          <w:p w:rsidR="006D1B88" w:rsidRPr="00680D6B" w:rsidRDefault="006D1B88" w:rsidP="00AA3111">
            <w:r>
              <w:t>Projekts šo jomu neska</w:t>
            </w:r>
            <w:r w:rsidR="00012B78">
              <w:t>r.</w:t>
            </w:r>
          </w:p>
        </w:tc>
      </w:tr>
      <w:tr w:rsidR="006D1B88" w:rsidRPr="0048013F" w:rsidTr="00051CAD">
        <w:tc>
          <w:tcPr>
            <w:tcW w:w="648" w:type="dxa"/>
          </w:tcPr>
          <w:p w:rsidR="006D1B88" w:rsidRPr="00680D6B" w:rsidRDefault="006D1B88" w:rsidP="00051CAD">
            <w:pPr>
              <w:jc w:val="center"/>
            </w:pPr>
            <w:r w:rsidRPr="00680D6B">
              <w:t>6.</w:t>
            </w:r>
          </w:p>
        </w:tc>
        <w:tc>
          <w:tcPr>
            <w:tcW w:w="2700" w:type="dxa"/>
          </w:tcPr>
          <w:p w:rsidR="006D1B88" w:rsidRPr="00680D6B" w:rsidRDefault="006D1B88" w:rsidP="00051CAD">
            <w:r w:rsidRPr="00680D6B">
              <w:t>Iemesli, kādēļ netika nodrošināta sabiedrības līdzdalība</w:t>
            </w:r>
          </w:p>
        </w:tc>
        <w:tc>
          <w:tcPr>
            <w:tcW w:w="5939" w:type="dxa"/>
          </w:tcPr>
          <w:p w:rsidR="006D1B88" w:rsidRPr="00680D6B" w:rsidRDefault="006D1B88" w:rsidP="0039252B">
            <w:r>
              <w:t>Projekts šo jomu neskar</w:t>
            </w:r>
            <w:r w:rsidR="00012B78">
              <w:t xml:space="preserve">. </w:t>
            </w:r>
          </w:p>
        </w:tc>
      </w:tr>
      <w:tr w:rsidR="006D1B88" w:rsidRPr="0048013F" w:rsidTr="00051CAD">
        <w:tc>
          <w:tcPr>
            <w:tcW w:w="648" w:type="dxa"/>
          </w:tcPr>
          <w:p w:rsidR="006D1B88" w:rsidRPr="00680D6B" w:rsidRDefault="006D1B88" w:rsidP="00051CAD">
            <w:pPr>
              <w:jc w:val="center"/>
            </w:pPr>
            <w:r w:rsidRPr="00680D6B">
              <w:t>7.</w:t>
            </w:r>
          </w:p>
        </w:tc>
        <w:tc>
          <w:tcPr>
            <w:tcW w:w="2700" w:type="dxa"/>
          </w:tcPr>
          <w:p w:rsidR="006D1B88" w:rsidRPr="00680D6B" w:rsidRDefault="006D1B88" w:rsidP="00051CAD">
            <w:r w:rsidRPr="00680D6B">
              <w:t>Cita informācija</w:t>
            </w:r>
          </w:p>
        </w:tc>
        <w:tc>
          <w:tcPr>
            <w:tcW w:w="5939" w:type="dxa"/>
          </w:tcPr>
          <w:p w:rsidR="006D1B88" w:rsidRPr="00680D6B" w:rsidRDefault="006D1B88" w:rsidP="00043E42">
            <w:pPr>
              <w:jc w:val="both"/>
            </w:pPr>
            <w:r w:rsidRPr="00680D6B">
              <w:t xml:space="preserve"> Nav </w:t>
            </w:r>
          </w:p>
        </w:tc>
      </w:tr>
    </w:tbl>
    <w:p w:rsidR="006D1B88" w:rsidRPr="0048013F" w:rsidRDefault="006D1B88" w:rsidP="00051CA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6D1B88" w:rsidRPr="0048013F" w:rsidTr="00051CAD">
        <w:tc>
          <w:tcPr>
            <w:tcW w:w="9287" w:type="dxa"/>
            <w:gridSpan w:val="3"/>
          </w:tcPr>
          <w:p w:rsidR="006D1B88" w:rsidRPr="0048013F" w:rsidRDefault="006D1B88" w:rsidP="00051CAD">
            <w:pPr>
              <w:jc w:val="center"/>
              <w:rPr>
                <w:b/>
              </w:rPr>
            </w:pPr>
            <w:r w:rsidRPr="0048013F">
              <w:rPr>
                <w:b/>
              </w:rPr>
              <w:t>II. Tiesību akta projekta ietekme uz sabiedrību</w:t>
            </w:r>
          </w:p>
        </w:tc>
      </w:tr>
      <w:tr w:rsidR="006D1B88" w:rsidRPr="0048013F" w:rsidTr="00051CAD">
        <w:tc>
          <w:tcPr>
            <w:tcW w:w="648" w:type="dxa"/>
          </w:tcPr>
          <w:p w:rsidR="006D1B88" w:rsidRPr="0048013F" w:rsidRDefault="006D1B88" w:rsidP="00051CAD">
            <w:pPr>
              <w:jc w:val="center"/>
            </w:pPr>
            <w:r w:rsidRPr="0048013F">
              <w:t>1.</w:t>
            </w:r>
          </w:p>
        </w:tc>
        <w:tc>
          <w:tcPr>
            <w:tcW w:w="2700" w:type="dxa"/>
          </w:tcPr>
          <w:p w:rsidR="006D1B88" w:rsidRPr="00680D6B" w:rsidRDefault="006D1B88" w:rsidP="00051CAD">
            <w:r w:rsidRPr="00680D6B">
              <w:t xml:space="preserve">Sabiedrības </w:t>
            </w:r>
            <w:proofErr w:type="spellStart"/>
            <w:r w:rsidRPr="00680D6B">
              <w:t>mērķgrupa</w:t>
            </w:r>
            <w:proofErr w:type="spellEnd"/>
          </w:p>
        </w:tc>
        <w:tc>
          <w:tcPr>
            <w:tcW w:w="5939" w:type="dxa"/>
          </w:tcPr>
          <w:p w:rsidR="006D1B88" w:rsidRDefault="006D1B88" w:rsidP="009649A7">
            <w:pPr>
              <w:spacing w:after="120"/>
              <w:jc w:val="both"/>
            </w:pPr>
            <w:r>
              <w:t>1.Valsts institūcijas – Valsts vides dienesta RVP, kuras atbilstoši likuma „Par piesārņojumu” izsniedz un pārskata A vai B kategorijas atļaujas piesārņojošai darbībai vai</w:t>
            </w:r>
            <w:r w:rsidRPr="007F48E7">
              <w:t xml:space="preserve"> izsniedz C kategorijas piesārņojošās darbības apliecinājumus</w:t>
            </w:r>
            <w:r>
              <w:t>, kā arī valsts sabiedrība ar ierobežotu atbildību „Latvijas Vides, ģeoloģijas un meteoroloģijas centrs”</w:t>
            </w:r>
            <w:r w:rsidR="0039252B">
              <w:t xml:space="preserve"> (turpmāk – LVĢMC)</w:t>
            </w:r>
            <w:r>
              <w:t xml:space="preserve">, kas veic </w:t>
            </w:r>
            <w:r w:rsidRPr="00E71DF6">
              <w:t>virszemes un pazemes ūdeņu kvalitātes novērtējumu</w:t>
            </w:r>
            <w:r>
              <w:t>s</w:t>
            </w:r>
            <w:r w:rsidRPr="00E71DF6">
              <w:t xml:space="preserve"> un kontroli.</w:t>
            </w:r>
          </w:p>
          <w:p w:rsidR="006D1B88" w:rsidRPr="009D2F97" w:rsidRDefault="006D1B88" w:rsidP="009649A7">
            <w:pPr>
              <w:jc w:val="both"/>
            </w:pPr>
            <w:r w:rsidRPr="00A53EE5">
              <w:t>2.</w:t>
            </w:r>
            <w:r w:rsidRPr="00A70FAB">
              <w:t xml:space="preserve"> </w:t>
            </w:r>
            <w:r w:rsidRPr="009D2F97">
              <w:t>Uzņēmumi (operatori), kas atbilstoši A vai B kategorijas piesārņojošo darbību atļauju nosacījumiem</w:t>
            </w:r>
            <w:r w:rsidR="006614D0">
              <w:t>,</w:t>
            </w:r>
            <w:r w:rsidRPr="009D2F97">
              <w:t xml:space="preserve"> virszemes ūdeņos</w:t>
            </w:r>
            <w:r w:rsidR="006614D0">
              <w:t xml:space="preserve"> </w:t>
            </w:r>
            <w:r w:rsidRPr="009D2F97">
              <w:t xml:space="preserve"> novada notekūdeņus un veic monitoringu. </w:t>
            </w:r>
            <w:bookmarkStart w:id="0" w:name="OLE_LINK1"/>
            <w:bookmarkStart w:id="1" w:name="OLE_LINK2"/>
            <w:r w:rsidRPr="009D2F97">
              <w:t>Saskaņā ar VARAM rīcībā esošo informāciju</w:t>
            </w:r>
            <w:bookmarkEnd w:id="0"/>
            <w:bookmarkEnd w:id="1"/>
            <w:r w:rsidRPr="009D2F97">
              <w:t xml:space="preserve"> par 2011.gadu 1566 operatori atbilstoši normatīvo aktu prasībām iesniedza valsts statistikas atskaiti par ūdens resursu lietošanu un tos ietekmējošu darbību veikšanu.</w:t>
            </w:r>
          </w:p>
          <w:p w:rsidR="006D1B88" w:rsidRPr="0048013F" w:rsidRDefault="006D1B88" w:rsidP="00E9471F">
            <w:pPr>
              <w:ind w:firstLine="54"/>
              <w:jc w:val="both"/>
            </w:pPr>
            <w:r w:rsidRPr="009D2F97">
              <w:t xml:space="preserve">3. Ražošanas un pašvaldību uzņēmumu, privātās un valsts institūciju laboratorijas, kas testē notekūdeņus izplūdēs un attiecīgos parametrus pieņemošo ūdeņu vidē, lai atbilstoši normatīvo aktu prasībām un A vai B kategorijas piesārņojošo darbību atļauju nosacījumiem nodrošinātu operatoru </w:t>
            </w:r>
            <w:proofErr w:type="spellStart"/>
            <w:r w:rsidRPr="009D2F97">
              <w:t>pašmonitoringa</w:t>
            </w:r>
            <w:proofErr w:type="spellEnd"/>
            <w:r w:rsidRPr="009D2F97">
              <w:t xml:space="preserve"> izpildi. Saskaņā ar VARAM rīcībā esošo informāciju operatoru monitoringam paraugus testē vairāk kā 20 akreditētas laboratorijas</w:t>
            </w:r>
            <w:r>
              <w:t>.</w:t>
            </w:r>
          </w:p>
        </w:tc>
      </w:tr>
      <w:tr w:rsidR="006D1B88" w:rsidRPr="0048013F" w:rsidTr="00051CAD">
        <w:tc>
          <w:tcPr>
            <w:tcW w:w="648" w:type="dxa"/>
          </w:tcPr>
          <w:p w:rsidR="006D1B88" w:rsidRPr="0048013F" w:rsidRDefault="006D1B88" w:rsidP="00051CAD">
            <w:pPr>
              <w:jc w:val="center"/>
            </w:pPr>
            <w:r w:rsidRPr="0048013F">
              <w:t>2.</w:t>
            </w:r>
          </w:p>
        </w:tc>
        <w:tc>
          <w:tcPr>
            <w:tcW w:w="2700" w:type="dxa"/>
          </w:tcPr>
          <w:p w:rsidR="006D1B88" w:rsidRPr="00680D6B" w:rsidRDefault="006D1B88" w:rsidP="00051CAD">
            <w:r w:rsidRPr="00680D6B">
              <w:t xml:space="preserve">Citas sabiedrības grupas (bez </w:t>
            </w:r>
            <w:proofErr w:type="spellStart"/>
            <w:r w:rsidRPr="00680D6B">
              <w:t>mērķgrupas</w:t>
            </w:r>
            <w:proofErr w:type="spellEnd"/>
            <w:r w:rsidRPr="00680D6B">
              <w:t>), kuras tiesiskais regulējums arī ietekmē vai varētu ietekmēt</w:t>
            </w:r>
          </w:p>
        </w:tc>
        <w:tc>
          <w:tcPr>
            <w:tcW w:w="5939" w:type="dxa"/>
          </w:tcPr>
          <w:p w:rsidR="006D1B88" w:rsidRDefault="006D1B88" w:rsidP="00777DAE">
            <w:pPr>
              <w:spacing w:after="120"/>
              <w:jc w:val="both"/>
            </w:pPr>
            <w:r>
              <w:t>1.</w:t>
            </w:r>
            <w:r w:rsidRPr="007D73CD">
              <w:t xml:space="preserve">Noteikumu projekts attiecas uz visām publiskajām personām un privātpersonām, kuras plāno veikt vai veic </w:t>
            </w:r>
            <w:r>
              <w:t xml:space="preserve">piesārņojošās </w:t>
            </w:r>
            <w:r w:rsidRPr="007D73CD">
              <w:t xml:space="preserve">darbības, kas var ietekmēt </w:t>
            </w:r>
            <w:r>
              <w:t xml:space="preserve">virszemes vai pazemes </w:t>
            </w:r>
            <w:r w:rsidRPr="007D73CD">
              <w:t>ūdens vides kvalitāti.</w:t>
            </w:r>
            <w:r>
              <w:t xml:space="preserve"> </w:t>
            </w:r>
          </w:p>
          <w:p w:rsidR="006D1B88" w:rsidRPr="0048013F" w:rsidRDefault="006D1B88" w:rsidP="00D30C3D">
            <w:pPr>
              <w:spacing w:after="120"/>
              <w:jc w:val="both"/>
            </w:pPr>
            <w:r>
              <w:t>2.</w:t>
            </w:r>
            <w:r w:rsidRPr="009D2F97">
              <w:t xml:space="preserve">Ūdeņu kvalitātes eksperti, kas izstrādā ūdens objektu apsaimniekošanas plānus, konsultanti/eksperti, kas izstrādā </w:t>
            </w:r>
            <w:r>
              <w:t xml:space="preserve">ūdenssaimniecības projektus un </w:t>
            </w:r>
            <w:r w:rsidRPr="009D2F97">
              <w:t>tehniski ekonomiskos pamatojumus saistībā ar ūdens resursu izmantošanu.</w:t>
            </w:r>
          </w:p>
        </w:tc>
      </w:tr>
      <w:tr w:rsidR="006D1B88" w:rsidRPr="0048013F" w:rsidTr="00051CAD">
        <w:tc>
          <w:tcPr>
            <w:tcW w:w="648" w:type="dxa"/>
          </w:tcPr>
          <w:p w:rsidR="006D1B88" w:rsidRPr="0048013F" w:rsidRDefault="006D1B88" w:rsidP="00051CAD">
            <w:pPr>
              <w:jc w:val="center"/>
            </w:pPr>
            <w:r w:rsidRPr="0048013F">
              <w:t>3.</w:t>
            </w:r>
          </w:p>
        </w:tc>
        <w:tc>
          <w:tcPr>
            <w:tcW w:w="2700" w:type="dxa"/>
          </w:tcPr>
          <w:p w:rsidR="006D1B88" w:rsidRPr="00680D6B" w:rsidRDefault="006D1B88" w:rsidP="00051CAD">
            <w:r w:rsidRPr="00680D6B">
              <w:t>Tiesiskā regulējuma finansiālā ietekme</w:t>
            </w:r>
          </w:p>
        </w:tc>
        <w:tc>
          <w:tcPr>
            <w:tcW w:w="5939" w:type="dxa"/>
          </w:tcPr>
          <w:p w:rsidR="006D1B88" w:rsidRPr="0048013F" w:rsidRDefault="006D1B88" w:rsidP="005F0534">
            <w:pPr>
              <w:jc w:val="both"/>
            </w:pPr>
            <w:r w:rsidRPr="005F0534">
              <w:t>Attiecībā uz papildus prasībām intensīvākai notekūdeņu attīrīšanai tiem piesārņojošo darbību veicējiem, kuri notekūdeņus emitē riska ūdensobjektos, precīzu finansiālo ietekmi nav iespējams aprēķināt, jo nav iespējams prognozēt, kāds tehnoloģiskais risinājums</w:t>
            </w:r>
            <w:r>
              <w:t xml:space="preserve"> notekūdeņu intensīvākai attīrīšanai</w:t>
            </w:r>
            <w:r w:rsidRPr="005F0534">
              <w:t xml:space="preserve"> katrā individuālajā gadījumā tiks atzīts par piemērotāko. </w:t>
            </w:r>
          </w:p>
        </w:tc>
      </w:tr>
      <w:tr w:rsidR="006D1B88" w:rsidRPr="0048013F" w:rsidTr="00051CAD">
        <w:tc>
          <w:tcPr>
            <w:tcW w:w="648" w:type="dxa"/>
          </w:tcPr>
          <w:p w:rsidR="006D1B88" w:rsidRPr="0048013F" w:rsidRDefault="006D1B88" w:rsidP="00051CAD">
            <w:pPr>
              <w:jc w:val="center"/>
            </w:pPr>
            <w:r w:rsidRPr="0048013F">
              <w:t>4.</w:t>
            </w:r>
          </w:p>
        </w:tc>
        <w:tc>
          <w:tcPr>
            <w:tcW w:w="2700" w:type="dxa"/>
          </w:tcPr>
          <w:p w:rsidR="006D1B88" w:rsidRPr="00680D6B" w:rsidRDefault="006D1B88" w:rsidP="00051CAD">
            <w:r w:rsidRPr="00680D6B">
              <w:t>Tiesiskā regulējuma nefinansiālā ietekme</w:t>
            </w:r>
          </w:p>
        </w:tc>
        <w:tc>
          <w:tcPr>
            <w:tcW w:w="5939" w:type="dxa"/>
          </w:tcPr>
          <w:p w:rsidR="006D1B88" w:rsidRDefault="006D1B88" w:rsidP="000134B5">
            <w:pPr>
              <w:pStyle w:val="Default"/>
              <w:jc w:val="both"/>
            </w:pPr>
            <w:r w:rsidRPr="0048013F">
              <w:t xml:space="preserve">Noteikumu projekta </w:t>
            </w:r>
            <w:r>
              <w:t>apstiprināšana Ministru kabinetā novērsīs trūkumus, kas norādīti:</w:t>
            </w:r>
          </w:p>
          <w:p w:rsidR="006D1B88" w:rsidRDefault="006D1B88" w:rsidP="000134B5">
            <w:pPr>
              <w:pStyle w:val="Default"/>
              <w:jc w:val="both"/>
            </w:pPr>
            <w:r>
              <w:t xml:space="preserve">1) Komisijas Ģenerālsekretariāta oficiālā paziņojuma vēstulē par pārkāpumu </w:t>
            </w:r>
            <w:proofErr w:type="spellStart"/>
            <w:r>
              <w:t>Nr</w:t>
            </w:r>
            <w:proofErr w:type="spellEnd"/>
            <w:r>
              <w:t>. 2012/2163 par Direktīvas 2006/118</w:t>
            </w:r>
            <w:r w:rsidRPr="0048013F">
              <w:t>/EK nepilnīgu transponēšanu</w:t>
            </w:r>
            <w:r>
              <w:t xml:space="preserve"> un</w:t>
            </w:r>
          </w:p>
          <w:p w:rsidR="006D1B88" w:rsidRPr="001212B2" w:rsidRDefault="006D1B88" w:rsidP="000134B5">
            <w:pPr>
              <w:pStyle w:val="Default"/>
              <w:jc w:val="both"/>
              <w:rPr>
                <w:color w:val="auto"/>
              </w:rPr>
            </w:pPr>
            <w:r w:rsidRPr="001212B2">
              <w:rPr>
                <w:color w:val="auto"/>
              </w:rPr>
              <w:t>2) Komisijas Vides ģenerāldirektorāta 2009.gada 20.jūlija vēstulē Nr.ENVA.2SA/</w:t>
            </w:r>
            <w:proofErr w:type="spellStart"/>
            <w:r w:rsidRPr="001212B2">
              <w:rPr>
                <w:color w:val="auto"/>
              </w:rPr>
              <w:t>amj</w:t>
            </w:r>
            <w:proofErr w:type="spellEnd"/>
            <w:r w:rsidRPr="001212B2">
              <w:rPr>
                <w:color w:val="auto"/>
              </w:rPr>
              <w:t xml:space="preserve">/ARES(2009)17764 par </w:t>
            </w:r>
            <w:proofErr w:type="spellStart"/>
            <w:r w:rsidRPr="001212B2">
              <w:rPr>
                <w:color w:val="auto"/>
              </w:rPr>
              <w:t>neprecizitatēm</w:t>
            </w:r>
            <w:proofErr w:type="spellEnd"/>
            <w:r w:rsidRPr="001212B2">
              <w:rPr>
                <w:color w:val="auto"/>
              </w:rPr>
              <w:t xml:space="preserve"> Direktīvas 91/271/EEK transponēšanā. </w:t>
            </w:r>
          </w:p>
          <w:p w:rsidR="006D1B88" w:rsidRPr="001212B2" w:rsidRDefault="006D1B88" w:rsidP="002672A5">
            <w:pPr>
              <w:pStyle w:val="Default"/>
              <w:jc w:val="both"/>
              <w:rPr>
                <w:color w:val="auto"/>
              </w:rPr>
            </w:pPr>
            <w:r w:rsidRPr="001212B2">
              <w:rPr>
                <w:color w:val="auto"/>
              </w:rPr>
              <w:t xml:space="preserve">Noteikumu projekta pieņemšana Ministru kabinetā veicinās laba ūdens stāvokļa sasniegšanu riska ūdensobjektos.  </w:t>
            </w:r>
          </w:p>
          <w:p w:rsidR="006D1B88" w:rsidRPr="000134B5" w:rsidRDefault="006D1B88" w:rsidP="00BC6535">
            <w:pPr>
              <w:pStyle w:val="Default"/>
              <w:jc w:val="both"/>
              <w:rPr>
                <w:color w:val="FF0000"/>
              </w:rPr>
            </w:pPr>
            <w:r w:rsidRPr="001212B2">
              <w:rPr>
                <w:color w:val="auto"/>
              </w:rPr>
              <w:t>Noteikumu projekts nosaka vienotu pieeju un kritērijus operatoru monitoringā pielietotajām testēšanas metodēm, kā arī vienotas prasības laboratoriju kompetences apliecināšanai un monitoringa datu kvalitātes nodrošināšanai. Tas uzlabos monitoringa rezultātu savstarpējo salīdzināmību un vienlaikus palielinās datu ticamību.</w:t>
            </w:r>
          </w:p>
        </w:tc>
      </w:tr>
      <w:tr w:rsidR="006D1B88" w:rsidRPr="0048013F" w:rsidTr="00051CAD">
        <w:tc>
          <w:tcPr>
            <w:tcW w:w="648" w:type="dxa"/>
          </w:tcPr>
          <w:p w:rsidR="006D1B88" w:rsidRPr="0048013F" w:rsidRDefault="006D1B88" w:rsidP="00051CAD">
            <w:pPr>
              <w:jc w:val="center"/>
            </w:pPr>
            <w:r w:rsidRPr="0048013F">
              <w:t>5.</w:t>
            </w:r>
          </w:p>
        </w:tc>
        <w:tc>
          <w:tcPr>
            <w:tcW w:w="2700" w:type="dxa"/>
          </w:tcPr>
          <w:p w:rsidR="006D1B88" w:rsidRPr="00680D6B" w:rsidRDefault="006D1B88" w:rsidP="00051CAD">
            <w:r w:rsidRPr="00680D6B">
              <w:t>Administratīvās procedūras raksturojums</w:t>
            </w:r>
          </w:p>
        </w:tc>
        <w:tc>
          <w:tcPr>
            <w:tcW w:w="5939" w:type="dxa"/>
          </w:tcPr>
          <w:p w:rsidR="006D1B88" w:rsidRPr="001212B2" w:rsidRDefault="006D1B88" w:rsidP="00F559B4">
            <w:r w:rsidRPr="001212B2">
              <w:t xml:space="preserve">Noteikumu projekts neietekmē administratīvās procedūras. </w:t>
            </w:r>
          </w:p>
          <w:p w:rsidR="006D1B88" w:rsidRPr="008530A2" w:rsidRDefault="006D1B88" w:rsidP="003414F6">
            <w:pPr>
              <w:rPr>
                <w:highlight w:val="yellow"/>
              </w:rPr>
            </w:pPr>
            <w:r>
              <w:t>Izsniedzot vai p</w:t>
            </w:r>
            <w:r w:rsidRPr="000134B5">
              <w:t xml:space="preserve">ārskatot </w:t>
            </w:r>
            <w:r>
              <w:t xml:space="preserve">atļaujas piesārņojošam darbībām likumā „Par piesārņojumu” noteiktā kārtībā, RVP </w:t>
            </w:r>
            <w:r w:rsidRPr="005929EE">
              <w:t xml:space="preserve"> </w:t>
            </w:r>
            <w:r>
              <w:t xml:space="preserve">ņems vērā notekūdeņus saņemošā ūdensobjekta tiesisko statusu un </w:t>
            </w:r>
            <w:r w:rsidRPr="005929EE">
              <w:t>saskaņo</w:t>
            </w:r>
            <w:r>
              <w:t>s</w:t>
            </w:r>
            <w:r w:rsidRPr="005929EE">
              <w:t xml:space="preserve"> atļaujas nosacījumus ar attiecīgajiem </w:t>
            </w:r>
            <w:r>
              <w:t>vides kvalitātes mērķiem</w:t>
            </w:r>
            <w:r w:rsidRPr="005929EE">
              <w:t>.</w:t>
            </w:r>
          </w:p>
        </w:tc>
      </w:tr>
      <w:tr w:rsidR="006D1B88" w:rsidRPr="0048013F" w:rsidTr="00051CAD">
        <w:tc>
          <w:tcPr>
            <w:tcW w:w="648" w:type="dxa"/>
          </w:tcPr>
          <w:p w:rsidR="006D1B88" w:rsidRPr="0048013F" w:rsidRDefault="006D1B88" w:rsidP="00051CAD">
            <w:pPr>
              <w:jc w:val="center"/>
            </w:pPr>
            <w:r w:rsidRPr="0048013F">
              <w:t>6.</w:t>
            </w:r>
          </w:p>
        </w:tc>
        <w:tc>
          <w:tcPr>
            <w:tcW w:w="2700" w:type="dxa"/>
          </w:tcPr>
          <w:p w:rsidR="006D1B88" w:rsidRPr="00680D6B" w:rsidRDefault="006D1B88" w:rsidP="00051CAD">
            <w:r w:rsidRPr="00680D6B">
              <w:t>Administratīvo izmaksu monetārs novērtējums</w:t>
            </w:r>
          </w:p>
        </w:tc>
        <w:tc>
          <w:tcPr>
            <w:tcW w:w="5939" w:type="dxa"/>
          </w:tcPr>
          <w:p w:rsidR="006D1B88" w:rsidRPr="0048013F" w:rsidRDefault="006D1B88" w:rsidP="002F0677">
            <w:pPr>
              <w:spacing w:after="120"/>
              <w:jc w:val="both"/>
            </w:pPr>
            <w:r>
              <w:t>Projekts šo jomu neskar</w:t>
            </w:r>
          </w:p>
        </w:tc>
      </w:tr>
      <w:tr w:rsidR="006D1B88" w:rsidRPr="0048013F" w:rsidTr="00051CAD">
        <w:tc>
          <w:tcPr>
            <w:tcW w:w="648" w:type="dxa"/>
          </w:tcPr>
          <w:p w:rsidR="006D1B88" w:rsidRPr="0048013F" w:rsidRDefault="006D1B88" w:rsidP="00051CAD">
            <w:pPr>
              <w:jc w:val="center"/>
            </w:pPr>
            <w:r w:rsidRPr="0048013F">
              <w:t>7.</w:t>
            </w:r>
          </w:p>
        </w:tc>
        <w:tc>
          <w:tcPr>
            <w:tcW w:w="2700" w:type="dxa"/>
          </w:tcPr>
          <w:p w:rsidR="006D1B88" w:rsidRPr="00680D6B" w:rsidRDefault="006D1B88" w:rsidP="00051CAD">
            <w:r w:rsidRPr="00680D6B">
              <w:t>Cita informācija</w:t>
            </w:r>
          </w:p>
        </w:tc>
        <w:tc>
          <w:tcPr>
            <w:tcW w:w="5939" w:type="dxa"/>
          </w:tcPr>
          <w:p w:rsidR="006D1B88" w:rsidRPr="0048013F" w:rsidRDefault="006D1B88" w:rsidP="00051CAD">
            <w:pPr>
              <w:jc w:val="both"/>
            </w:pPr>
            <w:r w:rsidRPr="0048013F">
              <w:t>Nav</w:t>
            </w:r>
          </w:p>
        </w:tc>
      </w:tr>
    </w:tbl>
    <w:p w:rsidR="006D1B88" w:rsidRPr="0048013F" w:rsidRDefault="006D1B88" w:rsidP="00051CAD">
      <w:pPr>
        <w:jc w:val="center"/>
      </w:pPr>
    </w:p>
    <w:p w:rsidR="006D1B88" w:rsidRPr="00194885" w:rsidRDefault="006D1B88" w:rsidP="00194885">
      <w:pPr>
        <w:rPr>
          <w:b/>
        </w:rPr>
      </w:pPr>
      <w:r w:rsidRPr="00194885">
        <w:rPr>
          <w:b/>
        </w:rPr>
        <w:t>Anotācijas III</w:t>
      </w:r>
      <w:r w:rsidR="00194885">
        <w:rPr>
          <w:b/>
        </w:rPr>
        <w:t>.</w:t>
      </w:r>
      <w:r w:rsidRPr="00194885">
        <w:rPr>
          <w:b/>
        </w:rPr>
        <w:t xml:space="preserve"> un IV</w:t>
      </w:r>
      <w:r w:rsidR="00194885">
        <w:rPr>
          <w:b/>
        </w:rPr>
        <w:t>.</w:t>
      </w:r>
      <w:r w:rsidRPr="00194885">
        <w:rPr>
          <w:b/>
        </w:rPr>
        <w:t xml:space="preserve"> sadaļa – projekts šo jomu neskar</w:t>
      </w:r>
      <w:r w:rsidR="00194885">
        <w:rPr>
          <w:b/>
        </w:rPr>
        <w:t>.</w:t>
      </w:r>
    </w:p>
    <w:p w:rsidR="006D1B88" w:rsidRPr="0048013F" w:rsidRDefault="006D1B88" w:rsidP="00051CAD">
      <w:pPr>
        <w:jc w:val="center"/>
      </w:pPr>
    </w:p>
    <w:tbl>
      <w:tblPr>
        <w:tblW w:w="9398"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
        <w:gridCol w:w="4301"/>
        <w:gridCol w:w="4803"/>
      </w:tblGrid>
      <w:tr w:rsidR="006D1B88" w:rsidRPr="0048013F" w:rsidTr="006B3851">
        <w:trPr>
          <w:jc w:val="center"/>
        </w:trPr>
        <w:tc>
          <w:tcPr>
            <w:tcW w:w="9398" w:type="dxa"/>
            <w:gridSpan w:val="3"/>
            <w:tcMar>
              <w:top w:w="57" w:type="dxa"/>
              <w:left w:w="57" w:type="dxa"/>
              <w:bottom w:w="57" w:type="dxa"/>
              <w:right w:w="57" w:type="dxa"/>
            </w:tcMar>
          </w:tcPr>
          <w:p w:rsidR="006D1B88" w:rsidRPr="00FD1271" w:rsidRDefault="006D1B88" w:rsidP="00051CAD">
            <w:pPr>
              <w:pStyle w:val="naisnod"/>
              <w:spacing w:before="0" w:after="0"/>
              <w:jc w:val="both"/>
            </w:pPr>
            <w:r w:rsidRPr="00FD1271">
              <w:t>V. Tiesību akta projekta atbilstība Latvijas Republikas starptautiskajām saistībām</w:t>
            </w:r>
          </w:p>
        </w:tc>
      </w:tr>
      <w:tr w:rsidR="006D1B88" w:rsidRPr="0048013F" w:rsidTr="006B3851">
        <w:trPr>
          <w:jc w:val="center"/>
        </w:trPr>
        <w:tc>
          <w:tcPr>
            <w:tcW w:w="294" w:type="dxa"/>
            <w:tcMar>
              <w:top w:w="57" w:type="dxa"/>
              <w:left w:w="57" w:type="dxa"/>
              <w:bottom w:w="57" w:type="dxa"/>
              <w:right w:w="57" w:type="dxa"/>
            </w:tcMar>
          </w:tcPr>
          <w:p w:rsidR="006D1B88" w:rsidRPr="00FD1271" w:rsidRDefault="006D1B88" w:rsidP="00051CAD">
            <w:pPr>
              <w:pStyle w:val="naiskr"/>
              <w:tabs>
                <w:tab w:val="left" w:pos="2628"/>
              </w:tabs>
              <w:spacing w:before="0" w:after="0"/>
              <w:jc w:val="both"/>
              <w:rPr>
                <w:iCs/>
              </w:rPr>
            </w:pPr>
            <w:r w:rsidRPr="00FD1271">
              <w:rPr>
                <w:iCs/>
              </w:rPr>
              <w:t>1.</w:t>
            </w:r>
          </w:p>
        </w:tc>
        <w:tc>
          <w:tcPr>
            <w:tcW w:w="4301" w:type="dxa"/>
            <w:tcMar>
              <w:top w:w="57" w:type="dxa"/>
              <w:left w:w="57" w:type="dxa"/>
              <w:bottom w:w="57" w:type="dxa"/>
              <w:right w:w="57" w:type="dxa"/>
            </w:tcMar>
          </w:tcPr>
          <w:p w:rsidR="006D1B88" w:rsidRPr="00FD1271" w:rsidRDefault="006D1B88" w:rsidP="00051CAD">
            <w:pPr>
              <w:pStyle w:val="naiskr"/>
              <w:tabs>
                <w:tab w:val="left" w:pos="2628"/>
              </w:tabs>
              <w:spacing w:before="0" w:after="0"/>
              <w:jc w:val="both"/>
              <w:rPr>
                <w:iCs/>
              </w:rPr>
            </w:pPr>
            <w:r w:rsidRPr="00FD1271">
              <w:t>Saistības pret Eiropas Savienību</w:t>
            </w:r>
          </w:p>
        </w:tc>
        <w:tc>
          <w:tcPr>
            <w:tcW w:w="4803" w:type="dxa"/>
            <w:tcMar>
              <w:top w:w="57" w:type="dxa"/>
              <w:left w:w="57" w:type="dxa"/>
              <w:bottom w:w="57" w:type="dxa"/>
              <w:right w:w="57" w:type="dxa"/>
            </w:tcMar>
          </w:tcPr>
          <w:p w:rsidR="006D1B88" w:rsidRPr="00535F05" w:rsidRDefault="006D1B88" w:rsidP="00885C22">
            <w:pPr>
              <w:spacing w:after="120"/>
              <w:jc w:val="both"/>
              <w:rPr>
                <w:iCs/>
              </w:rPr>
            </w:pPr>
            <w:r w:rsidRPr="00535F05">
              <w:rPr>
                <w:iCs/>
              </w:rPr>
              <w:t>1. Eiropas Parlamenta un Padomes 2006.gada 12.decembra Direktīva 2006/118/EK par gruntsūdeņu aizsardzību pret piesārņojumu un pasliktināšanos;</w:t>
            </w:r>
          </w:p>
          <w:p w:rsidR="006D1B88" w:rsidRPr="00535F05" w:rsidRDefault="006D1B88" w:rsidP="00BC6535">
            <w:pPr>
              <w:spacing w:after="120"/>
              <w:jc w:val="both"/>
            </w:pPr>
            <w:r w:rsidRPr="00535F05">
              <w:rPr>
                <w:iCs/>
              </w:rPr>
              <w:t>2.</w:t>
            </w:r>
            <w:r w:rsidRPr="00535F05">
              <w:rPr>
                <w:color w:val="0000FF"/>
              </w:rPr>
              <w:t xml:space="preserve"> </w:t>
            </w:r>
            <w:r w:rsidRPr="00535F05">
              <w:t>Padomes 1991.gada 21.maija Direktīva 91/271/EEK par komunālo notekūdeņu attīrīšanu.</w:t>
            </w:r>
          </w:p>
          <w:p w:rsidR="0012494A" w:rsidRPr="00535F05" w:rsidRDefault="0012494A" w:rsidP="0012494A">
            <w:pPr>
              <w:spacing w:after="120"/>
              <w:jc w:val="both"/>
              <w:rPr>
                <w:iCs/>
                <w:color w:val="FF0000"/>
              </w:rPr>
            </w:pPr>
            <w:r w:rsidRPr="00535F05">
              <w:t xml:space="preserve">3. Eiropas Parlamenta un Padomes 2008.gada 16.decembra Direktīva 2008/105/EK par </w:t>
            </w:r>
            <w:r w:rsidRPr="00535F05">
              <w:rPr>
                <w:bCs/>
              </w:rPr>
              <w:t xml:space="preserve">vides kvalitātes standartiem ūdens resursu politikas jomā, un ar ko groza un sekojoši atceļ </w:t>
            </w:r>
            <w:r w:rsidRPr="00535F05">
              <w:t>Padomes Direktīvas 82/176/EEK, 83/513/EEK, 84/156/EEK, 84/491/EEK, 86/280/EEK, un ar ko groza Direktīvu 2000/60/EK</w:t>
            </w:r>
            <w:r w:rsidR="00C16269" w:rsidRPr="00535F05">
              <w:rPr>
                <w:iCs/>
              </w:rPr>
              <w:t>.</w:t>
            </w:r>
            <w:r w:rsidRPr="00535F05">
              <w:rPr>
                <w:iCs/>
              </w:rPr>
              <w:t xml:space="preserve"> </w:t>
            </w:r>
          </w:p>
        </w:tc>
      </w:tr>
      <w:tr w:rsidR="006D1B88" w:rsidRPr="0048013F" w:rsidTr="006B3851">
        <w:trPr>
          <w:jc w:val="center"/>
        </w:trPr>
        <w:tc>
          <w:tcPr>
            <w:tcW w:w="294" w:type="dxa"/>
            <w:tcMar>
              <w:top w:w="57" w:type="dxa"/>
              <w:left w:w="57" w:type="dxa"/>
              <w:bottom w:w="57" w:type="dxa"/>
              <w:right w:w="57" w:type="dxa"/>
            </w:tcMar>
          </w:tcPr>
          <w:p w:rsidR="006D1B88" w:rsidRPr="00FD1271" w:rsidRDefault="006D1B88" w:rsidP="00051CAD">
            <w:pPr>
              <w:pStyle w:val="naiskr"/>
              <w:tabs>
                <w:tab w:val="left" w:pos="2628"/>
              </w:tabs>
              <w:spacing w:before="0" w:after="0"/>
              <w:jc w:val="both"/>
              <w:rPr>
                <w:iCs/>
              </w:rPr>
            </w:pPr>
            <w:r w:rsidRPr="00FD1271">
              <w:rPr>
                <w:iCs/>
              </w:rPr>
              <w:t>2.</w:t>
            </w:r>
          </w:p>
        </w:tc>
        <w:tc>
          <w:tcPr>
            <w:tcW w:w="4301" w:type="dxa"/>
            <w:tcMar>
              <w:top w:w="57" w:type="dxa"/>
              <w:left w:w="57" w:type="dxa"/>
              <w:bottom w:w="57" w:type="dxa"/>
              <w:right w:w="57" w:type="dxa"/>
            </w:tcMar>
          </w:tcPr>
          <w:p w:rsidR="006D1B88" w:rsidRPr="00FD1271" w:rsidRDefault="006D1B88" w:rsidP="00051CAD">
            <w:pPr>
              <w:pStyle w:val="naiskr"/>
              <w:tabs>
                <w:tab w:val="left" w:pos="2628"/>
              </w:tabs>
              <w:spacing w:before="0" w:after="0"/>
              <w:jc w:val="both"/>
              <w:rPr>
                <w:iCs/>
              </w:rPr>
            </w:pPr>
            <w:r w:rsidRPr="00FD1271">
              <w:t>Citas starptautiskās saistības</w:t>
            </w:r>
          </w:p>
        </w:tc>
        <w:tc>
          <w:tcPr>
            <w:tcW w:w="4803" w:type="dxa"/>
            <w:tcMar>
              <w:top w:w="57" w:type="dxa"/>
              <w:left w:w="57" w:type="dxa"/>
              <w:bottom w:w="57" w:type="dxa"/>
              <w:right w:w="57" w:type="dxa"/>
            </w:tcMar>
          </w:tcPr>
          <w:p w:rsidR="006D1B88" w:rsidRPr="00FD1271" w:rsidRDefault="006D1B88" w:rsidP="003B5C77">
            <w:pPr>
              <w:spacing w:after="120"/>
              <w:jc w:val="both"/>
              <w:rPr>
                <w:iCs/>
              </w:rPr>
            </w:pPr>
            <w:r>
              <w:rPr>
                <w:iCs/>
              </w:rPr>
              <w:t>Projekts šo jomu neskar</w:t>
            </w:r>
            <w:r w:rsidR="00194885">
              <w:rPr>
                <w:iCs/>
              </w:rPr>
              <w:t>.</w:t>
            </w:r>
          </w:p>
        </w:tc>
      </w:tr>
      <w:tr w:rsidR="006D1B88" w:rsidRPr="0048013F" w:rsidTr="006B3851">
        <w:trPr>
          <w:jc w:val="center"/>
        </w:trPr>
        <w:tc>
          <w:tcPr>
            <w:tcW w:w="294" w:type="dxa"/>
            <w:tcMar>
              <w:top w:w="57" w:type="dxa"/>
              <w:left w:w="57" w:type="dxa"/>
              <w:bottom w:w="57" w:type="dxa"/>
              <w:right w:w="57" w:type="dxa"/>
            </w:tcMar>
          </w:tcPr>
          <w:p w:rsidR="006D1B88" w:rsidRPr="00FD1271" w:rsidRDefault="006D1B88" w:rsidP="00051CAD">
            <w:pPr>
              <w:pStyle w:val="naiskr"/>
              <w:tabs>
                <w:tab w:val="left" w:pos="2628"/>
              </w:tabs>
              <w:spacing w:before="0" w:after="0"/>
              <w:jc w:val="both"/>
              <w:rPr>
                <w:iCs/>
              </w:rPr>
            </w:pPr>
            <w:r w:rsidRPr="00FD1271">
              <w:rPr>
                <w:iCs/>
              </w:rPr>
              <w:t>3.</w:t>
            </w:r>
          </w:p>
        </w:tc>
        <w:tc>
          <w:tcPr>
            <w:tcW w:w="4301" w:type="dxa"/>
            <w:tcMar>
              <w:top w:w="57" w:type="dxa"/>
              <w:left w:w="57" w:type="dxa"/>
              <w:bottom w:w="57" w:type="dxa"/>
              <w:right w:w="57" w:type="dxa"/>
            </w:tcMar>
          </w:tcPr>
          <w:p w:rsidR="006D1B88" w:rsidRPr="00FD1271" w:rsidRDefault="006D1B88" w:rsidP="00051CAD">
            <w:pPr>
              <w:pStyle w:val="naiskr"/>
              <w:tabs>
                <w:tab w:val="left" w:pos="2628"/>
              </w:tabs>
              <w:spacing w:before="0" w:after="0"/>
              <w:jc w:val="both"/>
            </w:pPr>
            <w:r w:rsidRPr="00FD1271">
              <w:t>Cita informācija</w:t>
            </w:r>
          </w:p>
        </w:tc>
        <w:tc>
          <w:tcPr>
            <w:tcW w:w="4803" w:type="dxa"/>
            <w:tcMar>
              <w:top w:w="57" w:type="dxa"/>
              <w:left w:w="57" w:type="dxa"/>
              <w:bottom w:w="57" w:type="dxa"/>
              <w:right w:w="57" w:type="dxa"/>
            </w:tcMar>
          </w:tcPr>
          <w:p w:rsidR="006D1B88" w:rsidRPr="00FD1271" w:rsidRDefault="006D1B88" w:rsidP="00885C22">
            <w:pPr>
              <w:pStyle w:val="naiskr"/>
              <w:tabs>
                <w:tab w:val="left" w:pos="2628"/>
              </w:tabs>
              <w:spacing w:before="0" w:after="0"/>
              <w:jc w:val="both"/>
              <w:rPr>
                <w:iCs/>
              </w:rPr>
            </w:pPr>
            <w:r w:rsidRPr="00FD1271">
              <w:t xml:space="preserve">Nav </w:t>
            </w:r>
          </w:p>
        </w:tc>
      </w:tr>
    </w:tbl>
    <w:p w:rsidR="006D1B88" w:rsidRDefault="006D1B88"/>
    <w:tbl>
      <w:tblPr>
        <w:tblW w:w="9539"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9"/>
        <w:gridCol w:w="41"/>
        <w:gridCol w:w="2227"/>
        <w:gridCol w:w="2695"/>
        <w:gridCol w:w="7"/>
        <w:gridCol w:w="2300"/>
      </w:tblGrid>
      <w:tr w:rsidR="006D1B88" w:rsidRPr="007841E4" w:rsidTr="00A57FBC">
        <w:trPr>
          <w:trHeight w:val="523"/>
          <w:jc w:val="center"/>
        </w:trPr>
        <w:tc>
          <w:tcPr>
            <w:tcW w:w="9539" w:type="dxa"/>
            <w:gridSpan w:val="6"/>
            <w:tcMar>
              <w:top w:w="57" w:type="dxa"/>
              <w:left w:w="57" w:type="dxa"/>
              <w:bottom w:w="57" w:type="dxa"/>
              <w:right w:w="57" w:type="dxa"/>
            </w:tcMar>
            <w:vAlign w:val="center"/>
          </w:tcPr>
          <w:p w:rsidR="006D1B88" w:rsidRPr="00054175" w:rsidRDefault="006D1B88" w:rsidP="006B3851">
            <w:pPr>
              <w:pStyle w:val="naisnod"/>
              <w:spacing w:before="0" w:after="0"/>
            </w:pPr>
            <w:r w:rsidRPr="00054175">
              <w:t xml:space="preserve">1.tabula </w:t>
            </w:r>
          </w:p>
          <w:p w:rsidR="006D1B88" w:rsidRPr="00054175" w:rsidRDefault="006D1B88" w:rsidP="006B3851">
            <w:pPr>
              <w:pStyle w:val="naisnod"/>
              <w:spacing w:before="0" w:after="0"/>
              <w:rPr>
                <w:i/>
              </w:rPr>
            </w:pPr>
            <w:r w:rsidRPr="00054175">
              <w:t>Tiesību akta projekta atbilstība ES tiesību aktiem</w:t>
            </w:r>
          </w:p>
        </w:tc>
      </w:tr>
      <w:tr w:rsidR="006D1B88" w:rsidRPr="007841E4" w:rsidTr="00A57FBC">
        <w:trPr>
          <w:trHeight w:val="1252"/>
          <w:jc w:val="center"/>
        </w:trPr>
        <w:tc>
          <w:tcPr>
            <w:tcW w:w="2269" w:type="dxa"/>
            <w:tcMar>
              <w:top w:w="57" w:type="dxa"/>
              <w:left w:w="57" w:type="dxa"/>
              <w:bottom w:w="57" w:type="dxa"/>
              <w:right w:w="57" w:type="dxa"/>
            </w:tcMar>
            <w:vAlign w:val="center"/>
          </w:tcPr>
          <w:p w:rsidR="006D1B88" w:rsidRPr="00054175" w:rsidRDefault="006D1B88" w:rsidP="006B3851">
            <w:pPr>
              <w:pStyle w:val="naiskr"/>
              <w:spacing w:before="0" w:after="0"/>
              <w:ind w:hanging="10"/>
              <w:jc w:val="center"/>
            </w:pPr>
            <w:r w:rsidRPr="00054175">
              <w:t>Attiecīgā ES tiesību akta datums, numurs un nosaukums</w:t>
            </w:r>
          </w:p>
        </w:tc>
        <w:tc>
          <w:tcPr>
            <w:tcW w:w="7270" w:type="dxa"/>
            <w:gridSpan w:val="5"/>
            <w:tcMar>
              <w:top w:w="57" w:type="dxa"/>
              <w:left w:w="57" w:type="dxa"/>
              <w:bottom w:w="57" w:type="dxa"/>
              <w:right w:w="57" w:type="dxa"/>
            </w:tcMar>
            <w:vAlign w:val="center"/>
          </w:tcPr>
          <w:p w:rsidR="006D1B88" w:rsidRDefault="006D1B88" w:rsidP="00705634">
            <w:pPr>
              <w:pStyle w:val="naiskr"/>
              <w:spacing w:before="0" w:after="120"/>
              <w:jc w:val="both"/>
              <w:rPr>
                <w:iCs/>
              </w:rPr>
            </w:pPr>
            <w:r>
              <w:rPr>
                <w:iCs/>
              </w:rPr>
              <w:t xml:space="preserve">1. </w:t>
            </w:r>
            <w:r w:rsidRPr="00FD1271">
              <w:rPr>
                <w:iCs/>
              </w:rPr>
              <w:t>Eiropas Parlamenta un Padom</w:t>
            </w:r>
            <w:r>
              <w:rPr>
                <w:iCs/>
              </w:rPr>
              <w:t>es 2006</w:t>
            </w:r>
            <w:r w:rsidRPr="00FD1271">
              <w:rPr>
                <w:iCs/>
              </w:rPr>
              <w:t xml:space="preserve">. gada </w:t>
            </w:r>
            <w:r>
              <w:rPr>
                <w:iCs/>
              </w:rPr>
              <w:t>12.decembra</w:t>
            </w:r>
            <w:r w:rsidRPr="00FD1271">
              <w:rPr>
                <w:iCs/>
              </w:rPr>
              <w:t xml:space="preserve"> Direktīva</w:t>
            </w:r>
            <w:r>
              <w:rPr>
                <w:iCs/>
              </w:rPr>
              <w:t xml:space="preserve"> </w:t>
            </w:r>
            <w:r w:rsidRPr="00893C70">
              <w:rPr>
                <w:iCs/>
              </w:rPr>
              <w:t>2006/118/EK par gruntsūdeņu aizsardzību pret piesārņojumu un pasliktināšanos</w:t>
            </w:r>
            <w:r>
              <w:rPr>
                <w:iCs/>
              </w:rPr>
              <w:t>,</w:t>
            </w:r>
          </w:p>
          <w:p w:rsidR="006D1B88" w:rsidRDefault="006D1B88" w:rsidP="00CC1E3F">
            <w:pPr>
              <w:spacing w:after="120"/>
              <w:jc w:val="both"/>
            </w:pPr>
            <w:r>
              <w:rPr>
                <w:iCs/>
              </w:rPr>
              <w:t>2.</w:t>
            </w:r>
            <w:r w:rsidRPr="00F63F02">
              <w:rPr>
                <w:color w:val="0000FF"/>
              </w:rPr>
              <w:t xml:space="preserve"> </w:t>
            </w:r>
            <w:r w:rsidRPr="001212B2">
              <w:t>Padomes 1991.gada 21.maija Direktīva 91/271/EEK par komunālo notekūdeņu attīrīšanu</w:t>
            </w:r>
            <w:r w:rsidR="0012494A">
              <w:t>,</w:t>
            </w:r>
          </w:p>
          <w:p w:rsidR="0012494A" w:rsidRPr="00535F05" w:rsidRDefault="0012494A" w:rsidP="00CC1E3F">
            <w:pPr>
              <w:spacing w:after="120"/>
              <w:jc w:val="both"/>
            </w:pPr>
            <w:r w:rsidRPr="00535F05">
              <w:t xml:space="preserve">3. Eiropas Parlamenta un Padomes 2008.gada 16.decembra </w:t>
            </w:r>
            <w:bookmarkStart w:id="2" w:name="OLE_LINK3"/>
            <w:bookmarkStart w:id="3" w:name="OLE_LINK4"/>
            <w:r w:rsidRPr="00535F05">
              <w:t xml:space="preserve">Direktīva 2008/105/EK </w:t>
            </w:r>
            <w:bookmarkEnd w:id="2"/>
            <w:bookmarkEnd w:id="3"/>
            <w:r w:rsidRPr="00535F05">
              <w:t xml:space="preserve">par </w:t>
            </w:r>
            <w:r w:rsidRPr="00535F05">
              <w:rPr>
                <w:bCs/>
              </w:rPr>
              <w:t xml:space="preserve">vides kvalitātes standartiem ūdens resursu politikas jomā, un ar ko groza un sekojoši atceļ </w:t>
            </w:r>
            <w:r w:rsidRPr="00535F05">
              <w:t>Padomes Direktīvas 82/176/EEK, 83/513/EEK, 84/156/EEK, 84/491/EEK, 86/280/EEK, un ar ko groza Direktīvu 2000/60/EK.</w:t>
            </w:r>
          </w:p>
        </w:tc>
      </w:tr>
      <w:tr w:rsidR="006D1B88" w:rsidRPr="007841E4" w:rsidTr="00A57FBC">
        <w:trPr>
          <w:trHeight w:val="163"/>
          <w:jc w:val="center"/>
        </w:trPr>
        <w:tc>
          <w:tcPr>
            <w:tcW w:w="9539" w:type="dxa"/>
            <w:gridSpan w:val="6"/>
            <w:tcMar>
              <w:top w:w="57" w:type="dxa"/>
              <w:left w:w="57" w:type="dxa"/>
              <w:bottom w:w="57" w:type="dxa"/>
              <w:right w:w="57" w:type="dxa"/>
            </w:tcMar>
            <w:vAlign w:val="center"/>
          </w:tcPr>
          <w:p w:rsidR="006D1B88" w:rsidRPr="00054175" w:rsidRDefault="006D1B88" w:rsidP="006B3851">
            <w:pPr>
              <w:pStyle w:val="naiskr"/>
              <w:spacing w:before="0" w:after="0"/>
              <w:rPr>
                <w:i/>
              </w:rPr>
            </w:pPr>
          </w:p>
        </w:tc>
      </w:tr>
      <w:tr w:rsidR="006D1B88" w:rsidRPr="007841E4" w:rsidTr="00A57FBC">
        <w:trPr>
          <w:trHeight w:val="165"/>
          <w:jc w:val="center"/>
        </w:trPr>
        <w:tc>
          <w:tcPr>
            <w:tcW w:w="2269" w:type="dxa"/>
            <w:tcMar>
              <w:top w:w="57" w:type="dxa"/>
              <w:left w:w="57" w:type="dxa"/>
              <w:bottom w:w="57" w:type="dxa"/>
              <w:right w:w="57" w:type="dxa"/>
            </w:tcMar>
            <w:vAlign w:val="center"/>
          </w:tcPr>
          <w:p w:rsidR="006D1B88" w:rsidRPr="00054175" w:rsidRDefault="006D1B88" w:rsidP="006B3851">
            <w:pPr>
              <w:pStyle w:val="naiskr"/>
              <w:spacing w:before="0" w:after="0"/>
              <w:jc w:val="center"/>
            </w:pPr>
            <w:r w:rsidRPr="00054175">
              <w:t>A</w:t>
            </w:r>
          </w:p>
        </w:tc>
        <w:tc>
          <w:tcPr>
            <w:tcW w:w="2268" w:type="dxa"/>
            <w:gridSpan w:val="2"/>
            <w:tcMar>
              <w:top w:w="57" w:type="dxa"/>
              <w:left w:w="57" w:type="dxa"/>
              <w:bottom w:w="57" w:type="dxa"/>
              <w:right w:w="57" w:type="dxa"/>
            </w:tcMar>
            <w:vAlign w:val="center"/>
          </w:tcPr>
          <w:p w:rsidR="006D1B88" w:rsidRPr="00054175" w:rsidRDefault="006D1B88" w:rsidP="006B3851">
            <w:pPr>
              <w:pStyle w:val="naiskr"/>
              <w:spacing w:before="0" w:after="0"/>
              <w:jc w:val="center"/>
            </w:pPr>
            <w:r w:rsidRPr="00054175">
              <w:t>B</w:t>
            </w:r>
          </w:p>
        </w:tc>
        <w:tc>
          <w:tcPr>
            <w:tcW w:w="2702" w:type="dxa"/>
            <w:gridSpan w:val="2"/>
            <w:tcMar>
              <w:top w:w="57" w:type="dxa"/>
              <w:left w:w="57" w:type="dxa"/>
              <w:bottom w:w="57" w:type="dxa"/>
              <w:right w:w="57" w:type="dxa"/>
            </w:tcMar>
            <w:vAlign w:val="center"/>
          </w:tcPr>
          <w:p w:rsidR="006D1B88" w:rsidRPr="00054175" w:rsidRDefault="006D1B88" w:rsidP="006B3851">
            <w:pPr>
              <w:pStyle w:val="naiskr"/>
              <w:spacing w:before="0" w:after="0"/>
              <w:jc w:val="center"/>
            </w:pPr>
            <w:r w:rsidRPr="00054175">
              <w:t>C</w:t>
            </w:r>
          </w:p>
        </w:tc>
        <w:tc>
          <w:tcPr>
            <w:tcW w:w="2300" w:type="dxa"/>
            <w:tcMar>
              <w:top w:w="57" w:type="dxa"/>
              <w:left w:w="57" w:type="dxa"/>
              <w:bottom w:w="57" w:type="dxa"/>
              <w:right w:w="57" w:type="dxa"/>
            </w:tcMar>
            <w:vAlign w:val="center"/>
          </w:tcPr>
          <w:p w:rsidR="006D1B88" w:rsidRPr="00054175" w:rsidRDefault="006D1B88" w:rsidP="006B3851">
            <w:pPr>
              <w:pStyle w:val="naiskr"/>
              <w:spacing w:before="0" w:after="0"/>
              <w:jc w:val="center"/>
            </w:pPr>
            <w:r w:rsidRPr="00054175">
              <w:t>D</w:t>
            </w:r>
          </w:p>
        </w:tc>
      </w:tr>
      <w:tr w:rsidR="006D1B88" w:rsidRPr="007841E4" w:rsidTr="00A57FBC">
        <w:trPr>
          <w:trHeight w:val="1904"/>
          <w:jc w:val="center"/>
        </w:trPr>
        <w:tc>
          <w:tcPr>
            <w:tcW w:w="2269" w:type="dxa"/>
            <w:tcMar>
              <w:top w:w="57" w:type="dxa"/>
              <w:left w:w="57" w:type="dxa"/>
              <w:bottom w:w="57" w:type="dxa"/>
              <w:right w:w="57" w:type="dxa"/>
            </w:tcMar>
          </w:tcPr>
          <w:p w:rsidR="006D1B88" w:rsidRPr="00054175" w:rsidRDefault="006D1B88" w:rsidP="006B3851">
            <w:pPr>
              <w:pStyle w:val="naiskr"/>
              <w:spacing w:before="0" w:after="0"/>
            </w:pPr>
            <w:r w:rsidRPr="00054175">
              <w:t xml:space="preserve">Attiecīgā ES tiesību akta panta numurs (uzskaitot katru tiesību akta </w:t>
            </w:r>
            <w:r w:rsidRPr="00054175">
              <w:br/>
              <w:t>vienību – pantu, daļu, punktu, apakšpunktu)</w:t>
            </w:r>
          </w:p>
        </w:tc>
        <w:tc>
          <w:tcPr>
            <w:tcW w:w="2268" w:type="dxa"/>
            <w:gridSpan w:val="2"/>
            <w:tcMar>
              <w:top w:w="57" w:type="dxa"/>
              <w:left w:w="57" w:type="dxa"/>
              <w:bottom w:w="57" w:type="dxa"/>
              <w:right w:w="57" w:type="dxa"/>
            </w:tcMar>
          </w:tcPr>
          <w:p w:rsidR="006D1B88" w:rsidRPr="00054175" w:rsidRDefault="006D1B88" w:rsidP="006B3851">
            <w:pPr>
              <w:pStyle w:val="naiskr"/>
              <w:spacing w:before="0" w:after="0"/>
            </w:pPr>
            <w:r w:rsidRPr="00054175">
              <w:t>Projekta vienība, kas pārņem vai ievieš katru šīs tabulas A ailē minēto ES tiesību akta vienību</w:t>
            </w:r>
          </w:p>
        </w:tc>
        <w:tc>
          <w:tcPr>
            <w:tcW w:w="2702" w:type="dxa"/>
            <w:gridSpan w:val="2"/>
            <w:tcMar>
              <w:top w:w="57" w:type="dxa"/>
              <w:left w:w="57" w:type="dxa"/>
              <w:bottom w:w="57" w:type="dxa"/>
              <w:right w:w="57" w:type="dxa"/>
            </w:tcMar>
          </w:tcPr>
          <w:p w:rsidR="006D1B88" w:rsidRPr="00054175" w:rsidRDefault="006D1B88" w:rsidP="006B3851">
            <w:pPr>
              <w:pStyle w:val="naiskr"/>
              <w:spacing w:before="0" w:after="0"/>
            </w:pPr>
            <w:r w:rsidRPr="00054175">
              <w:t xml:space="preserve">Informācija par to, vai šīs tabulas </w:t>
            </w:r>
            <w:proofErr w:type="spellStart"/>
            <w:r w:rsidRPr="00054175">
              <w:t>A ailē</w:t>
            </w:r>
            <w:proofErr w:type="spellEnd"/>
            <w:r w:rsidRPr="00054175">
              <w:t xml:space="preserve"> minētās ES tiesību akta vienības tiek pārņemtas vai ieviestas pilnībā vai daļēji.</w:t>
            </w:r>
          </w:p>
          <w:p w:rsidR="006D1B88" w:rsidRPr="00054175" w:rsidRDefault="006D1B88" w:rsidP="006B3851">
            <w:pPr>
              <w:pStyle w:val="naiskr"/>
              <w:spacing w:before="0" w:after="0"/>
            </w:pPr>
          </w:p>
          <w:p w:rsidR="006D1B88" w:rsidRPr="00054175" w:rsidRDefault="006D1B88" w:rsidP="006B3851">
            <w:pPr>
              <w:pStyle w:val="naiskr"/>
              <w:spacing w:before="0" w:after="0"/>
            </w:pPr>
            <w:r w:rsidRPr="00054175">
              <w:t>Ja attiecīgā ES tiesību akta vienība tiek pārņemta vai ieviesta daļēji, – sniedz attiecīgu skaidrojumu, kā arī precīzi norāda, kad un kādā veidā ES tiesību akta vienība tiks pārņemta vai ieviesta pilnībā.</w:t>
            </w:r>
          </w:p>
          <w:p w:rsidR="006D1B88" w:rsidRPr="00054175" w:rsidRDefault="006D1B88" w:rsidP="006B3851">
            <w:pPr>
              <w:pStyle w:val="naiskr"/>
              <w:spacing w:before="0" w:after="0"/>
            </w:pPr>
          </w:p>
          <w:p w:rsidR="006D1B88" w:rsidRPr="00054175" w:rsidRDefault="006D1B88" w:rsidP="006B3851">
            <w:pPr>
              <w:pStyle w:val="naiskr"/>
              <w:spacing w:before="0" w:after="0"/>
            </w:pPr>
            <w:r w:rsidRPr="00054175">
              <w:t>Norāda institūciju, kas ir atbildīga par šo saistību izpildi pilnībā</w:t>
            </w:r>
          </w:p>
        </w:tc>
        <w:tc>
          <w:tcPr>
            <w:tcW w:w="2300" w:type="dxa"/>
            <w:tcMar>
              <w:top w:w="57" w:type="dxa"/>
              <w:left w:w="57" w:type="dxa"/>
              <w:bottom w:w="57" w:type="dxa"/>
              <w:right w:w="57" w:type="dxa"/>
            </w:tcMar>
          </w:tcPr>
          <w:p w:rsidR="006D1B88" w:rsidRPr="00054175" w:rsidRDefault="006D1B88" w:rsidP="006B3851">
            <w:pPr>
              <w:pStyle w:val="naiskr"/>
              <w:spacing w:before="0" w:after="0"/>
            </w:pPr>
            <w:r w:rsidRPr="00054175">
              <w:t xml:space="preserve">Informācija par to, vai šīs tabulas </w:t>
            </w:r>
            <w:proofErr w:type="spellStart"/>
            <w:r w:rsidRPr="00054175">
              <w:t>B ailē</w:t>
            </w:r>
            <w:proofErr w:type="spellEnd"/>
            <w:r w:rsidRPr="00054175">
              <w:t xml:space="preserve"> minētās projekta vienības paredz stingrākas prasības nekā šīs tabulas A ailē minētās ES tiesību akta vienības.</w:t>
            </w:r>
          </w:p>
          <w:p w:rsidR="006D1B88" w:rsidRPr="00054175" w:rsidRDefault="006D1B88" w:rsidP="006B3851">
            <w:pPr>
              <w:pStyle w:val="naiskr"/>
              <w:spacing w:before="0" w:after="0"/>
            </w:pPr>
          </w:p>
          <w:p w:rsidR="006D1B88" w:rsidRPr="00054175" w:rsidRDefault="006D1B88" w:rsidP="006B3851">
            <w:pPr>
              <w:pStyle w:val="naiskr"/>
              <w:spacing w:before="0" w:after="0"/>
            </w:pPr>
            <w:r w:rsidRPr="00054175">
              <w:t xml:space="preserve">Ja projekts satur stingrākas prasības nekā attiecīgais ES tiesību </w:t>
            </w:r>
            <w:smartTag w:uri="schemas-tilde-lv/tildestengine" w:element="currency2">
              <w:smartTagPr>
                <w:attr w:name="currency_text" w:val="EEK"/>
                <w:attr w:name="currency_value" w:val="1"/>
                <w:attr w:name="currency_key" w:val="EEK"/>
                <w:attr w:name="currency_id" w:val="14"/>
              </w:smartTagPr>
              <w:r w:rsidRPr="00054175">
                <w:t>akts</w:t>
              </w:r>
            </w:smartTag>
            <w:r w:rsidRPr="00054175">
              <w:t>, – norāda pamatojumu un samērīgumu.</w:t>
            </w:r>
          </w:p>
          <w:p w:rsidR="006D1B88" w:rsidRPr="00054175" w:rsidRDefault="006D1B88" w:rsidP="006B3851">
            <w:pPr>
              <w:pStyle w:val="naiskr"/>
              <w:spacing w:before="0" w:after="0"/>
            </w:pPr>
          </w:p>
          <w:p w:rsidR="006D1B88" w:rsidRPr="00054175" w:rsidRDefault="006D1B88" w:rsidP="006B3851">
            <w:pPr>
              <w:pStyle w:val="naiskr"/>
              <w:spacing w:before="0" w:after="0"/>
            </w:pPr>
            <w:r w:rsidRPr="00054175">
              <w:t>Norāda iespējamās alternatīvas (</w:t>
            </w:r>
            <w:proofErr w:type="spellStart"/>
            <w:r w:rsidRPr="00054175">
              <w:t>t.sk</w:t>
            </w:r>
            <w:proofErr w:type="spellEnd"/>
            <w:r w:rsidRPr="00054175">
              <w:t>. alternatīvas, kas neparedz tiesiskā regulējuma izstrādi) – kādos gadījumos būtu iespējams izvairīties no stingrāku prasību noteikšanas, nekā paredzēts attiecīgajos ES tiesību aktos</w:t>
            </w:r>
          </w:p>
        </w:tc>
      </w:tr>
      <w:tr w:rsidR="006D1B88" w:rsidRPr="007841E4" w:rsidTr="00A57FBC">
        <w:trPr>
          <w:trHeight w:val="191"/>
          <w:jc w:val="center"/>
        </w:trPr>
        <w:tc>
          <w:tcPr>
            <w:tcW w:w="2269" w:type="dxa"/>
            <w:tcMar>
              <w:top w:w="57" w:type="dxa"/>
              <w:left w:w="57" w:type="dxa"/>
              <w:bottom w:w="57" w:type="dxa"/>
              <w:right w:w="57" w:type="dxa"/>
            </w:tcMar>
            <w:vAlign w:val="center"/>
          </w:tcPr>
          <w:p w:rsidR="006D1B88" w:rsidRPr="00641B03" w:rsidRDefault="006D1B88" w:rsidP="0088732E">
            <w:pPr>
              <w:pStyle w:val="naiskr"/>
              <w:spacing w:before="0" w:after="0"/>
              <w:jc w:val="center"/>
            </w:pPr>
            <w:r w:rsidRPr="00641B03">
              <w:t>Direktīvas 2006/118/EK</w:t>
            </w:r>
          </w:p>
          <w:p w:rsidR="006D1B88" w:rsidRPr="00641B03" w:rsidRDefault="006D1B88" w:rsidP="0088732E">
            <w:pPr>
              <w:pStyle w:val="naiskr"/>
              <w:spacing w:before="0" w:after="0"/>
              <w:jc w:val="center"/>
            </w:pPr>
            <w:r w:rsidRPr="00641B03">
              <w:t>6.panta 3.punkta ievaddaļa</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24.punkta ievaddaļa)</w:t>
            </w:r>
          </w:p>
        </w:tc>
        <w:tc>
          <w:tcPr>
            <w:tcW w:w="2695" w:type="dxa"/>
            <w:tcMar>
              <w:top w:w="57" w:type="dxa"/>
              <w:left w:w="57" w:type="dxa"/>
              <w:bottom w:w="57" w:type="dxa"/>
              <w:right w:w="57" w:type="dxa"/>
            </w:tcMar>
            <w:vAlign w:val="center"/>
          </w:tcPr>
          <w:p w:rsidR="006D1B88" w:rsidRPr="00641B03" w:rsidRDefault="006D1B88" w:rsidP="00A03155">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A03155">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A03155">
            <w:pPr>
              <w:pStyle w:val="naiskr"/>
              <w:spacing w:before="0" w:after="0"/>
              <w:jc w:val="center"/>
            </w:pPr>
            <w:r w:rsidRPr="00641B03">
              <w:t>Direktīvas 2006/118/EK</w:t>
            </w:r>
          </w:p>
          <w:p w:rsidR="006D1B88" w:rsidRPr="00641B03" w:rsidRDefault="006D1B88" w:rsidP="00993538">
            <w:pPr>
              <w:pStyle w:val="naiskr"/>
              <w:spacing w:before="0" w:after="0"/>
              <w:jc w:val="center"/>
            </w:pPr>
            <w:r w:rsidRPr="00641B03">
              <w:t>6.panta 3.punkta (b) apakšpunkts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24.1.apakšpunkts)</w:t>
            </w:r>
          </w:p>
        </w:tc>
        <w:tc>
          <w:tcPr>
            <w:tcW w:w="2695" w:type="dxa"/>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Neparedz stingrākas prasības kā direktīvā. Pārņem arī Direktīvas 80/68/EEK netiešas emisijas definīciju</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993538">
            <w:pPr>
              <w:pStyle w:val="naiskr"/>
              <w:spacing w:before="0" w:after="0"/>
              <w:jc w:val="center"/>
            </w:pPr>
            <w:r w:rsidRPr="00641B03">
              <w:t>Direktīvas 2006/118/EK</w:t>
            </w:r>
          </w:p>
          <w:p w:rsidR="006D1B88" w:rsidRPr="00641B03" w:rsidRDefault="006D1B88" w:rsidP="00993538">
            <w:pPr>
              <w:pStyle w:val="naiskr"/>
              <w:spacing w:before="0" w:after="0"/>
              <w:jc w:val="center"/>
            </w:pPr>
            <w:r w:rsidRPr="00641B03">
              <w:t>6.panta 3.punkta (c) apakšpunkts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24.3.apakšpunkts)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993538">
            <w:pPr>
              <w:pStyle w:val="naiskr"/>
              <w:spacing w:before="0" w:after="0"/>
              <w:jc w:val="center"/>
            </w:pPr>
            <w:r w:rsidRPr="00641B03">
              <w:t>Direktīvas 2006/118/EK</w:t>
            </w:r>
          </w:p>
          <w:p w:rsidR="006D1B88" w:rsidRPr="00641B03" w:rsidRDefault="006D1B88" w:rsidP="00993538">
            <w:pPr>
              <w:pStyle w:val="naiskr"/>
              <w:spacing w:before="0" w:after="0"/>
              <w:jc w:val="center"/>
            </w:pPr>
            <w:r w:rsidRPr="00641B03">
              <w:t>6.panta 3.punkta (d) apakšpunkts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24.4.apakšpunkts)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993538">
            <w:pPr>
              <w:pStyle w:val="naiskr"/>
              <w:spacing w:before="0" w:after="0"/>
              <w:jc w:val="center"/>
            </w:pPr>
            <w:r w:rsidRPr="00641B03">
              <w:t>Direktīvas 2006/118/EK</w:t>
            </w:r>
          </w:p>
          <w:p w:rsidR="006D1B88" w:rsidRPr="00641B03" w:rsidRDefault="006D1B88" w:rsidP="00993538">
            <w:pPr>
              <w:pStyle w:val="naiskr"/>
              <w:spacing w:before="0" w:after="0"/>
              <w:jc w:val="center"/>
            </w:pPr>
            <w:r w:rsidRPr="00641B03">
              <w:t>6.panta 3.punkta (e) apakšpunkts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24.5.apakšpunkts)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842FD9">
            <w:pPr>
              <w:pStyle w:val="naiskr"/>
              <w:spacing w:before="0" w:after="0"/>
              <w:jc w:val="center"/>
            </w:pPr>
            <w:r w:rsidRPr="00641B03">
              <w:t>Direktīvas 2006/118/EK</w:t>
            </w:r>
          </w:p>
          <w:p w:rsidR="006D1B88" w:rsidRPr="00641B03" w:rsidRDefault="006D1B88" w:rsidP="00842FD9">
            <w:pPr>
              <w:pStyle w:val="naiskr"/>
              <w:spacing w:before="0" w:after="0"/>
              <w:jc w:val="center"/>
            </w:pPr>
            <w:r w:rsidRPr="00641B03">
              <w:t>6.panta 3.punkta (f) apakšpunkts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24.6.apakšpunkts)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842FD9">
            <w:pPr>
              <w:pStyle w:val="naiskr"/>
              <w:spacing w:before="0" w:after="0"/>
              <w:jc w:val="center"/>
            </w:pPr>
            <w:r w:rsidRPr="00641B03">
              <w:t>Direktīvas 2006/118/EK</w:t>
            </w:r>
          </w:p>
          <w:p w:rsidR="006D1B88" w:rsidRPr="00641B03" w:rsidRDefault="006D1B88" w:rsidP="00842FD9">
            <w:pPr>
              <w:pStyle w:val="naiskr"/>
              <w:spacing w:before="0" w:after="0"/>
              <w:jc w:val="center"/>
            </w:pPr>
            <w:r w:rsidRPr="00641B03">
              <w:t>6.panta 3.punkta (a) apakšpunkts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8.punkts (noteikumu 24.7.apakšpunkts)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C44696">
            <w:pPr>
              <w:pStyle w:val="naiskr"/>
              <w:spacing w:before="0" w:after="0"/>
              <w:jc w:val="center"/>
            </w:pPr>
            <w:r w:rsidRPr="00641B03">
              <w:t>Direktīvas 2006/118/EK</w:t>
            </w:r>
          </w:p>
          <w:p w:rsidR="006D1B88" w:rsidRPr="00641B03" w:rsidRDefault="006D1B88" w:rsidP="00C44696">
            <w:pPr>
              <w:pStyle w:val="naiskr"/>
              <w:spacing w:before="0" w:after="0"/>
              <w:jc w:val="center"/>
            </w:pPr>
            <w:r w:rsidRPr="00641B03">
              <w:t>6.panta 3.punkta pēdējais teikums un 6.panta 4.punkts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9.punkts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rPr>
                <w:i/>
              </w:rP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842FD9">
            <w:pPr>
              <w:pStyle w:val="naiskr"/>
              <w:spacing w:before="0" w:after="0"/>
              <w:jc w:val="center"/>
            </w:pP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10.punkts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pP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pP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E56F47">
            <w:pPr>
              <w:pStyle w:val="naiskr"/>
              <w:spacing w:before="0" w:after="0"/>
              <w:jc w:val="center"/>
            </w:pPr>
            <w:r w:rsidRPr="00641B03">
              <w:t>Direktīvas 2006/118/EK</w:t>
            </w:r>
          </w:p>
          <w:p w:rsidR="006D1B88" w:rsidRPr="00641B03" w:rsidRDefault="006D1B88" w:rsidP="00842FD9">
            <w:pPr>
              <w:pStyle w:val="naiskr"/>
              <w:spacing w:before="0" w:after="0"/>
              <w:jc w:val="center"/>
            </w:pPr>
            <w:r w:rsidRPr="00641B03">
              <w:t>7.pants</w:t>
            </w: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11.punkts</w:t>
            </w:r>
          </w:p>
        </w:tc>
        <w:tc>
          <w:tcPr>
            <w:tcW w:w="2695" w:type="dxa"/>
            <w:tcMar>
              <w:top w:w="57" w:type="dxa"/>
              <w:left w:w="57" w:type="dxa"/>
              <w:bottom w:w="57" w:type="dxa"/>
              <w:right w:w="57" w:type="dxa"/>
            </w:tcMar>
            <w:vAlign w:val="center"/>
          </w:tcPr>
          <w:p w:rsidR="006D1B88" w:rsidRPr="00641B03" w:rsidRDefault="006D1B88" w:rsidP="0061381F">
            <w:pPr>
              <w:pStyle w:val="naiskr"/>
              <w:spacing w:before="0" w:after="0"/>
              <w:jc w:val="center"/>
              <w:rPr>
                <w:i/>
              </w:rP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61381F">
            <w:pPr>
              <w:pStyle w:val="naiskr"/>
              <w:spacing w:before="0" w:after="0"/>
              <w:jc w:val="center"/>
              <w:rPr>
                <w:i/>
              </w:rPr>
            </w:pPr>
            <w:r w:rsidRPr="00641B03">
              <w:t>Neparedz stingrākas prasības kā direktīvā</w:t>
            </w:r>
          </w:p>
        </w:tc>
      </w:tr>
      <w:tr w:rsidR="006D1B88" w:rsidRPr="007841E4" w:rsidTr="00A57FBC">
        <w:trPr>
          <w:trHeight w:val="191"/>
          <w:jc w:val="center"/>
        </w:trPr>
        <w:tc>
          <w:tcPr>
            <w:tcW w:w="2269" w:type="dxa"/>
            <w:tcMar>
              <w:top w:w="57" w:type="dxa"/>
              <w:left w:w="57" w:type="dxa"/>
              <w:bottom w:w="57" w:type="dxa"/>
              <w:right w:w="57" w:type="dxa"/>
            </w:tcMar>
            <w:vAlign w:val="center"/>
          </w:tcPr>
          <w:p w:rsidR="006D1B88" w:rsidRPr="00641B03" w:rsidRDefault="006D1B88" w:rsidP="00842FD9">
            <w:pPr>
              <w:pStyle w:val="naiskr"/>
              <w:spacing w:before="0" w:after="0"/>
              <w:jc w:val="center"/>
            </w:pPr>
          </w:p>
        </w:tc>
        <w:tc>
          <w:tcPr>
            <w:tcW w:w="2268"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Noteikumu projekta 12.punkts</w:t>
            </w:r>
          </w:p>
        </w:tc>
        <w:tc>
          <w:tcPr>
            <w:tcW w:w="2695" w:type="dxa"/>
            <w:tcMar>
              <w:top w:w="57" w:type="dxa"/>
              <w:left w:w="57" w:type="dxa"/>
              <w:bottom w:w="57" w:type="dxa"/>
              <w:right w:w="57" w:type="dxa"/>
            </w:tcMar>
            <w:vAlign w:val="center"/>
          </w:tcPr>
          <w:p w:rsidR="006D1B88" w:rsidRPr="00641B03" w:rsidRDefault="006D1B88" w:rsidP="00C76753">
            <w:pPr>
              <w:pStyle w:val="naiskr"/>
              <w:spacing w:before="0" w:after="0"/>
              <w:jc w:val="center"/>
            </w:pPr>
          </w:p>
        </w:tc>
        <w:tc>
          <w:tcPr>
            <w:tcW w:w="2307" w:type="dxa"/>
            <w:gridSpan w:val="2"/>
            <w:tcMar>
              <w:top w:w="57" w:type="dxa"/>
              <w:left w:w="57" w:type="dxa"/>
              <w:bottom w:w="57" w:type="dxa"/>
              <w:right w:w="57" w:type="dxa"/>
            </w:tcMar>
            <w:vAlign w:val="center"/>
          </w:tcPr>
          <w:p w:rsidR="006D1B88" w:rsidRPr="00641B03" w:rsidRDefault="006D1B88" w:rsidP="00C76753">
            <w:pPr>
              <w:pStyle w:val="naiskr"/>
              <w:spacing w:before="0" w:after="0"/>
              <w:jc w:val="center"/>
            </w:pP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88732E">
            <w:pPr>
              <w:pStyle w:val="naiskr"/>
              <w:spacing w:before="0" w:after="0"/>
              <w:jc w:val="center"/>
            </w:pPr>
            <w:r w:rsidRPr="00641B03">
              <w:t>Direktīva 91/271/</w:t>
            </w:r>
            <w:smartTag w:uri="schemas-tilde-lv/tildestengine" w:element="currency2">
              <w:smartTagPr>
                <w:attr w:name="currency_text" w:val="EEK"/>
                <w:attr w:name="currency_value" w:val="1"/>
                <w:attr w:name="currency_key" w:val="EEK"/>
                <w:attr w:name="currency_id" w:val="14"/>
              </w:smartTagPr>
              <w:r w:rsidRPr="00641B03">
                <w:t>EEK</w:t>
              </w:r>
            </w:smartTag>
          </w:p>
          <w:p w:rsidR="006D1B88" w:rsidRPr="00641B03" w:rsidRDefault="006D1B88" w:rsidP="0088732E">
            <w:pPr>
              <w:pStyle w:val="naiskr"/>
              <w:spacing w:before="0" w:after="0"/>
              <w:jc w:val="center"/>
            </w:pPr>
            <w:r w:rsidRPr="00641B03">
              <w:t>I pielikuma B daļas 5.punkts</w:t>
            </w:r>
          </w:p>
        </w:tc>
        <w:tc>
          <w:tcPr>
            <w:tcW w:w="2268" w:type="dxa"/>
            <w:gridSpan w:val="2"/>
            <w:tcMar>
              <w:top w:w="57" w:type="dxa"/>
              <w:left w:w="57" w:type="dxa"/>
              <w:bottom w:w="57" w:type="dxa"/>
              <w:right w:w="57" w:type="dxa"/>
            </w:tcMar>
            <w:vAlign w:val="center"/>
          </w:tcPr>
          <w:p w:rsidR="006D1B88" w:rsidRPr="00641B03" w:rsidRDefault="006D1B88" w:rsidP="00BC6535">
            <w:pPr>
              <w:pStyle w:val="naiskr"/>
              <w:spacing w:before="0" w:after="0"/>
              <w:jc w:val="center"/>
            </w:pPr>
            <w:r w:rsidRPr="00641B03">
              <w:t>Noteikumu projekta 20.punkts (noteikumu 41.7.apakšpunkts)</w:t>
            </w:r>
          </w:p>
        </w:tc>
        <w:tc>
          <w:tcPr>
            <w:tcW w:w="2695" w:type="dxa"/>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404DCF">
            <w:pPr>
              <w:pStyle w:val="naiskr"/>
              <w:spacing w:before="0" w:after="0"/>
              <w:jc w:val="center"/>
            </w:pPr>
            <w:r w:rsidRPr="00641B03">
              <w:t>Direktīva 91/271/</w:t>
            </w:r>
            <w:smartTag w:uri="schemas-tilde-lv/tildestengine" w:element="currency2">
              <w:smartTagPr>
                <w:attr w:name="currency_text" w:val="EEK"/>
                <w:attr w:name="currency_value" w:val="1"/>
                <w:attr w:name="currency_key" w:val="EEK"/>
                <w:attr w:name="currency_id" w:val="14"/>
              </w:smartTagPr>
              <w:r w:rsidRPr="00641B03">
                <w:t>EEK</w:t>
              </w:r>
            </w:smartTag>
          </w:p>
          <w:p w:rsidR="006D1B88" w:rsidRPr="00641B03" w:rsidRDefault="006D1B88" w:rsidP="00404DCF">
            <w:pPr>
              <w:pStyle w:val="naiskr"/>
              <w:spacing w:before="0" w:after="0"/>
              <w:jc w:val="center"/>
            </w:pPr>
            <w:r w:rsidRPr="00641B03">
              <w:t xml:space="preserve">I pielikuma 2.tabulas 3.piezīme </w:t>
            </w:r>
          </w:p>
        </w:tc>
        <w:tc>
          <w:tcPr>
            <w:tcW w:w="2268" w:type="dxa"/>
            <w:gridSpan w:val="2"/>
            <w:tcMar>
              <w:top w:w="57" w:type="dxa"/>
              <w:left w:w="57" w:type="dxa"/>
              <w:bottom w:w="57" w:type="dxa"/>
              <w:right w:w="57" w:type="dxa"/>
            </w:tcMar>
            <w:vAlign w:val="center"/>
          </w:tcPr>
          <w:p w:rsidR="006D1B88" w:rsidRPr="00641B03" w:rsidRDefault="006D1B88" w:rsidP="00BC6535">
            <w:pPr>
              <w:pStyle w:val="naiskr"/>
              <w:spacing w:before="0" w:after="0"/>
              <w:jc w:val="center"/>
            </w:pPr>
            <w:r w:rsidRPr="00641B03">
              <w:t>Noteikumu projekta 37.punkts (noteikumu 5.pielikuma 8.punkts</w:t>
            </w:r>
          </w:p>
        </w:tc>
        <w:tc>
          <w:tcPr>
            <w:tcW w:w="2695" w:type="dxa"/>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Neparedz stingrākas prasības kā direktīvā</w:t>
            </w:r>
          </w:p>
        </w:tc>
      </w:tr>
      <w:tr w:rsidR="006D1B88" w:rsidRPr="00641B03" w:rsidTr="00A57FBC">
        <w:trPr>
          <w:trHeight w:val="191"/>
          <w:jc w:val="center"/>
        </w:trPr>
        <w:tc>
          <w:tcPr>
            <w:tcW w:w="2269" w:type="dxa"/>
            <w:tcMar>
              <w:top w:w="57" w:type="dxa"/>
              <w:left w:w="57" w:type="dxa"/>
              <w:bottom w:w="57" w:type="dxa"/>
              <w:right w:w="57" w:type="dxa"/>
            </w:tcMar>
            <w:vAlign w:val="center"/>
          </w:tcPr>
          <w:p w:rsidR="006D1B88" w:rsidRPr="00641B03" w:rsidRDefault="006D1B88" w:rsidP="00404DCF">
            <w:pPr>
              <w:pStyle w:val="naiskr"/>
              <w:spacing w:before="0" w:after="0"/>
              <w:jc w:val="center"/>
            </w:pPr>
            <w:r w:rsidRPr="00641B03">
              <w:t>Direktīva 91/271/</w:t>
            </w:r>
            <w:smartTag w:uri="schemas-tilde-lv/tildestengine" w:element="currency2">
              <w:smartTagPr>
                <w:attr w:name="currency_text" w:val="EEK"/>
                <w:attr w:name="currency_value" w:val="1"/>
                <w:attr w:name="currency_key" w:val="EEK"/>
                <w:attr w:name="currency_id" w:val="14"/>
              </w:smartTagPr>
              <w:r w:rsidRPr="00641B03">
                <w:t>EEK</w:t>
              </w:r>
            </w:smartTag>
          </w:p>
          <w:p w:rsidR="006D1B88" w:rsidRPr="00641B03" w:rsidRDefault="006D1B88" w:rsidP="00404DCF">
            <w:pPr>
              <w:pStyle w:val="naiskr"/>
              <w:spacing w:before="0" w:after="0"/>
              <w:jc w:val="center"/>
            </w:pPr>
            <w:r w:rsidRPr="00641B03">
              <w:t xml:space="preserve">III pielikums </w:t>
            </w:r>
          </w:p>
        </w:tc>
        <w:tc>
          <w:tcPr>
            <w:tcW w:w="2268" w:type="dxa"/>
            <w:gridSpan w:val="2"/>
            <w:tcMar>
              <w:top w:w="57" w:type="dxa"/>
              <w:left w:w="57" w:type="dxa"/>
              <w:bottom w:w="57" w:type="dxa"/>
              <w:right w:w="57" w:type="dxa"/>
            </w:tcMar>
            <w:vAlign w:val="center"/>
          </w:tcPr>
          <w:p w:rsidR="006D1B88" w:rsidRPr="00641B03" w:rsidRDefault="006D1B88" w:rsidP="00BC6535">
            <w:pPr>
              <w:pStyle w:val="naiskr"/>
              <w:spacing w:before="0" w:after="0"/>
              <w:jc w:val="center"/>
            </w:pPr>
            <w:r w:rsidRPr="00641B03">
              <w:t>Noteikumu projekta 39.punkts (noteikumu 5.pielikuma IV daļa, 11.punkts)</w:t>
            </w:r>
          </w:p>
        </w:tc>
        <w:tc>
          <w:tcPr>
            <w:tcW w:w="2695" w:type="dxa"/>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Pārņemtas pilnībā</w:t>
            </w:r>
          </w:p>
        </w:tc>
        <w:tc>
          <w:tcPr>
            <w:tcW w:w="2307" w:type="dxa"/>
            <w:gridSpan w:val="2"/>
            <w:tcMar>
              <w:top w:w="57" w:type="dxa"/>
              <w:left w:w="57" w:type="dxa"/>
              <w:bottom w:w="57" w:type="dxa"/>
              <w:right w:w="57" w:type="dxa"/>
            </w:tcMar>
            <w:vAlign w:val="center"/>
          </w:tcPr>
          <w:p w:rsidR="006D1B88" w:rsidRPr="00641B03" w:rsidRDefault="006D1B88" w:rsidP="00A30CB8">
            <w:pPr>
              <w:pStyle w:val="naiskr"/>
              <w:spacing w:before="0" w:after="0"/>
              <w:jc w:val="center"/>
            </w:pPr>
            <w:r w:rsidRPr="00641B03">
              <w:t>Neparedz stingrākas prasības kā direktīvā</w:t>
            </w:r>
          </w:p>
        </w:tc>
      </w:tr>
      <w:tr w:rsidR="0012494A" w:rsidRPr="00641B03" w:rsidTr="00A57FBC">
        <w:trPr>
          <w:trHeight w:val="191"/>
          <w:jc w:val="center"/>
        </w:trPr>
        <w:tc>
          <w:tcPr>
            <w:tcW w:w="2269" w:type="dxa"/>
            <w:tcMar>
              <w:top w:w="57" w:type="dxa"/>
              <w:left w:w="57" w:type="dxa"/>
              <w:bottom w:w="57" w:type="dxa"/>
              <w:right w:w="57" w:type="dxa"/>
            </w:tcMar>
            <w:vAlign w:val="center"/>
          </w:tcPr>
          <w:p w:rsidR="0012494A" w:rsidRPr="00535F05" w:rsidRDefault="0012494A" w:rsidP="00404DCF">
            <w:pPr>
              <w:pStyle w:val="naiskr"/>
              <w:spacing w:before="0" w:after="0"/>
              <w:jc w:val="center"/>
            </w:pPr>
            <w:r w:rsidRPr="00535F05">
              <w:t>Direktīva 2008/105/EK</w:t>
            </w:r>
          </w:p>
          <w:p w:rsidR="0012494A" w:rsidRPr="00535F05" w:rsidRDefault="0012494A" w:rsidP="00404DCF">
            <w:pPr>
              <w:pStyle w:val="naiskr"/>
              <w:spacing w:before="0" w:after="0"/>
              <w:jc w:val="center"/>
            </w:pPr>
            <w:r w:rsidRPr="00535F05">
              <w:t>12.panta 1.punkts</w:t>
            </w:r>
          </w:p>
        </w:tc>
        <w:tc>
          <w:tcPr>
            <w:tcW w:w="2268" w:type="dxa"/>
            <w:gridSpan w:val="2"/>
            <w:tcMar>
              <w:top w:w="57" w:type="dxa"/>
              <w:left w:w="57" w:type="dxa"/>
              <w:bottom w:w="57" w:type="dxa"/>
              <w:right w:w="57" w:type="dxa"/>
            </w:tcMar>
            <w:vAlign w:val="center"/>
          </w:tcPr>
          <w:p w:rsidR="0012494A" w:rsidRPr="00535F05" w:rsidRDefault="0012494A" w:rsidP="00BC6535">
            <w:pPr>
              <w:pStyle w:val="naiskr"/>
              <w:spacing w:before="0" w:after="0"/>
              <w:jc w:val="center"/>
            </w:pPr>
          </w:p>
          <w:p w:rsidR="00705634" w:rsidRPr="00535F05" w:rsidRDefault="009F10B8" w:rsidP="00705634">
            <w:pPr>
              <w:pStyle w:val="naiskr"/>
              <w:spacing w:before="0" w:after="0"/>
              <w:jc w:val="center"/>
            </w:pPr>
            <w:r w:rsidRPr="00535F05">
              <w:t>Noteikumu projekta</w:t>
            </w:r>
            <w:r w:rsidR="0057683C" w:rsidRPr="00535F05">
              <w:t xml:space="preserve"> </w:t>
            </w:r>
          </w:p>
          <w:p w:rsidR="0012494A" w:rsidRPr="00535F05" w:rsidRDefault="005207EC" w:rsidP="00705634">
            <w:pPr>
              <w:pStyle w:val="naiskr"/>
              <w:spacing w:before="0" w:after="0"/>
              <w:jc w:val="center"/>
            </w:pPr>
            <w:r w:rsidRPr="00535F05">
              <w:t>3</w:t>
            </w:r>
            <w:r w:rsidR="00681E85" w:rsidRPr="00535F05">
              <w:t>9</w:t>
            </w:r>
            <w:r w:rsidRPr="00535F05">
              <w:t>.punkts</w:t>
            </w:r>
            <w:r w:rsidR="00681E85" w:rsidRPr="00535F05">
              <w:t xml:space="preserve"> un</w:t>
            </w:r>
            <w:r w:rsidR="00705634" w:rsidRPr="00535F05">
              <w:t xml:space="preserve"> </w:t>
            </w:r>
            <w:r w:rsidR="00681E85" w:rsidRPr="00535F05">
              <w:t>40</w:t>
            </w:r>
            <w:r w:rsidR="00705634" w:rsidRPr="00535F05">
              <w:t>.punkts</w:t>
            </w:r>
          </w:p>
          <w:p w:rsidR="00705634" w:rsidRPr="00535F05" w:rsidRDefault="00705634" w:rsidP="00705634">
            <w:pPr>
              <w:pStyle w:val="naiskr"/>
              <w:spacing w:before="0" w:after="0"/>
              <w:jc w:val="center"/>
            </w:pPr>
          </w:p>
        </w:tc>
        <w:tc>
          <w:tcPr>
            <w:tcW w:w="2695" w:type="dxa"/>
            <w:tcMar>
              <w:top w:w="57" w:type="dxa"/>
              <w:left w:w="57" w:type="dxa"/>
              <w:bottom w:w="57" w:type="dxa"/>
              <w:right w:w="57" w:type="dxa"/>
            </w:tcMar>
            <w:vAlign w:val="center"/>
          </w:tcPr>
          <w:p w:rsidR="0012494A" w:rsidRPr="00535F05" w:rsidRDefault="0072236C" w:rsidP="00A30CB8">
            <w:pPr>
              <w:pStyle w:val="naiskr"/>
              <w:spacing w:before="0" w:after="0"/>
              <w:jc w:val="center"/>
            </w:pPr>
            <w:r w:rsidRPr="00535F05">
              <w:t>Pārņemtas pilnībā</w:t>
            </w:r>
          </w:p>
        </w:tc>
        <w:tc>
          <w:tcPr>
            <w:tcW w:w="2307" w:type="dxa"/>
            <w:gridSpan w:val="2"/>
            <w:tcMar>
              <w:top w:w="57" w:type="dxa"/>
              <w:left w:w="57" w:type="dxa"/>
              <w:bottom w:w="57" w:type="dxa"/>
              <w:right w:w="57" w:type="dxa"/>
            </w:tcMar>
            <w:vAlign w:val="center"/>
          </w:tcPr>
          <w:p w:rsidR="0012494A" w:rsidRPr="00641B03" w:rsidRDefault="0012494A" w:rsidP="00A30CB8">
            <w:pPr>
              <w:pStyle w:val="naiskr"/>
              <w:spacing w:before="0" w:after="0"/>
              <w:jc w:val="center"/>
            </w:pPr>
          </w:p>
        </w:tc>
      </w:tr>
      <w:tr w:rsidR="006D1B88" w:rsidRPr="0048068E" w:rsidTr="00A57FBC">
        <w:trPr>
          <w:trHeight w:val="281"/>
          <w:jc w:val="center"/>
        </w:trPr>
        <w:tc>
          <w:tcPr>
            <w:tcW w:w="2310" w:type="dxa"/>
            <w:gridSpan w:val="2"/>
            <w:tcMar>
              <w:top w:w="57" w:type="dxa"/>
              <w:left w:w="57" w:type="dxa"/>
              <w:bottom w:w="57" w:type="dxa"/>
              <w:right w:w="57" w:type="dxa"/>
            </w:tcMar>
            <w:vAlign w:val="center"/>
          </w:tcPr>
          <w:p w:rsidR="006D1B88" w:rsidRPr="0048068E" w:rsidRDefault="006D1B88" w:rsidP="00B570D9">
            <w:pPr>
              <w:pStyle w:val="naiskr"/>
              <w:spacing w:before="0" w:after="0"/>
            </w:pPr>
            <w:r w:rsidRPr="0048068E">
              <w:t>Kā ir izmantota ES tiesību aktā paredzētā rīcības brīvība dalībvalstij pārņemt vai ieviest noteiktas ES tiesību akta normas.</w:t>
            </w:r>
          </w:p>
          <w:p w:rsidR="006D1B88" w:rsidRPr="0048068E" w:rsidRDefault="006D1B88" w:rsidP="00B570D9">
            <w:pPr>
              <w:pStyle w:val="naiskr"/>
              <w:spacing w:before="0" w:after="0"/>
            </w:pPr>
            <w:r w:rsidRPr="0048068E">
              <w:t>Kādēļ?</w:t>
            </w:r>
          </w:p>
        </w:tc>
        <w:tc>
          <w:tcPr>
            <w:tcW w:w="7229" w:type="dxa"/>
            <w:gridSpan w:val="4"/>
            <w:tcMar>
              <w:top w:w="57" w:type="dxa"/>
              <w:left w:w="57" w:type="dxa"/>
              <w:bottom w:w="57" w:type="dxa"/>
              <w:right w:w="57" w:type="dxa"/>
            </w:tcMar>
          </w:tcPr>
          <w:p w:rsidR="006D1B88" w:rsidRPr="0048068E" w:rsidRDefault="006D1B88" w:rsidP="00B634CB">
            <w:pPr>
              <w:jc w:val="both"/>
            </w:pPr>
            <w:r>
              <w:rPr>
                <w:iCs/>
              </w:rPr>
              <w:t>Projekts šo jomu neskar</w:t>
            </w:r>
            <w:r w:rsidR="00B634CB">
              <w:rPr>
                <w:iCs/>
              </w:rPr>
              <w:t>.</w:t>
            </w:r>
          </w:p>
        </w:tc>
      </w:tr>
      <w:tr w:rsidR="006D1B88" w:rsidRPr="0048068E" w:rsidTr="00A57FBC">
        <w:trPr>
          <w:trHeight w:val="913"/>
          <w:jc w:val="center"/>
        </w:trPr>
        <w:tc>
          <w:tcPr>
            <w:tcW w:w="2310" w:type="dxa"/>
            <w:gridSpan w:val="2"/>
            <w:tcMar>
              <w:top w:w="57" w:type="dxa"/>
              <w:left w:w="57" w:type="dxa"/>
              <w:bottom w:w="57" w:type="dxa"/>
              <w:right w:w="57" w:type="dxa"/>
            </w:tcMar>
            <w:vAlign w:val="center"/>
          </w:tcPr>
          <w:p w:rsidR="006D1B88" w:rsidRPr="0048068E" w:rsidRDefault="006D1B88" w:rsidP="00B570D9">
            <w:pPr>
              <w:pStyle w:val="naiskr"/>
              <w:spacing w:before="0" w:after="0"/>
              <w:rPr>
                <w:i/>
              </w:rPr>
            </w:pPr>
            <w:r w:rsidRPr="0048068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29" w:type="dxa"/>
            <w:gridSpan w:val="4"/>
            <w:tcMar>
              <w:top w:w="57" w:type="dxa"/>
              <w:left w:w="57" w:type="dxa"/>
              <w:bottom w:w="57" w:type="dxa"/>
              <w:right w:w="57" w:type="dxa"/>
            </w:tcMar>
          </w:tcPr>
          <w:p w:rsidR="006D1B88" w:rsidRPr="0048068E" w:rsidRDefault="006D1B88" w:rsidP="00B570D9">
            <w:r>
              <w:rPr>
                <w:iCs/>
              </w:rPr>
              <w:t>Projekts šo jomu neska</w:t>
            </w:r>
            <w:r w:rsidR="00B634CB">
              <w:rPr>
                <w:iCs/>
              </w:rPr>
              <w:t>r.</w:t>
            </w:r>
          </w:p>
        </w:tc>
      </w:tr>
      <w:tr w:rsidR="006D1B88" w:rsidRPr="0048068E" w:rsidTr="00A57FBC">
        <w:trPr>
          <w:trHeight w:val="579"/>
          <w:jc w:val="center"/>
        </w:trPr>
        <w:tc>
          <w:tcPr>
            <w:tcW w:w="2310" w:type="dxa"/>
            <w:gridSpan w:val="2"/>
            <w:tcMar>
              <w:top w:w="57" w:type="dxa"/>
              <w:left w:w="57" w:type="dxa"/>
              <w:bottom w:w="57" w:type="dxa"/>
              <w:right w:w="57" w:type="dxa"/>
            </w:tcMar>
          </w:tcPr>
          <w:p w:rsidR="006D1B88" w:rsidRPr="0048068E" w:rsidRDefault="006D1B88" w:rsidP="00B570D9">
            <w:pPr>
              <w:pStyle w:val="naiskr"/>
              <w:spacing w:before="0" w:after="0"/>
            </w:pPr>
            <w:r w:rsidRPr="0048068E">
              <w:t>Cita informācija</w:t>
            </w:r>
          </w:p>
        </w:tc>
        <w:tc>
          <w:tcPr>
            <w:tcW w:w="7229" w:type="dxa"/>
            <w:gridSpan w:val="4"/>
            <w:tcMar>
              <w:top w:w="57" w:type="dxa"/>
              <w:left w:w="57" w:type="dxa"/>
              <w:bottom w:w="57" w:type="dxa"/>
              <w:right w:w="57" w:type="dxa"/>
            </w:tcMar>
          </w:tcPr>
          <w:p w:rsidR="006D1B88" w:rsidRPr="0048068E" w:rsidRDefault="006D1B88" w:rsidP="00B570D9">
            <w:pPr>
              <w:pStyle w:val="naiskr"/>
              <w:spacing w:before="0" w:after="0"/>
            </w:pPr>
            <w:r>
              <w:t>Nav</w:t>
            </w:r>
          </w:p>
        </w:tc>
      </w:tr>
    </w:tbl>
    <w:p w:rsidR="006D1B88" w:rsidRPr="0048013F" w:rsidRDefault="006D1B88" w:rsidP="00907F6A"/>
    <w:tbl>
      <w:tblPr>
        <w:tblW w:w="9663"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63"/>
      </w:tblGrid>
      <w:tr w:rsidR="006D1B88" w:rsidRPr="0048013F" w:rsidTr="00051CAD">
        <w:trPr>
          <w:trHeight w:val="792"/>
          <w:jc w:val="center"/>
        </w:trPr>
        <w:tc>
          <w:tcPr>
            <w:tcW w:w="9663" w:type="dxa"/>
            <w:tcMar>
              <w:top w:w="57" w:type="dxa"/>
              <w:left w:w="57" w:type="dxa"/>
              <w:bottom w:w="57" w:type="dxa"/>
              <w:right w:w="57" w:type="dxa"/>
            </w:tcMar>
            <w:vAlign w:val="center"/>
          </w:tcPr>
          <w:p w:rsidR="006D1B88" w:rsidRPr="0048013F" w:rsidRDefault="006D1B88" w:rsidP="00051CAD">
            <w:pPr>
              <w:pStyle w:val="naisnod"/>
              <w:spacing w:before="0" w:after="0"/>
            </w:pPr>
            <w:r w:rsidRPr="0048013F">
              <w:t xml:space="preserve">2.tabula </w:t>
            </w:r>
          </w:p>
          <w:p w:rsidR="006D1B88" w:rsidRPr="0048013F" w:rsidRDefault="006D1B88" w:rsidP="00051CAD">
            <w:pPr>
              <w:pStyle w:val="naisnod"/>
              <w:spacing w:before="0" w:after="0"/>
            </w:pPr>
            <w:r w:rsidRPr="0048013F">
              <w:t>Ar tiesību akta projektu uzņemtās saistības, kas izriet no starptautiskajiem tiesību aktiem vai starptautiskas institūcijas vai organizācijas dokumentiem</w:t>
            </w:r>
          </w:p>
          <w:p w:rsidR="006D1B88" w:rsidRPr="0048013F" w:rsidRDefault="006D1B88" w:rsidP="00051CAD">
            <w:pPr>
              <w:pStyle w:val="naisnod"/>
              <w:spacing w:before="0" w:after="0"/>
            </w:pPr>
            <w:r w:rsidRPr="0048013F">
              <w:t>Pasākumi šo saistību izpildei</w:t>
            </w:r>
          </w:p>
        </w:tc>
      </w:tr>
      <w:tr w:rsidR="006D1B88" w:rsidRPr="0048013F" w:rsidTr="00907F6A">
        <w:trPr>
          <w:trHeight w:val="214"/>
          <w:jc w:val="center"/>
        </w:trPr>
        <w:tc>
          <w:tcPr>
            <w:tcW w:w="9663" w:type="dxa"/>
            <w:tcMar>
              <w:top w:w="57" w:type="dxa"/>
              <w:left w:w="57" w:type="dxa"/>
              <w:bottom w:w="57" w:type="dxa"/>
              <w:right w:w="57" w:type="dxa"/>
            </w:tcMar>
          </w:tcPr>
          <w:p w:rsidR="006D1B88" w:rsidRPr="0048013F" w:rsidRDefault="007D0AE0" w:rsidP="00051CAD">
            <w:pPr>
              <w:pStyle w:val="naiskr"/>
              <w:spacing w:before="0" w:after="0"/>
            </w:pPr>
            <w:r>
              <w:rPr>
                <w:sz w:val="22"/>
                <w:szCs w:val="22"/>
              </w:rPr>
              <w:t>Projekts šo jomu neskar.</w:t>
            </w:r>
          </w:p>
        </w:tc>
      </w:tr>
    </w:tbl>
    <w:p w:rsidR="006D1B88" w:rsidRPr="0048013F" w:rsidRDefault="006D1B88" w:rsidP="00907F6A"/>
    <w:tbl>
      <w:tblPr>
        <w:tblW w:w="977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
        <w:gridCol w:w="1472"/>
        <w:gridCol w:w="7956"/>
      </w:tblGrid>
      <w:tr w:rsidR="006D1B88" w:rsidRPr="0048013F" w:rsidTr="00410939">
        <w:trPr>
          <w:jc w:val="center"/>
        </w:trPr>
        <w:tc>
          <w:tcPr>
            <w:tcW w:w="9779" w:type="dxa"/>
            <w:gridSpan w:val="3"/>
            <w:tcMar>
              <w:top w:w="57" w:type="dxa"/>
              <w:left w:w="57" w:type="dxa"/>
              <w:bottom w:w="57" w:type="dxa"/>
              <w:right w:w="57" w:type="dxa"/>
            </w:tcMar>
          </w:tcPr>
          <w:p w:rsidR="006D1B88" w:rsidRPr="0048013F" w:rsidRDefault="006D1B88" w:rsidP="00051CAD">
            <w:pPr>
              <w:pStyle w:val="naisnod"/>
              <w:spacing w:before="0" w:after="0"/>
              <w:ind w:left="57" w:right="57"/>
            </w:pPr>
            <w:r w:rsidRPr="0048013F">
              <w:t>VI. Sabiedrības līdzdalība un šīs līdzdalības rezultāti</w:t>
            </w:r>
          </w:p>
        </w:tc>
      </w:tr>
      <w:tr w:rsidR="006D1B88" w:rsidRPr="0048013F" w:rsidTr="00410939">
        <w:trPr>
          <w:trHeight w:val="553"/>
          <w:jc w:val="center"/>
        </w:trPr>
        <w:tc>
          <w:tcPr>
            <w:tcW w:w="351" w:type="dxa"/>
            <w:tcMar>
              <w:top w:w="57" w:type="dxa"/>
              <w:left w:w="57" w:type="dxa"/>
              <w:bottom w:w="57" w:type="dxa"/>
              <w:right w:w="57" w:type="dxa"/>
            </w:tcMar>
          </w:tcPr>
          <w:p w:rsidR="006D1B88" w:rsidRPr="0048013F" w:rsidRDefault="006D1B88" w:rsidP="00410939">
            <w:pPr>
              <w:pStyle w:val="naiskr"/>
              <w:spacing w:before="0" w:after="0"/>
              <w:ind w:left="57" w:right="-145"/>
              <w:rPr>
                <w:bCs/>
              </w:rPr>
            </w:pPr>
            <w:r w:rsidRPr="0048013F">
              <w:rPr>
                <w:bCs/>
              </w:rPr>
              <w:t>1.</w:t>
            </w:r>
          </w:p>
        </w:tc>
        <w:tc>
          <w:tcPr>
            <w:tcW w:w="1472" w:type="dxa"/>
            <w:tcMar>
              <w:top w:w="57" w:type="dxa"/>
              <w:left w:w="57" w:type="dxa"/>
              <w:bottom w:w="57" w:type="dxa"/>
              <w:right w:w="57" w:type="dxa"/>
            </w:tcMar>
          </w:tcPr>
          <w:p w:rsidR="006D1B88" w:rsidRPr="0048013F" w:rsidRDefault="006D1B88" w:rsidP="00051CAD">
            <w:pPr>
              <w:pStyle w:val="naiskr"/>
              <w:tabs>
                <w:tab w:val="left" w:pos="170"/>
              </w:tabs>
              <w:spacing w:before="0" w:after="0"/>
              <w:ind w:left="57" w:right="57"/>
            </w:pPr>
            <w:r w:rsidRPr="0048013F">
              <w:t>Sabiedrības informēšana par projekta izstrādes uzsākšanu</w:t>
            </w:r>
          </w:p>
        </w:tc>
        <w:tc>
          <w:tcPr>
            <w:tcW w:w="7956" w:type="dxa"/>
            <w:tcMar>
              <w:top w:w="57" w:type="dxa"/>
              <w:left w:w="57" w:type="dxa"/>
              <w:bottom w:w="57" w:type="dxa"/>
              <w:right w:w="57" w:type="dxa"/>
            </w:tcMar>
          </w:tcPr>
          <w:p w:rsidR="006D1B88" w:rsidRDefault="006D1B88" w:rsidP="001B4891">
            <w:pPr>
              <w:pStyle w:val="naiskr"/>
              <w:ind w:left="57" w:right="57"/>
              <w:jc w:val="both"/>
            </w:pPr>
            <w:r w:rsidRPr="0048013F">
              <w:t xml:space="preserve"> </w:t>
            </w:r>
            <w:r w:rsidR="00CB7259">
              <w:t>2012.gada 12.</w:t>
            </w:r>
            <w:r>
              <w:t>novembr</w:t>
            </w:r>
            <w:r w:rsidR="00C16269">
              <w:t>ī</w:t>
            </w:r>
            <w:r w:rsidRPr="00931465">
              <w:t xml:space="preserve"> noteikumu projekts kopā ar kontaktinformāciju ievietots </w:t>
            </w:r>
            <w:r>
              <w:t xml:space="preserve">VARAM </w:t>
            </w:r>
            <w:r w:rsidR="004116C4">
              <w:t>t</w:t>
            </w:r>
            <w:r>
              <w:t xml:space="preserve">īmekļa vietnē sadaļā  </w:t>
            </w:r>
            <w:r w:rsidRPr="00CB7259">
              <w:rPr>
                <w:i/>
              </w:rPr>
              <w:t>Normatīvo aktu projekti</w:t>
            </w:r>
            <w:r>
              <w:t>:</w:t>
            </w:r>
          </w:p>
          <w:p w:rsidR="006D1B88" w:rsidRDefault="00535F05" w:rsidP="006D5B5D">
            <w:pPr>
              <w:pStyle w:val="naiskr"/>
              <w:spacing w:before="0" w:after="0"/>
              <w:ind w:left="57" w:right="57"/>
              <w:jc w:val="both"/>
            </w:pPr>
            <w:hyperlink r:id="rId9" w:history="1">
              <w:r w:rsidR="006D1B88" w:rsidRPr="00F675D3">
                <w:rPr>
                  <w:rStyle w:val="Hyperlink"/>
                </w:rPr>
                <w:t>http://www.varam.gov.lv/lat/likumdosana/normativo_aktu_projekti/?doc=12002</w:t>
              </w:r>
            </w:hyperlink>
          </w:p>
          <w:p w:rsidR="006D1B88" w:rsidRPr="0048013F" w:rsidRDefault="006D1B88" w:rsidP="00A30CB8">
            <w:pPr>
              <w:pStyle w:val="naiskr"/>
              <w:spacing w:before="0" w:after="0"/>
              <w:ind w:left="57" w:right="57"/>
              <w:jc w:val="both"/>
            </w:pPr>
            <w:r>
              <w:t xml:space="preserve">Tajā norādīts, ka ikvienam ir iespēja sniegt konstruktīvus komentārus un priekšlikumus par izstrādāto projektu. </w:t>
            </w:r>
          </w:p>
        </w:tc>
      </w:tr>
      <w:tr w:rsidR="006D1B88" w:rsidRPr="0048013F" w:rsidTr="00410939">
        <w:trPr>
          <w:trHeight w:val="339"/>
          <w:jc w:val="center"/>
        </w:trPr>
        <w:tc>
          <w:tcPr>
            <w:tcW w:w="351" w:type="dxa"/>
            <w:tcMar>
              <w:top w:w="57" w:type="dxa"/>
              <w:left w:w="57" w:type="dxa"/>
              <w:bottom w:w="57" w:type="dxa"/>
              <w:right w:w="57" w:type="dxa"/>
            </w:tcMar>
          </w:tcPr>
          <w:p w:rsidR="006D1B88" w:rsidRPr="0048013F" w:rsidRDefault="006D1B88" w:rsidP="00410939">
            <w:pPr>
              <w:pStyle w:val="naiskr"/>
              <w:spacing w:before="0" w:after="0"/>
              <w:ind w:left="57" w:right="-3"/>
              <w:rPr>
                <w:bCs/>
              </w:rPr>
            </w:pPr>
            <w:r w:rsidRPr="0048013F">
              <w:rPr>
                <w:bCs/>
              </w:rPr>
              <w:t>2.</w:t>
            </w:r>
          </w:p>
        </w:tc>
        <w:tc>
          <w:tcPr>
            <w:tcW w:w="1472" w:type="dxa"/>
            <w:tcMar>
              <w:top w:w="57" w:type="dxa"/>
              <w:left w:w="57" w:type="dxa"/>
              <w:bottom w:w="57" w:type="dxa"/>
              <w:right w:w="57" w:type="dxa"/>
            </w:tcMar>
          </w:tcPr>
          <w:p w:rsidR="006D1B88" w:rsidRPr="0048013F" w:rsidRDefault="006D1B88" w:rsidP="00051CAD">
            <w:pPr>
              <w:pStyle w:val="naiskr"/>
              <w:spacing w:before="0" w:after="0"/>
              <w:ind w:left="57" w:right="57"/>
            </w:pPr>
            <w:r w:rsidRPr="0048013F">
              <w:t xml:space="preserve">Sabiedrības līdzdalība projekta izstrādē </w:t>
            </w:r>
          </w:p>
        </w:tc>
        <w:tc>
          <w:tcPr>
            <w:tcW w:w="7956" w:type="dxa"/>
            <w:tcMar>
              <w:top w:w="57" w:type="dxa"/>
              <w:left w:w="57" w:type="dxa"/>
              <w:bottom w:w="57" w:type="dxa"/>
              <w:right w:w="57" w:type="dxa"/>
            </w:tcMar>
          </w:tcPr>
          <w:p w:rsidR="006D1B88" w:rsidRPr="00C717A8" w:rsidRDefault="006D1B88" w:rsidP="00641B03">
            <w:pPr>
              <w:pStyle w:val="naiskr"/>
              <w:spacing w:before="0" w:after="0"/>
              <w:ind w:left="57" w:right="57"/>
              <w:jc w:val="both"/>
              <w:rPr>
                <w:color w:val="FF0000"/>
                <w:highlight w:val="yellow"/>
              </w:rPr>
            </w:pPr>
            <w:r>
              <w:t xml:space="preserve">Noteikumu projekta izstrādē tika iesaistīta biedrība „Latvijas ezeri”. </w:t>
            </w:r>
          </w:p>
        </w:tc>
      </w:tr>
      <w:tr w:rsidR="006D1B88" w:rsidRPr="0048013F" w:rsidTr="00410939">
        <w:trPr>
          <w:trHeight w:val="375"/>
          <w:jc w:val="center"/>
        </w:trPr>
        <w:tc>
          <w:tcPr>
            <w:tcW w:w="351" w:type="dxa"/>
            <w:tcMar>
              <w:top w:w="57" w:type="dxa"/>
              <w:left w:w="57" w:type="dxa"/>
              <w:bottom w:w="57" w:type="dxa"/>
              <w:right w:w="57" w:type="dxa"/>
            </w:tcMar>
          </w:tcPr>
          <w:p w:rsidR="006D1B88" w:rsidRPr="0048013F" w:rsidRDefault="006D1B88" w:rsidP="00410939">
            <w:pPr>
              <w:pStyle w:val="naiskr"/>
              <w:spacing w:before="0" w:after="0"/>
              <w:ind w:left="57" w:right="-3"/>
              <w:rPr>
                <w:bCs/>
              </w:rPr>
            </w:pPr>
            <w:r w:rsidRPr="0048013F">
              <w:rPr>
                <w:bCs/>
              </w:rPr>
              <w:t>3.</w:t>
            </w:r>
          </w:p>
        </w:tc>
        <w:tc>
          <w:tcPr>
            <w:tcW w:w="1472" w:type="dxa"/>
            <w:tcMar>
              <w:top w:w="57" w:type="dxa"/>
              <w:left w:w="57" w:type="dxa"/>
              <w:bottom w:w="57" w:type="dxa"/>
              <w:right w:w="57" w:type="dxa"/>
            </w:tcMar>
          </w:tcPr>
          <w:p w:rsidR="006D1B88" w:rsidRPr="0048013F" w:rsidRDefault="006D1B88" w:rsidP="00051CAD">
            <w:pPr>
              <w:pStyle w:val="naiskr"/>
              <w:spacing w:before="0" w:after="0"/>
              <w:ind w:left="57" w:right="57"/>
            </w:pPr>
            <w:r w:rsidRPr="0048013F">
              <w:t xml:space="preserve">Sabiedrības līdzdalības rezultāti </w:t>
            </w:r>
          </w:p>
        </w:tc>
        <w:tc>
          <w:tcPr>
            <w:tcW w:w="7956" w:type="dxa"/>
            <w:tcMar>
              <w:top w:w="57" w:type="dxa"/>
              <w:left w:w="57" w:type="dxa"/>
              <w:bottom w:w="57" w:type="dxa"/>
              <w:right w:w="57" w:type="dxa"/>
            </w:tcMar>
          </w:tcPr>
          <w:p w:rsidR="006D1B88" w:rsidRPr="0048013F" w:rsidRDefault="006D1B88" w:rsidP="0072236C">
            <w:pPr>
              <w:pStyle w:val="naiskr"/>
              <w:spacing w:before="0" w:after="0"/>
              <w:ind w:left="57" w:right="57"/>
              <w:jc w:val="both"/>
              <w:rPr>
                <w:highlight w:val="yellow"/>
              </w:rPr>
            </w:pPr>
            <w:r w:rsidRPr="008E26AB">
              <w:t>B</w:t>
            </w:r>
            <w:r>
              <w:t xml:space="preserve">iedrības „Latvijas ezeri” izteiktie priekšlikumi ir ņemti vērā noteikumu projekta </w:t>
            </w:r>
            <w:r w:rsidR="0072236C" w:rsidRPr="0072236C">
              <w:t>pašreizējā</w:t>
            </w:r>
            <w:r w:rsidRPr="006614D0">
              <w:rPr>
                <w:b/>
              </w:rPr>
              <w:t xml:space="preserve"> </w:t>
            </w:r>
            <w:r>
              <w:t xml:space="preserve">redakcijā. </w:t>
            </w:r>
          </w:p>
        </w:tc>
      </w:tr>
      <w:tr w:rsidR="006D1B88" w:rsidRPr="0048013F" w:rsidTr="00410939">
        <w:trPr>
          <w:trHeight w:val="397"/>
          <w:jc w:val="center"/>
        </w:trPr>
        <w:tc>
          <w:tcPr>
            <w:tcW w:w="351" w:type="dxa"/>
            <w:tcMar>
              <w:top w:w="57" w:type="dxa"/>
              <w:left w:w="57" w:type="dxa"/>
              <w:bottom w:w="57" w:type="dxa"/>
              <w:right w:w="57" w:type="dxa"/>
            </w:tcMar>
          </w:tcPr>
          <w:p w:rsidR="006D1B88" w:rsidRPr="0048013F" w:rsidRDefault="006D1B88" w:rsidP="00410939">
            <w:pPr>
              <w:pStyle w:val="naiskr"/>
              <w:spacing w:before="0" w:after="0"/>
              <w:ind w:left="57" w:right="-3"/>
              <w:rPr>
                <w:bCs/>
              </w:rPr>
            </w:pPr>
            <w:r w:rsidRPr="0048013F">
              <w:rPr>
                <w:bCs/>
              </w:rPr>
              <w:t>4.</w:t>
            </w:r>
          </w:p>
        </w:tc>
        <w:tc>
          <w:tcPr>
            <w:tcW w:w="1472" w:type="dxa"/>
            <w:tcMar>
              <w:top w:w="57" w:type="dxa"/>
              <w:left w:w="57" w:type="dxa"/>
              <w:bottom w:w="57" w:type="dxa"/>
              <w:right w:w="57" w:type="dxa"/>
            </w:tcMar>
          </w:tcPr>
          <w:p w:rsidR="006D1B88" w:rsidRPr="0048013F" w:rsidRDefault="006D1B88" w:rsidP="00051CAD">
            <w:pPr>
              <w:pStyle w:val="naiskr"/>
              <w:spacing w:before="0" w:after="0"/>
              <w:ind w:left="57" w:right="57"/>
            </w:pPr>
            <w:r w:rsidRPr="0048013F">
              <w:t>Saeimas un ekspertu līdzdalība</w:t>
            </w:r>
          </w:p>
        </w:tc>
        <w:tc>
          <w:tcPr>
            <w:tcW w:w="7956" w:type="dxa"/>
            <w:tcMar>
              <w:top w:w="57" w:type="dxa"/>
              <w:left w:w="57" w:type="dxa"/>
              <w:bottom w:w="57" w:type="dxa"/>
              <w:right w:w="57" w:type="dxa"/>
            </w:tcMar>
          </w:tcPr>
          <w:p w:rsidR="006D1B88" w:rsidRPr="0048013F" w:rsidRDefault="006D1B88" w:rsidP="008D3B74">
            <w:pPr>
              <w:pStyle w:val="naiskr"/>
              <w:spacing w:before="0" w:after="0"/>
              <w:ind w:left="57" w:right="57"/>
              <w:jc w:val="both"/>
              <w:rPr>
                <w:highlight w:val="yellow"/>
              </w:rPr>
            </w:pPr>
            <w:r w:rsidRPr="008D3B74">
              <w:t>Ir notikušas konsultācijas ar SIA „</w:t>
            </w:r>
            <w:proofErr w:type="spellStart"/>
            <w:r w:rsidRPr="008D3B74">
              <w:t>Aqua</w:t>
            </w:r>
            <w:proofErr w:type="spellEnd"/>
            <w:r w:rsidRPr="008D3B74">
              <w:t xml:space="preserve"> </w:t>
            </w:r>
            <w:proofErr w:type="spellStart"/>
            <w:r w:rsidRPr="008D3B74">
              <w:t>Brambis</w:t>
            </w:r>
            <w:proofErr w:type="spellEnd"/>
            <w:r w:rsidRPr="008D3B74">
              <w:t>” ekspertiem par</w:t>
            </w:r>
            <w:r>
              <w:t xml:space="preserve"> iespējamiem</w:t>
            </w:r>
            <w:r w:rsidR="00705634">
              <w:t xml:space="preserve"> </w:t>
            </w:r>
            <w:r w:rsidRPr="008D3B74">
              <w:t>tehnoloģisk</w:t>
            </w:r>
            <w:r>
              <w:t>iem</w:t>
            </w:r>
            <w:r w:rsidRPr="008D3B74">
              <w:t xml:space="preserve"> </w:t>
            </w:r>
            <w:r>
              <w:t xml:space="preserve">risinājumiem notekūdeņu attīrīšanas iekārtās (turpmāk - NAI) veikt papildus fosfora atdalīšanu atkarībā </w:t>
            </w:r>
            <w:r w:rsidR="00705634">
              <w:t xml:space="preserve">no </w:t>
            </w:r>
            <w:r>
              <w:t>NAI saņemošās slodzes.</w:t>
            </w:r>
          </w:p>
        </w:tc>
      </w:tr>
      <w:tr w:rsidR="006D1B88" w:rsidRPr="0048013F" w:rsidTr="00410939">
        <w:trPr>
          <w:trHeight w:val="476"/>
          <w:jc w:val="center"/>
        </w:trPr>
        <w:tc>
          <w:tcPr>
            <w:tcW w:w="351" w:type="dxa"/>
            <w:tcMar>
              <w:top w:w="57" w:type="dxa"/>
              <w:left w:w="57" w:type="dxa"/>
              <w:bottom w:w="57" w:type="dxa"/>
              <w:right w:w="57" w:type="dxa"/>
            </w:tcMar>
          </w:tcPr>
          <w:p w:rsidR="006D1B88" w:rsidRPr="0048013F" w:rsidRDefault="006D1B88" w:rsidP="00410939">
            <w:pPr>
              <w:pStyle w:val="naiskr"/>
              <w:spacing w:before="0" w:after="0"/>
              <w:ind w:left="57" w:right="-145"/>
              <w:rPr>
                <w:bCs/>
              </w:rPr>
            </w:pPr>
            <w:r w:rsidRPr="0048013F">
              <w:rPr>
                <w:bCs/>
              </w:rPr>
              <w:t>5.</w:t>
            </w:r>
          </w:p>
        </w:tc>
        <w:tc>
          <w:tcPr>
            <w:tcW w:w="1472" w:type="dxa"/>
            <w:tcMar>
              <w:top w:w="57" w:type="dxa"/>
              <w:left w:w="57" w:type="dxa"/>
              <w:bottom w:w="57" w:type="dxa"/>
              <w:right w:w="57" w:type="dxa"/>
            </w:tcMar>
          </w:tcPr>
          <w:p w:rsidR="006D1B88" w:rsidRPr="0048013F" w:rsidRDefault="006D1B88" w:rsidP="00051CAD">
            <w:pPr>
              <w:pStyle w:val="naiskr"/>
              <w:spacing w:before="0" w:after="0"/>
              <w:ind w:left="57" w:right="57"/>
            </w:pPr>
            <w:r w:rsidRPr="0048013F">
              <w:t>Cita informācija</w:t>
            </w:r>
          </w:p>
          <w:p w:rsidR="006D1B88" w:rsidRPr="0048013F" w:rsidRDefault="006D1B88" w:rsidP="00051CAD">
            <w:pPr>
              <w:pStyle w:val="naiskr"/>
              <w:spacing w:before="0" w:after="0"/>
              <w:ind w:left="57" w:right="57"/>
            </w:pPr>
          </w:p>
        </w:tc>
        <w:tc>
          <w:tcPr>
            <w:tcW w:w="7956" w:type="dxa"/>
            <w:tcMar>
              <w:top w:w="57" w:type="dxa"/>
              <w:left w:w="57" w:type="dxa"/>
              <w:bottom w:w="57" w:type="dxa"/>
              <w:right w:w="57" w:type="dxa"/>
            </w:tcMar>
          </w:tcPr>
          <w:p w:rsidR="006D1B88" w:rsidRPr="0048013F" w:rsidRDefault="006D1B88" w:rsidP="00051CAD">
            <w:pPr>
              <w:spacing w:after="120"/>
              <w:jc w:val="both"/>
            </w:pPr>
            <w:r w:rsidRPr="0048013F">
              <w:t xml:space="preserve">Sabiedrība pēc normatīvā akta pieņemšanas tiks informēta </w:t>
            </w:r>
            <w:r w:rsidRPr="00BC6535">
              <w:t>ar publikāciju laikrakstā “Latvijas Vēstnesis”, kā arī ievietojot to bezmaksas normatīvo aktu</w:t>
            </w:r>
            <w:r w:rsidRPr="0048013F">
              <w:t xml:space="preserve"> datu bāzē  </w:t>
            </w:r>
            <w:hyperlink r:id="rId10" w:history="1">
              <w:r w:rsidRPr="0048013F">
                <w:rPr>
                  <w:rStyle w:val="Hyperlink"/>
                </w:rPr>
                <w:t>www.likumi.lv</w:t>
              </w:r>
            </w:hyperlink>
            <w:r w:rsidRPr="0048013F">
              <w:t>.</w:t>
            </w:r>
          </w:p>
          <w:p w:rsidR="006D1B88" w:rsidRPr="0048013F" w:rsidRDefault="006D1B88" w:rsidP="00FE2379">
            <w:pPr>
              <w:pStyle w:val="naiskr"/>
              <w:spacing w:before="0" w:after="0"/>
              <w:ind w:left="57" w:right="57"/>
              <w:jc w:val="both"/>
            </w:pPr>
          </w:p>
        </w:tc>
      </w:tr>
    </w:tbl>
    <w:p w:rsidR="006D1B88" w:rsidRPr="0048013F" w:rsidRDefault="006D1B88" w:rsidP="00907F6A"/>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1"/>
        <w:gridCol w:w="4619"/>
        <w:gridCol w:w="4718"/>
      </w:tblGrid>
      <w:tr w:rsidR="006D1B88" w:rsidRPr="0048013F" w:rsidTr="00051CAD">
        <w:trPr>
          <w:jc w:val="center"/>
        </w:trPr>
        <w:tc>
          <w:tcPr>
            <w:tcW w:w="9888" w:type="dxa"/>
            <w:gridSpan w:val="3"/>
            <w:tcMar>
              <w:top w:w="57" w:type="dxa"/>
              <w:left w:w="57" w:type="dxa"/>
              <w:bottom w:w="57" w:type="dxa"/>
              <w:right w:w="57" w:type="dxa"/>
            </w:tcMar>
          </w:tcPr>
          <w:p w:rsidR="006D1B88" w:rsidRPr="00722802" w:rsidRDefault="006D1B88" w:rsidP="00051CAD">
            <w:pPr>
              <w:pStyle w:val="naisnod"/>
              <w:spacing w:before="0" w:after="0"/>
              <w:ind w:left="57" w:right="57"/>
            </w:pPr>
            <w:r w:rsidRPr="00722802">
              <w:t>VII. Tiesību akta projekta izpildes nodrošināšana un tās ietekme uz institūcijām</w:t>
            </w:r>
          </w:p>
        </w:tc>
      </w:tr>
      <w:tr w:rsidR="006D1B88" w:rsidRPr="0048013F" w:rsidTr="001D1FDB">
        <w:trPr>
          <w:trHeight w:val="427"/>
          <w:jc w:val="center"/>
        </w:trPr>
        <w:tc>
          <w:tcPr>
            <w:tcW w:w="551" w:type="dxa"/>
            <w:tcMar>
              <w:top w:w="57" w:type="dxa"/>
              <w:left w:w="57" w:type="dxa"/>
              <w:bottom w:w="57" w:type="dxa"/>
              <w:right w:w="57" w:type="dxa"/>
            </w:tcMar>
          </w:tcPr>
          <w:p w:rsidR="006D1B88" w:rsidRPr="00722802" w:rsidRDefault="006D1B88" w:rsidP="00051CAD">
            <w:pPr>
              <w:pStyle w:val="naisnod"/>
              <w:spacing w:before="0" w:after="0"/>
              <w:ind w:left="57" w:right="57"/>
              <w:jc w:val="left"/>
              <w:rPr>
                <w:b w:val="0"/>
              </w:rPr>
            </w:pPr>
            <w:r w:rsidRPr="00722802">
              <w:rPr>
                <w:b w:val="0"/>
              </w:rPr>
              <w:t>1.</w:t>
            </w:r>
          </w:p>
        </w:tc>
        <w:tc>
          <w:tcPr>
            <w:tcW w:w="4619" w:type="dxa"/>
            <w:tcMar>
              <w:top w:w="57" w:type="dxa"/>
              <w:left w:w="57" w:type="dxa"/>
              <w:bottom w:w="57" w:type="dxa"/>
              <w:right w:w="57" w:type="dxa"/>
            </w:tcMar>
          </w:tcPr>
          <w:p w:rsidR="006D1B88" w:rsidRPr="00722802" w:rsidRDefault="006D1B88" w:rsidP="00051CAD">
            <w:pPr>
              <w:pStyle w:val="naisf"/>
              <w:spacing w:before="0" w:after="0"/>
              <w:ind w:left="57" w:right="57" w:firstLine="0"/>
              <w:jc w:val="left"/>
            </w:pPr>
            <w:r w:rsidRPr="00722802">
              <w:t xml:space="preserve">Projekta izpildē iesaistītās institūcijas </w:t>
            </w:r>
          </w:p>
        </w:tc>
        <w:tc>
          <w:tcPr>
            <w:tcW w:w="4718" w:type="dxa"/>
            <w:tcMar>
              <w:top w:w="57" w:type="dxa"/>
              <w:left w:w="57" w:type="dxa"/>
              <w:bottom w:w="57" w:type="dxa"/>
              <w:right w:w="57" w:type="dxa"/>
            </w:tcMar>
          </w:tcPr>
          <w:p w:rsidR="006D1B88" w:rsidRPr="00722802" w:rsidRDefault="006D1B88" w:rsidP="0039252B">
            <w:pPr>
              <w:pStyle w:val="naisnod"/>
              <w:spacing w:before="0" w:after="0"/>
              <w:ind w:left="57" w:right="57"/>
              <w:jc w:val="both"/>
            </w:pPr>
            <w:r>
              <w:rPr>
                <w:b w:val="0"/>
              </w:rPr>
              <w:t>VARAM</w:t>
            </w:r>
            <w:r w:rsidRPr="00722802">
              <w:rPr>
                <w:b w:val="0"/>
              </w:rPr>
              <w:t xml:space="preserve">, </w:t>
            </w:r>
            <w:r>
              <w:rPr>
                <w:b w:val="0"/>
              </w:rPr>
              <w:t xml:space="preserve">Valsts vides dienests, </w:t>
            </w:r>
            <w:r w:rsidR="0039252B">
              <w:rPr>
                <w:b w:val="0"/>
              </w:rPr>
              <w:t>LVĢMC</w:t>
            </w:r>
            <w:r w:rsidRPr="00722802">
              <w:rPr>
                <w:b w:val="0"/>
                <w:iCs/>
              </w:rPr>
              <w:t xml:space="preserve">. </w:t>
            </w:r>
          </w:p>
        </w:tc>
      </w:tr>
      <w:tr w:rsidR="006D1B88" w:rsidRPr="0048013F" w:rsidTr="001D1FDB">
        <w:trPr>
          <w:trHeight w:val="463"/>
          <w:jc w:val="center"/>
        </w:trPr>
        <w:tc>
          <w:tcPr>
            <w:tcW w:w="551" w:type="dxa"/>
            <w:tcMar>
              <w:top w:w="57" w:type="dxa"/>
              <w:left w:w="57" w:type="dxa"/>
              <w:bottom w:w="57" w:type="dxa"/>
              <w:right w:w="57" w:type="dxa"/>
            </w:tcMar>
          </w:tcPr>
          <w:p w:rsidR="006D1B88" w:rsidRPr="00722802" w:rsidRDefault="006D1B88" w:rsidP="00051CAD">
            <w:pPr>
              <w:pStyle w:val="naisnod"/>
              <w:spacing w:before="0" w:after="0"/>
              <w:ind w:left="57" w:right="57"/>
              <w:jc w:val="left"/>
              <w:rPr>
                <w:b w:val="0"/>
              </w:rPr>
            </w:pPr>
            <w:r w:rsidRPr="00722802">
              <w:rPr>
                <w:b w:val="0"/>
              </w:rPr>
              <w:t>2.</w:t>
            </w:r>
          </w:p>
        </w:tc>
        <w:tc>
          <w:tcPr>
            <w:tcW w:w="4619" w:type="dxa"/>
            <w:tcMar>
              <w:top w:w="57" w:type="dxa"/>
              <w:left w:w="57" w:type="dxa"/>
              <w:bottom w:w="57" w:type="dxa"/>
              <w:right w:w="57" w:type="dxa"/>
            </w:tcMar>
          </w:tcPr>
          <w:p w:rsidR="006D1B88" w:rsidRPr="00722802" w:rsidRDefault="006D1B88" w:rsidP="00051CAD">
            <w:pPr>
              <w:pStyle w:val="naisf"/>
              <w:spacing w:before="0" w:after="0"/>
              <w:ind w:left="57" w:right="57" w:firstLine="0"/>
              <w:jc w:val="left"/>
            </w:pPr>
            <w:r w:rsidRPr="00722802">
              <w:t xml:space="preserve">Projekta izpildes ietekme uz pārvaldes funkcijām </w:t>
            </w:r>
          </w:p>
        </w:tc>
        <w:tc>
          <w:tcPr>
            <w:tcW w:w="4718" w:type="dxa"/>
            <w:tcMar>
              <w:top w:w="57" w:type="dxa"/>
              <w:left w:w="57" w:type="dxa"/>
              <w:bottom w:w="57" w:type="dxa"/>
              <w:right w:w="57" w:type="dxa"/>
            </w:tcMar>
          </w:tcPr>
          <w:p w:rsidR="006D1B88" w:rsidRPr="00722802" w:rsidRDefault="006D1B88" w:rsidP="00B82D1D">
            <w:pPr>
              <w:pStyle w:val="naisnod"/>
              <w:spacing w:before="0" w:after="0"/>
              <w:ind w:right="57"/>
              <w:jc w:val="both"/>
              <w:rPr>
                <w:b w:val="0"/>
              </w:rPr>
            </w:pPr>
            <w:r>
              <w:rPr>
                <w:b w:val="0"/>
                <w:color w:val="000000"/>
              </w:rPr>
              <w:t xml:space="preserve">Noteikumu </w:t>
            </w:r>
            <w:r w:rsidRPr="00722802">
              <w:rPr>
                <w:b w:val="0"/>
                <w:color w:val="000000"/>
              </w:rPr>
              <w:t xml:space="preserve">projekts nemaina iesaistīto institūciju kompetenci un funkcijas. </w:t>
            </w:r>
          </w:p>
        </w:tc>
      </w:tr>
      <w:tr w:rsidR="006D1B88" w:rsidRPr="0048013F" w:rsidTr="001D1FDB">
        <w:trPr>
          <w:trHeight w:val="725"/>
          <w:jc w:val="center"/>
        </w:trPr>
        <w:tc>
          <w:tcPr>
            <w:tcW w:w="551" w:type="dxa"/>
            <w:tcMar>
              <w:top w:w="57" w:type="dxa"/>
              <w:left w:w="57" w:type="dxa"/>
              <w:bottom w:w="57" w:type="dxa"/>
              <w:right w:w="57" w:type="dxa"/>
            </w:tcMar>
          </w:tcPr>
          <w:p w:rsidR="006D1B88" w:rsidRPr="00722802" w:rsidRDefault="006D1B88" w:rsidP="00051CAD">
            <w:pPr>
              <w:pStyle w:val="naisnod"/>
              <w:spacing w:before="0" w:after="0"/>
              <w:ind w:left="57" w:right="57"/>
              <w:jc w:val="left"/>
              <w:rPr>
                <w:b w:val="0"/>
              </w:rPr>
            </w:pPr>
            <w:r w:rsidRPr="00722802">
              <w:rPr>
                <w:b w:val="0"/>
              </w:rPr>
              <w:t>3.</w:t>
            </w:r>
          </w:p>
        </w:tc>
        <w:tc>
          <w:tcPr>
            <w:tcW w:w="4619" w:type="dxa"/>
            <w:tcMar>
              <w:top w:w="57" w:type="dxa"/>
              <w:left w:w="57" w:type="dxa"/>
              <w:bottom w:w="57" w:type="dxa"/>
              <w:right w:w="57" w:type="dxa"/>
            </w:tcMar>
          </w:tcPr>
          <w:p w:rsidR="006D1B88" w:rsidRPr="00722802" w:rsidRDefault="006D1B88" w:rsidP="00051CAD">
            <w:pPr>
              <w:pStyle w:val="naisf"/>
              <w:spacing w:before="0" w:after="0"/>
              <w:ind w:left="57" w:right="57" w:firstLine="0"/>
              <w:jc w:val="left"/>
            </w:pPr>
            <w:r w:rsidRPr="00722802">
              <w:t>Projekta izpildes ietekme uz pārvaldes institucionālo struktūru.</w:t>
            </w:r>
          </w:p>
          <w:p w:rsidR="006D1B88" w:rsidRPr="00722802" w:rsidRDefault="006D1B88" w:rsidP="00051CAD">
            <w:pPr>
              <w:pStyle w:val="naisf"/>
              <w:spacing w:before="0" w:after="0"/>
              <w:ind w:left="57" w:right="57" w:firstLine="0"/>
              <w:jc w:val="left"/>
            </w:pPr>
            <w:r w:rsidRPr="00722802">
              <w:t>Jaunu institūciju izveide</w:t>
            </w:r>
          </w:p>
        </w:tc>
        <w:tc>
          <w:tcPr>
            <w:tcW w:w="4718" w:type="dxa"/>
            <w:tcMar>
              <w:top w:w="57" w:type="dxa"/>
              <w:left w:w="57" w:type="dxa"/>
              <w:bottom w:w="57" w:type="dxa"/>
              <w:right w:w="57" w:type="dxa"/>
            </w:tcMar>
          </w:tcPr>
          <w:p w:rsidR="006D1B88" w:rsidRPr="00CC5B0B" w:rsidRDefault="006D1B88" w:rsidP="004116C4">
            <w:pPr>
              <w:pStyle w:val="naisnod"/>
              <w:spacing w:before="0" w:after="0"/>
              <w:ind w:right="57"/>
              <w:jc w:val="left"/>
              <w:rPr>
                <w:b w:val="0"/>
              </w:rPr>
            </w:pPr>
            <w:r w:rsidRPr="004116C4">
              <w:rPr>
                <w:b w:val="0"/>
                <w:iCs/>
              </w:rPr>
              <w:t>Projekts šo jomu neskar</w:t>
            </w:r>
            <w:r w:rsidR="004116C4">
              <w:rPr>
                <w:b w:val="0"/>
                <w:iCs/>
              </w:rPr>
              <w:t>.</w:t>
            </w:r>
          </w:p>
        </w:tc>
      </w:tr>
      <w:tr w:rsidR="006D1B88" w:rsidRPr="0048013F" w:rsidTr="001D1FDB">
        <w:trPr>
          <w:trHeight w:val="780"/>
          <w:jc w:val="center"/>
        </w:trPr>
        <w:tc>
          <w:tcPr>
            <w:tcW w:w="551" w:type="dxa"/>
            <w:tcMar>
              <w:top w:w="57" w:type="dxa"/>
              <w:left w:w="57" w:type="dxa"/>
              <w:bottom w:w="57" w:type="dxa"/>
              <w:right w:w="57" w:type="dxa"/>
            </w:tcMar>
          </w:tcPr>
          <w:p w:rsidR="006D1B88" w:rsidRPr="00722802" w:rsidRDefault="006D1B88" w:rsidP="00051CAD">
            <w:pPr>
              <w:pStyle w:val="naisnod"/>
              <w:spacing w:before="0" w:after="0"/>
              <w:ind w:left="57" w:right="57"/>
              <w:jc w:val="left"/>
              <w:rPr>
                <w:b w:val="0"/>
              </w:rPr>
            </w:pPr>
            <w:r w:rsidRPr="00722802">
              <w:rPr>
                <w:b w:val="0"/>
              </w:rPr>
              <w:t>4.</w:t>
            </w:r>
          </w:p>
        </w:tc>
        <w:tc>
          <w:tcPr>
            <w:tcW w:w="4619" w:type="dxa"/>
            <w:tcMar>
              <w:top w:w="57" w:type="dxa"/>
              <w:left w:w="57" w:type="dxa"/>
              <w:bottom w:w="57" w:type="dxa"/>
              <w:right w:w="57" w:type="dxa"/>
            </w:tcMar>
          </w:tcPr>
          <w:p w:rsidR="006D1B88" w:rsidRPr="00722802" w:rsidRDefault="006D1B88" w:rsidP="00051CAD">
            <w:pPr>
              <w:pStyle w:val="naisf"/>
              <w:spacing w:before="0" w:after="0"/>
              <w:ind w:left="57" w:right="57" w:firstLine="0"/>
              <w:jc w:val="left"/>
            </w:pPr>
            <w:r w:rsidRPr="00722802">
              <w:t>Projekta izpildes ietekme uz pārvaldes institucionālo struktūru.</w:t>
            </w:r>
          </w:p>
          <w:p w:rsidR="006D1B88" w:rsidRPr="00722802" w:rsidRDefault="006D1B88" w:rsidP="00051CAD">
            <w:pPr>
              <w:pStyle w:val="naisf"/>
              <w:spacing w:before="0" w:after="0"/>
              <w:ind w:left="57" w:right="57" w:firstLine="0"/>
              <w:jc w:val="left"/>
            </w:pPr>
            <w:r w:rsidRPr="00722802">
              <w:t>Esošu institūciju likvidācija</w:t>
            </w:r>
          </w:p>
        </w:tc>
        <w:tc>
          <w:tcPr>
            <w:tcW w:w="4718" w:type="dxa"/>
            <w:tcMar>
              <w:top w:w="57" w:type="dxa"/>
              <w:left w:w="57" w:type="dxa"/>
              <w:bottom w:w="57" w:type="dxa"/>
              <w:right w:w="57" w:type="dxa"/>
            </w:tcMar>
          </w:tcPr>
          <w:p w:rsidR="006D1B88" w:rsidRPr="00722802" w:rsidRDefault="006D1B88" w:rsidP="004116C4">
            <w:pPr>
              <w:pStyle w:val="naisnod"/>
              <w:spacing w:before="0" w:after="0"/>
              <w:ind w:right="57"/>
              <w:jc w:val="left"/>
              <w:rPr>
                <w:b w:val="0"/>
              </w:rPr>
            </w:pPr>
            <w:r w:rsidRPr="00CC5B0B">
              <w:rPr>
                <w:b w:val="0"/>
                <w:iCs/>
              </w:rPr>
              <w:t>Projekts šo jomu neskar</w:t>
            </w:r>
            <w:r w:rsidR="004116C4">
              <w:rPr>
                <w:b w:val="0"/>
                <w:iCs/>
              </w:rPr>
              <w:t xml:space="preserve">. </w:t>
            </w:r>
          </w:p>
        </w:tc>
      </w:tr>
      <w:tr w:rsidR="006D1B88" w:rsidRPr="0048013F" w:rsidTr="001D1FDB">
        <w:trPr>
          <w:trHeight w:val="703"/>
          <w:jc w:val="center"/>
        </w:trPr>
        <w:tc>
          <w:tcPr>
            <w:tcW w:w="551" w:type="dxa"/>
            <w:tcMar>
              <w:top w:w="57" w:type="dxa"/>
              <w:left w:w="57" w:type="dxa"/>
              <w:bottom w:w="57" w:type="dxa"/>
              <w:right w:w="57" w:type="dxa"/>
            </w:tcMar>
          </w:tcPr>
          <w:p w:rsidR="006D1B88" w:rsidRPr="00722802" w:rsidRDefault="006D1B88" w:rsidP="00051CAD">
            <w:pPr>
              <w:pStyle w:val="naisnod"/>
              <w:spacing w:before="0" w:after="0"/>
              <w:ind w:left="57" w:right="57"/>
              <w:jc w:val="left"/>
              <w:rPr>
                <w:b w:val="0"/>
              </w:rPr>
            </w:pPr>
            <w:r w:rsidRPr="00722802">
              <w:rPr>
                <w:b w:val="0"/>
              </w:rPr>
              <w:t>5.</w:t>
            </w:r>
          </w:p>
        </w:tc>
        <w:tc>
          <w:tcPr>
            <w:tcW w:w="4619" w:type="dxa"/>
            <w:tcMar>
              <w:top w:w="57" w:type="dxa"/>
              <w:left w:w="57" w:type="dxa"/>
              <w:bottom w:w="57" w:type="dxa"/>
              <w:right w:w="57" w:type="dxa"/>
            </w:tcMar>
          </w:tcPr>
          <w:p w:rsidR="006D1B88" w:rsidRPr="00722802" w:rsidRDefault="006D1B88" w:rsidP="00051CAD">
            <w:pPr>
              <w:pStyle w:val="naisf"/>
              <w:spacing w:before="0" w:after="0"/>
              <w:ind w:left="57" w:right="57" w:firstLine="0"/>
              <w:jc w:val="left"/>
            </w:pPr>
            <w:r w:rsidRPr="00722802">
              <w:t>Projekta izpildes ietekme uz pārvaldes institucionālo struktūru.</w:t>
            </w:r>
          </w:p>
          <w:p w:rsidR="006D1B88" w:rsidRPr="00722802" w:rsidRDefault="006D1B88" w:rsidP="00051CAD">
            <w:pPr>
              <w:pStyle w:val="naisf"/>
              <w:spacing w:before="0" w:after="0"/>
              <w:ind w:left="57" w:right="57" w:firstLine="0"/>
              <w:jc w:val="left"/>
            </w:pPr>
            <w:r w:rsidRPr="00722802">
              <w:t>Esošu institūciju reorganizācija</w:t>
            </w:r>
          </w:p>
        </w:tc>
        <w:tc>
          <w:tcPr>
            <w:tcW w:w="4718" w:type="dxa"/>
            <w:tcMar>
              <w:top w:w="57" w:type="dxa"/>
              <w:left w:w="57" w:type="dxa"/>
              <w:bottom w:w="57" w:type="dxa"/>
              <w:right w:w="57" w:type="dxa"/>
            </w:tcMar>
          </w:tcPr>
          <w:p w:rsidR="006D1B88" w:rsidRPr="00722802" w:rsidRDefault="006D1B88" w:rsidP="004116C4">
            <w:pPr>
              <w:pStyle w:val="naisnod"/>
              <w:spacing w:before="0" w:after="0"/>
              <w:ind w:right="57"/>
              <w:jc w:val="left"/>
              <w:rPr>
                <w:b w:val="0"/>
              </w:rPr>
            </w:pPr>
            <w:r w:rsidRPr="00CC5B0B">
              <w:rPr>
                <w:b w:val="0"/>
                <w:iCs/>
              </w:rPr>
              <w:t>Projekts šo jomu neskar</w:t>
            </w:r>
            <w:r w:rsidR="004116C4">
              <w:rPr>
                <w:b w:val="0"/>
                <w:iCs/>
              </w:rPr>
              <w:t xml:space="preserve">. </w:t>
            </w:r>
          </w:p>
        </w:tc>
      </w:tr>
      <w:tr w:rsidR="006D1B88" w:rsidRPr="0048013F" w:rsidTr="001D1FDB">
        <w:trPr>
          <w:trHeight w:val="28"/>
          <w:jc w:val="center"/>
        </w:trPr>
        <w:tc>
          <w:tcPr>
            <w:tcW w:w="551" w:type="dxa"/>
            <w:tcMar>
              <w:top w:w="57" w:type="dxa"/>
              <w:left w:w="57" w:type="dxa"/>
              <w:bottom w:w="57" w:type="dxa"/>
              <w:right w:w="57" w:type="dxa"/>
            </w:tcMar>
          </w:tcPr>
          <w:p w:rsidR="006D1B88" w:rsidRPr="00722802" w:rsidRDefault="006D1B88" w:rsidP="00051CAD">
            <w:pPr>
              <w:pStyle w:val="naiskr"/>
              <w:spacing w:before="0" w:after="0"/>
              <w:ind w:left="57" w:right="57"/>
            </w:pPr>
            <w:r w:rsidRPr="00722802">
              <w:t>6.</w:t>
            </w:r>
          </w:p>
        </w:tc>
        <w:tc>
          <w:tcPr>
            <w:tcW w:w="4619" w:type="dxa"/>
            <w:tcMar>
              <w:top w:w="57" w:type="dxa"/>
              <w:left w:w="57" w:type="dxa"/>
              <w:bottom w:w="57" w:type="dxa"/>
              <w:right w:w="57" w:type="dxa"/>
            </w:tcMar>
          </w:tcPr>
          <w:p w:rsidR="006D1B88" w:rsidRPr="00722802" w:rsidRDefault="006D1B88" w:rsidP="00051CAD">
            <w:pPr>
              <w:pStyle w:val="naiskr"/>
              <w:spacing w:before="0" w:after="0"/>
              <w:ind w:left="57" w:right="57"/>
            </w:pPr>
            <w:r w:rsidRPr="00722802">
              <w:t>Cita informācija</w:t>
            </w:r>
          </w:p>
        </w:tc>
        <w:tc>
          <w:tcPr>
            <w:tcW w:w="4718" w:type="dxa"/>
            <w:tcMar>
              <w:top w:w="57" w:type="dxa"/>
              <w:left w:w="57" w:type="dxa"/>
              <w:bottom w:w="57" w:type="dxa"/>
              <w:right w:w="57" w:type="dxa"/>
            </w:tcMar>
          </w:tcPr>
          <w:p w:rsidR="006D1B88" w:rsidRPr="00722802" w:rsidRDefault="006D1B88" w:rsidP="00051CAD">
            <w:pPr>
              <w:pStyle w:val="naiskr"/>
              <w:spacing w:before="0" w:after="0"/>
              <w:ind w:left="57" w:right="57"/>
            </w:pPr>
            <w:r w:rsidRPr="00722802">
              <w:t>Nav</w:t>
            </w:r>
          </w:p>
        </w:tc>
      </w:tr>
    </w:tbl>
    <w:p w:rsidR="006D1B88" w:rsidRPr="0048013F" w:rsidRDefault="006D1B88" w:rsidP="00051CAD">
      <w:pPr>
        <w:pStyle w:val="BodyTextIndent3"/>
        <w:tabs>
          <w:tab w:val="left" w:pos="1440"/>
        </w:tabs>
        <w:spacing w:before="120"/>
        <w:ind w:left="0"/>
        <w:rPr>
          <w:b/>
          <w:sz w:val="28"/>
          <w:szCs w:val="28"/>
          <w:lang w:val="lv-LV"/>
        </w:rPr>
      </w:pPr>
      <w:r w:rsidRPr="0048013F">
        <w:rPr>
          <w:b/>
          <w:sz w:val="28"/>
          <w:szCs w:val="28"/>
          <w:lang w:val="lv-LV"/>
        </w:rPr>
        <w:t xml:space="preserve">Iesniedzējs: </w:t>
      </w:r>
    </w:p>
    <w:p w:rsidR="006D1B88" w:rsidRPr="0048013F" w:rsidRDefault="006D1B88" w:rsidP="00051CAD">
      <w:pPr>
        <w:pStyle w:val="BodyTextIndent3"/>
        <w:tabs>
          <w:tab w:val="left" w:pos="1440"/>
        </w:tabs>
        <w:spacing w:before="120"/>
        <w:ind w:left="0"/>
        <w:rPr>
          <w:sz w:val="28"/>
          <w:szCs w:val="28"/>
          <w:lang w:val="lv-LV"/>
        </w:rPr>
      </w:pPr>
      <w:r w:rsidRPr="0048013F">
        <w:rPr>
          <w:sz w:val="28"/>
          <w:szCs w:val="28"/>
          <w:lang w:val="lv-LV"/>
        </w:rPr>
        <w:t>Vides aizsardzības un reģionālās attīstības</w:t>
      </w:r>
      <w:r w:rsidRPr="0048013F">
        <w:rPr>
          <w:lang w:val="lv-LV"/>
        </w:rPr>
        <w:t xml:space="preserve"> </w:t>
      </w:r>
      <w:r w:rsidRPr="0048013F">
        <w:rPr>
          <w:sz w:val="28"/>
          <w:szCs w:val="28"/>
          <w:lang w:val="lv-LV"/>
        </w:rPr>
        <w:t>ministrs</w:t>
      </w:r>
      <w:r w:rsidRPr="0048013F">
        <w:rPr>
          <w:sz w:val="28"/>
          <w:szCs w:val="28"/>
          <w:lang w:val="lv-LV"/>
        </w:rPr>
        <w:tab/>
      </w:r>
      <w:r w:rsidRPr="0048013F">
        <w:rPr>
          <w:sz w:val="28"/>
          <w:szCs w:val="28"/>
          <w:lang w:val="lv-LV"/>
        </w:rPr>
        <w:tab/>
        <w:t xml:space="preserve"> </w:t>
      </w:r>
      <w:r>
        <w:rPr>
          <w:sz w:val="28"/>
          <w:szCs w:val="28"/>
          <w:lang w:val="lv-LV"/>
        </w:rPr>
        <w:tab/>
      </w:r>
      <w:r>
        <w:rPr>
          <w:sz w:val="28"/>
          <w:szCs w:val="28"/>
          <w:lang w:val="lv-LV"/>
        </w:rPr>
        <w:tab/>
      </w:r>
      <w:proofErr w:type="spellStart"/>
      <w:r w:rsidRPr="0048013F">
        <w:rPr>
          <w:sz w:val="28"/>
          <w:szCs w:val="28"/>
          <w:lang w:val="lv-LV"/>
        </w:rPr>
        <w:t>E.Sprūdžs</w:t>
      </w:r>
      <w:proofErr w:type="spellEnd"/>
    </w:p>
    <w:p w:rsidR="006D1B88" w:rsidRPr="0048013F" w:rsidRDefault="006D1B88" w:rsidP="00051CAD">
      <w:pPr>
        <w:pStyle w:val="BodyTextIndent3"/>
        <w:tabs>
          <w:tab w:val="left" w:pos="1440"/>
        </w:tabs>
        <w:spacing w:before="120"/>
        <w:ind w:left="0"/>
        <w:rPr>
          <w:sz w:val="28"/>
          <w:szCs w:val="28"/>
          <w:lang w:val="lv-LV"/>
        </w:rPr>
      </w:pPr>
      <w:r w:rsidRPr="0048013F">
        <w:rPr>
          <w:b/>
          <w:sz w:val="28"/>
          <w:szCs w:val="28"/>
          <w:lang w:val="lv-LV"/>
        </w:rPr>
        <w:t>Vīza:</w:t>
      </w:r>
      <w:r w:rsidRPr="0048013F">
        <w:rPr>
          <w:sz w:val="28"/>
          <w:szCs w:val="28"/>
          <w:lang w:val="lv-LV"/>
        </w:rPr>
        <w:t xml:space="preserve"> </w:t>
      </w:r>
    </w:p>
    <w:p w:rsidR="006D1B88" w:rsidRPr="0048013F" w:rsidRDefault="006D1B88" w:rsidP="00051CAD">
      <w:pPr>
        <w:pStyle w:val="BodyTextIndent3"/>
        <w:tabs>
          <w:tab w:val="left" w:pos="1440"/>
        </w:tabs>
        <w:spacing w:before="120"/>
        <w:ind w:left="0"/>
        <w:rPr>
          <w:sz w:val="28"/>
          <w:szCs w:val="28"/>
          <w:lang w:val="lv-LV"/>
        </w:rPr>
      </w:pPr>
      <w:r w:rsidRPr="0048013F">
        <w:rPr>
          <w:sz w:val="28"/>
          <w:szCs w:val="28"/>
          <w:lang w:val="lv-LV"/>
        </w:rPr>
        <w:t>Valsts sekretārs</w:t>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sidRPr="0048013F">
        <w:rPr>
          <w:sz w:val="28"/>
          <w:szCs w:val="28"/>
          <w:lang w:val="lv-LV"/>
        </w:rPr>
        <w:tab/>
      </w:r>
      <w:r>
        <w:rPr>
          <w:sz w:val="28"/>
          <w:szCs w:val="28"/>
          <w:lang w:val="lv-LV"/>
        </w:rPr>
        <w:tab/>
        <w:t xml:space="preserve">       </w:t>
      </w:r>
      <w:proofErr w:type="spellStart"/>
      <w:r>
        <w:rPr>
          <w:sz w:val="28"/>
          <w:szCs w:val="28"/>
          <w:lang w:val="lv-LV"/>
        </w:rPr>
        <w:t>A.Antonovs</w:t>
      </w:r>
      <w:proofErr w:type="spellEnd"/>
    </w:p>
    <w:p w:rsidR="006D1B88" w:rsidRPr="002D63EC" w:rsidRDefault="00535F05" w:rsidP="00051CAD">
      <w:r>
        <w:t>15</w:t>
      </w:r>
      <w:r w:rsidR="006D1B88" w:rsidRPr="002D63EC">
        <w:t>.</w:t>
      </w:r>
      <w:r w:rsidR="00C16269" w:rsidRPr="002D63EC">
        <w:t>01</w:t>
      </w:r>
      <w:r w:rsidR="006D1B88" w:rsidRPr="002D63EC">
        <w:t>.201</w:t>
      </w:r>
      <w:r w:rsidR="00C16269" w:rsidRPr="002D63EC">
        <w:t>3</w:t>
      </w:r>
      <w:r w:rsidR="006D1B88" w:rsidRPr="002D63EC">
        <w:t>, 1</w:t>
      </w:r>
      <w:r>
        <w:t>0</w:t>
      </w:r>
      <w:r w:rsidR="006D1B88" w:rsidRPr="002D63EC">
        <w:t>:</w:t>
      </w:r>
      <w:r>
        <w:t>50</w:t>
      </w:r>
      <w:bookmarkStart w:id="4" w:name="_GoBack"/>
      <w:bookmarkEnd w:id="4"/>
    </w:p>
    <w:p w:rsidR="006D1B88" w:rsidRPr="0048013F" w:rsidRDefault="0039252B" w:rsidP="00051CAD">
      <w:r w:rsidRPr="002D63EC">
        <w:t>2</w:t>
      </w:r>
      <w:r w:rsidR="00C15EE5" w:rsidRPr="002D63EC">
        <w:t>8</w:t>
      </w:r>
      <w:r w:rsidR="002D63EC" w:rsidRPr="002D63EC">
        <w:t>22</w:t>
      </w:r>
    </w:p>
    <w:p w:rsidR="006D1B88" w:rsidRPr="0048013F" w:rsidRDefault="006D1B88" w:rsidP="00931465">
      <w:r w:rsidRPr="0048013F">
        <w:t>I.Teibe, 67026</w:t>
      </w:r>
      <w:r>
        <w:t>574</w:t>
      </w:r>
      <w:r w:rsidRPr="0048013F">
        <w:t xml:space="preserve">, </w:t>
      </w:r>
      <w:hyperlink r:id="rId11" w:history="1">
        <w:r w:rsidRPr="0048013F">
          <w:rPr>
            <w:rStyle w:val="Hyperlink"/>
          </w:rPr>
          <w:t>iveta.teibe@varam.gov.lv</w:t>
        </w:r>
      </w:hyperlink>
    </w:p>
    <w:p w:rsidR="006D1B88" w:rsidRDefault="006D1B88">
      <w:pPr>
        <w:rPr>
          <w:rStyle w:val="Hyperlink"/>
        </w:rPr>
      </w:pPr>
      <w:r w:rsidRPr="0048013F">
        <w:t xml:space="preserve">T.Jansone, 67026561, </w:t>
      </w:r>
      <w:hyperlink r:id="rId12" w:history="1">
        <w:r w:rsidRPr="0048013F">
          <w:rPr>
            <w:rStyle w:val="Hyperlink"/>
          </w:rPr>
          <w:t>tatjana.jansone@varam.gov.lv</w:t>
        </w:r>
      </w:hyperlink>
    </w:p>
    <w:p w:rsidR="006D1B88" w:rsidRPr="007D39EC" w:rsidRDefault="006D1B88">
      <w:r>
        <w:t xml:space="preserve">R.Rimša, 67026903, </w:t>
      </w:r>
      <w:hyperlink r:id="rId13" w:history="1">
        <w:r w:rsidRPr="00DC6038">
          <w:rPr>
            <w:rStyle w:val="Hyperlink"/>
          </w:rPr>
          <w:t>Ruta.Rimsa@varam.gov.lv</w:t>
        </w:r>
      </w:hyperlink>
    </w:p>
    <w:sectPr w:rsidR="006D1B88" w:rsidRPr="007D39EC" w:rsidSect="00051CAD">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EC" w:rsidRDefault="002D63EC">
      <w:r>
        <w:separator/>
      </w:r>
    </w:p>
  </w:endnote>
  <w:endnote w:type="continuationSeparator" w:id="0">
    <w:p w:rsidR="002D63EC" w:rsidRDefault="002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C" w:rsidRDefault="002D63EC" w:rsidP="006921F4">
    <w:pPr>
      <w:jc w:val="both"/>
    </w:pPr>
    <w:r w:rsidRPr="00080559">
      <w:t>VARAMAnot_</w:t>
    </w:r>
    <w:r w:rsidR="00BA45D8">
      <w:t>15</w:t>
    </w:r>
    <w:r>
      <w:t>0113</w:t>
    </w:r>
    <w:r w:rsidRPr="00080559">
      <w:t xml:space="preserve">_emisija; Noteikumu projekta „Grozījumi Ministru kabineta 2002.gada 22.janvāra noteikumos Nr.34 „Noteikumi par piesārņojošo vielu emisiju ūdenī” sākotnējās ietekmes novērtējuma </w:t>
    </w:r>
    <w:smartTag w:uri="schemas-tilde-lv/tildestengine" w:element="veidnes">
      <w:smartTagPr>
        <w:attr w:name="text" w:val="ziņojums"/>
        <w:attr w:name="baseform" w:val="ziņojums"/>
        <w:attr w:name="id" w:val="-1"/>
      </w:smartTagPr>
      <w:r w:rsidRPr="00080559">
        <w:t>ziņojums</w:t>
      </w:r>
    </w:smartTag>
    <w:r w:rsidRPr="00080559">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C" w:rsidRDefault="002D63EC" w:rsidP="00051CAD">
    <w:pPr>
      <w:jc w:val="both"/>
    </w:pPr>
    <w:r w:rsidRPr="00080559">
      <w:t>VARAMAnot_</w:t>
    </w:r>
    <w:r w:rsidR="00BA45D8">
      <w:t>15</w:t>
    </w:r>
    <w:r>
      <w:t>0113</w:t>
    </w:r>
    <w:r w:rsidRPr="00080559">
      <w:t>_emisija</w:t>
    </w:r>
    <w:r>
      <w:t xml:space="preserve">; Noteikumu projekta </w:t>
    </w:r>
    <w:r w:rsidRPr="00080559">
      <w:t>„Grozījumi Ministru kabineta 2002.gada 22.janvāra noteikumos Nr.34 „Noteikumi par piesārņojošo vielu emisiju ūdenī”</w:t>
    </w:r>
    <w:r>
      <w:t xml:space="preserve"> s</w:t>
    </w:r>
    <w:r w:rsidRPr="00C929E0">
      <w:t xml:space="preserve">ākotnējās ietekmes novērtējuma </w:t>
    </w:r>
    <w:smartTag w:uri="schemas-tilde-lv/tildestengine" w:element="veidnes">
      <w:smartTagPr>
        <w:attr w:name="text" w:val="ziņojums"/>
        <w:attr w:name="baseform" w:val="ziņojums"/>
        <w:attr w:name="id" w:val="-1"/>
      </w:smartTagPr>
      <w:r w:rsidRPr="00C929E0">
        <w:t>ziņojums</w:t>
      </w:r>
    </w:smartTag>
    <w:r w:rsidRPr="00C929E0">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EC" w:rsidRDefault="002D63EC">
      <w:r>
        <w:separator/>
      </w:r>
    </w:p>
  </w:footnote>
  <w:footnote w:type="continuationSeparator" w:id="0">
    <w:p w:rsidR="002D63EC" w:rsidRDefault="002D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3EC" w:rsidRDefault="002D63EC">
    <w:pPr>
      <w:pStyle w:val="Header"/>
    </w:pPr>
    <w:r>
      <w:tab/>
      <w:t xml:space="preserve"> </w:t>
    </w:r>
    <w:r>
      <w:fldChar w:fldCharType="begin"/>
    </w:r>
    <w:r>
      <w:instrText xml:space="preserve"> PAGE </w:instrText>
    </w:r>
    <w:r>
      <w:fldChar w:fldCharType="separate"/>
    </w:r>
    <w:r w:rsidR="00535F05">
      <w:rPr>
        <w:noProof/>
      </w:rPr>
      <w:t>12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242"/>
    <w:multiLevelType w:val="multilevel"/>
    <w:tmpl w:val="F82C6190"/>
    <w:lvl w:ilvl="0">
      <w:start w:val="6"/>
      <w:numFmt w:val="decimal"/>
      <w:lvlText w:val="%1."/>
      <w:lvlJc w:val="left"/>
      <w:pPr>
        <w:ind w:left="360" w:hanging="360"/>
      </w:pPr>
      <w:rPr>
        <w:rFonts w:cs="Times New Roman" w:hint="default"/>
      </w:rPr>
    </w:lvl>
    <w:lvl w:ilvl="1">
      <w:start w:val="3"/>
      <w:numFmt w:val="decimal"/>
      <w:lvlText w:val="%1.%2."/>
      <w:lvlJc w:val="left"/>
      <w:pPr>
        <w:ind w:left="643" w:hanging="360"/>
      </w:pPr>
      <w:rPr>
        <w:rFonts w:cs="Times New Roman" w:hint="default"/>
      </w:rPr>
    </w:lvl>
    <w:lvl w:ilvl="2">
      <w:start w:val="1"/>
      <w:numFmt w:val="decimal"/>
      <w:lvlText w:val="%1.%2.%3."/>
      <w:lvlJc w:val="left"/>
      <w:pPr>
        <w:ind w:left="1214" w:hanging="720"/>
      </w:pPr>
      <w:rPr>
        <w:rFonts w:cs="Times New Roman" w:hint="default"/>
      </w:rPr>
    </w:lvl>
    <w:lvl w:ilvl="3">
      <w:start w:val="1"/>
      <w:numFmt w:val="decimal"/>
      <w:lvlText w:val="%1.%2.%3.%4."/>
      <w:lvlJc w:val="left"/>
      <w:pPr>
        <w:ind w:left="1461" w:hanging="720"/>
      </w:pPr>
      <w:rPr>
        <w:rFonts w:cs="Times New Roman" w:hint="default"/>
      </w:rPr>
    </w:lvl>
    <w:lvl w:ilvl="4">
      <w:start w:val="1"/>
      <w:numFmt w:val="decimal"/>
      <w:lvlText w:val="%1.%2.%3.%4.%5."/>
      <w:lvlJc w:val="left"/>
      <w:pPr>
        <w:ind w:left="2068" w:hanging="1080"/>
      </w:pPr>
      <w:rPr>
        <w:rFonts w:cs="Times New Roman" w:hint="default"/>
      </w:rPr>
    </w:lvl>
    <w:lvl w:ilvl="5">
      <w:start w:val="1"/>
      <w:numFmt w:val="decimal"/>
      <w:lvlText w:val="%1.%2.%3.%4.%5.%6."/>
      <w:lvlJc w:val="left"/>
      <w:pPr>
        <w:ind w:left="2315" w:hanging="1080"/>
      </w:pPr>
      <w:rPr>
        <w:rFonts w:cs="Times New Roman" w:hint="default"/>
      </w:rPr>
    </w:lvl>
    <w:lvl w:ilvl="6">
      <w:start w:val="1"/>
      <w:numFmt w:val="decimal"/>
      <w:lvlText w:val="%1.%2.%3.%4.%5.%6.%7."/>
      <w:lvlJc w:val="left"/>
      <w:pPr>
        <w:ind w:left="2922" w:hanging="1440"/>
      </w:pPr>
      <w:rPr>
        <w:rFonts w:cs="Times New Roman" w:hint="default"/>
      </w:rPr>
    </w:lvl>
    <w:lvl w:ilvl="7">
      <w:start w:val="1"/>
      <w:numFmt w:val="decimal"/>
      <w:lvlText w:val="%1.%2.%3.%4.%5.%6.%7.%8."/>
      <w:lvlJc w:val="left"/>
      <w:pPr>
        <w:ind w:left="3169" w:hanging="1440"/>
      </w:pPr>
      <w:rPr>
        <w:rFonts w:cs="Times New Roman" w:hint="default"/>
      </w:rPr>
    </w:lvl>
    <w:lvl w:ilvl="8">
      <w:start w:val="1"/>
      <w:numFmt w:val="decimal"/>
      <w:lvlText w:val="%1.%2.%3.%4.%5.%6.%7.%8.%9."/>
      <w:lvlJc w:val="left"/>
      <w:pPr>
        <w:ind w:left="3776" w:hanging="1800"/>
      </w:pPr>
      <w:rPr>
        <w:rFonts w:cs="Times New Roman" w:hint="default"/>
      </w:rPr>
    </w:lvl>
  </w:abstractNum>
  <w:abstractNum w:abstractNumId="1">
    <w:nsid w:val="04D22CD8"/>
    <w:multiLevelType w:val="hybridMultilevel"/>
    <w:tmpl w:val="2474C280"/>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2">
    <w:nsid w:val="0A9C2D6F"/>
    <w:multiLevelType w:val="hybridMultilevel"/>
    <w:tmpl w:val="F24E332E"/>
    <w:lvl w:ilvl="0" w:tplc="04260011">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8413878"/>
    <w:multiLevelType w:val="hybridMultilevel"/>
    <w:tmpl w:val="100ABBBA"/>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
    <w:nsid w:val="18582CF8"/>
    <w:multiLevelType w:val="hybridMultilevel"/>
    <w:tmpl w:val="4404C394"/>
    <w:lvl w:ilvl="0" w:tplc="1E02A682">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BC20BC"/>
    <w:multiLevelType w:val="hybridMultilevel"/>
    <w:tmpl w:val="05525E78"/>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6">
    <w:nsid w:val="1B427467"/>
    <w:multiLevelType w:val="hybridMultilevel"/>
    <w:tmpl w:val="B4E40E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5044B9"/>
    <w:multiLevelType w:val="hybridMultilevel"/>
    <w:tmpl w:val="3DE49FC4"/>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25C40F7A"/>
    <w:multiLevelType w:val="hybridMultilevel"/>
    <w:tmpl w:val="FDD6AE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F17CC1"/>
    <w:multiLevelType w:val="hybridMultilevel"/>
    <w:tmpl w:val="BD5E4F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67D78"/>
    <w:multiLevelType w:val="hybridMultilevel"/>
    <w:tmpl w:val="E25223A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57E24CCC"/>
    <w:multiLevelType w:val="hybridMultilevel"/>
    <w:tmpl w:val="CC8A7E6E"/>
    <w:lvl w:ilvl="0" w:tplc="04260001">
      <w:start w:val="1"/>
      <w:numFmt w:val="bullet"/>
      <w:lvlText w:val=""/>
      <w:lvlJc w:val="left"/>
      <w:pPr>
        <w:tabs>
          <w:tab w:val="num" w:pos="1152"/>
        </w:tabs>
        <w:ind w:left="1152" w:hanging="360"/>
      </w:pPr>
      <w:rPr>
        <w:rFonts w:ascii="Symbol" w:hAnsi="Symbol" w:hint="default"/>
      </w:rPr>
    </w:lvl>
    <w:lvl w:ilvl="1" w:tplc="04260003" w:tentative="1">
      <w:start w:val="1"/>
      <w:numFmt w:val="bullet"/>
      <w:lvlText w:val="o"/>
      <w:lvlJc w:val="left"/>
      <w:pPr>
        <w:tabs>
          <w:tab w:val="num" w:pos="1872"/>
        </w:tabs>
        <w:ind w:left="1872" w:hanging="360"/>
      </w:pPr>
      <w:rPr>
        <w:rFonts w:ascii="Courier New" w:hAnsi="Courier New" w:hint="default"/>
      </w:rPr>
    </w:lvl>
    <w:lvl w:ilvl="2" w:tplc="04260005" w:tentative="1">
      <w:start w:val="1"/>
      <w:numFmt w:val="bullet"/>
      <w:lvlText w:val=""/>
      <w:lvlJc w:val="left"/>
      <w:pPr>
        <w:tabs>
          <w:tab w:val="num" w:pos="2592"/>
        </w:tabs>
        <w:ind w:left="2592" w:hanging="360"/>
      </w:pPr>
      <w:rPr>
        <w:rFonts w:ascii="Wingdings" w:hAnsi="Wingdings" w:hint="default"/>
      </w:rPr>
    </w:lvl>
    <w:lvl w:ilvl="3" w:tplc="04260001" w:tentative="1">
      <w:start w:val="1"/>
      <w:numFmt w:val="bullet"/>
      <w:lvlText w:val=""/>
      <w:lvlJc w:val="left"/>
      <w:pPr>
        <w:tabs>
          <w:tab w:val="num" w:pos="3312"/>
        </w:tabs>
        <w:ind w:left="3312" w:hanging="360"/>
      </w:pPr>
      <w:rPr>
        <w:rFonts w:ascii="Symbol" w:hAnsi="Symbol" w:hint="default"/>
      </w:rPr>
    </w:lvl>
    <w:lvl w:ilvl="4" w:tplc="04260003" w:tentative="1">
      <w:start w:val="1"/>
      <w:numFmt w:val="bullet"/>
      <w:lvlText w:val="o"/>
      <w:lvlJc w:val="left"/>
      <w:pPr>
        <w:tabs>
          <w:tab w:val="num" w:pos="4032"/>
        </w:tabs>
        <w:ind w:left="4032" w:hanging="360"/>
      </w:pPr>
      <w:rPr>
        <w:rFonts w:ascii="Courier New" w:hAnsi="Courier New" w:hint="default"/>
      </w:rPr>
    </w:lvl>
    <w:lvl w:ilvl="5" w:tplc="04260005" w:tentative="1">
      <w:start w:val="1"/>
      <w:numFmt w:val="bullet"/>
      <w:lvlText w:val=""/>
      <w:lvlJc w:val="left"/>
      <w:pPr>
        <w:tabs>
          <w:tab w:val="num" w:pos="4752"/>
        </w:tabs>
        <w:ind w:left="4752" w:hanging="360"/>
      </w:pPr>
      <w:rPr>
        <w:rFonts w:ascii="Wingdings" w:hAnsi="Wingdings" w:hint="default"/>
      </w:rPr>
    </w:lvl>
    <w:lvl w:ilvl="6" w:tplc="04260001" w:tentative="1">
      <w:start w:val="1"/>
      <w:numFmt w:val="bullet"/>
      <w:lvlText w:val=""/>
      <w:lvlJc w:val="left"/>
      <w:pPr>
        <w:tabs>
          <w:tab w:val="num" w:pos="5472"/>
        </w:tabs>
        <w:ind w:left="5472" w:hanging="360"/>
      </w:pPr>
      <w:rPr>
        <w:rFonts w:ascii="Symbol" w:hAnsi="Symbol" w:hint="default"/>
      </w:rPr>
    </w:lvl>
    <w:lvl w:ilvl="7" w:tplc="04260003" w:tentative="1">
      <w:start w:val="1"/>
      <w:numFmt w:val="bullet"/>
      <w:lvlText w:val="o"/>
      <w:lvlJc w:val="left"/>
      <w:pPr>
        <w:tabs>
          <w:tab w:val="num" w:pos="6192"/>
        </w:tabs>
        <w:ind w:left="6192" w:hanging="360"/>
      </w:pPr>
      <w:rPr>
        <w:rFonts w:ascii="Courier New" w:hAnsi="Courier New" w:hint="default"/>
      </w:rPr>
    </w:lvl>
    <w:lvl w:ilvl="8" w:tplc="04260005" w:tentative="1">
      <w:start w:val="1"/>
      <w:numFmt w:val="bullet"/>
      <w:lvlText w:val=""/>
      <w:lvlJc w:val="left"/>
      <w:pPr>
        <w:tabs>
          <w:tab w:val="num" w:pos="6912"/>
        </w:tabs>
        <w:ind w:left="6912" w:hanging="360"/>
      </w:pPr>
      <w:rPr>
        <w:rFonts w:ascii="Wingdings" w:hAnsi="Wingdings" w:hint="default"/>
      </w:rPr>
    </w:lvl>
  </w:abstractNum>
  <w:abstractNum w:abstractNumId="12">
    <w:nsid w:val="672E15D7"/>
    <w:multiLevelType w:val="hybridMultilevel"/>
    <w:tmpl w:val="14C642A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11"/>
  </w:num>
  <w:num w:numId="5">
    <w:abstractNumId w:val="12"/>
  </w:num>
  <w:num w:numId="6">
    <w:abstractNumId w:val="3"/>
  </w:num>
  <w:num w:numId="7">
    <w:abstractNumId w:val="9"/>
  </w:num>
  <w:num w:numId="8">
    <w:abstractNumId w:val="8"/>
  </w:num>
  <w:num w:numId="9">
    <w:abstractNumId w:val="6"/>
  </w:num>
  <w:num w:numId="10">
    <w:abstractNumId w:val="0"/>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AD"/>
    <w:rsid w:val="00000ADC"/>
    <w:rsid w:val="00010317"/>
    <w:rsid w:val="000103A2"/>
    <w:rsid w:val="00012B78"/>
    <w:rsid w:val="000134B5"/>
    <w:rsid w:val="00013ECB"/>
    <w:rsid w:val="000171DB"/>
    <w:rsid w:val="000208F6"/>
    <w:rsid w:val="00021622"/>
    <w:rsid w:val="00022232"/>
    <w:rsid w:val="00030650"/>
    <w:rsid w:val="00032129"/>
    <w:rsid w:val="00032428"/>
    <w:rsid w:val="000335A6"/>
    <w:rsid w:val="00034384"/>
    <w:rsid w:val="00036A6F"/>
    <w:rsid w:val="00036B4B"/>
    <w:rsid w:val="00043E42"/>
    <w:rsid w:val="00047CD6"/>
    <w:rsid w:val="00047D4E"/>
    <w:rsid w:val="00051681"/>
    <w:rsid w:val="00051CAD"/>
    <w:rsid w:val="00052DF8"/>
    <w:rsid w:val="00053CB2"/>
    <w:rsid w:val="00054175"/>
    <w:rsid w:val="00060133"/>
    <w:rsid w:val="00063304"/>
    <w:rsid w:val="00071F76"/>
    <w:rsid w:val="00080559"/>
    <w:rsid w:val="00090C85"/>
    <w:rsid w:val="000A2ACE"/>
    <w:rsid w:val="000A71CC"/>
    <w:rsid w:val="000B1A54"/>
    <w:rsid w:val="000B1ED1"/>
    <w:rsid w:val="000C0ECC"/>
    <w:rsid w:val="000C5EEB"/>
    <w:rsid w:val="000C6D5F"/>
    <w:rsid w:val="000D1E65"/>
    <w:rsid w:val="000D21FF"/>
    <w:rsid w:val="000D56FC"/>
    <w:rsid w:val="000D6BE4"/>
    <w:rsid w:val="000E07B8"/>
    <w:rsid w:val="000F107E"/>
    <w:rsid w:val="000F6B1E"/>
    <w:rsid w:val="000F78D7"/>
    <w:rsid w:val="00103AC6"/>
    <w:rsid w:val="00111C7B"/>
    <w:rsid w:val="0011372C"/>
    <w:rsid w:val="001138D8"/>
    <w:rsid w:val="00113943"/>
    <w:rsid w:val="00115006"/>
    <w:rsid w:val="001212B2"/>
    <w:rsid w:val="0012494A"/>
    <w:rsid w:val="001266B4"/>
    <w:rsid w:val="001273CD"/>
    <w:rsid w:val="001310EE"/>
    <w:rsid w:val="001312EC"/>
    <w:rsid w:val="00131677"/>
    <w:rsid w:val="001406A2"/>
    <w:rsid w:val="00143CB2"/>
    <w:rsid w:val="001501D9"/>
    <w:rsid w:val="00153AA0"/>
    <w:rsid w:val="00157487"/>
    <w:rsid w:val="001665C2"/>
    <w:rsid w:val="0016726C"/>
    <w:rsid w:val="0017063C"/>
    <w:rsid w:val="00174569"/>
    <w:rsid w:val="001753D4"/>
    <w:rsid w:val="00176F51"/>
    <w:rsid w:val="00190F54"/>
    <w:rsid w:val="00191922"/>
    <w:rsid w:val="00194885"/>
    <w:rsid w:val="001A1C92"/>
    <w:rsid w:val="001A4587"/>
    <w:rsid w:val="001A4D4F"/>
    <w:rsid w:val="001A66DC"/>
    <w:rsid w:val="001B0DF1"/>
    <w:rsid w:val="001B2029"/>
    <w:rsid w:val="001B4891"/>
    <w:rsid w:val="001B5D70"/>
    <w:rsid w:val="001C1B9F"/>
    <w:rsid w:val="001C1DE3"/>
    <w:rsid w:val="001C5B34"/>
    <w:rsid w:val="001C6AC5"/>
    <w:rsid w:val="001D1FDB"/>
    <w:rsid w:val="001D25E2"/>
    <w:rsid w:val="001D4933"/>
    <w:rsid w:val="001E1C95"/>
    <w:rsid w:val="001E31B1"/>
    <w:rsid w:val="00203F65"/>
    <w:rsid w:val="002126EF"/>
    <w:rsid w:val="0021327B"/>
    <w:rsid w:val="00214678"/>
    <w:rsid w:val="00215D02"/>
    <w:rsid w:val="00217285"/>
    <w:rsid w:val="00217A05"/>
    <w:rsid w:val="00221C39"/>
    <w:rsid w:val="002377BA"/>
    <w:rsid w:val="00237F05"/>
    <w:rsid w:val="00246E11"/>
    <w:rsid w:val="002505AA"/>
    <w:rsid w:val="0025284A"/>
    <w:rsid w:val="00252966"/>
    <w:rsid w:val="00252BC0"/>
    <w:rsid w:val="002672A5"/>
    <w:rsid w:val="00273F0B"/>
    <w:rsid w:val="00274034"/>
    <w:rsid w:val="00274E99"/>
    <w:rsid w:val="00275076"/>
    <w:rsid w:val="002902C1"/>
    <w:rsid w:val="00292851"/>
    <w:rsid w:val="00294626"/>
    <w:rsid w:val="002A69DE"/>
    <w:rsid w:val="002C1FE9"/>
    <w:rsid w:val="002C3148"/>
    <w:rsid w:val="002D63EC"/>
    <w:rsid w:val="002F0677"/>
    <w:rsid w:val="002F3B72"/>
    <w:rsid w:val="002F47C4"/>
    <w:rsid w:val="0030137D"/>
    <w:rsid w:val="00304F5A"/>
    <w:rsid w:val="00316FE7"/>
    <w:rsid w:val="00325BE2"/>
    <w:rsid w:val="00330013"/>
    <w:rsid w:val="0033144A"/>
    <w:rsid w:val="00336270"/>
    <w:rsid w:val="00337D27"/>
    <w:rsid w:val="003414F6"/>
    <w:rsid w:val="00346F6B"/>
    <w:rsid w:val="0035027F"/>
    <w:rsid w:val="0035191E"/>
    <w:rsid w:val="0035270A"/>
    <w:rsid w:val="00353A45"/>
    <w:rsid w:val="00353BC2"/>
    <w:rsid w:val="00355BA4"/>
    <w:rsid w:val="0036266C"/>
    <w:rsid w:val="003711B4"/>
    <w:rsid w:val="003725FF"/>
    <w:rsid w:val="00372655"/>
    <w:rsid w:val="00376A6B"/>
    <w:rsid w:val="00385AF8"/>
    <w:rsid w:val="0039252B"/>
    <w:rsid w:val="00397312"/>
    <w:rsid w:val="003A109C"/>
    <w:rsid w:val="003B09E9"/>
    <w:rsid w:val="003B5C77"/>
    <w:rsid w:val="003B6FAE"/>
    <w:rsid w:val="003C0EFB"/>
    <w:rsid w:val="003C24CD"/>
    <w:rsid w:val="003C6CD6"/>
    <w:rsid w:val="003D12D2"/>
    <w:rsid w:val="003D247B"/>
    <w:rsid w:val="003D280A"/>
    <w:rsid w:val="003D3153"/>
    <w:rsid w:val="003D4576"/>
    <w:rsid w:val="003D4888"/>
    <w:rsid w:val="003D529D"/>
    <w:rsid w:val="003E2AF4"/>
    <w:rsid w:val="003F0848"/>
    <w:rsid w:val="003F17A1"/>
    <w:rsid w:val="00404DCF"/>
    <w:rsid w:val="0040577A"/>
    <w:rsid w:val="00406D04"/>
    <w:rsid w:val="00410939"/>
    <w:rsid w:val="004116C4"/>
    <w:rsid w:val="00411BF8"/>
    <w:rsid w:val="00413225"/>
    <w:rsid w:val="004152A4"/>
    <w:rsid w:val="00417632"/>
    <w:rsid w:val="00423F24"/>
    <w:rsid w:val="00432C28"/>
    <w:rsid w:val="00434E7E"/>
    <w:rsid w:val="004355B0"/>
    <w:rsid w:val="00437725"/>
    <w:rsid w:val="00440B75"/>
    <w:rsid w:val="0045315A"/>
    <w:rsid w:val="00453F52"/>
    <w:rsid w:val="00454D53"/>
    <w:rsid w:val="004612A4"/>
    <w:rsid w:val="0046437C"/>
    <w:rsid w:val="00474B2F"/>
    <w:rsid w:val="0047668B"/>
    <w:rsid w:val="0047749D"/>
    <w:rsid w:val="0048013F"/>
    <w:rsid w:val="0048068E"/>
    <w:rsid w:val="00480D89"/>
    <w:rsid w:val="00482204"/>
    <w:rsid w:val="0048464E"/>
    <w:rsid w:val="004864C5"/>
    <w:rsid w:val="00490E7E"/>
    <w:rsid w:val="00491C12"/>
    <w:rsid w:val="00494DA1"/>
    <w:rsid w:val="00495171"/>
    <w:rsid w:val="00497846"/>
    <w:rsid w:val="004B340C"/>
    <w:rsid w:val="004B3F02"/>
    <w:rsid w:val="004C7B52"/>
    <w:rsid w:val="004D0501"/>
    <w:rsid w:val="004D2297"/>
    <w:rsid w:val="004D3E53"/>
    <w:rsid w:val="004D450B"/>
    <w:rsid w:val="004E10A7"/>
    <w:rsid w:val="004E64BB"/>
    <w:rsid w:val="004F31C1"/>
    <w:rsid w:val="004F7C58"/>
    <w:rsid w:val="00507586"/>
    <w:rsid w:val="00515871"/>
    <w:rsid w:val="005207EC"/>
    <w:rsid w:val="00530E73"/>
    <w:rsid w:val="00535F05"/>
    <w:rsid w:val="00545485"/>
    <w:rsid w:val="0055129F"/>
    <w:rsid w:val="00551821"/>
    <w:rsid w:val="0055201C"/>
    <w:rsid w:val="00553ACE"/>
    <w:rsid w:val="00554665"/>
    <w:rsid w:val="00554FD1"/>
    <w:rsid w:val="00564EFC"/>
    <w:rsid w:val="0056664D"/>
    <w:rsid w:val="00571A70"/>
    <w:rsid w:val="0057683C"/>
    <w:rsid w:val="0057767A"/>
    <w:rsid w:val="005807AF"/>
    <w:rsid w:val="00586E0A"/>
    <w:rsid w:val="005929EE"/>
    <w:rsid w:val="00592EE8"/>
    <w:rsid w:val="005952E9"/>
    <w:rsid w:val="005964E9"/>
    <w:rsid w:val="005A5751"/>
    <w:rsid w:val="005B7BB9"/>
    <w:rsid w:val="005D7544"/>
    <w:rsid w:val="005F0534"/>
    <w:rsid w:val="005F0C86"/>
    <w:rsid w:val="005F3FB8"/>
    <w:rsid w:val="005F4F0E"/>
    <w:rsid w:val="005F7CC6"/>
    <w:rsid w:val="005F7E04"/>
    <w:rsid w:val="0060599F"/>
    <w:rsid w:val="00610097"/>
    <w:rsid w:val="00612506"/>
    <w:rsid w:val="0061381F"/>
    <w:rsid w:val="00613FC0"/>
    <w:rsid w:val="006157B8"/>
    <w:rsid w:val="00615DE8"/>
    <w:rsid w:val="00616053"/>
    <w:rsid w:val="00623A19"/>
    <w:rsid w:val="00623DE2"/>
    <w:rsid w:val="00624C34"/>
    <w:rsid w:val="006335A8"/>
    <w:rsid w:val="00641B03"/>
    <w:rsid w:val="00646A1C"/>
    <w:rsid w:val="00652EE0"/>
    <w:rsid w:val="00654A8C"/>
    <w:rsid w:val="006614D0"/>
    <w:rsid w:val="006627D0"/>
    <w:rsid w:val="00666604"/>
    <w:rsid w:val="00674227"/>
    <w:rsid w:val="00676287"/>
    <w:rsid w:val="0068041E"/>
    <w:rsid w:val="00680D6B"/>
    <w:rsid w:val="00681E85"/>
    <w:rsid w:val="00682079"/>
    <w:rsid w:val="00683C58"/>
    <w:rsid w:val="00686895"/>
    <w:rsid w:val="006921F4"/>
    <w:rsid w:val="006949E4"/>
    <w:rsid w:val="00696F46"/>
    <w:rsid w:val="006A2DCB"/>
    <w:rsid w:val="006A4894"/>
    <w:rsid w:val="006B2155"/>
    <w:rsid w:val="006B338C"/>
    <w:rsid w:val="006B3851"/>
    <w:rsid w:val="006C1F8A"/>
    <w:rsid w:val="006C7865"/>
    <w:rsid w:val="006D1B88"/>
    <w:rsid w:val="006D50C4"/>
    <w:rsid w:val="006D5646"/>
    <w:rsid w:val="006D5B5D"/>
    <w:rsid w:val="006E1C37"/>
    <w:rsid w:val="006E3AB4"/>
    <w:rsid w:val="006E3B82"/>
    <w:rsid w:val="006E76D0"/>
    <w:rsid w:val="006F0930"/>
    <w:rsid w:val="006F0B62"/>
    <w:rsid w:val="006F47F2"/>
    <w:rsid w:val="006F6706"/>
    <w:rsid w:val="006F7AB3"/>
    <w:rsid w:val="00701F8F"/>
    <w:rsid w:val="00705634"/>
    <w:rsid w:val="00707412"/>
    <w:rsid w:val="00713388"/>
    <w:rsid w:val="00716848"/>
    <w:rsid w:val="0072236C"/>
    <w:rsid w:val="00722802"/>
    <w:rsid w:val="00723103"/>
    <w:rsid w:val="0073303D"/>
    <w:rsid w:val="00734EAB"/>
    <w:rsid w:val="007417E9"/>
    <w:rsid w:val="007451D6"/>
    <w:rsid w:val="007527FE"/>
    <w:rsid w:val="00770F75"/>
    <w:rsid w:val="00772EDF"/>
    <w:rsid w:val="007731A5"/>
    <w:rsid w:val="00777DAE"/>
    <w:rsid w:val="0078163C"/>
    <w:rsid w:val="00783486"/>
    <w:rsid w:val="007841E4"/>
    <w:rsid w:val="00794131"/>
    <w:rsid w:val="007952B3"/>
    <w:rsid w:val="007969C0"/>
    <w:rsid w:val="0079731E"/>
    <w:rsid w:val="007A29B1"/>
    <w:rsid w:val="007B057F"/>
    <w:rsid w:val="007B47D7"/>
    <w:rsid w:val="007B5DA3"/>
    <w:rsid w:val="007B5F12"/>
    <w:rsid w:val="007D0AE0"/>
    <w:rsid w:val="007D1EEB"/>
    <w:rsid w:val="007D39EC"/>
    <w:rsid w:val="007D45AB"/>
    <w:rsid w:val="007D4791"/>
    <w:rsid w:val="007D73CD"/>
    <w:rsid w:val="007E2672"/>
    <w:rsid w:val="007E48AD"/>
    <w:rsid w:val="007E711B"/>
    <w:rsid w:val="007F033D"/>
    <w:rsid w:val="007F48E7"/>
    <w:rsid w:val="007F4E3D"/>
    <w:rsid w:val="007F6186"/>
    <w:rsid w:val="007F67FA"/>
    <w:rsid w:val="0080646F"/>
    <w:rsid w:val="00806637"/>
    <w:rsid w:val="00814C21"/>
    <w:rsid w:val="00815959"/>
    <w:rsid w:val="00824485"/>
    <w:rsid w:val="00825127"/>
    <w:rsid w:val="00825B75"/>
    <w:rsid w:val="008339C0"/>
    <w:rsid w:val="00835FFA"/>
    <w:rsid w:val="0084137E"/>
    <w:rsid w:val="0084154B"/>
    <w:rsid w:val="00842FD9"/>
    <w:rsid w:val="008530A2"/>
    <w:rsid w:val="00866DBD"/>
    <w:rsid w:val="0087454B"/>
    <w:rsid w:val="008745E8"/>
    <w:rsid w:val="00885C22"/>
    <w:rsid w:val="0088732E"/>
    <w:rsid w:val="00887831"/>
    <w:rsid w:val="00892EF3"/>
    <w:rsid w:val="00893C70"/>
    <w:rsid w:val="00894401"/>
    <w:rsid w:val="00895B6A"/>
    <w:rsid w:val="008A0EC3"/>
    <w:rsid w:val="008A1947"/>
    <w:rsid w:val="008A1E37"/>
    <w:rsid w:val="008B3678"/>
    <w:rsid w:val="008C2272"/>
    <w:rsid w:val="008C45F3"/>
    <w:rsid w:val="008C6D03"/>
    <w:rsid w:val="008C7379"/>
    <w:rsid w:val="008D106A"/>
    <w:rsid w:val="008D3B74"/>
    <w:rsid w:val="008D3D07"/>
    <w:rsid w:val="008D40DF"/>
    <w:rsid w:val="008E0638"/>
    <w:rsid w:val="008E26AB"/>
    <w:rsid w:val="008E27BB"/>
    <w:rsid w:val="008E4B28"/>
    <w:rsid w:val="008F1F62"/>
    <w:rsid w:val="008F51A9"/>
    <w:rsid w:val="008F6B5B"/>
    <w:rsid w:val="00907F6A"/>
    <w:rsid w:val="0091260A"/>
    <w:rsid w:val="0091364B"/>
    <w:rsid w:val="0091422F"/>
    <w:rsid w:val="00914800"/>
    <w:rsid w:val="009149EB"/>
    <w:rsid w:val="009224F0"/>
    <w:rsid w:val="009274E3"/>
    <w:rsid w:val="0092787D"/>
    <w:rsid w:val="0093092A"/>
    <w:rsid w:val="00931465"/>
    <w:rsid w:val="00932A23"/>
    <w:rsid w:val="0093631D"/>
    <w:rsid w:val="00943E83"/>
    <w:rsid w:val="009460AB"/>
    <w:rsid w:val="00951C24"/>
    <w:rsid w:val="00953B6C"/>
    <w:rsid w:val="0095551D"/>
    <w:rsid w:val="00962D32"/>
    <w:rsid w:val="009649A7"/>
    <w:rsid w:val="0096526D"/>
    <w:rsid w:val="009770B5"/>
    <w:rsid w:val="00982485"/>
    <w:rsid w:val="00993056"/>
    <w:rsid w:val="00993538"/>
    <w:rsid w:val="009A10EC"/>
    <w:rsid w:val="009B2928"/>
    <w:rsid w:val="009B4616"/>
    <w:rsid w:val="009B6CF7"/>
    <w:rsid w:val="009C0539"/>
    <w:rsid w:val="009C4411"/>
    <w:rsid w:val="009C5270"/>
    <w:rsid w:val="009C5F57"/>
    <w:rsid w:val="009D2F97"/>
    <w:rsid w:val="009F10B8"/>
    <w:rsid w:val="009F7A03"/>
    <w:rsid w:val="00A008B9"/>
    <w:rsid w:val="00A01EB1"/>
    <w:rsid w:val="00A01F58"/>
    <w:rsid w:val="00A029A7"/>
    <w:rsid w:val="00A03155"/>
    <w:rsid w:val="00A03EE9"/>
    <w:rsid w:val="00A07698"/>
    <w:rsid w:val="00A10883"/>
    <w:rsid w:val="00A14C24"/>
    <w:rsid w:val="00A21B1E"/>
    <w:rsid w:val="00A26C0E"/>
    <w:rsid w:val="00A27FFB"/>
    <w:rsid w:val="00A30C4D"/>
    <w:rsid w:val="00A30CB8"/>
    <w:rsid w:val="00A32F3A"/>
    <w:rsid w:val="00A33D3A"/>
    <w:rsid w:val="00A34CFB"/>
    <w:rsid w:val="00A36E9D"/>
    <w:rsid w:val="00A37F5A"/>
    <w:rsid w:val="00A45144"/>
    <w:rsid w:val="00A51417"/>
    <w:rsid w:val="00A53EE5"/>
    <w:rsid w:val="00A543D2"/>
    <w:rsid w:val="00A57FBC"/>
    <w:rsid w:val="00A60C98"/>
    <w:rsid w:val="00A64AE4"/>
    <w:rsid w:val="00A66EA2"/>
    <w:rsid w:val="00A70FAB"/>
    <w:rsid w:val="00A80F40"/>
    <w:rsid w:val="00A85CE1"/>
    <w:rsid w:val="00A872EF"/>
    <w:rsid w:val="00A87659"/>
    <w:rsid w:val="00A91F2E"/>
    <w:rsid w:val="00A924B7"/>
    <w:rsid w:val="00A9306C"/>
    <w:rsid w:val="00AA2D35"/>
    <w:rsid w:val="00AA3111"/>
    <w:rsid w:val="00AA6546"/>
    <w:rsid w:val="00AB12A6"/>
    <w:rsid w:val="00AC438D"/>
    <w:rsid w:val="00AC6FDB"/>
    <w:rsid w:val="00AD2717"/>
    <w:rsid w:val="00AD5752"/>
    <w:rsid w:val="00AD73A5"/>
    <w:rsid w:val="00AF0BA1"/>
    <w:rsid w:val="00AF4A61"/>
    <w:rsid w:val="00B1146C"/>
    <w:rsid w:val="00B15C82"/>
    <w:rsid w:val="00B1724A"/>
    <w:rsid w:val="00B20E6F"/>
    <w:rsid w:val="00B241A5"/>
    <w:rsid w:val="00B2594E"/>
    <w:rsid w:val="00B27997"/>
    <w:rsid w:val="00B34B6F"/>
    <w:rsid w:val="00B351F9"/>
    <w:rsid w:val="00B3678F"/>
    <w:rsid w:val="00B431E8"/>
    <w:rsid w:val="00B506BD"/>
    <w:rsid w:val="00B54F9A"/>
    <w:rsid w:val="00B570D9"/>
    <w:rsid w:val="00B57C52"/>
    <w:rsid w:val="00B608B1"/>
    <w:rsid w:val="00B634CB"/>
    <w:rsid w:val="00B637D2"/>
    <w:rsid w:val="00B6440A"/>
    <w:rsid w:val="00B67662"/>
    <w:rsid w:val="00B72A3D"/>
    <w:rsid w:val="00B73C12"/>
    <w:rsid w:val="00B80655"/>
    <w:rsid w:val="00B80945"/>
    <w:rsid w:val="00B82D1D"/>
    <w:rsid w:val="00BA11BC"/>
    <w:rsid w:val="00BA3F99"/>
    <w:rsid w:val="00BA45D8"/>
    <w:rsid w:val="00BB0086"/>
    <w:rsid w:val="00BB4658"/>
    <w:rsid w:val="00BC50A9"/>
    <w:rsid w:val="00BC6535"/>
    <w:rsid w:val="00BD548F"/>
    <w:rsid w:val="00BE13F7"/>
    <w:rsid w:val="00BE2290"/>
    <w:rsid w:val="00BE493B"/>
    <w:rsid w:val="00BF0248"/>
    <w:rsid w:val="00BF260F"/>
    <w:rsid w:val="00BF2662"/>
    <w:rsid w:val="00C00283"/>
    <w:rsid w:val="00C004D2"/>
    <w:rsid w:val="00C01AAC"/>
    <w:rsid w:val="00C07866"/>
    <w:rsid w:val="00C15EE5"/>
    <w:rsid w:val="00C16269"/>
    <w:rsid w:val="00C171BC"/>
    <w:rsid w:val="00C243F7"/>
    <w:rsid w:val="00C246FA"/>
    <w:rsid w:val="00C307DA"/>
    <w:rsid w:val="00C36C5A"/>
    <w:rsid w:val="00C44696"/>
    <w:rsid w:val="00C52E90"/>
    <w:rsid w:val="00C61A58"/>
    <w:rsid w:val="00C65BE1"/>
    <w:rsid w:val="00C66C6B"/>
    <w:rsid w:val="00C717A8"/>
    <w:rsid w:val="00C76753"/>
    <w:rsid w:val="00C91AD8"/>
    <w:rsid w:val="00C929E0"/>
    <w:rsid w:val="00C933F9"/>
    <w:rsid w:val="00CA3FC2"/>
    <w:rsid w:val="00CB290E"/>
    <w:rsid w:val="00CB7259"/>
    <w:rsid w:val="00CC093B"/>
    <w:rsid w:val="00CC1E3F"/>
    <w:rsid w:val="00CC5B0B"/>
    <w:rsid w:val="00CC5C94"/>
    <w:rsid w:val="00CC5F3D"/>
    <w:rsid w:val="00CD16C7"/>
    <w:rsid w:val="00CD2F26"/>
    <w:rsid w:val="00CE0ADC"/>
    <w:rsid w:val="00CF0529"/>
    <w:rsid w:val="00D032C7"/>
    <w:rsid w:val="00D252E7"/>
    <w:rsid w:val="00D30C3D"/>
    <w:rsid w:val="00D36769"/>
    <w:rsid w:val="00D65ED3"/>
    <w:rsid w:val="00D66B3A"/>
    <w:rsid w:val="00D77160"/>
    <w:rsid w:val="00D8186E"/>
    <w:rsid w:val="00D84533"/>
    <w:rsid w:val="00D87518"/>
    <w:rsid w:val="00D930AC"/>
    <w:rsid w:val="00D9332F"/>
    <w:rsid w:val="00DB0AFD"/>
    <w:rsid w:val="00DB2ABF"/>
    <w:rsid w:val="00DB7F61"/>
    <w:rsid w:val="00DC6038"/>
    <w:rsid w:val="00DC6B2E"/>
    <w:rsid w:val="00DD00A6"/>
    <w:rsid w:val="00DD2ECF"/>
    <w:rsid w:val="00DE0542"/>
    <w:rsid w:val="00DE0E9C"/>
    <w:rsid w:val="00E03D0C"/>
    <w:rsid w:val="00E110EF"/>
    <w:rsid w:val="00E14296"/>
    <w:rsid w:val="00E22BAD"/>
    <w:rsid w:val="00E375AC"/>
    <w:rsid w:val="00E50F06"/>
    <w:rsid w:val="00E5115D"/>
    <w:rsid w:val="00E549DA"/>
    <w:rsid w:val="00E55B02"/>
    <w:rsid w:val="00E55F94"/>
    <w:rsid w:val="00E56F47"/>
    <w:rsid w:val="00E616B4"/>
    <w:rsid w:val="00E61A88"/>
    <w:rsid w:val="00E71DF6"/>
    <w:rsid w:val="00E74E84"/>
    <w:rsid w:val="00E801F0"/>
    <w:rsid w:val="00E87016"/>
    <w:rsid w:val="00E91DF5"/>
    <w:rsid w:val="00E9471F"/>
    <w:rsid w:val="00E97F0D"/>
    <w:rsid w:val="00EB3618"/>
    <w:rsid w:val="00EB7509"/>
    <w:rsid w:val="00EB7972"/>
    <w:rsid w:val="00EC439B"/>
    <w:rsid w:val="00EC46FA"/>
    <w:rsid w:val="00EC5453"/>
    <w:rsid w:val="00ED4ACB"/>
    <w:rsid w:val="00ED6D96"/>
    <w:rsid w:val="00ED6EFC"/>
    <w:rsid w:val="00ED77AA"/>
    <w:rsid w:val="00EE176C"/>
    <w:rsid w:val="00EE3731"/>
    <w:rsid w:val="00EE5EC3"/>
    <w:rsid w:val="00EF08D4"/>
    <w:rsid w:val="00EF0BBE"/>
    <w:rsid w:val="00EF1336"/>
    <w:rsid w:val="00EF380F"/>
    <w:rsid w:val="00F00AF9"/>
    <w:rsid w:val="00F03A8F"/>
    <w:rsid w:val="00F14824"/>
    <w:rsid w:val="00F15274"/>
    <w:rsid w:val="00F312DC"/>
    <w:rsid w:val="00F33695"/>
    <w:rsid w:val="00F4313B"/>
    <w:rsid w:val="00F47D34"/>
    <w:rsid w:val="00F5453E"/>
    <w:rsid w:val="00F559B4"/>
    <w:rsid w:val="00F55B2D"/>
    <w:rsid w:val="00F57EA8"/>
    <w:rsid w:val="00F6002A"/>
    <w:rsid w:val="00F63F02"/>
    <w:rsid w:val="00F675D3"/>
    <w:rsid w:val="00F707E9"/>
    <w:rsid w:val="00F7116B"/>
    <w:rsid w:val="00F81C63"/>
    <w:rsid w:val="00F85201"/>
    <w:rsid w:val="00FB48EA"/>
    <w:rsid w:val="00FC4F39"/>
    <w:rsid w:val="00FD1271"/>
    <w:rsid w:val="00FD60EE"/>
    <w:rsid w:val="00FE10EF"/>
    <w:rsid w:val="00FE2379"/>
    <w:rsid w:val="00FF0011"/>
    <w:rsid w:val="00FF2492"/>
    <w:rsid w:val="00FF2AA4"/>
    <w:rsid w:val="00FF32BC"/>
    <w:rsid w:val="00FF3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CA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Strong">
    <w:name w:val="Strong"/>
    <w:basedOn w:val="DefaultParagraphFont"/>
    <w:uiPriority w:val="99"/>
    <w:qFormat/>
    <w:rsid w:val="00051CAD"/>
    <w:rPr>
      <w:rFonts w:cs="Times New Roman"/>
      <w:b/>
    </w:rPr>
  </w:style>
  <w:style w:type="paragraph" w:customStyle="1" w:styleId="naisf">
    <w:name w:val="naisf"/>
    <w:basedOn w:val="Normal"/>
    <w:uiPriority w:val="99"/>
    <w:rsid w:val="00051CAD"/>
    <w:pPr>
      <w:spacing w:before="75" w:after="75"/>
      <w:ind w:firstLine="375"/>
      <w:jc w:val="both"/>
    </w:pPr>
  </w:style>
  <w:style w:type="paragraph" w:styleId="BodyTextIndent2">
    <w:name w:val="Body Text Indent 2"/>
    <w:basedOn w:val="Normal"/>
    <w:link w:val="BodyTextIndent2Char"/>
    <w:uiPriority w:val="99"/>
    <w:rsid w:val="00051CA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Default">
    <w:name w:val="Default"/>
    <w:uiPriority w:val="99"/>
    <w:rsid w:val="00051CAD"/>
    <w:pPr>
      <w:autoSpaceDE w:val="0"/>
      <w:autoSpaceDN w:val="0"/>
      <w:adjustRightInd w:val="0"/>
    </w:pPr>
    <w:rPr>
      <w:color w:val="000000"/>
      <w:sz w:val="24"/>
      <w:szCs w:val="24"/>
    </w:rPr>
  </w:style>
  <w:style w:type="character" w:styleId="Hyperlink">
    <w:name w:val="Hyperlink"/>
    <w:basedOn w:val="DefaultParagraphFont"/>
    <w:uiPriority w:val="99"/>
    <w:rsid w:val="00051CAD"/>
    <w:rPr>
      <w:rFonts w:cs="Times New Roman"/>
      <w:color w:val="0000FF"/>
      <w:u w:val="single"/>
    </w:rPr>
  </w:style>
  <w:style w:type="paragraph" w:customStyle="1" w:styleId="naisnod">
    <w:name w:val="naisnod"/>
    <w:basedOn w:val="Normal"/>
    <w:uiPriority w:val="99"/>
    <w:rsid w:val="00051CAD"/>
    <w:pPr>
      <w:spacing w:before="150" w:after="150"/>
      <w:jc w:val="center"/>
    </w:pPr>
    <w:rPr>
      <w:b/>
      <w:bCs/>
    </w:rPr>
  </w:style>
  <w:style w:type="paragraph" w:styleId="BodyText2">
    <w:name w:val="Body Text 2"/>
    <w:basedOn w:val="Normal"/>
    <w:link w:val="BodyText2Char"/>
    <w:uiPriority w:val="99"/>
    <w:rsid w:val="00051CAD"/>
    <w:pPr>
      <w:spacing w:after="120" w:line="480" w:lineRule="auto"/>
    </w:pPr>
    <w:rPr>
      <w:lang w:val="en-GB"/>
    </w:rPr>
  </w:style>
  <w:style w:type="character" w:customStyle="1" w:styleId="BodyText2Char">
    <w:name w:val="Body Text 2 Char"/>
    <w:basedOn w:val="DefaultParagraphFont"/>
    <w:link w:val="BodyText2"/>
    <w:uiPriority w:val="99"/>
    <w:locked/>
    <w:rsid w:val="00051CAD"/>
    <w:rPr>
      <w:rFonts w:cs="Times New Roman"/>
      <w:sz w:val="24"/>
      <w:lang w:val="en-GB" w:eastAsia="lv-LV"/>
    </w:rPr>
  </w:style>
  <w:style w:type="paragraph" w:customStyle="1" w:styleId="naiskr">
    <w:name w:val="naiskr"/>
    <w:basedOn w:val="Normal"/>
    <w:uiPriority w:val="99"/>
    <w:rsid w:val="00051CAD"/>
    <w:pPr>
      <w:spacing w:before="75" w:after="75"/>
    </w:pPr>
  </w:style>
  <w:style w:type="paragraph" w:styleId="BodyTextIndent3">
    <w:name w:val="Body Text Indent 3"/>
    <w:basedOn w:val="Normal"/>
    <w:link w:val="BodyTextIndent3Char"/>
    <w:uiPriority w:val="99"/>
    <w:rsid w:val="00051CAD"/>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link w:val="NormalWebChar"/>
    <w:uiPriority w:val="99"/>
    <w:rsid w:val="00051CAD"/>
    <w:pPr>
      <w:spacing w:before="100" w:beforeAutospacing="1" w:after="100" w:afterAutospacing="1"/>
    </w:pPr>
    <w:rPr>
      <w:szCs w:val="20"/>
    </w:rPr>
  </w:style>
  <w:style w:type="character" w:customStyle="1" w:styleId="NormalWebChar">
    <w:name w:val="Normal (Web) Char"/>
    <w:link w:val="NormalWeb"/>
    <w:uiPriority w:val="99"/>
    <w:locked/>
    <w:rsid w:val="00051CAD"/>
    <w:rPr>
      <w:sz w:val="24"/>
      <w:lang w:val="lv-LV" w:eastAsia="lv-LV"/>
    </w:rPr>
  </w:style>
  <w:style w:type="paragraph" w:styleId="BalloonText">
    <w:name w:val="Balloon Text"/>
    <w:basedOn w:val="Normal"/>
    <w:link w:val="BalloonTextChar"/>
    <w:uiPriority w:val="99"/>
    <w:semiHidden/>
    <w:rsid w:val="000103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F81C63"/>
    <w:rPr>
      <w:rFonts w:cs="Times New Roman"/>
      <w:sz w:val="16"/>
    </w:rPr>
  </w:style>
  <w:style w:type="paragraph" w:styleId="CommentText">
    <w:name w:val="annotation text"/>
    <w:basedOn w:val="Normal"/>
    <w:link w:val="CommentTextChar"/>
    <w:uiPriority w:val="99"/>
    <w:semiHidden/>
    <w:rsid w:val="00F81C6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81C6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er">
    <w:name w:val="footer"/>
    <w:basedOn w:val="Normal"/>
    <w:link w:val="FooterChar"/>
    <w:uiPriority w:val="99"/>
    <w:rsid w:val="00E03D0C"/>
    <w:pPr>
      <w:tabs>
        <w:tab w:val="center" w:pos="4153"/>
        <w:tab w:val="right" w:pos="8306"/>
      </w:tabs>
    </w:pPr>
  </w:style>
  <w:style w:type="character" w:customStyle="1" w:styleId="FooterChar">
    <w:name w:val="Footer Char"/>
    <w:basedOn w:val="DefaultParagraphFont"/>
    <w:link w:val="Footer"/>
    <w:uiPriority w:val="99"/>
    <w:locked/>
    <w:rsid w:val="00E03D0C"/>
    <w:rPr>
      <w:rFonts w:cs="Times New Roman"/>
      <w:sz w:val="24"/>
    </w:rPr>
  </w:style>
  <w:style w:type="paragraph" w:styleId="BodyText">
    <w:name w:val="Body Text"/>
    <w:basedOn w:val="Normal"/>
    <w:link w:val="BodyTextChar"/>
    <w:uiPriority w:val="99"/>
    <w:rsid w:val="00274034"/>
    <w:pPr>
      <w:spacing w:after="120"/>
    </w:pPr>
  </w:style>
  <w:style w:type="character" w:customStyle="1" w:styleId="BodyTextChar">
    <w:name w:val="Body Text Char"/>
    <w:basedOn w:val="DefaultParagraphFont"/>
    <w:link w:val="BodyText"/>
    <w:uiPriority w:val="99"/>
    <w:locked/>
    <w:rsid w:val="00274034"/>
    <w:rPr>
      <w:rFonts w:cs="Times New Roman"/>
      <w:sz w:val="24"/>
    </w:rPr>
  </w:style>
  <w:style w:type="paragraph" w:styleId="ListParagraph">
    <w:name w:val="List Paragraph"/>
    <w:basedOn w:val="Normal"/>
    <w:uiPriority w:val="99"/>
    <w:qFormat/>
    <w:rsid w:val="0080646F"/>
    <w:pPr>
      <w:ind w:left="720"/>
      <w:contextualSpacing/>
    </w:pPr>
  </w:style>
  <w:style w:type="paragraph" w:styleId="Title">
    <w:name w:val="Title"/>
    <w:basedOn w:val="Normal"/>
    <w:link w:val="TitleChar"/>
    <w:uiPriority w:val="99"/>
    <w:qFormat/>
    <w:rsid w:val="00F63F02"/>
    <w:pPr>
      <w:jc w:val="center"/>
    </w:pPr>
    <w:rPr>
      <w:b/>
      <w:sz w:val="28"/>
      <w:lang w:eastAsia="en-US"/>
    </w:rPr>
  </w:style>
  <w:style w:type="character" w:customStyle="1" w:styleId="TitleChar">
    <w:name w:val="Title Char"/>
    <w:basedOn w:val="DefaultParagraphFont"/>
    <w:link w:val="Title"/>
    <w:uiPriority w:val="99"/>
    <w:locked/>
    <w:rsid w:val="00F63F02"/>
    <w:rPr>
      <w:rFonts w:cs="Times New Roman"/>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CA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Strong">
    <w:name w:val="Strong"/>
    <w:basedOn w:val="DefaultParagraphFont"/>
    <w:uiPriority w:val="99"/>
    <w:qFormat/>
    <w:rsid w:val="00051CAD"/>
    <w:rPr>
      <w:rFonts w:cs="Times New Roman"/>
      <w:b/>
    </w:rPr>
  </w:style>
  <w:style w:type="paragraph" w:customStyle="1" w:styleId="naisf">
    <w:name w:val="naisf"/>
    <w:basedOn w:val="Normal"/>
    <w:uiPriority w:val="99"/>
    <w:rsid w:val="00051CAD"/>
    <w:pPr>
      <w:spacing w:before="75" w:after="75"/>
      <w:ind w:firstLine="375"/>
      <w:jc w:val="both"/>
    </w:pPr>
  </w:style>
  <w:style w:type="paragraph" w:styleId="BodyTextIndent2">
    <w:name w:val="Body Text Indent 2"/>
    <w:basedOn w:val="Normal"/>
    <w:link w:val="BodyTextIndent2Char"/>
    <w:uiPriority w:val="99"/>
    <w:rsid w:val="00051CAD"/>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Default">
    <w:name w:val="Default"/>
    <w:uiPriority w:val="99"/>
    <w:rsid w:val="00051CAD"/>
    <w:pPr>
      <w:autoSpaceDE w:val="0"/>
      <w:autoSpaceDN w:val="0"/>
      <w:adjustRightInd w:val="0"/>
    </w:pPr>
    <w:rPr>
      <w:color w:val="000000"/>
      <w:sz w:val="24"/>
      <w:szCs w:val="24"/>
    </w:rPr>
  </w:style>
  <w:style w:type="character" w:styleId="Hyperlink">
    <w:name w:val="Hyperlink"/>
    <w:basedOn w:val="DefaultParagraphFont"/>
    <w:uiPriority w:val="99"/>
    <w:rsid w:val="00051CAD"/>
    <w:rPr>
      <w:rFonts w:cs="Times New Roman"/>
      <w:color w:val="0000FF"/>
      <w:u w:val="single"/>
    </w:rPr>
  </w:style>
  <w:style w:type="paragraph" w:customStyle="1" w:styleId="naisnod">
    <w:name w:val="naisnod"/>
    <w:basedOn w:val="Normal"/>
    <w:uiPriority w:val="99"/>
    <w:rsid w:val="00051CAD"/>
    <w:pPr>
      <w:spacing w:before="150" w:after="150"/>
      <w:jc w:val="center"/>
    </w:pPr>
    <w:rPr>
      <w:b/>
      <w:bCs/>
    </w:rPr>
  </w:style>
  <w:style w:type="paragraph" w:styleId="BodyText2">
    <w:name w:val="Body Text 2"/>
    <w:basedOn w:val="Normal"/>
    <w:link w:val="BodyText2Char"/>
    <w:uiPriority w:val="99"/>
    <w:rsid w:val="00051CAD"/>
    <w:pPr>
      <w:spacing w:after="120" w:line="480" w:lineRule="auto"/>
    </w:pPr>
    <w:rPr>
      <w:lang w:val="en-GB"/>
    </w:rPr>
  </w:style>
  <w:style w:type="character" w:customStyle="1" w:styleId="BodyText2Char">
    <w:name w:val="Body Text 2 Char"/>
    <w:basedOn w:val="DefaultParagraphFont"/>
    <w:link w:val="BodyText2"/>
    <w:uiPriority w:val="99"/>
    <w:locked/>
    <w:rsid w:val="00051CAD"/>
    <w:rPr>
      <w:rFonts w:cs="Times New Roman"/>
      <w:sz w:val="24"/>
      <w:lang w:val="en-GB" w:eastAsia="lv-LV"/>
    </w:rPr>
  </w:style>
  <w:style w:type="paragraph" w:customStyle="1" w:styleId="naiskr">
    <w:name w:val="naiskr"/>
    <w:basedOn w:val="Normal"/>
    <w:uiPriority w:val="99"/>
    <w:rsid w:val="00051CAD"/>
    <w:pPr>
      <w:spacing w:before="75" w:after="75"/>
    </w:pPr>
  </w:style>
  <w:style w:type="paragraph" w:styleId="BodyTextIndent3">
    <w:name w:val="Body Text Indent 3"/>
    <w:basedOn w:val="Normal"/>
    <w:link w:val="BodyTextIndent3Char"/>
    <w:uiPriority w:val="99"/>
    <w:rsid w:val="00051CAD"/>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NormalWeb">
    <w:name w:val="Normal (Web)"/>
    <w:basedOn w:val="Normal"/>
    <w:link w:val="NormalWebChar"/>
    <w:uiPriority w:val="99"/>
    <w:rsid w:val="00051CAD"/>
    <w:pPr>
      <w:spacing w:before="100" w:beforeAutospacing="1" w:after="100" w:afterAutospacing="1"/>
    </w:pPr>
    <w:rPr>
      <w:szCs w:val="20"/>
    </w:rPr>
  </w:style>
  <w:style w:type="character" w:customStyle="1" w:styleId="NormalWebChar">
    <w:name w:val="Normal (Web) Char"/>
    <w:link w:val="NormalWeb"/>
    <w:uiPriority w:val="99"/>
    <w:locked/>
    <w:rsid w:val="00051CAD"/>
    <w:rPr>
      <w:sz w:val="24"/>
      <w:lang w:val="lv-LV" w:eastAsia="lv-LV"/>
    </w:rPr>
  </w:style>
  <w:style w:type="paragraph" w:styleId="BalloonText">
    <w:name w:val="Balloon Text"/>
    <w:basedOn w:val="Normal"/>
    <w:link w:val="BalloonTextChar"/>
    <w:uiPriority w:val="99"/>
    <w:semiHidden/>
    <w:rsid w:val="000103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F81C63"/>
    <w:rPr>
      <w:rFonts w:cs="Times New Roman"/>
      <w:sz w:val="16"/>
    </w:rPr>
  </w:style>
  <w:style w:type="paragraph" w:styleId="CommentText">
    <w:name w:val="annotation text"/>
    <w:basedOn w:val="Normal"/>
    <w:link w:val="CommentTextChar"/>
    <w:uiPriority w:val="99"/>
    <w:semiHidden/>
    <w:rsid w:val="00F81C6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F81C6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er">
    <w:name w:val="footer"/>
    <w:basedOn w:val="Normal"/>
    <w:link w:val="FooterChar"/>
    <w:uiPriority w:val="99"/>
    <w:rsid w:val="00E03D0C"/>
    <w:pPr>
      <w:tabs>
        <w:tab w:val="center" w:pos="4153"/>
        <w:tab w:val="right" w:pos="8306"/>
      </w:tabs>
    </w:pPr>
  </w:style>
  <w:style w:type="character" w:customStyle="1" w:styleId="FooterChar">
    <w:name w:val="Footer Char"/>
    <w:basedOn w:val="DefaultParagraphFont"/>
    <w:link w:val="Footer"/>
    <w:uiPriority w:val="99"/>
    <w:locked/>
    <w:rsid w:val="00E03D0C"/>
    <w:rPr>
      <w:rFonts w:cs="Times New Roman"/>
      <w:sz w:val="24"/>
    </w:rPr>
  </w:style>
  <w:style w:type="paragraph" w:styleId="BodyText">
    <w:name w:val="Body Text"/>
    <w:basedOn w:val="Normal"/>
    <w:link w:val="BodyTextChar"/>
    <w:uiPriority w:val="99"/>
    <w:rsid w:val="00274034"/>
    <w:pPr>
      <w:spacing w:after="120"/>
    </w:pPr>
  </w:style>
  <w:style w:type="character" w:customStyle="1" w:styleId="BodyTextChar">
    <w:name w:val="Body Text Char"/>
    <w:basedOn w:val="DefaultParagraphFont"/>
    <w:link w:val="BodyText"/>
    <w:uiPriority w:val="99"/>
    <w:locked/>
    <w:rsid w:val="00274034"/>
    <w:rPr>
      <w:rFonts w:cs="Times New Roman"/>
      <w:sz w:val="24"/>
    </w:rPr>
  </w:style>
  <w:style w:type="paragraph" w:styleId="ListParagraph">
    <w:name w:val="List Paragraph"/>
    <w:basedOn w:val="Normal"/>
    <w:uiPriority w:val="99"/>
    <w:qFormat/>
    <w:rsid w:val="0080646F"/>
    <w:pPr>
      <w:ind w:left="720"/>
      <w:contextualSpacing/>
    </w:pPr>
  </w:style>
  <w:style w:type="paragraph" w:styleId="Title">
    <w:name w:val="Title"/>
    <w:basedOn w:val="Normal"/>
    <w:link w:val="TitleChar"/>
    <w:uiPriority w:val="99"/>
    <w:qFormat/>
    <w:rsid w:val="00F63F02"/>
    <w:pPr>
      <w:jc w:val="center"/>
    </w:pPr>
    <w:rPr>
      <w:b/>
      <w:sz w:val="28"/>
      <w:lang w:eastAsia="en-US"/>
    </w:rPr>
  </w:style>
  <w:style w:type="character" w:customStyle="1" w:styleId="TitleChar">
    <w:name w:val="Title Char"/>
    <w:basedOn w:val="DefaultParagraphFont"/>
    <w:link w:val="Title"/>
    <w:uiPriority w:val="99"/>
    <w:locked/>
    <w:rsid w:val="00F63F02"/>
    <w:rPr>
      <w:rFonts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ta.Rimsa@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atjana.jansone@vara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a.teibe@vara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kumi.lv" TargetMode="External"/><Relationship Id="rId4" Type="http://schemas.microsoft.com/office/2007/relationships/stylesWithEffects" Target="stylesWithEffects.xml"/><Relationship Id="rId9" Type="http://schemas.openxmlformats.org/officeDocument/2006/relationships/hyperlink" Target="http://www.varam.gov.lv/lat/likumdosana/normativo_aktu_projekti/?doc=120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1909-8862-48CA-88B4-AC782A35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2822</Words>
  <Characters>21421</Characters>
  <Application>Microsoft Office Word</Application>
  <DocSecurity>0</DocSecurity>
  <Lines>510</Lines>
  <Paragraphs>208</Paragraphs>
  <ScaleCrop>false</ScaleCrop>
  <HeadingPairs>
    <vt:vector size="2" baseType="variant">
      <vt:variant>
        <vt:lpstr>Title</vt:lpstr>
      </vt:variant>
      <vt:variant>
        <vt:i4>1</vt:i4>
      </vt:variant>
    </vt:vector>
  </HeadingPairs>
  <TitlesOfParts>
    <vt:vector size="1" baseType="lpstr">
      <vt:lpstr>Noteikumu projekta „Grozījumi Ministru kabineta 2002.gada 22.janvāra noteikumos Nr.34 „Noteikumi par piesārņojošo vielu emisiju ūdenī” sākotnējās ietekmes novērtējuma ziņojums (anotācija)</vt:lpstr>
    </vt:vector>
  </TitlesOfParts>
  <Company>LR Vides aizsardzības un reģionālās attīstības ministrija</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2002.gada 22.janvāra noteikumos Nr.34 „Noteikumi par piesārņojošo vielu emisiju ūdenī” sākotnējās ietekmes novērtējuma ziņojums (anotācija)</dc:title>
  <dc:subject>MK noteikumu projekts</dc:subject>
  <dc:creator>Iveta Teibe, Ruta Rimša, Tatajana Jansone</dc:creator>
  <dc:description>67026574, iveta.teibe@varam.gov.lv_x000d_
67026903, Ruta.Rimsa@varam.gov.lv_x000d_
67026561, Tatjana.Jansone@varam.gov.lv</dc:description>
  <cp:lastModifiedBy>Ruta Rimša</cp:lastModifiedBy>
  <cp:revision>4</cp:revision>
  <cp:lastPrinted>2012-11-12T09:57:00Z</cp:lastPrinted>
  <dcterms:created xsi:type="dcterms:W3CDTF">2013-01-15T08:34:00Z</dcterms:created>
  <dcterms:modified xsi:type="dcterms:W3CDTF">2013-01-15T08:40:00Z</dcterms:modified>
</cp:coreProperties>
</file>