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EE" w:rsidRPr="00E3076F" w:rsidRDefault="00F32FEE" w:rsidP="00F32FEE">
      <w:pPr>
        <w:spacing w:after="120"/>
        <w:jc w:val="center"/>
        <w:rPr>
          <w:b/>
        </w:rPr>
      </w:pPr>
      <w:bookmarkStart w:id="0" w:name="OLE_LINK1"/>
      <w:bookmarkStart w:id="1" w:name="OLE_LINK2"/>
      <w:bookmarkStart w:id="2" w:name="OLE_LINK9"/>
      <w:r w:rsidRPr="00E3076F">
        <w:rPr>
          <w:b/>
        </w:rPr>
        <w:t>Ministru kabin</w:t>
      </w:r>
      <w:r w:rsidR="006C2FC6">
        <w:rPr>
          <w:b/>
        </w:rPr>
        <w:t>eta rīkojuma projekta „Grozījums</w:t>
      </w:r>
      <w:r w:rsidRPr="00E3076F">
        <w:rPr>
          <w:b/>
        </w:rPr>
        <w:t xml:space="preserve"> darbības programmā „Cilvēkresursi un nodarbinātība”” sākotnējās ietekmes novērtējuma ziņojums (anotācija)</w:t>
      </w:r>
      <w:bookmarkEnd w:id="0"/>
      <w:bookmarkEnd w:id="1"/>
      <w:bookmarkEnd w:id="2"/>
    </w:p>
    <w:p w:rsidR="00F32FEE" w:rsidRPr="00E3076F" w:rsidRDefault="00F32FEE" w:rsidP="00F32FEE">
      <w:pPr>
        <w:rPr>
          <w: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6804"/>
      </w:tblGrid>
      <w:tr w:rsidR="00F32FEE" w:rsidRPr="00E3076F" w:rsidTr="00700734">
        <w:trPr>
          <w:trHeight w:val="559"/>
        </w:trPr>
        <w:tc>
          <w:tcPr>
            <w:tcW w:w="9180" w:type="dxa"/>
            <w:gridSpan w:val="3"/>
            <w:vAlign w:val="center"/>
          </w:tcPr>
          <w:p w:rsidR="00F32FEE" w:rsidRPr="00E3076F" w:rsidRDefault="00F32FEE" w:rsidP="00700734">
            <w:pPr>
              <w:autoSpaceDE w:val="0"/>
              <w:autoSpaceDN w:val="0"/>
              <w:adjustRightInd w:val="0"/>
              <w:rPr>
                <w:noProof/>
              </w:rPr>
            </w:pPr>
            <w:r w:rsidRPr="00E3076F">
              <w:rPr>
                <w:b/>
                <w:bCs/>
                <w:lang w:eastAsia="lv-LV" w:bidi="lo-LA"/>
              </w:rPr>
              <w:t>I. Tiesību akta projekta izstrādes nepieciešamība</w:t>
            </w:r>
          </w:p>
        </w:tc>
      </w:tr>
      <w:tr w:rsidR="00F32FEE" w:rsidRPr="00E3076F" w:rsidTr="00700734">
        <w:trPr>
          <w:trHeight w:val="3077"/>
        </w:trPr>
        <w:tc>
          <w:tcPr>
            <w:tcW w:w="534" w:type="dxa"/>
          </w:tcPr>
          <w:p w:rsidR="00F32FEE" w:rsidRPr="00E3076F" w:rsidRDefault="00F32FEE" w:rsidP="00700734">
            <w:pPr>
              <w:spacing w:before="120" w:after="120"/>
              <w:rPr>
                <w:lang w:eastAsia="lv-LV" w:bidi="lo-LA"/>
              </w:rPr>
            </w:pPr>
            <w:r w:rsidRPr="00E3076F">
              <w:rPr>
                <w:lang w:eastAsia="lv-LV" w:bidi="lo-LA"/>
              </w:rPr>
              <w:t> 1.</w:t>
            </w:r>
          </w:p>
        </w:tc>
        <w:tc>
          <w:tcPr>
            <w:tcW w:w="1842" w:type="dxa"/>
          </w:tcPr>
          <w:p w:rsidR="00F32FEE" w:rsidRPr="00E3076F" w:rsidRDefault="00F32FEE" w:rsidP="00700734">
            <w:pPr>
              <w:spacing w:before="120" w:after="120"/>
              <w:rPr>
                <w:lang w:eastAsia="lv-LV" w:bidi="lo-LA"/>
              </w:rPr>
            </w:pPr>
            <w:r w:rsidRPr="00E3076F">
              <w:rPr>
                <w:lang w:eastAsia="lv-LV" w:bidi="lo-LA"/>
              </w:rPr>
              <w:t>Pamatojums</w:t>
            </w:r>
          </w:p>
        </w:tc>
        <w:tc>
          <w:tcPr>
            <w:tcW w:w="6804" w:type="dxa"/>
            <w:vAlign w:val="center"/>
          </w:tcPr>
          <w:p w:rsidR="00F32FEE" w:rsidRPr="00E3076F" w:rsidRDefault="00F66FE9" w:rsidP="002F635E">
            <w:pPr>
              <w:spacing w:after="120"/>
              <w:jc w:val="both"/>
              <w:rPr>
                <w:lang w:eastAsia="lv-LV" w:bidi="lo-LA"/>
              </w:rPr>
            </w:pPr>
            <w:r w:rsidRPr="00E3076F">
              <w:t>Grozījum</w:t>
            </w:r>
            <w:r w:rsidR="006C2FC6">
              <w:t>s</w:t>
            </w:r>
            <w:r w:rsidRPr="00E3076F">
              <w:t xml:space="preserve"> darbības programmas „</w:t>
            </w:r>
            <w:r w:rsidRPr="00E3076F">
              <w:rPr>
                <w:bCs/>
              </w:rPr>
              <w:t>Cilvēkresursi un nodarbinātība</w:t>
            </w:r>
            <w:r w:rsidRPr="00E3076F">
              <w:t>” papildinājumā</w:t>
            </w:r>
            <w:r w:rsidR="002F635E">
              <w:t xml:space="preserve"> (turpmāk – DPP)</w:t>
            </w:r>
            <w:r w:rsidRPr="00E3076F">
              <w:t xml:space="preserve"> ir izstrādāti saskaņā ar Ministru kabineta 2007.gada 26.jūnija noteikumu Nr.419 „Kārtība, kādā Eiropas Savienības struktūrfondu un Kohēzijas fonda vadībā iesaistītās institūcijas nodrošina plānošanas dokumentu sagatavošanu un šo fondu ieviešanu” 9.punktu, kas paredz, ka vadošā iestāde sadarbībā ar Eiropas Savienības fondu vadībā iesaistītajām institūcijām izstrādā un iesniedz apstiprināšanai Ministru kabinetā darbības programmas papildinājumu, bet attiecīgā atbildīgā iestāde da</w:t>
            </w:r>
            <w:r w:rsidR="002F635E">
              <w:t>rbības programmas papildinājuma</w:t>
            </w:r>
            <w:r w:rsidR="00E3076F">
              <w:t xml:space="preserve"> </w:t>
            </w:r>
            <w:r w:rsidRPr="00E3076F">
              <w:t>grozījumus.</w:t>
            </w:r>
          </w:p>
        </w:tc>
      </w:tr>
      <w:tr w:rsidR="00F32FEE" w:rsidRPr="00E3076F" w:rsidTr="00700734">
        <w:tc>
          <w:tcPr>
            <w:tcW w:w="534" w:type="dxa"/>
          </w:tcPr>
          <w:p w:rsidR="00F32FEE" w:rsidRPr="00E3076F" w:rsidRDefault="00F32FEE" w:rsidP="00700734">
            <w:pPr>
              <w:spacing w:before="120" w:after="120"/>
              <w:rPr>
                <w:lang w:eastAsia="lv-LV" w:bidi="lo-LA"/>
              </w:rPr>
            </w:pPr>
            <w:r w:rsidRPr="00E3076F">
              <w:rPr>
                <w:lang w:eastAsia="lv-LV" w:bidi="lo-LA"/>
              </w:rPr>
              <w:t> 2.</w:t>
            </w:r>
          </w:p>
        </w:tc>
        <w:tc>
          <w:tcPr>
            <w:tcW w:w="1842" w:type="dxa"/>
          </w:tcPr>
          <w:p w:rsidR="00F32FEE" w:rsidRPr="00E3076F" w:rsidRDefault="00F32FEE" w:rsidP="00700734">
            <w:pPr>
              <w:spacing w:before="120" w:after="120"/>
              <w:rPr>
                <w:lang w:eastAsia="lv-LV" w:bidi="lo-LA"/>
              </w:rPr>
            </w:pPr>
            <w:r w:rsidRPr="00E3076F">
              <w:rPr>
                <w:lang w:eastAsia="lv-LV" w:bidi="lo-LA"/>
              </w:rPr>
              <w:t>Pašreizējā situācija un problēmas</w:t>
            </w:r>
          </w:p>
        </w:tc>
        <w:tc>
          <w:tcPr>
            <w:tcW w:w="6804" w:type="dxa"/>
            <w:vAlign w:val="center"/>
          </w:tcPr>
          <w:p w:rsidR="00F32FEE" w:rsidRDefault="00BF1097" w:rsidP="00F32FEE">
            <w:pPr>
              <w:jc w:val="both"/>
              <w:rPr>
                <w:color w:val="000000"/>
              </w:rPr>
            </w:pPr>
            <w:r w:rsidRPr="00E3076F">
              <w:rPr>
                <w:color w:val="000000"/>
              </w:rPr>
              <w:t xml:space="preserve">Ar 2011.gada 5.jūlija Ministru kabineta sēdes lēmumu (prot. Nr.41, </w:t>
            </w:r>
            <w:bookmarkStart w:id="3" w:name="53"/>
            <w:r w:rsidRPr="00E3076F">
              <w:t>53.§</w:t>
            </w:r>
            <w:bookmarkEnd w:id="3"/>
            <w:r w:rsidRPr="00E3076F">
              <w:t>) „R</w:t>
            </w:r>
            <w:r w:rsidRPr="00E3076F">
              <w:rPr>
                <w:color w:val="2A2A2A"/>
              </w:rPr>
              <w:t>īkojuma projekts „Grozījumi darbības programmā „Cilvēkresursi un nodarbinātība””” tehnisku iemeslu dēļ no darbības programmas „Cilvēkresursi un nodarbinātība” papildinājuma 1.5.3.1.</w:t>
            </w:r>
            <w:r w:rsidR="008226B6">
              <w:rPr>
                <w:color w:val="2A2A2A"/>
              </w:rPr>
              <w:t xml:space="preserve"> </w:t>
            </w:r>
            <w:r w:rsidRPr="00E3076F">
              <w:rPr>
                <w:color w:val="2A2A2A"/>
              </w:rPr>
              <w:t xml:space="preserve">aktivitātes </w:t>
            </w:r>
            <w:r w:rsidR="00A21611" w:rsidRPr="00E3076F">
              <w:t>„Speciālistu piesaiste plānošanas reģioniem, pilsētām un novadiem”</w:t>
            </w:r>
            <w:r w:rsidR="00A21611">
              <w:t xml:space="preserve"> (turpmāk – 1.5.3.1.</w:t>
            </w:r>
            <w:r w:rsidR="008226B6">
              <w:t xml:space="preserve"> </w:t>
            </w:r>
            <w:r w:rsidR="00A21611">
              <w:t xml:space="preserve">aktivitāte) </w:t>
            </w:r>
            <w:r w:rsidRPr="00E3076F">
              <w:rPr>
                <w:color w:val="2A2A2A"/>
              </w:rPr>
              <w:t xml:space="preserve">tika pārdalīts lielāks finansējums, nekā bija nepieciešams jau </w:t>
            </w:r>
            <w:r w:rsidR="00F32FEE" w:rsidRPr="00E3076F">
              <w:rPr>
                <w:color w:val="000000"/>
              </w:rPr>
              <w:t>jūnija mēnesī izsludināt</w:t>
            </w:r>
            <w:r w:rsidRPr="00E3076F">
              <w:rPr>
                <w:color w:val="000000"/>
              </w:rPr>
              <w:t>ai</w:t>
            </w:r>
            <w:r w:rsidR="00F32FEE" w:rsidRPr="00E3076F">
              <w:rPr>
                <w:color w:val="000000"/>
              </w:rPr>
              <w:t xml:space="preserve"> pēdēj</w:t>
            </w:r>
            <w:r w:rsidRPr="00E3076F">
              <w:rPr>
                <w:color w:val="000000"/>
              </w:rPr>
              <w:t>ai</w:t>
            </w:r>
            <w:r w:rsidR="00F32FEE" w:rsidRPr="00E3076F">
              <w:rPr>
                <w:color w:val="000000"/>
              </w:rPr>
              <w:t xml:space="preserve"> projektu </w:t>
            </w:r>
            <w:r w:rsidRPr="00E3076F">
              <w:rPr>
                <w:color w:val="000000"/>
              </w:rPr>
              <w:t xml:space="preserve">iesniegumu </w:t>
            </w:r>
            <w:r w:rsidR="00F32FEE" w:rsidRPr="00E3076F">
              <w:rPr>
                <w:color w:val="000000"/>
              </w:rPr>
              <w:t>atlases kārta</w:t>
            </w:r>
            <w:r w:rsidRPr="00E3076F">
              <w:rPr>
                <w:color w:val="000000"/>
              </w:rPr>
              <w:t>i.</w:t>
            </w:r>
          </w:p>
          <w:p w:rsidR="008226B6" w:rsidRPr="00E3076F" w:rsidRDefault="008226B6" w:rsidP="00F32FEE">
            <w:pPr>
              <w:jc w:val="both"/>
              <w:rPr>
                <w:color w:val="000000"/>
              </w:rPr>
            </w:pPr>
            <w:r w:rsidRPr="008226B6">
              <w:rPr>
                <w:color w:val="000000"/>
              </w:rPr>
              <w:t xml:space="preserve">Koalīcijas partiju Sadarbības padomes darba grupas par Eiropas Savienības struktūrfondu </w:t>
            </w:r>
            <w:r>
              <w:rPr>
                <w:color w:val="000000"/>
              </w:rPr>
              <w:t>un Kohēzijas fonda jautājumiem</w:t>
            </w:r>
            <w:r w:rsidR="00684E56">
              <w:rPr>
                <w:color w:val="000000"/>
              </w:rPr>
              <w:t xml:space="preserve"> (turpmāk -</w:t>
            </w:r>
            <w:r w:rsidR="00684E56" w:rsidRPr="000D2B71">
              <w:rPr>
                <w:color w:val="000000"/>
              </w:rPr>
              <w:t xml:space="preserve"> ES fondu koalīcijas darba grupa)</w:t>
            </w:r>
            <w:r>
              <w:rPr>
                <w:color w:val="000000"/>
              </w:rPr>
              <w:t xml:space="preserve"> </w:t>
            </w:r>
            <w:r w:rsidR="00684E56">
              <w:rPr>
                <w:color w:val="000000"/>
              </w:rPr>
              <w:t>2011.gada</w:t>
            </w:r>
            <w:r w:rsidR="00684E56" w:rsidRPr="008226B6">
              <w:rPr>
                <w:color w:val="000000"/>
              </w:rPr>
              <w:t xml:space="preserve"> 20.jūnija </w:t>
            </w:r>
            <w:r>
              <w:rPr>
                <w:color w:val="000000"/>
              </w:rPr>
              <w:t xml:space="preserve">sanāksmē, kā arī 2011.gada 2.augustā Eiropas Savienības fondu un Kohēzijas fonda Uzraudzības komitejā rakstiskās procedūras veidā tika pieņemts lēmums samazināt </w:t>
            </w:r>
            <w:r w:rsidRPr="008226B6">
              <w:rPr>
                <w:color w:val="000000"/>
              </w:rPr>
              <w:t xml:space="preserve">1.5.3.1.aktivitātes </w:t>
            </w:r>
            <w:r>
              <w:rPr>
                <w:color w:val="000000"/>
              </w:rPr>
              <w:t>ietvaros pieejamo Eiropas Sociālā fonda finansējumu</w:t>
            </w:r>
            <w:r w:rsidRPr="008226B6">
              <w:rPr>
                <w:color w:val="000000"/>
              </w:rPr>
              <w:t xml:space="preserve"> </w:t>
            </w:r>
            <w:r>
              <w:rPr>
                <w:color w:val="000000"/>
              </w:rPr>
              <w:t xml:space="preserve">par 21 688 LVL </w:t>
            </w:r>
            <w:r w:rsidRPr="008226B6">
              <w:rPr>
                <w:color w:val="000000"/>
              </w:rPr>
              <w:t>un 1.5.3.2.</w:t>
            </w:r>
            <w:r>
              <w:rPr>
                <w:color w:val="000000"/>
              </w:rPr>
              <w:t xml:space="preserve"> </w:t>
            </w:r>
            <w:r w:rsidRPr="008226B6">
              <w:rPr>
                <w:color w:val="000000"/>
              </w:rPr>
              <w:t>aktivitātes „Plānošanas reģionu un vietējo pašvaldību attīstības plānošanas kapacitātes paaugstināšana” (turpmāk – 1.5.3.2.</w:t>
            </w:r>
            <w:r>
              <w:rPr>
                <w:color w:val="000000"/>
              </w:rPr>
              <w:t xml:space="preserve"> </w:t>
            </w:r>
            <w:r w:rsidRPr="008226B6">
              <w:rPr>
                <w:color w:val="000000"/>
              </w:rPr>
              <w:t xml:space="preserve">aktivitāte) </w:t>
            </w:r>
            <w:r>
              <w:rPr>
                <w:color w:val="000000"/>
              </w:rPr>
              <w:t xml:space="preserve">ietvaros pieejamo </w:t>
            </w:r>
            <w:r w:rsidRPr="008226B6">
              <w:rPr>
                <w:color w:val="000000"/>
              </w:rPr>
              <w:t xml:space="preserve">finansējuma </w:t>
            </w:r>
            <w:r>
              <w:rPr>
                <w:color w:val="000000"/>
              </w:rPr>
              <w:t>pieejamo Eiropas Sociālā fonda finansējumu</w:t>
            </w:r>
            <w:r w:rsidRPr="008226B6">
              <w:rPr>
                <w:color w:val="000000"/>
              </w:rPr>
              <w:t xml:space="preserve"> </w:t>
            </w:r>
            <w:r>
              <w:rPr>
                <w:color w:val="000000"/>
              </w:rPr>
              <w:t>par 51 596 LVL.</w:t>
            </w:r>
          </w:p>
          <w:p w:rsidR="00A21611" w:rsidRDefault="00F32FEE">
            <w:pPr>
              <w:pStyle w:val="ListParagraph"/>
              <w:ind w:left="0"/>
              <w:rPr>
                <w:szCs w:val="24"/>
              </w:rPr>
            </w:pPr>
            <w:r w:rsidRPr="00E3076F">
              <w:rPr>
                <w:color w:val="000000"/>
                <w:szCs w:val="24"/>
              </w:rPr>
              <w:t xml:space="preserve">Šobrīd </w:t>
            </w:r>
            <w:r w:rsidR="00BF1097" w:rsidRPr="00E3076F">
              <w:rPr>
                <w:color w:val="000000"/>
                <w:szCs w:val="24"/>
              </w:rPr>
              <w:t xml:space="preserve">sadarbības iestādē </w:t>
            </w:r>
            <w:r w:rsidRPr="00E3076F">
              <w:rPr>
                <w:color w:val="000000"/>
                <w:szCs w:val="24"/>
              </w:rPr>
              <w:t>ir iesniegti divi projekt</w:t>
            </w:r>
            <w:r w:rsidR="00BF1097" w:rsidRPr="00E3076F">
              <w:rPr>
                <w:color w:val="000000"/>
                <w:szCs w:val="24"/>
              </w:rPr>
              <w:t>u iesniegumi</w:t>
            </w:r>
            <w:r w:rsidR="00E3076F" w:rsidRPr="00E3076F">
              <w:rPr>
                <w:color w:val="000000"/>
                <w:szCs w:val="24"/>
              </w:rPr>
              <w:t xml:space="preserve"> par kopējo finansējumu </w:t>
            </w:r>
            <w:r w:rsidR="00E3076F" w:rsidRPr="00E3076F">
              <w:rPr>
                <w:bCs/>
                <w:szCs w:val="24"/>
              </w:rPr>
              <w:t>14 </w:t>
            </w:r>
            <w:r w:rsidR="0042273B" w:rsidRPr="00E3076F">
              <w:rPr>
                <w:bCs/>
                <w:szCs w:val="24"/>
              </w:rPr>
              <w:t>83</w:t>
            </w:r>
            <w:r w:rsidR="00313DE6">
              <w:rPr>
                <w:bCs/>
                <w:szCs w:val="24"/>
              </w:rPr>
              <w:t>0</w:t>
            </w:r>
            <w:r w:rsidR="00E3076F" w:rsidRPr="00E3076F">
              <w:rPr>
                <w:bCs/>
                <w:szCs w:val="24"/>
              </w:rPr>
              <w:t xml:space="preserve"> LVL</w:t>
            </w:r>
            <w:r w:rsidRPr="00E3076F">
              <w:rPr>
                <w:color w:val="000000"/>
                <w:szCs w:val="24"/>
              </w:rPr>
              <w:t xml:space="preserve">, par kuriem </w:t>
            </w:r>
            <w:r w:rsidR="00E3076F" w:rsidRPr="00E3076F">
              <w:rPr>
                <w:color w:val="000000"/>
                <w:szCs w:val="24"/>
              </w:rPr>
              <w:t xml:space="preserve">saskaņā ar </w:t>
            </w:r>
            <w:r w:rsidR="002D2B66">
              <w:rPr>
                <w:color w:val="000000"/>
                <w:szCs w:val="24"/>
              </w:rPr>
              <w:t xml:space="preserve">Ministru kabineta </w:t>
            </w:r>
            <w:r w:rsidR="00E3076F" w:rsidRPr="00E3076F">
              <w:rPr>
                <w:szCs w:val="24"/>
              </w:rPr>
              <w:t xml:space="preserve">2010.gada 8.jūnija noteikumiem Nr.523 „Noteikumi par darbības programmas „Cilvēkresursi un nodarbinātība” papildinājuma 1.5.3.1.aktivitāti „Speciālistu piesaiste plānošanas reģioniem, pilsētām un novadiem”” </w:t>
            </w:r>
            <w:r w:rsidRPr="00E3076F">
              <w:rPr>
                <w:szCs w:val="24"/>
              </w:rPr>
              <w:t>ir jāpieņem lēmumi</w:t>
            </w:r>
            <w:r w:rsidR="00380BAA">
              <w:rPr>
                <w:szCs w:val="24"/>
              </w:rPr>
              <w:t>.</w:t>
            </w:r>
          </w:p>
          <w:p w:rsidR="002E5907" w:rsidRDefault="00A21611" w:rsidP="008226B6">
            <w:pPr>
              <w:pStyle w:val="ListParagraph"/>
              <w:ind w:left="0"/>
              <w:rPr>
                <w:szCs w:val="24"/>
              </w:rPr>
            </w:pPr>
            <w:r>
              <w:t>Noslēdzoties iepirkumu procedūrām 1.5.3.2.</w:t>
            </w:r>
            <w:r w:rsidR="008226B6">
              <w:t xml:space="preserve"> </w:t>
            </w:r>
            <w:r>
              <w:t xml:space="preserve">aktivitātes </w:t>
            </w:r>
            <w:r w:rsidR="008226B6">
              <w:t xml:space="preserve">ietvaros </w:t>
            </w:r>
            <w:r>
              <w:t>apstiprinātajos projektos,  ir veikti vienošanās grozījumi</w:t>
            </w:r>
            <w:r w:rsidR="002F635E">
              <w:t>,</w:t>
            </w:r>
            <w:r>
              <w:t xml:space="preserve"> samazinot projekta attiecināmo izmaksu apjomu, kā rezultātā  </w:t>
            </w:r>
            <w:r w:rsidR="008226B6">
              <w:t xml:space="preserve">1.5.3.2. </w:t>
            </w:r>
            <w:r>
              <w:t>aktivitātes ietvaros ir atbrīvojies  finansējums</w:t>
            </w:r>
            <w:r>
              <w:rPr>
                <w:szCs w:val="24"/>
              </w:rPr>
              <w:t xml:space="preserve">, kuru ir iespējams pārdalīt </w:t>
            </w:r>
            <w:r w:rsidRPr="002F635E">
              <w:rPr>
                <w:szCs w:val="24"/>
              </w:rPr>
              <w:t>1.5.3.1.aktivitātes īstenošanas nodrošināšanai.</w:t>
            </w:r>
          </w:p>
        </w:tc>
      </w:tr>
      <w:tr w:rsidR="00F32FEE" w:rsidRPr="00E3076F" w:rsidTr="00700734">
        <w:trPr>
          <w:trHeight w:val="478"/>
        </w:trPr>
        <w:tc>
          <w:tcPr>
            <w:tcW w:w="534" w:type="dxa"/>
          </w:tcPr>
          <w:p w:rsidR="00F32FEE" w:rsidRPr="00E3076F" w:rsidRDefault="00F32FEE" w:rsidP="00700734">
            <w:pPr>
              <w:spacing w:before="120" w:after="120"/>
              <w:rPr>
                <w:lang w:eastAsia="lv-LV" w:bidi="lo-LA"/>
              </w:rPr>
            </w:pPr>
            <w:r w:rsidRPr="00E3076F">
              <w:rPr>
                <w:lang w:eastAsia="lv-LV" w:bidi="lo-LA"/>
              </w:rPr>
              <w:t> 3.</w:t>
            </w:r>
          </w:p>
        </w:tc>
        <w:tc>
          <w:tcPr>
            <w:tcW w:w="1842" w:type="dxa"/>
          </w:tcPr>
          <w:p w:rsidR="00F32FEE" w:rsidRPr="00E3076F" w:rsidRDefault="00F32FEE" w:rsidP="00700734">
            <w:pPr>
              <w:spacing w:before="120" w:after="120"/>
              <w:rPr>
                <w:lang w:eastAsia="lv-LV" w:bidi="lo-LA"/>
              </w:rPr>
            </w:pPr>
            <w:r w:rsidRPr="00E3076F">
              <w:rPr>
                <w:lang w:eastAsia="lv-LV" w:bidi="lo-LA"/>
              </w:rPr>
              <w:t xml:space="preserve">Saistītie politikas ietekmes novērtējumi un </w:t>
            </w:r>
            <w:r w:rsidRPr="00E3076F">
              <w:rPr>
                <w:lang w:eastAsia="lv-LV" w:bidi="lo-LA"/>
              </w:rPr>
              <w:lastRenderedPageBreak/>
              <w:t>pētījumi</w:t>
            </w:r>
          </w:p>
        </w:tc>
        <w:tc>
          <w:tcPr>
            <w:tcW w:w="6804" w:type="dxa"/>
            <w:vAlign w:val="center"/>
          </w:tcPr>
          <w:p w:rsidR="00F32FEE" w:rsidRPr="00E3076F" w:rsidRDefault="00F32FEE" w:rsidP="00700734">
            <w:pPr>
              <w:spacing w:before="120" w:after="120"/>
              <w:jc w:val="both"/>
              <w:rPr>
                <w:color w:val="2A2A2A"/>
              </w:rPr>
            </w:pPr>
            <w:r w:rsidRPr="00E3076F">
              <w:rPr>
                <w:color w:val="2A2A2A"/>
              </w:rPr>
              <w:lastRenderedPageBreak/>
              <w:t>Nav attiecināms.</w:t>
            </w:r>
          </w:p>
        </w:tc>
      </w:tr>
      <w:tr w:rsidR="00F32FEE" w:rsidRPr="00E3076F" w:rsidTr="00700734">
        <w:tc>
          <w:tcPr>
            <w:tcW w:w="534" w:type="dxa"/>
          </w:tcPr>
          <w:p w:rsidR="00F32FEE" w:rsidRPr="00E3076F" w:rsidRDefault="00F32FEE" w:rsidP="00700734">
            <w:pPr>
              <w:spacing w:before="120" w:after="120"/>
              <w:rPr>
                <w:lang w:eastAsia="lv-LV" w:bidi="lo-LA"/>
              </w:rPr>
            </w:pPr>
            <w:r w:rsidRPr="00E3076F">
              <w:rPr>
                <w:lang w:eastAsia="lv-LV" w:bidi="lo-LA"/>
              </w:rPr>
              <w:lastRenderedPageBreak/>
              <w:t> 4.</w:t>
            </w:r>
          </w:p>
        </w:tc>
        <w:tc>
          <w:tcPr>
            <w:tcW w:w="1842" w:type="dxa"/>
          </w:tcPr>
          <w:p w:rsidR="00F32FEE" w:rsidRPr="00E3076F" w:rsidRDefault="00F32FEE" w:rsidP="00700734">
            <w:pPr>
              <w:spacing w:before="120" w:after="120"/>
              <w:rPr>
                <w:lang w:eastAsia="lv-LV" w:bidi="lo-LA"/>
              </w:rPr>
            </w:pPr>
            <w:r w:rsidRPr="00E3076F">
              <w:rPr>
                <w:lang w:eastAsia="lv-LV" w:bidi="lo-LA"/>
              </w:rPr>
              <w:t>Tiesiskā regulējuma mērķis un būtība</w:t>
            </w:r>
          </w:p>
        </w:tc>
        <w:tc>
          <w:tcPr>
            <w:tcW w:w="6804" w:type="dxa"/>
            <w:vAlign w:val="center"/>
          </w:tcPr>
          <w:p w:rsidR="00F32FEE" w:rsidRPr="00E3076F" w:rsidRDefault="00F32FEE" w:rsidP="00684E56">
            <w:pPr>
              <w:pStyle w:val="BodyText"/>
            </w:pPr>
            <w:r w:rsidRPr="00E3076F">
              <w:t xml:space="preserve">Ministru kabineta rīkojuma projekts paredz veikt </w:t>
            </w:r>
            <w:r w:rsidRPr="004B54DC">
              <w:rPr>
                <w:bCs/>
                <w:color w:val="000000"/>
              </w:rPr>
              <w:t>grozījumu</w:t>
            </w:r>
            <w:r w:rsidR="006C2FC6">
              <w:rPr>
                <w:bCs/>
                <w:color w:val="000000"/>
              </w:rPr>
              <w:t>s</w:t>
            </w:r>
            <w:r w:rsidRPr="004B54DC">
              <w:rPr>
                <w:bCs/>
                <w:color w:val="000000"/>
              </w:rPr>
              <w:t xml:space="preserve"> D</w:t>
            </w:r>
            <w:r w:rsidR="00E3076F" w:rsidRPr="004B54DC">
              <w:rPr>
                <w:bCs/>
                <w:color w:val="000000"/>
              </w:rPr>
              <w:t>P</w:t>
            </w:r>
            <w:r w:rsidRPr="004B54DC">
              <w:rPr>
                <w:bCs/>
                <w:color w:val="000000"/>
              </w:rPr>
              <w:t xml:space="preserve">P </w:t>
            </w:r>
            <w:r w:rsidR="004B54DC" w:rsidRPr="004B54DC">
              <w:rPr>
                <w:bCs/>
              </w:rPr>
              <w:t xml:space="preserve">1.5.3.pasākuma </w:t>
            </w:r>
            <w:r w:rsidR="004B54DC" w:rsidRPr="004B54DC">
              <w:rPr>
                <w:rFonts w:hint="eastAsia"/>
                <w:bCs/>
              </w:rPr>
              <w:t>„</w:t>
            </w:r>
            <w:r w:rsidR="004B54DC" w:rsidRPr="004B54DC">
              <w:rPr>
                <w:bCs/>
              </w:rPr>
              <w:t>Plānošanas reģionu un vietējo pašvaldību administratīvās un attīstības plānošanas kapacitātes stiprināšana</w:t>
            </w:r>
            <w:r w:rsidR="004B54DC" w:rsidRPr="004B54DC">
              <w:rPr>
                <w:rFonts w:hint="eastAsia"/>
                <w:bCs/>
              </w:rPr>
              <w:t>”</w:t>
            </w:r>
            <w:r w:rsidR="004B54DC" w:rsidRPr="004B54DC">
              <w:rPr>
                <w:bCs/>
              </w:rPr>
              <w:t xml:space="preserve"> tabulā</w:t>
            </w:r>
            <w:r w:rsidRPr="004B54DC">
              <w:rPr>
                <w:b/>
                <w:bCs/>
              </w:rPr>
              <w:t xml:space="preserve"> </w:t>
            </w:r>
            <w:r w:rsidRPr="004B54DC">
              <w:rPr>
                <w:bCs/>
              </w:rPr>
              <w:t>„Finanšu plāns</w:t>
            </w:r>
            <w:r w:rsidR="004B54DC" w:rsidRPr="004B54DC">
              <w:rPr>
                <w:bCs/>
              </w:rPr>
              <w:t>”</w:t>
            </w:r>
            <w:r w:rsidR="002F635E">
              <w:rPr>
                <w:bCs/>
              </w:rPr>
              <w:t>,</w:t>
            </w:r>
            <w:r w:rsidRPr="004B54DC">
              <w:rPr>
                <w:bCs/>
              </w:rPr>
              <w:t xml:space="preserve"> </w:t>
            </w:r>
            <w:r w:rsidR="009C54A9">
              <w:rPr>
                <w:bCs/>
              </w:rPr>
              <w:t xml:space="preserve">samazinot DPP </w:t>
            </w:r>
            <w:r w:rsidR="009C54A9" w:rsidRPr="004B54DC">
              <w:t xml:space="preserve">1.5.3.2.aktivitātes </w:t>
            </w:r>
            <w:r w:rsidR="009C54A9">
              <w:rPr>
                <w:bCs/>
              </w:rPr>
              <w:t xml:space="preserve">un </w:t>
            </w:r>
            <w:r w:rsidR="009C54A9">
              <w:t>1.5.3.1.aktivitātes ietvaros pieejamo finansējumu atbilstoši</w:t>
            </w:r>
            <w:r w:rsidR="009C54A9" w:rsidRPr="000D2B71">
              <w:rPr>
                <w:color w:val="000000"/>
              </w:rPr>
              <w:t xml:space="preserve"> </w:t>
            </w:r>
            <w:r w:rsidR="009C54A9">
              <w:rPr>
                <w:color w:val="000000"/>
              </w:rPr>
              <w:t>2011.gada</w:t>
            </w:r>
            <w:r w:rsidR="009C54A9" w:rsidRPr="008226B6">
              <w:rPr>
                <w:color w:val="000000"/>
              </w:rPr>
              <w:t xml:space="preserve"> 20.jūnija </w:t>
            </w:r>
            <w:r w:rsidR="009C54A9" w:rsidRPr="000D2B71">
              <w:rPr>
                <w:color w:val="000000"/>
              </w:rPr>
              <w:t>ES fondu koalīcijas darba grup</w:t>
            </w:r>
            <w:r w:rsidR="009C54A9">
              <w:rPr>
                <w:color w:val="000000"/>
              </w:rPr>
              <w:t xml:space="preserve">ā lemtajam, vienlaicīgi </w:t>
            </w:r>
            <w:r w:rsidR="004B54DC" w:rsidRPr="00E3076F">
              <w:rPr>
                <w:lang w:eastAsia="lv-LV" w:bidi="lo-LA"/>
              </w:rPr>
              <w:t>veicot finansējuma</w:t>
            </w:r>
            <w:r w:rsidRPr="00E3076F">
              <w:rPr>
                <w:lang w:eastAsia="lv-LV" w:bidi="lo-LA"/>
              </w:rPr>
              <w:t xml:space="preserve"> </w:t>
            </w:r>
            <w:r w:rsidR="0021583F">
              <w:rPr>
                <w:lang w:eastAsia="lv-LV" w:bidi="lo-LA"/>
              </w:rPr>
              <w:t xml:space="preserve">pārdali </w:t>
            </w:r>
            <w:r w:rsidR="004B54DC">
              <w:rPr>
                <w:lang w:eastAsia="lv-LV" w:bidi="lo-LA"/>
              </w:rPr>
              <w:t xml:space="preserve">no </w:t>
            </w:r>
            <w:r w:rsidR="009C54A9">
              <w:t>DPP</w:t>
            </w:r>
            <w:r w:rsidR="004B54DC">
              <w:t xml:space="preserve"> </w:t>
            </w:r>
            <w:r w:rsidR="004B54DC" w:rsidRPr="004B54DC">
              <w:t xml:space="preserve">1.5.3.2.aktivitātes </w:t>
            </w:r>
            <w:r w:rsidR="004B54DC">
              <w:rPr>
                <w:bCs/>
              </w:rPr>
              <w:t xml:space="preserve">uz </w:t>
            </w:r>
            <w:r w:rsidR="004B54DC" w:rsidRPr="00E3076F">
              <w:t>1.5.3.1.aktivitāti</w:t>
            </w:r>
            <w:r w:rsidR="000D2B71">
              <w:t xml:space="preserve">, </w:t>
            </w:r>
            <w:r w:rsidR="009C54A9">
              <w:t>lai nodrošinātu</w:t>
            </w:r>
            <w:r w:rsidR="000D2B71">
              <w:rPr>
                <w:color w:val="000000"/>
              </w:rPr>
              <w:t xml:space="preserve"> </w:t>
            </w:r>
            <w:r w:rsidR="009C54A9">
              <w:rPr>
                <w:color w:val="000000"/>
              </w:rPr>
              <w:t xml:space="preserve">finansējumu </w:t>
            </w:r>
            <w:r w:rsidR="009C54A9" w:rsidRPr="00E3076F">
              <w:rPr>
                <w:bCs/>
              </w:rPr>
              <w:t>14 83</w:t>
            </w:r>
            <w:r w:rsidR="009C54A9">
              <w:rPr>
                <w:bCs/>
              </w:rPr>
              <w:t>0</w:t>
            </w:r>
            <w:r w:rsidR="009C54A9" w:rsidRPr="00E3076F">
              <w:rPr>
                <w:bCs/>
              </w:rPr>
              <w:t xml:space="preserve"> LVL</w:t>
            </w:r>
            <w:r w:rsidR="009C54A9">
              <w:rPr>
                <w:bCs/>
              </w:rPr>
              <w:t xml:space="preserve"> (t.i. 21 101 EUR) apmērā </w:t>
            </w:r>
            <w:r w:rsidR="009C54A9" w:rsidRPr="00E3076F">
              <w:rPr>
                <w:color w:val="000000"/>
              </w:rPr>
              <w:t>sadarbības iestādē iesniegt</w:t>
            </w:r>
            <w:r w:rsidR="009C54A9">
              <w:rPr>
                <w:color w:val="000000"/>
              </w:rPr>
              <w:t>ajiem diviem</w:t>
            </w:r>
            <w:r w:rsidR="009C54A9" w:rsidRPr="00E3076F">
              <w:rPr>
                <w:color w:val="000000"/>
              </w:rPr>
              <w:t xml:space="preserve"> projekt</w:t>
            </w:r>
            <w:r w:rsidR="009C54A9">
              <w:rPr>
                <w:color w:val="000000"/>
              </w:rPr>
              <w:t>u iesniegumiem</w:t>
            </w:r>
            <w:r w:rsidR="00684E56">
              <w:rPr>
                <w:color w:val="000000"/>
              </w:rPr>
              <w:t>, kas tika iesniegti 2011.gada jūnija mēnesī izsludinātās projektu iesniegumu atlases kārtas ietvaros</w:t>
            </w:r>
            <w:r w:rsidR="009C54A9">
              <w:rPr>
                <w:color w:val="000000"/>
              </w:rPr>
              <w:t>.</w:t>
            </w:r>
          </w:p>
        </w:tc>
      </w:tr>
      <w:tr w:rsidR="00F32FEE" w:rsidRPr="00E3076F" w:rsidTr="00700734">
        <w:tc>
          <w:tcPr>
            <w:tcW w:w="534" w:type="dxa"/>
          </w:tcPr>
          <w:p w:rsidR="00F32FEE" w:rsidRPr="00E3076F" w:rsidRDefault="00F32FEE" w:rsidP="00700734">
            <w:pPr>
              <w:spacing w:before="120" w:after="120"/>
              <w:rPr>
                <w:lang w:eastAsia="lv-LV" w:bidi="lo-LA"/>
              </w:rPr>
            </w:pPr>
            <w:r w:rsidRPr="00E3076F">
              <w:rPr>
                <w:lang w:eastAsia="lv-LV" w:bidi="lo-LA"/>
              </w:rPr>
              <w:t> 5.</w:t>
            </w:r>
          </w:p>
        </w:tc>
        <w:tc>
          <w:tcPr>
            <w:tcW w:w="1842" w:type="dxa"/>
          </w:tcPr>
          <w:p w:rsidR="00F32FEE" w:rsidRPr="00E3076F" w:rsidRDefault="00F32FEE" w:rsidP="00700734">
            <w:pPr>
              <w:spacing w:before="120" w:after="120"/>
              <w:rPr>
                <w:lang w:eastAsia="lv-LV" w:bidi="lo-LA"/>
              </w:rPr>
            </w:pPr>
            <w:r w:rsidRPr="00E3076F">
              <w:rPr>
                <w:lang w:eastAsia="lv-LV" w:bidi="lo-LA"/>
              </w:rPr>
              <w:t>Projekta izstrādē iesaistītās institūcijas</w:t>
            </w:r>
          </w:p>
        </w:tc>
        <w:tc>
          <w:tcPr>
            <w:tcW w:w="6804" w:type="dxa"/>
            <w:vAlign w:val="center"/>
          </w:tcPr>
          <w:p w:rsidR="00F32FEE" w:rsidRPr="00E3076F" w:rsidRDefault="00F32FEE" w:rsidP="00700734">
            <w:pPr>
              <w:tabs>
                <w:tab w:val="left" w:pos="5702"/>
              </w:tabs>
              <w:spacing w:before="120" w:after="120"/>
              <w:ind w:right="-1"/>
              <w:jc w:val="both"/>
              <w:rPr>
                <w:iCs/>
              </w:rPr>
            </w:pPr>
            <w:r w:rsidRPr="00E3076F">
              <w:t>Nav attiecināms.</w:t>
            </w:r>
          </w:p>
        </w:tc>
      </w:tr>
      <w:tr w:rsidR="00F32FEE" w:rsidRPr="00E3076F" w:rsidTr="00700734">
        <w:tc>
          <w:tcPr>
            <w:tcW w:w="534" w:type="dxa"/>
          </w:tcPr>
          <w:p w:rsidR="00F32FEE" w:rsidRPr="00E3076F" w:rsidRDefault="00F32FEE" w:rsidP="00700734">
            <w:pPr>
              <w:spacing w:before="120" w:after="120"/>
              <w:rPr>
                <w:lang w:eastAsia="lv-LV" w:bidi="lo-LA"/>
              </w:rPr>
            </w:pPr>
            <w:r w:rsidRPr="00E3076F">
              <w:rPr>
                <w:lang w:eastAsia="lv-LV" w:bidi="lo-LA"/>
              </w:rPr>
              <w:t> 6.</w:t>
            </w:r>
          </w:p>
        </w:tc>
        <w:tc>
          <w:tcPr>
            <w:tcW w:w="1842" w:type="dxa"/>
          </w:tcPr>
          <w:p w:rsidR="00F32FEE" w:rsidRPr="00E3076F" w:rsidRDefault="00F32FEE" w:rsidP="00700734">
            <w:pPr>
              <w:spacing w:before="120" w:after="120"/>
              <w:rPr>
                <w:lang w:eastAsia="lv-LV" w:bidi="lo-LA"/>
              </w:rPr>
            </w:pPr>
            <w:r w:rsidRPr="00E3076F">
              <w:rPr>
                <w:lang w:eastAsia="lv-LV" w:bidi="lo-LA"/>
              </w:rPr>
              <w:t>Iemesli, kādēļ netika nodrošināta sabiedrības līdzdalība</w:t>
            </w:r>
          </w:p>
        </w:tc>
        <w:tc>
          <w:tcPr>
            <w:tcW w:w="6804" w:type="dxa"/>
            <w:vAlign w:val="center"/>
          </w:tcPr>
          <w:p w:rsidR="00F32FEE" w:rsidRPr="00E3076F" w:rsidRDefault="00F32FEE" w:rsidP="00700734">
            <w:pPr>
              <w:spacing w:before="120" w:after="120"/>
              <w:jc w:val="both"/>
            </w:pPr>
            <w:r w:rsidRPr="00E3076F">
              <w:t>Nav attiecināms.</w:t>
            </w:r>
          </w:p>
        </w:tc>
      </w:tr>
      <w:tr w:rsidR="00F32FEE" w:rsidRPr="00E3076F" w:rsidTr="00700734">
        <w:trPr>
          <w:trHeight w:val="70"/>
        </w:trPr>
        <w:tc>
          <w:tcPr>
            <w:tcW w:w="534" w:type="dxa"/>
          </w:tcPr>
          <w:p w:rsidR="00F32FEE" w:rsidRPr="00E3076F" w:rsidRDefault="00F32FEE" w:rsidP="00700734">
            <w:pPr>
              <w:spacing w:before="120" w:after="120"/>
              <w:rPr>
                <w:lang w:eastAsia="lv-LV" w:bidi="lo-LA"/>
              </w:rPr>
            </w:pPr>
            <w:r w:rsidRPr="00E3076F">
              <w:rPr>
                <w:lang w:eastAsia="lv-LV" w:bidi="lo-LA"/>
              </w:rPr>
              <w:t> 7.</w:t>
            </w:r>
          </w:p>
        </w:tc>
        <w:tc>
          <w:tcPr>
            <w:tcW w:w="1842" w:type="dxa"/>
          </w:tcPr>
          <w:p w:rsidR="00F32FEE" w:rsidRPr="00E3076F" w:rsidRDefault="00F32FEE" w:rsidP="00700734">
            <w:pPr>
              <w:spacing w:before="120" w:after="120"/>
              <w:rPr>
                <w:lang w:eastAsia="lv-LV" w:bidi="lo-LA"/>
              </w:rPr>
            </w:pPr>
            <w:r w:rsidRPr="00E3076F">
              <w:rPr>
                <w:lang w:eastAsia="lv-LV" w:bidi="lo-LA"/>
              </w:rPr>
              <w:t>Cita informācija</w:t>
            </w:r>
          </w:p>
        </w:tc>
        <w:tc>
          <w:tcPr>
            <w:tcW w:w="6804" w:type="dxa"/>
            <w:vAlign w:val="center"/>
          </w:tcPr>
          <w:p w:rsidR="00F32FEE" w:rsidRPr="00E3076F" w:rsidRDefault="00F32FEE" w:rsidP="00700734">
            <w:pPr>
              <w:spacing w:before="120" w:after="120"/>
            </w:pPr>
            <w:r w:rsidRPr="00E3076F">
              <w:t>Nav attiecināms.</w:t>
            </w:r>
          </w:p>
        </w:tc>
      </w:tr>
    </w:tbl>
    <w:p w:rsidR="00F32FEE" w:rsidRPr="00E3076F" w:rsidRDefault="00F32FEE" w:rsidP="00F32FEE">
      <w:pPr>
        <w:autoSpaceDE w:val="0"/>
        <w:autoSpaceDN w:val="0"/>
        <w:adjustRightInd w:val="0"/>
        <w:jc w:val="both"/>
        <w:rPr>
          <w:noProof/>
        </w:rPr>
      </w:pPr>
    </w:p>
    <w:tbl>
      <w:tblPr>
        <w:tblW w:w="506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80"/>
        <w:gridCol w:w="2030"/>
        <w:gridCol w:w="6832"/>
      </w:tblGrid>
      <w:tr w:rsidR="00F32FEE" w:rsidRPr="00E3076F" w:rsidTr="00CD0D78">
        <w:tc>
          <w:tcPr>
            <w:tcW w:w="5000" w:type="pct"/>
            <w:gridSpan w:val="3"/>
            <w:tcBorders>
              <w:top w:val="single" w:sz="6" w:space="0" w:color="auto"/>
              <w:left w:val="single" w:sz="6" w:space="0" w:color="auto"/>
              <w:bottom w:val="outset" w:sz="6" w:space="0" w:color="000000"/>
              <w:right w:val="single" w:sz="6" w:space="0" w:color="auto"/>
            </w:tcBorders>
            <w:hideMark/>
          </w:tcPr>
          <w:p w:rsidR="00F32FEE" w:rsidRPr="00E3076F" w:rsidRDefault="00F32FEE" w:rsidP="00700734">
            <w:pPr>
              <w:spacing w:before="100" w:beforeAutospacing="1" w:after="100" w:afterAutospacing="1"/>
              <w:jc w:val="center"/>
              <w:rPr>
                <w:b/>
                <w:bCs/>
                <w:lang w:eastAsia="lv-LV"/>
              </w:rPr>
            </w:pPr>
            <w:r w:rsidRPr="00E3076F">
              <w:rPr>
                <w:lang w:eastAsia="lv-LV"/>
              </w:rPr>
              <w:t> </w:t>
            </w:r>
            <w:r w:rsidRPr="00E3076F">
              <w:rPr>
                <w:b/>
                <w:bCs/>
                <w:lang w:eastAsia="lv-LV"/>
              </w:rPr>
              <w:t>IV. Tiesību akta projekta ietekme uz spēkā esošo tiesību normu sistēmu</w:t>
            </w:r>
          </w:p>
        </w:tc>
      </w:tr>
      <w:tr w:rsidR="00F32FEE" w:rsidRPr="00E3076F" w:rsidTr="00CD0D78">
        <w:tc>
          <w:tcPr>
            <w:tcW w:w="206" w:type="pct"/>
            <w:tcBorders>
              <w:top w:val="outset" w:sz="6" w:space="0" w:color="000000"/>
              <w:left w:val="outset" w:sz="6" w:space="0" w:color="000000"/>
              <w:bottom w:val="outset" w:sz="6" w:space="0" w:color="000000"/>
              <w:right w:val="outset" w:sz="6" w:space="0" w:color="000000"/>
            </w:tcBorders>
            <w:hideMark/>
          </w:tcPr>
          <w:p w:rsidR="00F32FEE" w:rsidRPr="00E3076F" w:rsidRDefault="00F32FEE" w:rsidP="00700734">
            <w:pPr>
              <w:spacing w:before="100" w:beforeAutospacing="1" w:after="100" w:afterAutospacing="1"/>
              <w:rPr>
                <w:lang w:eastAsia="lv-LV"/>
              </w:rPr>
            </w:pPr>
            <w:r w:rsidRPr="00E3076F">
              <w:rPr>
                <w:lang w:eastAsia="lv-LV"/>
              </w:rPr>
              <w:t>1.</w:t>
            </w:r>
          </w:p>
        </w:tc>
        <w:tc>
          <w:tcPr>
            <w:tcW w:w="1098" w:type="pct"/>
            <w:tcBorders>
              <w:top w:val="outset" w:sz="6" w:space="0" w:color="000000"/>
              <w:left w:val="outset" w:sz="6" w:space="0" w:color="000000"/>
              <w:bottom w:val="outset" w:sz="6" w:space="0" w:color="000000"/>
              <w:right w:val="outset" w:sz="6" w:space="0" w:color="000000"/>
            </w:tcBorders>
            <w:hideMark/>
          </w:tcPr>
          <w:p w:rsidR="00F32FEE" w:rsidRPr="00E3076F" w:rsidRDefault="00F32FEE" w:rsidP="00700734">
            <w:pPr>
              <w:spacing w:before="100" w:beforeAutospacing="1" w:after="100" w:afterAutospacing="1"/>
              <w:rPr>
                <w:lang w:eastAsia="lv-LV"/>
              </w:rPr>
            </w:pPr>
            <w:r w:rsidRPr="00E3076F">
              <w:rPr>
                <w:lang w:eastAsia="lv-LV"/>
              </w:rPr>
              <w:t>Nepieciešamie saistītie tiesību aktu projekti</w:t>
            </w:r>
          </w:p>
        </w:tc>
        <w:tc>
          <w:tcPr>
            <w:tcW w:w="3697" w:type="pct"/>
            <w:tcBorders>
              <w:top w:val="outset" w:sz="6" w:space="0" w:color="000000"/>
              <w:left w:val="outset" w:sz="6" w:space="0" w:color="000000"/>
              <w:bottom w:val="outset" w:sz="6" w:space="0" w:color="000000"/>
              <w:right w:val="outset" w:sz="6" w:space="0" w:color="000000"/>
            </w:tcBorders>
            <w:hideMark/>
          </w:tcPr>
          <w:p w:rsidR="00F32FEE" w:rsidRPr="00E3076F" w:rsidRDefault="00F32FEE" w:rsidP="002D2B66">
            <w:pPr>
              <w:jc w:val="both"/>
              <w:rPr>
                <w:lang w:eastAsia="lv-LV"/>
              </w:rPr>
            </w:pPr>
            <w:r w:rsidRPr="00E3076F">
              <w:rPr>
                <w:lang w:eastAsia="lv-LV"/>
              </w:rPr>
              <w:t xml:space="preserve">Nepieciešams veikt attiecīgus grozījumus </w:t>
            </w:r>
            <w:r w:rsidR="002D2B66">
              <w:rPr>
                <w:color w:val="000000"/>
              </w:rPr>
              <w:t xml:space="preserve">Ministru kabineta </w:t>
            </w:r>
            <w:r w:rsidR="002D2B66">
              <w:t>2010.gada 8.jūnija noteikumos</w:t>
            </w:r>
            <w:r w:rsidR="002D2B66" w:rsidRPr="00E3076F">
              <w:t xml:space="preserve"> </w:t>
            </w:r>
            <w:r w:rsidR="002D2B66">
              <w:t>Nr.522 „</w:t>
            </w:r>
            <w:r w:rsidR="002D2B66" w:rsidRPr="002D2B66">
              <w:t>Noteikumi par darbības programmas "Cilvēkresursi un nodarbinātība" papildinājuma 1.5.3.2.aktivitāti "Plānošanas reģionu un vietējo pašvaldību attīstības plānoš</w:t>
            </w:r>
            <w:r w:rsidR="002D2B66">
              <w:t xml:space="preserve">anas kapacitātes paaugstināšana”” un Ministru kabineta 2010.gada 8.jūnija noteikumos </w:t>
            </w:r>
            <w:r w:rsidR="002D2B66" w:rsidRPr="00E3076F">
              <w:t>Nr.523 „Noteikumi par darbības programmas „Cilvēkresursi un nodarbinātība” papildinājuma 1.5.3.1.aktivitāti „Speciālistu piesaiste plānošanas reģioniem, pilsētām un novadiem””</w:t>
            </w:r>
            <w:r w:rsidR="002D2B66">
              <w:t xml:space="preserve">. </w:t>
            </w:r>
          </w:p>
        </w:tc>
      </w:tr>
      <w:tr w:rsidR="00F32FEE" w:rsidRPr="00E3076F" w:rsidTr="00CD0D78">
        <w:tc>
          <w:tcPr>
            <w:tcW w:w="206" w:type="pct"/>
            <w:tcBorders>
              <w:top w:val="outset" w:sz="6" w:space="0" w:color="000000"/>
              <w:left w:val="outset" w:sz="6" w:space="0" w:color="000000"/>
              <w:bottom w:val="outset" w:sz="6" w:space="0" w:color="000000"/>
              <w:right w:val="outset" w:sz="6" w:space="0" w:color="000000"/>
            </w:tcBorders>
            <w:hideMark/>
          </w:tcPr>
          <w:p w:rsidR="00F32FEE" w:rsidRPr="00E3076F" w:rsidRDefault="00F32FEE" w:rsidP="00700734">
            <w:pPr>
              <w:spacing w:before="100" w:beforeAutospacing="1" w:after="100" w:afterAutospacing="1"/>
              <w:rPr>
                <w:lang w:eastAsia="lv-LV"/>
              </w:rPr>
            </w:pPr>
            <w:r w:rsidRPr="00E3076F">
              <w:rPr>
                <w:lang w:eastAsia="lv-LV"/>
              </w:rPr>
              <w:t>2.</w:t>
            </w:r>
          </w:p>
        </w:tc>
        <w:tc>
          <w:tcPr>
            <w:tcW w:w="1098" w:type="pct"/>
            <w:tcBorders>
              <w:top w:val="outset" w:sz="6" w:space="0" w:color="000000"/>
              <w:left w:val="outset" w:sz="6" w:space="0" w:color="000000"/>
              <w:bottom w:val="outset" w:sz="6" w:space="0" w:color="000000"/>
              <w:right w:val="outset" w:sz="6" w:space="0" w:color="000000"/>
            </w:tcBorders>
            <w:hideMark/>
          </w:tcPr>
          <w:p w:rsidR="00F32FEE" w:rsidRPr="00E3076F" w:rsidRDefault="00F32FEE" w:rsidP="00700734">
            <w:pPr>
              <w:spacing w:before="100" w:beforeAutospacing="1" w:after="100" w:afterAutospacing="1"/>
              <w:rPr>
                <w:lang w:eastAsia="lv-LV"/>
              </w:rPr>
            </w:pPr>
            <w:r w:rsidRPr="00E3076F">
              <w:rPr>
                <w:lang w:eastAsia="lv-LV"/>
              </w:rPr>
              <w:t>Cita informācija</w:t>
            </w:r>
          </w:p>
        </w:tc>
        <w:tc>
          <w:tcPr>
            <w:tcW w:w="3697" w:type="pct"/>
            <w:tcBorders>
              <w:top w:val="outset" w:sz="6" w:space="0" w:color="000000"/>
              <w:left w:val="outset" w:sz="6" w:space="0" w:color="000000"/>
              <w:bottom w:val="outset" w:sz="6" w:space="0" w:color="000000"/>
              <w:right w:val="outset" w:sz="6" w:space="0" w:color="000000"/>
            </w:tcBorders>
            <w:hideMark/>
          </w:tcPr>
          <w:p w:rsidR="00F32FEE" w:rsidRPr="00E3076F" w:rsidRDefault="00F32FEE" w:rsidP="00700734">
            <w:pPr>
              <w:spacing w:before="100" w:beforeAutospacing="1" w:after="100" w:afterAutospacing="1"/>
              <w:jc w:val="both"/>
            </w:pPr>
            <w:r w:rsidRPr="00E3076F">
              <w:t>Nav.</w:t>
            </w:r>
          </w:p>
        </w:tc>
      </w:tr>
    </w:tbl>
    <w:p w:rsidR="00F32FEE" w:rsidRPr="00E3076F" w:rsidRDefault="00F32FEE" w:rsidP="00F32FEE">
      <w:pPr>
        <w:autoSpaceDE w:val="0"/>
        <w:autoSpaceDN w:val="0"/>
        <w:adjustRightInd w:val="0"/>
        <w:rPr>
          <w:noProof/>
        </w:rPr>
      </w:pPr>
    </w:p>
    <w:p w:rsidR="00F32FEE" w:rsidRPr="00E3076F" w:rsidRDefault="00A201C0" w:rsidP="00F32FEE">
      <w:pPr>
        <w:rPr>
          <w:lang w:eastAsia="lv-LV" w:bidi="lo-LA"/>
        </w:rPr>
      </w:pPr>
      <w:r>
        <w:rPr>
          <w:lang w:eastAsia="lv-LV" w:bidi="lo-LA"/>
        </w:rPr>
        <w:t xml:space="preserve">Anotācijas II., III., </w:t>
      </w:r>
      <w:r w:rsidR="00F32FEE" w:rsidRPr="00E3076F">
        <w:rPr>
          <w:lang w:eastAsia="lv-LV" w:bidi="lo-LA"/>
        </w:rPr>
        <w:t xml:space="preserve">V., </w:t>
      </w:r>
      <w:r>
        <w:rPr>
          <w:bCs/>
          <w:lang w:eastAsia="lv-LV" w:bidi="lo-LA"/>
        </w:rPr>
        <w:t>VI.</w:t>
      </w:r>
      <w:r w:rsidR="00F32FEE" w:rsidRPr="00E3076F">
        <w:rPr>
          <w:bCs/>
          <w:lang w:eastAsia="lv-LV" w:bidi="lo-LA"/>
        </w:rPr>
        <w:t xml:space="preserve"> un </w:t>
      </w:r>
      <w:proofErr w:type="spellStart"/>
      <w:r w:rsidR="00F32FEE" w:rsidRPr="00E3076F">
        <w:rPr>
          <w:bCs/>
          <w:lang w:eastAsia="lv-LV" w:bidi="lo-LA"/>
        </w:rPr>
        <w:t>VII.sadaļa</w:t>
      </w:r>
      <w:proofErr w:type="spellEnd"/>
      <w:r w:rsidR="00F32FEE" w:rsidRPr="00E3076F">
        <w:rPr>
          <w:bCs/>
          <w:lang w:eastAsia="lv-LV" w:bidi="lo-LA"/>
        </w:rPr>
        <w:t xml:space="preserve"> – </w:t>
      </w:r>
      <w:r w:rsidR="00F32FEE" w:rsidRPr="00E3076F">
        <w:rPr>
          <w:color w:val="2A2A2A"/>
        </w:rPr>
        <w:t>projekts šīs jomas neskar</w:t>
      </w:r>
      <w:r w:rsidR="00F32FEE" w:rsidRPr="00E3076F">
        <w:rPr>
          <w:bCs/>
          <w:lang w:eastAsia="lv-LV" w:bidi="lo-LA"/>
        </w:rPr>
        <w:t>.</w:t>
      </w:r>
    </w:p>
    <w:p w:rsidR="00F32FEE" w:rsidRPr="00E3076F" w:rsidRDefault="00F32FEE" w:rsidP="00EE395B">
      <w:pPr>
        <w:tabs>
          <w:tab w:val="right" w:pos="9072"/>
        </w:tabs>
      </w:pPr>
    </w:p>
    <w:p w:rsidR="006F6303" w:rsidRDefault="006F6303" w:rsidP="00F32FEE">
      <w:pPr>
        <w:tabs>
          <w:tab w:val="right" w:pos="9072"/>
        </w:tabs>
        <w:ind w:left="-284" w:firstLine="284"/>
      </w:pPr>
    </w:p>
    <w:p w:rsidR="006F6303" w:rsidRDefault="006F6303" w:rsidP="00F32FEE">
      <w:pPr>
        <w:tabs>
          <w:tab w:val="right" w:pos="9072"/>
        </w:tabs>
        <w:ind w:left="-284" w:firstLine="284"/>
      </w:pPr>
    </w:p>
    <w:p w:rsidR="00F32FEE" w:rsidRDefault="004B54DC" w:rsidP="00F32FEE">
      <w:pPr>
        <w:tabs>
          <w:tab w:val="right" w:pos="9072"/>
        </w:tabs>
        <w:ind w:left="-284" w:firstLine="284"/>
      </w:pPr>
      <w:r>
        <w:t>Vides aizsardzības un reģionālās attīstības ministrs</w:t>
      </w:r>
      <w:r w:rsidR="00F32FEE" w:rsidRPr="00E3076F">
        <w:tab/>
      </w:r>
      <w:proofErr w:type="spellStart"/>
      <w:r>
        <w:t>R.Vējonis</w:t>
      </w:r>
      <w:proofErr w:type="spellEnd"/>
    </w:p>
    <w:p w:rsidR="006F6303" w:rsidRPr="00E3076F" w:rsidRDefault="006F6303" w:rsidP="00F32FEE">
      <w:pPr>
        <w:tabs>
          <w:tab w:val="right" w:pos="9072"/>
        </w:tabs>
        <w:ind w:left="-284" w:firstLine="284"/>
      </w:pPr>
    </w:p>
    <w:p w:rsidR="006F6303" w:rsidRPr="00477784" w:rsidRDefault="006F6303" w:rsidP="006F6303">
      <w:pPr>
        <w:tabs>
          <w:tab w:val="left" w:pos="540"/>
          <w:tab w:val="left" w:pos="7020"/>
        </w:tabs>
        <w:ind w:left="540" w:hanging="540"/>
      </w:pPr>
      <w:r w:rsidRPr="00477784">
        <w:t>Vīza:</w:t>
      </w:r>
    </w:p>
    <w:p w:rsidR="006F6303" w:rsidRPr="00477784" w:rsidRDefault="006F6303" w:rsidP="006F6303">
      <w:pPr>
        <w:pStyle w:val="BodyTextIndent"/>
        <w:tabs>
          <w:tab w:val="left" w:pos="540"/>
          <w:tab w:val="left" w:pos="6840"/>
          <w:tab w:val="left" w:pos="7020"/>
        </w:tabs>
        <w:spacing w:after="0"/>
        <w:ind w:left="0" w:hanging="540"/>
      </w:pPr>
      <w:r w:rsidRPr="00477784">
        <w:tab/>
        <w:t xml:space="preserve">Vides aizsardzības un reģionālās </w:t>
      </w:r>
    </w:p>
    <w:p w:rsidR="006F6303" w:rsidRPr="00477784" w:rsidRDefault="006F6303" w:rsidP="006F6303">
      <w:pPr>
        <w:pStyle w:val="BodyTextIndent"/>
        <w:tabs>
          <w:tab w:val="left" w:pos="540"/>
          <w:tab w:val="left" w:pos="6840"/>
          <w:tab w:val="left" w:pos="7020"/>
        </w:tabs>
        <w:spacing w:after="0"/>
        <w:ind w:left="0" w:hanging="540"/>
      </w:pPr>
      <w:r w:rsidRPr="00477784">
        <w:tab/>
        <w:t xml:space="preserve">attīstības ministrijas </w:t>
      </w:r>
      <w:r>
        <w:rPr>
          <w:color w:val="000000"/>
        </w:rPr>
        <w:t>valsts sekretār</w:t>
      </w:r>
      <w:r w:rsidR="005A0192">
        <w:rPr>
          <w:color w:val="000000"/>
        </w:rPr>
        <w:t>a vietnieks</w:t>
      </w:r>
      <w:proofErr w:type="gramStart"/>
      <w:r>
        <w:rPr>
          <w:color w:val="000000"/>
        </w:rPr>
        <w:t xml:space="preserve">                                                               </w:t>
      </w:r>
      <w:proofErr w:type="gramEnd"/>
      <w:r w:rsidR="005A0192">
        <w:rPr>
          <w:bCs/>
          <w:color w:val="000000"/>
        </w:rPr>
        <w:t>A.Eglājs</w:t>
      </w:r>
    </w:p>
    <w:p w:rsidR="00F32FEE" w:rsidRPr="00E3076F" w:rsidRDefault="00F32FEE" w:rsidP="006F6303">
      <w:pPr>
        <w:tabs>
          <w:tab w:val="left" w:pos="540"/>
        </w:tabs>
        <w:ind w:right="4818" w:hanging="540"/>
      </w:pPr>
    </w:p>
    <w:p w:rsidR="00F32FEE" w:rsidRPr="006F6303" w:rsidRDefault="00055193" w:rsidP="00F32FEE">
      <w:pPr>
        <w:rPr>
          <w:sz w:val="16"/>
          <w:szCs w:val="16"/>
          <w:lang w:eastAsia="lv-LV"/>
        </w:rPr>
      </w:pPr>
      <w:r w:rsidRPr="006F6303">
        <w:rPr>
          <w:sz w:val="16"/>
          <w:szCs w:val="16"/>
          <w:lang w:eastAsia="lv-LV"/>
        </w:rPr>
        <w:t>1</w:t>
      </w:r>
      <w:r w:rsidR="005A0192">
        <w:rPr>
          <w:sz w:val="16"/>
          <w:szCs w:val="16"/>
          <w:lang w:eastAsia="lv-LV"/>
        </w:rPr>
        <w:t>5</w:t>
      </w:r>
      <w:r w:rsidR="00F32FEE" w:rsidRPr="006F6303">
        <w:rPr>
          <w:sz w:val="16"/>
          <w:szCs w:val="16"/>
          <w:lang w:eastAsia="lv-LV"/>
        </w:rPr>
        <w:t>.0</w:t>
      </w:r>
      <w:r w:rsidRPr="006F6303">
        <w:rPr>
          <w:sz w:val="16"/>
          <w:szCs w:val="16"/>
          <w:lang w:eastAsia="lv-LV"/>
        </w:rPr>
        <w:t>9</w:t>
      </w:r>
      <w:r w:rsidR="00F32FEE" w:rsidRPr="006F6303">
        <w:rPr>
          <w:sz w:val="16"/>
          <w:szCs w:val="16"/>
          <w:lang w:eastAsia="lv-LV"/>
        </w:rPr>
        <w:t xml:space="preserve">.11. </w:t>
      </w:r>
      <w:r w:rsidR="0034722D" w:rsidRPr="006F6303">
        <w:rPr>
          <w:sz w:val="16"/>
          <w:szCs w:val="16"/>
          <w:lang w:eastAsia="lv-LV"/>
        </w:rPr>
        <w:t>1</w:t>
      </w:r>
      <w:r w:rsidR="005A0192">
        <w:rPr>
          <w:sz w:val="16"/>
          <w:szCs w:val="16"/>
          <w:lang w:eastAsia="lv-LV"/>
        </w:rPr>
        <w:t>0</w:t>
      </w:r>
      <w:r w:rsidR="004230BA" w:rsidRPr="006F6303">
        <w:rPr>
          <w:sz w:val="16"/>
          <w:szCs w:val="16"/>
          <w:lang w:eastAsia="lv-LV"/>
        </w:rPr>
        <w:t>:</w:t>
      </w:r>
      <w:r w:rsidRPr="006F6303">
        <w:rPr>
          <w:sz w:val="16"/>
          <w:szCs w:val="16"/>
          <w:lang w:eastAsia="lv-LV"/>
        </w:rPr>
        <w:t>23</w:t>
      </w:r>
    </w:p>
    <w:p w:rsidR="00F32FEE" w:rsidRPr="006F6303" w:rsidRDefault="00684E56" w:rsidP="00F32FEE">
      <w:pPr>
        <w:rPr>
          <w:sz w:val="16"/>
          <w:szCs w:val="16"/>
          <w:lang w:eastAsia="lv-LV"/>
        </w:rPr>
      </w:pPr>
      <w:r w:rsidRPr="006F6303">
        <w:rPr>
          <w:sz w:val="16"/>
          <w:szCs w:val="16"/>
          <w:lang w:eastAsia="lv-LV"/>
        </w:rPr>
        <w:t>5</w:t>
      </w:r>
      <w:r w:rsidR="005A0192">
        <w:rPr>
          <w:sz w:val="16"/>
          <w:szCs w:val="16"/>
          <w:lang w:eastAsia="lv-LV"/>
        </w:rPr>
        <w:t>30</w:t>
      </w:r>
    </w:p>
    <w:p w:rsidR="00F32FEE" w:rsidRPr="006F6303" w:rsidRDefault="00055193" w:rsidP="00F32FEE">
      <w:pPr>
        <w:rPr>
          <w:bCs/>
          <w:sz w:val="16"/>
          <w:szCs w:val="16"/>
        </w:rPr>
      </w:pPr>
      <w:r w:rsidRPr="006F6303">
        <w:rPr>
          <w:bCs/>
          <w:sz w:val="16"/>
          <w:szCs w:val="16"/>
        </w:rPr>
        <w:t>L.Lāma</w:t>
      </w:r>
      <w:r w:rsidR="00A201C0" w:rsidRPr="006F6303">
        <w:rPr>
          <w:bCs/>
          <w:sz w:val="16"/>
          <w:szCs w:val="16"/>
        </w:rPr>
        <w:t xml:space="preserve">, </w:t>
      </w:r>
      <w:r w:rsidR="00F32FEE" w:rsidRPr="006F6303">
        <w:rPr>
          <w:bCs/>
          <w:sz w:val="16"/>
          <w:szCs w:val="16"/>
        </w:rPr>
        <w:t>6</w:t>
      </w:r>
      <w:r w:rsidR="004230BA" w:rsidRPr="006F6303">
        <w:rPr>
          <w:bCs/>
          <w:sz w:val="16"/>
          <w:szCs w:val="16"/>
        </w:rPr>
        <w:t>601</w:t>
      </w:r>
      <w:r w:rsidR="00A201C0" w:rsidRPr="006F6303">
        <w:rPr>
          <w:bCs/>
          <w:sz w:val="16"/>
          <w:szCs w:val="16"/>
        </w:rPr>
        <w:t>67</w:t>
      </w:r>
      <w:r w:rsidRPr="006F6303">
        <w:rPr>
          <w:bCs/>
          <w:sz w:val="16"/>
          <w:szCs w:val="16"/>
        </w:rPr>
        <w:t>53</w:t>
      </w:r>
    </w:p>
    <w:p w:rsidR="003C6ADE" w:rsidRPr="006F6303" w:rsidRDefault="004F2DBB">
      <w:pPr>
        <w:rPr>
          <w:sz w:val="16"/>
          <w:szCs w:val="16"/>
        </w:rPr>
      </w:pPr>
      <w:hyperlink r:id="rId7" w:history="1">
        <w:r w:rsidR="006F6303" w:rsidRPr="006F6303">
          <w:rPr>
            <w:rStyle w:val="Hyperlink"/>
            <w:sz w:val="16"/>
            <w:szCs w:val="16"/>
          </w:rPr>
          <w:t>Linda.Lama@varam.gov.lv</w:t>
        </w:r>
      </w:hyperlink>
      <w:r w:rsidR="00A201C0" w:rsidRPr="006F6303">
        <w:rPr>
          <w:sz w:val="16"/>
          <w:szCs w:val="16"/>
        </w:rPr>
        <w:t xml:space="preserve"> </w:t>
      </w:r>
    </w:p>
    <w:sectPr w:rsidR="003C6ADE" w:rsidRPr="006F6303" w:rsidSect="006F6303">
      <w:headerReference w:type="even" r:id="rId8"/>
      <w:headerReference w:type="default" r:id="rId9"/>
      <w:footerReference w:type="default" r:id="rId10"/>
      <w:footerReference w:type="first" r:id="rId11"/>
      <w:pgSz w:w="11906" w:h="16838" w:code="9"/>
      <w:pgMar w:top="1134" w:right="1134" w:bottom="1418" w:left="1701" w:header="720" w:footer="43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4A9" w:rsidRDefault="009C54A9" w:rsidP="004230BA">
      <w:r>
        <w:separator/>
      </w:r>
    </w:p>
  </w:endnote>
  <w:endnote w:type="continuationSeparator" w:id="0">
    <w:p w:rsidR="009C54A9" w:rsidRDefault="009C54A9" w:rsidP="00423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A9" w:rsidRDefault="009C54A9" w:rsidP="002C2651">
    <w:pPr>
      <w:pStyle w:val="Footer"/>
      <w:jc w:val="both"/>
    </w:pPr>
    <w:r w:rsidRPr="002F635E">
      <w:rPr>
        <w:sz w:val="20"/>
      </w:rPr>
      <w:t>VARAManot_</w:t>
    </w:r>
    <w:r w:rsidR="00055193">
      <w:rPr>
        <w:sz w:val="20"/>
      </w:rPr>
      <w:t>1</w:t>
    </w:r>
    <w:r w:rsidR="005A0192">
      <w:rPr>
        <w:sz w:val="20"/>
      </w:rPr>
      <w:t>5</w:t>
    </w:r>
    <w:r w:rsidRPr="002F635E">
      <w:rPr>
        <w:sz w:val="20"/>
      </w:rPr>
      <w:t>0</w:t>
    </w:r>
    <w:r w:rsidR="00055193">
      <w:rPr>
        <w:sz w:val="20"/>
      </w:rPr>
      <w:t>9</w:t>
    </w:r>
    <w:r w:rsidRPr="002F635E">
      <w:rPr>
        <w:sz w:val="20"/>
      </w:rPr>
      <w:t>11_DPPgroz</w:t>
    </w:r>
    <w:r w:rsidRPr="00D473C0">
      <w:rPr>
        <w:noProof/>
        <w:sz w:val="20"/>
        <w:szCs w:val="20"/>
      </w:rPr>
      <w:t xml:space="preserve">; </w:t>
    </w:r>
    <w:r w:rsidRPr="009A3307">
      <w:rPr>
        <w:noProof/>
        <w:sz w:val="20"/>
        <w:szCs w:val="20"/>
      </w:rPr>
      <w:t>Ministru kabineta rīkojuma projekta „Grozījum</w:t>
    </w:r>
    <w:r>
      <w:rPr>
        <w:noProof/>
        <w:sz w:val="20"/>
        <w:szCs w:val="20"/>
      </w:rPr>
      <w:t>s</w:t>
    </w:r>
    <w:r w:rsidRPr="009A3307">
      <w:rPr>
        <w:noProof/>
        <w:sz w:val="20"/>
        <w:szCs w:val="20"/>
      </w:rPr>
      <w:t xml:space="preserve"> darbības programm</w:t>
    </w:r>
    <w:r>
      <w:rPr>
        <w:noProof/>
        <w:sz w:val="20"/>
        <w:szCs w:val="20"/>
      </w:rPr>
      <w:t>as</w:t>
    </w:r>
    <w:r w:rsidRPr="009A3307">
      <w:rPr>
        <w:noProof/>
        <w:sz w:val="20"/>
        <w:szCs w:val="20"/>
      </w:rPr>
      <w:t xml:space="preserve"> „</w:t>
    </w:r>
    <w:r>
      <w:rPr>
        <w:noProof/>
        <w:sz w:val="20"/>
        <w:szCs w:val="20"/>
      </w:rPr>
      <w:t>Cilvēkresursi un nodarbinātība</w:t>
    </w:r>
    <w:r w:rsidRPr="009A3307">
      <w:rPr>
        <w:noProof/>
        <w:sz w:val="20"/>
        <w:szCs w:val="20"/>
      </w:rPr>
      <w:t xml:space="preserve">” </w:t>
    </w:r>
    <w:r>
      <w:rPr>
        <w:noProof/>
        <w:sz w:val="20"/>
        <w:szCs w:val="20"/>
      </w:rPr>
      <w:t xml:space="preserve">papildinājumā </w:t>
    </w:r>
    <w:r w:rsidRPr="009A3307">
      <w:rPr>
        <w:noProof/>
        <w:sz w:val="20"/>
        <w:szCs w:val="20"/>
      </w:rPr>
      <w:t>sākotnējās ietekmes novērtējuma ziņojums (anotācija)</w:t>
    </w:r>
  </w:p>
  <w:p w:rsidR="009C54A9" w:rsidRPr="001002D3" w:rsidRDefault="009C54A9" w:rsidP="00700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A9" w:rsidRPr="001002D3" w:rsidRDefault="009C54A9" w:rsidP="00700734">
    <w:pPr>
      <w:pStyle w:val="Footer"/>
    </w:pPr>
    <w:r w:rsidRPr="002F635E">
      <w:rPr>
        <w:sz w:val="20"/>
      </w:rPr>
      <w:t>VARAManot_</w:t>
    </w:r>
    <w:r w:rsidR="00055193">
      <w:rPr>
        <w:sz w:val="20"/>
      </w:rPr>
      <w:t>1</w:t>
    </w:r>
    <w:r w:rsidR="005A0192">
      <w:rPr>
        <w:sz w:val="20"/>
      </w:rPr>
      <w:t>5</w:t>
    </w:r>
    <w:r w:rsidRPr="002F635E">
      <w:rPr>
        <w:sz w:val="20"/>
      </w:rPr>
      <w:t>0</w:t>
    </w:r>
    <w:r w:rsidR="00055193">
      <w:rPr>
        <w:sz w:val="20"/>
      </w:rPr>
      <w:t>9</w:t>
    </w:r>
    <w:r w:rsidRPr="002F635E">
      <w:rPr>
        <w:sz w:val="20"/>
      </w:rPr>
      <w:t>11_DPPgroz</w:t>
    </w:r>
    <w:r w:rsidRPr="00D473C0">
      <w:rPr>
        <w:noProof/>
        <w:sz w:val="20"/>
        <w:szCs w:val="20"/>
      </w:rPr>
      <w:t xml:space="preserve">; </w:t>
    </w:r>
    <w:r w:rsidRPr="009A3307">
      <w:rPr>
        <w:noProof/>
        <w:sz w:val="20"/>
        <w:szCs w:val="20"/>
      </w:rPr>
      <w:t>Ministru kabineta rīkojuma projekta „Grozījum</w:t>
    </w:r>
    <w:r>
      <w:rPr>
        <w:noProof/>
        <w:sz w:val="20"/>
        <w:szCs w:val="20"/>
      </w:rPr>
      <w:t>s</w:t>
    </w:r>
    <w:r w:rsidRPr="009A3307">
      <w:rPr>
        <w:noProof/>
        <w:sz w:val="20"/>
        <w:szCs w:val="20"/>
      </w:rPr>
      <w:t xml:space="preserve"> darbības programm</w:t>
    </w:r>
    <w:r>
      <w:rPr>
        <w:noProof/>
        <w:sz w:val="20"/>
        <w:szCs w:val="20"/>
      </w:rPr>
      <w:t>as</w:t>
    </w:r>
    <w:r w:rsidRPr="009A3307">
      <w:rPr>
        <w:noProof/>
        <w:sz w:val="20"/>
        <w:szCs w:val="20"/>
      </w:rPr>
      <w:t xml:space="preserve"> „</w:t>
    </w:r>
    <w:r>
      <w:rPr>
        <w:noProof/>
        <w:sz w:val="20"/>
        <w:szCs w:val="20"/>
      </w:rPr>
      <w:t>Cilvēkresursi un nodarbinātība</w:t>
    </w:r>
    <w:r w:rsidRPr="009A3307">
      <w:rPr>
        <w:noProof/>
        <w:sz w:val="20"/>
        <w:szCs w:val="20"/>
      </w:rPr>
      <w:t xml:space="preserve">” </w:t>
    </w:r>
    <w:r>
      <w:rPr>
        <w:noProof/>
        <w:sz w:val="20"/>
        <w:szCs w:val="20"/>
      </w:rPr>
      <w:t xml:space="preserve">papildinājumā </w:t>
    </w:r>
    <w:r w:rsidRPr="009A3307">
      <w:rPr>
        <w:noProof/>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4A9" w:rsidRDefault="009C54A9" w:rsidP="004230BA">
      <w:r>
        <w:separator/>
      </w:r>
    </w:p>
  </w:footnote>
  <w:footnote w:type="continuationSeparator" w:id="0">
    <w:p w:rsidR="009C54A9" w:rsidRDefault="009C54A9" w:rsidP="00423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A9" w:rsidRDefault="004F2DBB">
    <w:pPr>
      <w:pStyle w:val="Header"/>
      <w:framePr w:wrap="around" w:vAnchor="text" w:hAnchor="margin" w:xAlign="center" w:y="1"/>
      <w:rPr>
        <w:rStyle w:val="PageNumber"/>
      </w:rPr>
    </w:pPr>
    <w:r>
      <w:rPr>
        <w:rStyle w:val="PageNumber"/>
      </w:rPr>
      <w:fldChar w:fldCharType="begin"/>
    </w:r>
    <w:r w:rsidR="009C54A9">
      <w:rPr>
        <w:rStyle w:val="PageNumber"/>
      </w:rPr>
      <w:instrText xml:space="preserve">PAGE  </w:instrText>
    </w:r>
    <w:r>
      <w:rPr>
        <w:rStyle w:val="PageNumber"/>
      </w:rPr>
      <w:fldChar w:fldCharType="separate"/>
    </w:r>
    <w:r w:rsidR="009C54A9">
      <w:rPr>
        <w:rStyle w:val="PageNumber"/>
        <w:noProof/>
      </w:rPr>
      <w:t>1</w:t>
    </w:r>
    <w:r>
      <w:rPr>
        <w:rStyle w:val="PageNumber"/>
      </w:rPr>
      <w:fldChar w:fldCharType="end"/>
    </w:r>
  </w:p>
  <w:p w:rsidR="009C54A9" w:rsidRDefault="009C54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81369"/>
      <w:docPartObj>
        <w:docPartGallery w:val="Page Numbers (Top of Page)"/>
        <w:docPartUnique/>
      </w:docPartObj>
    </w:sdtPr>
    <w:sdtContent>
      <w:p w:rsidR="009C54A9" w:rsidRDefault="004F2DBB">
        <w:pPr>
          <w:pStyle w:val="Header"/>
          <w:jc w:val="center"/>
        </w:pPr>
        <w:r w:rsidRPr="003A33A6">
          <w:rPr>
            <w:sz w:val="20"/>
            <w:szCs w:val="20"/>
          </w:rPr>
          <w:fldChar w:fldCharType="begin"/>
        </w:r>
        <w:r w:rsidR="009C54A9" w:rsidRPr="003A33A6">
          <w:rPr>
            <w:sz w:val="20"/>
            <w:szCs w:val="20"/>
          </w:rPr>
          <w:instrText xml:space="preserve"> PAGE   \* MERGEFORMAT </w:instrText>
        </w:r>
        <w:r w:rsidRPr="003A33A6">
          <w:rPr>
            <w:sz w:val="20"/>
            <w:szCs w:val="20"/>
          </w:rPr>
          <w:fldChar w:fldCharType="separate"/>
        </w:r>
        <w:r w:rsidR="005A0192">
          <w:rPr>
            <w:noProof/>
            <w:sz w:val="20"/>
            <w:szCs w:val="20"/>
          </w:rPr>
          <w:t>2</w:t>
        </w:r>
        <w:r w:rsidRPr="003A33A6">
          <w:rPr>
            <w:sz w:val="20"/>
            <w:szCs w:val="20"/>
          </w:rPr>
          <w:fldChar w:fldCharType="end"/>
        </w:r>
      </w:p>
    </w:sdtContent>
  </w:sdt>
  <w:p w:rsidR="009C54A9" w:rsidRDefault="009C54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4DE6"/>
    <w:multiLevelType w:val="hybridMultilevel"/>
    <w:tmpl w:val="7EE0D576"/>
    <w:lvl w:ilvl="0" w:tplc="AEE4D0BE">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nsid w:val="1E57208C"/>
    <w:multiLevelType w:val="hybridMultilevel"/>
    <w:tmpl w:val="91E8F644"/>
    <w:lvl w:ilvl="0" w:tplc="AD6C9D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B7E23A6"/>
    <w:multiLevelType w:val="hybridMultilevel"/>
    <w:tmpl w:val="C3CA97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2FEE"/>
    <w:rsid w:val="00044C45"/>
    <w:rsid w:val="00045449"/>
    <w:rsid w:val="00047F7F"/>
    <w:rsid w:val="00055193"/>
    <w:rsid w:val="000C7ED0"/>
    <w:rsid w:val="000D08B8"/>
    <w:rsid w:val="000D2B71"/>
    <w:rsid w:val="000F2BD5"/>
    <w:rsid w:val="001B2808"/>
    <w:rsid w:val="0021583F"/>
    <w:rsid w:val="002C2651"/>
    <w:rsid w:val="002D2B66"/>
    <w:rsid w:val="002E5907"/>
    <w:rsid w:val="002F635E"/>
    <w:rsid w:val="00313DE6"/>
    <w:rsid w:val="00341A50"/>
    <w:rsid w:val="0034722D"/>
    <w:rsid w:val="00380BAA"/>
    <w:rsid w:val="003A33A6"/>
    <w:rsid w:val="003C6ADE"/>
    <w:rsid w:val="003D438F"/>
    <w:rsid w:val="003E51A9"/>
    <w:rsid w:val="00415C62"/>
    <w:rsid w:val="0042273B"/>
    <w:rsid w:val="004230BA"/>
    <w:rsid w:val="004B54DC"/>
    <w:rsid w:val="004F2DBB"/>
    <w:rsid w:val="00526E85"/>
    <w:rsid w:val="005A0192"/>
    <w:rsid w:val="005D2825"/>
    <w:rsid w:val="00675A75"/>
    <w:rsid w:val="00684E56"/>
    <w:rsid w:val="006C2FC6"/>
    <w:rsid w:val="006F6303"/>
    <w:rsid w:val="00700734"/>
    <w:rsid w:val="00755AB2"/>
    <w:rsid w:val="007B1E69"/>
    <w:rsid w:val="0081627D"/>
    <w:rsid w:val="008226B6"/>
    <w:rsid w:val="00876AF0"/>
    <w:rsid w:val="008E022E"/>
    <w:rsid w:val="008E34A9"/>
    <w:rsid w:val="009A05A4"/>
    <w:rsid w:val="009C54A9"/>
    <w:rsid w:val="00A028B2"/>
    <w:rsid w:val="00A0506A"/>
    <w:rsid w:val="00A201C0"/>
    <w:rsid w:val="00A21611"/>
    <w:rsid w:val="00A44013"/>
    <w:rsid w:val="00A5550D"/>
    <w:rsid w:val="00AD72E2"/>
    <w:rsid w:val="00B2007D"/>
    <w:rsid w:val="00BF1097"/>
    <w:rsid w:val="00BF2D2F"/>
    <w:rsid w:val="00C20913"/>
    <w:rsid w:val="00C34BB2"/>
    <w:rsid w:val="00C7670C"/>
    <w:rsid w:val="00CB4376"/>
    <w:rsid w:val="00CC616E"/>
    <w:rsid w:val="00CD0D78"/>
    <w:rsid w:val="00DA1ED6"/>
    <w:rsid w:val="00E3076F"/>
    <w:rsid w:val="00E82050"/>
    <w:rsid w:val="00EA760D"/>
    <w:rsid w:val="00EB26C9"/>
    <w:rsid w:val="00EB4B6C"/>
    <w:rsid w:val="00EC3C99"/>
    <w:rsid w:val="00EC55A6"/>
    <w:rsid w:val="00EE395B"/>
    <w:rsid w:val="00F32FEE"/>
    <w:rsid w:val="00F66FE9"/>
    <w:rsid w:val="00F81A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2FEE"/>
    <w:pPr>
      <w:tabs>
        <w:tab w:val="center" w:pos="4153"/>
        <w:tab w:val="right" w:pos="8306"/>
      </w:tabs>
    </w:pPr>
  </w:style>
  <w:style w:type="character" w:customStyle="1" w:styleId="HeaderChar">
    <w:name w:val="Header Char"/>
    <w:basedOn w:val="DefaultParagraphFont"/>
    <w:link w:val="Header"/>
    <w:uiPriority w:val="99"/>
    <w:rsid w:val="00F32FEE"/>
    <w:rPr>
      <w:rFonts w:ascii="Times New Roman" w:eastAsia="Times New Roman" w:hAnsi="Times New Roman" w:cs="Times New Roman"/>
      <w:sz w:val="24"/>
      <w:szCs w:val="24"/>
    </w:rPr>
  </w:style>
  <w:style w:type="paragraph" w:styleId="Footer">
    <w:name w:val="footer"/>
    <w:basedOn w:val="Normal"/>
    <w:link w:val="FooterChar"/>
    <w:uiPriority w:val="99"/>
    <w:rsid w:val="00F32FEE"/>
    <w:pPr>
      <w:tabs>
        <w:tab w:val="center" w:pos="4153"/>
        <w:tab w:val="right" w:pos="8306"/>
      </w:tabs>
    </w:pPr>
  </w:style>
  <w:style w:type="character" w:customStyle="1" w:styleId="FooterChar">
    <w:name w:val="Footer Char"/>
    <w:basedOn w:val="DefaultParagraphFont"/>
    <w:link w:val="Footer"/>
    <w:uiPriority w:val="99"/>
    <w:rsid w:val="00F32FEE"/>
    <w:rPr>
      <w:rFonts w:ascii="Times New Roman" w:eastAsia="Times New Roman" w:hAnsi="Times New Roman" w:cs="Times New Roman"/>
      <w:sz w:val="24"/>
      <w:szCs w:val="24"/>
    </w:rPr>
  </w:style>
  <w:style w:type="character" w:styleId="PageNumber">
    <w:name w:val="page number"/>
    <w:uiPriority w:val="99"/>
    <w:rsid w:val="00F32FEE"/>
    <w:rPr>
      <w:rFonts w:cs="Times New Roman"/>
    </w:rPr>
  </w:style>
  <w:style w:type="paragraph" w:styleId="BodyText">
    <w:name w:val="Body Text"/>
    <w:basedOn w:val="Normal"/>
    <w:link w:val="BodyTextChar"/>
    <w:uiPriority w:val="99"/>
    <w:rsid w:val="00F32FEE"/>
    <w:pPr>
      <w:jc w:val="both"/>
    </w:pPr>
  </w:style>
  <w:style w:type="character" w:customStyle="1" w:styleId="BodyTextChar">
    <w:name w:val="Body Text Char"/>
    <w:basedOn w:val="DefaultParagraphFont"/>
    <w:link w:val="BodyText"/>
    <w:uiPriority w:val="99"/>
    <w:rsid w:val="00F32FEE"/>
    <w:rPr>
      <w:rFonts w:ascii="Times New Roman" w:eastAsia="Times New Roman" w:hAnsi="Times New Roman" w:cs="Times New Roman"/>
      <w:sz w:val="24"/>
      <w:szCs w:val="24"/>
    </w:rPr>
  </w:style>
  <w:style w:type="character" w:styleId="Hyperlink">
    <w:name w:val="Hyperlink"/>
    <w:uiPriority w:val="99"/>
    <w:rsid w:val="00F32FEE"/>
    <w:rPr>
      <w:rFonts w:cs="Times New Roman"/>
      <w:color w:val="0000FF"/>
      <w:u w:val="single"/>
    </w:rPr>
  </w:style>
  <w:style w:type="paragraph" w:styleId="ListParagraph">
    <w:name w:val="List Paragraph"/>
    <w:basedOn w:val="Normal"/>
    <w:uiPriority w:val="34"/>
    <w:qFormat/>
    <w:rsid w:val="00F32FEE"/>
    <w:pPr>
      <w:ind w:left="720"/>
      <w:contextualSpacing/>
      <w:jc w:val="both"/>
    </w:pPr>
    <w:rPr>
      <w:szCs w:val="20"/>
    </w:rPr>
  </w:style>
  <w:style w:type="paragraph" w:customStyle="1" w:styleId="Default">
    <w:name w:val="Default"/>
    <w:rsid w:val="004B54D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C2FC6"/>
    <w:rPr>
      <w:rFonts w:ascii="Tahoma" w:hAnsi="Tahoma" w:cs="Tahoma"/>
      <w:sz w:val="16"/>
      <w:szCs w:val="16"/>
    </w:rPr>
  </w:style>
  <w:style w:type="character" w:customStyle="1" w:styleId="BalloonTextChar">
    <w:name w:val="Balloon Text Char"/>
    <w:basedOn w:val="DefaultParagraphFont"/>
    <w:link w:val="BalloonText"/>
    <w:uiPriority w:val="99"/>
    <w:semiHidden/>
    <w:rsid w:val="006C2FC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80BAA"/>
    <w:rPr>
      <w:sz w:val="16"/>
      <w:szCs w:val="16"/>
    </w:rPr>
  </w:style>
  <w:style w:type="paragraph" w:styleId="CommentText">
    <w:name w:val="annotation text"/>
    <w:basedOn w:val="Normal"/>
    <w:link w:val="CommentTextChar"/>
    <w:uiPriority w:val="99"/>
    <w:semiHidden/>
    <w:unhideWhenUsed/>
    <w:rsid w:val="00380BAA"/>
    <w:rPr>
      <w:sz w:val="20"/>
      <w:szCs w:val="20"/>
    </w:rPr>
  </w:style>
  <w:style w:type="character" w:customStyle="1" w:styleId="CommentTextChar">
    <w:name w:val="Comment Text Char"/>
    <w:basedOn w:val="DefaultParagraphFont"/>
    <w:link w:val="CommentText"/>
    <w:uiPriority w:val="99"/>
    <w:semiHidden/>
    <w:rsid w:val="00380B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BAA"/>
    <w:rPr>
      <w:b/>
      <w:bCs/>
    </w:rPr>
  </w:style>
  <w:style w:type="character" w:customStyle="1" w:styleId="CommentSubjectChar">
    <w:name w:val="Comment Subject Char"/>
    <w:basedOn w:val="CommentTextChar"/>
    <w:link w:val="CommentSubject"/>
    <w:uiPriority w:val="99"/>
    <w:semiHidden/>
    <w:rsid w:val="00380BAA"/>
    <w:rPr>
      <w:b/>
      <w:bCs/>
    </w:rPr>
  </w:style>
  <w:style w:type="paragraph" w:styleId="BodyTextIndent">
    <w:name w:val="Body Text Indent"/>
    <w:basedOn w:val="Normal"/>
    <w:link w:val="BodyTextIndentChar"/>
    <w:rsid w:val="006F6303"/>
    <w:pPr>
      <w:spacing w:after="120"/>
      <w:ind w:left="283"/>
    </w:pPr>
    <w:rPr>
      <w:lang w:eastAsia="lv-LV"/>
    </w:rPr>
  </w:style>
  <w:style w:type="character" w:customStyle="1" w:styleId="BodyTextIndentChar">
    <w:name w:val="Body Text Indent Char"/>
    <w:basedOn w:val="DefaultParagraphFont"/>
    <w:link w:val="BodyTextIndent"/>
    <w:rsid w:val="006F6303"/>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246457459">
      <w:bodyDiv w:val="1"/>
      <w:marLeft w:val="45"/>
      <w:marRight w:val="45"/>
      <w:marTop w:val="90"/>
      <w:marBottom w:val="90"/>
      <w:divBdr>
        <w:top w:val="none" w:sz="0" w:space="0" w:color="auto"/>
        <w:left w:val="none" w:sz="0" w:space="0" w:color="auto"/>
        <w:bottom w:val="none" w:sz="0" w:space="0" w:color="auto"/>
        <w:right w:val="none" w:sz="0" w:space="0" w:color="auto"/>
      </w:divBdr>
      <w:divsChild>
        <w:div w:id="634529463">
          <w:marLeft w:val="0"/>
          <w:marRight w:val="0"/>
          <w:marTop w:val="0"/>
          <w:marBottom w:val="567"/>
          <w:divBdr>
            <w:top w:val="none" w:sz="0" w:space="0" w:color="auto"/>
            <w:left w:val="none" w:sz="0" w:space="0" w:color="auto"/>
            <w:bottom w:val="none" w:sz="0" w:space="0" w:color="auto"/>
            <w:right w:val="none" w:sz="0" w:space="0" w:color="auto"/>
          </w:divBdr>
        </w:div>
      </w:divsChild>
    </w:div>
    <w:div w:id="19461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Lama@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3059</Words>
  <Characters>1745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Lāma</dc:creator>
  <cp:lastModifiedBy>Linda Lāma</cp:lastModifiedBy>
  <cp:revision>16</cp:revision>
  <dcterms:created xsi:type="dcterms:W3CDTF">2011-08-23T06:11:00Z</dcterms:created>
  <dcterms:modified xsi:type="dcterms:W3CDTF">2011-09-15T07:56:00Z</dcterms:modified>
</cp:coreProperties>
</file>