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0AE2" w:rsidRPr="007869AC" w:rsidRDefault="00127103" w:rsidP="00F00AE2">
      <w:pPr>
        <w:pStyle w:val="naisc"/>
        <w:spacing w:before="0" w:after="0"/>
        <w:rPr>
          <w:b/>
          <w:sz w:val="28"/>
          <w:szCs w:val="28"/>
        </w:rPr>
      </w:pPr>
      <w:r>
        <w:rPr>
          <w:b/>
          <w:sz w:val="28"/>
          <w:szCs w:val="28"/>
        </w:rPr>
        <w:t>M</w:t>
      </w:r>
      <w:r w:rsidR="00E4465A" w:rsidRPr="007869AC">
        <w:rPr>
          <w:b/>
          <w:sz w:val="28"/>
          <w:szCs w:val="28"/>
        </w:rPr>
        <w:t>inistru kabineta noteikumu projekta „</w:t>
      </w:r>
      <w:r w:rsidR="00F16F08" w:rsidRPr="007869AC">
        <w:rPr>
          <w:b/>
          <w:sz w:val="28"/>
          <w:szCs w:val="28"/>
        </w:rPr>
        <w:t>Grozījum</w:t>
      </w:r>
      <w:r w:rsidR="00B139DB">
        <w:rPr>
          <w:b/>
          <w:sz w:val="28"/>
          <w:szCs w:val="28"/>
        </w:rPr>
        <w:t>i</w:t>
      </w:r>
      <w:r w:rsidR="00F16F08" w:rsidRPr="007869AC">
        <w:rPr>
          <w:b/>
          <w:sz w:val="28"/>
          <w:szCs w:val="28"/>
        </w:rPr>
        <w:t xml:space="preserve"> Ministru kabineta 2011.gada 20.septembra noteikumos Nr.723 „Darbību ar jonizējošā starojuma avotiem licencēšanas kārtība</w:t>
      </w:r>
      <w:r w:rsidR="00F16F08" w:rsidRPr="007869AC">
        <w:rPr>
          <w:b/>
          <w:bCs/>
          <w:sz w:val="28"/>
          <w:szCs w:val="28"/>
        </w:rPr>
        <w:t>”</w:t>
      </w:r>
      <w:r w:rsidR="00E4465A" w:rsidRPr="007869AC">
        <w:rPr>
          <w:b/>
          <w:bCs/>
          <w:sz w:val="28"/>
          <w:szCs w:val="28"/>
        </w:rPr>
        <w:t>”</w:t>
      </w:r>
      <w:r w:rsidR="00F00AE2" w:rsidRPr="007869AC">
        <w:rPr>
          <w:b/>
          <w:sz w:val="28"/>
          <w:szCs w:val="28"/>
        </w:rPr>
        <w:t xml:space="preserve"> </w:t>
      </w:r>
    </w:p>
    <w:p w:rsidR="00F00AE2" w:rsidRPr="007869AC" w:rsidRDefault="00F00AE2" w:rsidP="00F00AE2">
      <w:pPr>
        <w:jc w:val="center"/>
        <w:rPr>
          <w:b/>
          <w:bCs/>
          <w:szCs w:val="28"/>
          <w:lang w:eastAsia="lv-LV"/>
        </w:rPr>
      </w:pPr>
      <w:r w:rsidRPr="007869AC">
        <w:rPr>
          <w:b/>
          <w:bCs/>
          <w:szCs w:val="28"/>
          <w:lang w:eastAsia="lv-LV"/>
        </w:rPr>
        <w:t>sākotnējās ietekm</w:t>
      </w:r>
      <w:smartTag w:uri="urn:schemas-microsoft-com:office:smarttags" w:element="PersonName">
        <w:r w:rsidRPr="007869AC">
          <w:rPr>
            <w:b/>
            <w:bCs/>
            <w:szCs w:val="28"/>
            <w:lang w:eastAsia="lv-LV"/>
          </w:rPr>
          <w:t>es</w:t>
        </w:r>
      </w:smartTag>
      <w:r w:rsidRPr="007869AC">
        <w:rPr>
          <w:b/>
          <w:bCs/>
          <w:szCs w:val="28"/>
          <w:lang w:eastAsia="lv-LV"/>
        </w:rPr>
        <w:t xml:space="preserve"> novērtējuma </w:t>
      </w:r>
      <w:smartTag w:uri="schemas-tilde-lv/tildestengine" w:element="veidnes">
        <w:smartTagPr>
          <w:attr w:name="id" w:val="-1"/>
          <w:attr w:name="baseform" w:val="zi￲ojums"/>
          <w:attr w:name="text" w:val="ziņojums"/>
        </w:smartTagPr>
        <w:smartTag w:uri="urn:schemas-microsoft-com:office:smarttags" w:element="Street">
          <w:smartTagPr>
            <w:attr w:name="text" w:val="ziņojums"/>
            <w:attr w:name="baseform" w:val="zi￲ojums"/>
            <w:attr w:name="id" w:val="-1"/>
          </w:smartTagPr>
          <w:r w:rsidRPr="007869AC">
            <w:rPr>
              <w:b/>
              <w:bCs/>
              <w:szCs w:val="28"/>
              <w:lang w:eastAsia="lv-LV"/>
            </w:rPr>
            <w:t>ziņojums</w:t>
          </w:r>
        </w:smartTag>
      </w:smartTag>
      <w:r w:rsidRPr="007869AC">
        <w:rPr>
          <w:b/>
          <w:bCs/>
          <w:szCs w:val="28"/>
          <w:lang w:eastAsia="lv-LV"/>
        </w:rPr>
        <w:t xml:space="preserve"> </w:t>
      </w:r>
    </w:p>
    <w:p w:rsidR="00F00AE2" w:rsidRDefault="00F00AE2" w:rsidP="00F00AE2">
      <w:pPr>
        <w:jc w:val="center"/>
        <w:rPr>
          <w:b/>
          <w:bCs/>
          <w:szCs w:val="28"/>
          <w:lang w:eastAsia="lv-LV"/>
        </w:rPr>
      </w:pPr>
      <w:r w:rsidRPr="007869AC">
        <w:rPr>
          <w:b/>
          <w:bCs/>
          <w:szCs w:val="28"/>
          <w:lang w:eastAsia="lv-LV"/>
        </w:rPr>
        <w:t>(anotācija)</w:t>
      </w:r>
    </w:p>
    <w:p w:rsidR="00D85B53" w:rsidRPr="007869AC" w:rsidRDefault="00D85B53" w:rsidP="00F00AE2">
      <w:pPr>
        <w:jc w:val="center"/>
        <w:rPr>
          <w:b/>
          <w:bCs/>
          <w:szCs w:val="28"/>
          <w:lang w:eastAsia="lv-LV"/>
        </w:rPr>
      </w:pPr>
    </w:p>
    <w:p w:rsidR="00BF38D9" w:rsidRPr="007869AC" w:rsidRDefault="00BF38D9" w:rsidP="00F00AE2">
      <w:pPr>
        <w:rPr>
          <w:b/>
          <w:bCs/>
          <w:szCs w:val="28"/>
          <w:lang w:eastAsia="lv-LV"/>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2437"/>
        <w:gridCol w:w="6095"/>
      </w:tblGrid>
      <w:tr w:rsidR="004E0BED" w:rsidRPr="007869AC" w:rsidTr="00565391">
        <w:tc>
          <w:tcPr>
            <w:tcW w:w="9072" w:type="dxa"/>
            <w:gridSpan w:val="3"/>
            <w:shd w:val="clear" w:color="auto" w:fill="auto"/>
          </w:tcPr>
          <w:p w:rsidR="004E0BED" w:rsidRPr="007869AC" w:rsidRDefault="004E0BED" w:rsidP="00B83ED8">
            <w:pPr>
              <w:spacing w:before="120" w:after="120"/>
              <w:jc w:val="center"/>
              <w:rPr>
                <w:b/>
                <w:bCs/>
                <w:sz w:val="24"/>
                <w:lang w:eastAsia="lv-LV"/>
              </w:rPr>
            </w:pPr>
            <w:r w:rsidRPr="007869AC">
              <w:rPr>
                <w:b/>
                <w:bCs/>
                <w:sz w:val="24"/>
              </w:rPr>
              <w:t>I. Tiesību akta projekta izstrādes nepieciešamība</w:t>
            </w:r>
          </w:p>
        </w:tc>
      </w:tr>
      <w:tr w:rsidR="004E0BED" w:rsidRPr="007869AC" w:rsidTr="00565391">
        <w:tc>
          <w:tcPr>
            <w:tcW w:w="540" w:type="dxa"/>
            <w:shd w:val="clear" w:color="auto" w:fill="auto"/>
          </w:tcPr>
          <w:p w:rsidR="004E0BED" w:rsidRPr="007869AC" w:rsidRDefault="004E0BED" w:rsidP="00BE0CB2">
            <w:pPr>
              <w:pStyle w:val="naiskr"/>
              <w:jc w:val="center"/>
            </w:pPr>
            <w:r w:rsidRPr="007869AC">
              <w:t>1.</w:t>
            </w:r>
          </w:p>
        </w:tc>
        <w:tc>
          <w:tcPr>
            <w:tcW w:w="2437" w:type="dxa"/>
            <w:shd w:val="clear" w:color="auto" w:fill="auto"/>
          </w:tcPr>
          <w:p w:rsidR="004E0BED" w:rsidRPr="007869AC" w:rsidRDefault="004E0BED" w:rsidP="00B83ED8">
            <w:pPr>
              <w:pStyle w:val="naislab"/>
              <w:ind w:left="6" w:right="165"/>
              <w:jc w:val="both"/>
            </w:pPr>
            <w:r w:rsidRPr="007869AC">
              <w:t>Pamatojums</w:t>
            </w:r>
          </w:p>
        </w:tc>
        <w:tc>
          <w:tcPr>
            <w:tcW w:w="6095" w:type="dxa"/>
            <w:shd w:val="clear" w:color="auto" w:fill="auto"/>
          </w:tcPr>
          <w:p w:rsidR="00AB3E06" w:rsidRPr="003C35B7" w:rsidRDefault="003C35B7" w:rsidP="00633297">
            <w:pPr>
              <w:pStyle w:val="naisc"/>
              <w:spacing w:before="0" w:after="120"/>
              <w:jc w:val="both"/>
              <w:rPr>
                <w:bCs/>
              </w:rPr>
            </w:pPr>
            <w:r w:rsidRPr="003C35B7">
              <w:t xml:space="preserve">1) </w:t>
            </w:r>
            <w:r w:rsidR="00E4465A" w:rsidRPr="003C35B7">
              <w:t>Ministru kabineta</w:t>
            </w:r>
            <w:r w:rsidR="00A03EA6" w:rsidRPr="003C35B7">
              <w:t xml:space="preserve"> (turpmāk – MK)</w:t>
            </w:r>
            <w:r w:rsidR="00E4465A" w:rsidRPr="003C35B7">
              <w:t xml:space="preserve"> noteikumu projekts „</w:t>
            </w:r>
            <w:r w:rsidR="00F16F08" w:rsidRPr="003C35B7">
              <w:t>Grozījum</w:t>
            </w:r>
            <w:r w:rsidR="001A02C7">
              <w:t>i</w:t>
            </w:r>
            <w:r w:rsidR="00F16F08" w:rsidRPr="003C35B7">
              <w:t xml:space="preserve"> </w:t>
            </w:r>
            <w:bookmarkStart w:id="0" w:name="OLE_LINK4"/>
            <w:bookmarkStart w:id="1" w:name="OLE_LINK5"/>
            <w:r w:rsidR="00F16F08" w:rsidRPr="003C35B7">
              <w:t>Ministru kabineta 2011.gada 20.septembra noteikumos Nr.723 „Darbību ar jonizējošā starojuma avotiem licencēšanas kārtība</w:t>
            </w:r>
            <w:r w:rsidR="00F16F08" w:rsidRPr="003C35B7">
              <w:rPr>
                <w:bCs/>
              </w:rPr>
              <w:t>””</w:t>
            </w:r>
            <w:bookmarkEnd w:id="0"/>
            <w:bookmarkEnd w:id="1"/>
            <w:r w:rsidR="00F16F08" w:rsidRPr="003C35B7">
              <w:rPr>
                <w:bCs/>
              </w:rPr>
              <w:t xml:space="preserve"> </w:t>
            </w:r>
            <w:r w:rsidR="00FE7F44" w:rsidRPr="003C35B7">
              <w:t xml:space="preserve">(turpmāk – projekts) </w:t>
            </w:r>
            <w:r w:rsidR="00F16F08" w:rsidRPr="003C35B7">
              <w:rPr>
                <w:bCs/>
              </w:rPr>
              <w:t>sagatavots, lai mazinātu administratīvo slogu komersantiem, kuri veic darbības ar jonizējošā starojuma avotiem.</w:t>
            </w:r>
          </w:p>
          <w:p w:rsidR="003C35B7" w:rsidRPr="003C35B7" w:rsidRDefault="003C35B7" w:rsidP="00633297">
            <w:pPr>
              <w:pStyle w:val="naisc"/>
              <w:spacing w:before="0" w:after="120"/>
              <w:jc w:val="both"/>
              <w:rPr>
                <w:bCs/>
              </w:rPr>
            </w:pPr>
            <w:r w:rsidRPr="003C35B7">
              <w:rPr>
                <w:bCs/>
              </w:rPr>
              <w:t xml:space="preserve">2) </w:t>
            </w:r>
            <w:r w:rsidRPr="003C35B7">
              <w:rPr>
                <w:i/>
                <w:iCs/>
              </w:rPr>
              <w:t xml:space="preserve">Euro </w:t>
            </w:r>
            <w:r w:rsidRPr="003C35B7">
              <w:t xml:space="preserve">ieviešanas kārtības likuma 30.panta pirmā daļa, MK 2012.gada 27.jūnija rīkojuma Nr.282 „Par „Koncepciju par normatīvo aktu sakārtošanu saistībā ar eiro ieviešanu Latvijā”” 7.1.apakšpunkts, MK 2013.gada 29.maija rīkojums Nr.212 „Par tiesību aktu grozījumu virzību saistībā ar </w:t>
            </w:r>
            <w:r w:rsidRPr="003C35B7">
              <w:rPr>
                <w:i/>
              </w:rPr>
              <w:t>euro</w:t>
            </w:r>
            <w:r w:rsidRPr="003C35B7">
              <w:t xml:space="preserve"> ieviešanu Latvijā” un Latvijas Nacionālā </w:t>
            </w:r>
            <w:r w:rsidRPr="003C35B7">
              <w:rPr>
                <w:i/>
                <w:iCs/>
              </w:rPr>
              <w:t xml:space="preserve">euro </w:t>
            </w:r>
            <w:r w:rsidRPr="003C35B7">
              <w:t>ieviešanas plāna (apstiprināts ar MK 2013.gada 4.aprīļa rīkojumu Nr.136) 1. pielikuma J2.2. (J2.2.1) pasākums.</w:t>
            </w:r>
          </w:p>
        </w:tc>
      </w:tr>
      <w:tr w:rsidR="004E0BED" w:rsidRPr="007869AC" w:rsidTr="00565391">
        <w:tc>
          <w:tcPr>
            <w:tcW w:w="540" w:type="dxa"/>
            <w:shd w:val="clear" w:color="auto" w:fill="auto"/>
          </w:tcPr>
          <w:p w:rsidR="004E0BED" w:rsidRPr="007869AC" w:rsidRDefault="004E0BED" w:rsidP="00BE0CB2">
            <w:pPr>
              <w:pStyle w:val="naiskr"/>
              <w:jc w:val="center"/>
            </w:pPr>
            <w:r w:rsidRPr="007869AC">
              <w:t>2.</w:t>
            </w:r>
          </w:p>
        </w:tc>
        <w:tc>
          <w:tcPr>
            <w:tcW w:w="2437" w:type="dxa"/>
            <w:shd w:val="clear" w:color="auto" w:fill="auto"/>
          </w:tcPr>
          <w:p w:rsidR="004E0BED" w:rsidRPr="007869AC" w:rsidRDefault="004E0BED" w:rsidP="00B83ED8">
            <w:pPr>
              <w:pStyle w:val="naiskr"/>
              <w:ind w:left="6"/>
              <w:jc w:val="both"/>
            </w:pPr>
            <w:r w:rsidRPr="007869AC">
              <w:t>Pašreizējā situācija un problēmas</w:t>
            </w:r>
          </w:p>
        </w:tc>
        <w:tc>
          <w:tcPr>
            <w:tcW w:w="6095" w:type="dxa"/>
            <w:shd w:val="clear" w:color="auto" w:fill="auto"/>
          </w:tcPr>
          <w:p w:rsidR="00E5731C" w:rsidRPr="0067216C" w:rsidRDefault="00E5731C" w:rsidP="0008724C">
            <w:pPr>
              <w:pStyle w:val="BodyText"/>
              <w:jc w:val="both"/>
              <w:outlineLvl w:val="0"/>
            </w:pPr>
            <w:r w:rsidRPr="0067216C">
              <w:t>MK 2011.gada 20.septembra noteikumi Nr.723 „Darbību ar jonizējošā starojuma avotiem licencēšanas kārtība</w:t>
            </w:r>
            <w:r w:rsidRPr="0067216C">
              <w:rPr>
                <w:bCs/>
              </w:rPr>
              <w:t xml:space="preserve">”” (turpmāk – MK noteikumi Nr.723) </w:t>
            </w:r>
            <w:r w:rsidRPr="0067216C">
              <w:t xml:space="preserve">ir izdoti saskaņā ar </w:t>
            </w:r>
            <w:r w:rsidR="00355273" w:rsidRPr="0067216C">
              <w:t xml:space="preserve">likuma „Par radiācijas drošību un kodoldrošību” </w:t>
            </w:r>
            <w:r w:rsidRPr="0067216C">
              <w:t xml:space="preserve">11.panta otrās daļas 1., 2. un 3.punktu, 11.panta piekto daļu, </w:t>
            </w:r>
            <w:r w:rsidRPr="0067216C">
              <w:br/>
              <w:t xml:space="preserve">12.panta otro daļu un 29.panta ceturto daļu. </w:t>
            </w:r>
          </w:p>
          <w:p w:rsidR="00E5731C" w:rsidRPr="0067216C" w:rsidRDefault="00E5731C" w:rsidP="0008724C">
            <w:pPr>
              <w:pStyle w:val="BodyText"/>
              <w:jc w:val="both"/>
              <w:outlineLvl w:val="0"/>
            </w:pPr>
            <w:r w:rsidRPr="0067216C">
              <w:t>MK noteikumi Nr.723 nosaka:</w:t>
            </w:r>
          </w:p>
          <w:p w:rsidR="00E5731C" w:rsidRPr="0067216C" w:rsidRDefault="00E5731C" w:rsidP="00E5731C">
            <w:pPr>
              <w:pStyle w:val="BodyText"/>
              <w:jc w:val="both"/>
              <w:outlineLvl w:val="0"/>
            </w:pPr>
            <w:r w:rsidRPr="0067216C">
              <w:t xml:space="preserve">1. darbības ar jonizējošā starojuma avotiem, kurām nav nepieciešama speciālā atļauja (licence) vai atļauja; </w:t>
            </w:r>
          </w:p>
          <w:p w:rsidR="00E5731C" w:rsidRPr="0067216C" w:rsidRDefault="00E5731C" w:rsidP="00E5731C">
            <w:pPr>
              <w:pStyle w:val="BodyText"/>
              <w:jc w:val="both"/>
              <w:outlineLvl w:val="0"/>
            </w:pPr>
            <w:r w:rsidRPr="0067216C">
              <w:t xml:space="preserve">2. kritērijus, kas jāievēro, lai pieprasītu speciālo atļauju (licenci) vai atļauju darbībām ar jonizējošā starojuma avotiem; </w:t>
            </w:r>
          </w:p>
          <w:p w:rsidR="00E5731C" w:rsidRPr="0067216C" w:rsidRDefault="00E5731C" w:rsidP="00E5731C">
            <w:pPr>
              <w:pStyle w:val="BodyText"/>
              <w:jc w:val="both"/>
              <w:outlineLvl w:val="0"/>
            </w:pPr>
            <w:r w:rsidRPr="0067216C">
              <w:t xml:space="preserve">3. kārtību, kādā izsniedzamas speciālās atļaujas (licences) un atļaujas darbībām ar jonizējošā starojuma avotiem; </w:t>
            </w:r>
          </w:p>
          <w:p w:rsidR="00E5731C" w:rsidRPr="0067216C" w:rsidRDefault="00E5731C" w:rsidP="00E5731C">
            <w:pPr>
              <w:pStyle w:val="BodyText"/>
              <w:jc w:val="both"/>
              <w:outlineLvl w:val="0"/>
            </w:pPr>
            <w:r w:rsidRPr="0067216C">
              <w:t xml:space="preserve">4. valsts nodevas apmēru un maksāšanas kārtību; </w:t>
            </w:r>
          </w:p>
          <w:p w:rsidR="00E5731C" w:rsidRPr="0067216C" w:rsidRDefault="00E5731C" w:rsidP="00E5731C">
            <w:pPr>
              <w:pStyle w:val="BodyText"/>
              <w:jc w:val="both"/>
              <w:outlineLvl w:val="0"/>
            </w:pPr>
            <w:r w:rsidRPr="0067216C">
              <w:t xml:space="preserve">5. kārtību, kādā publiski apspriežama valsts nozīmes jonizējošā starojuma objektu izveidošana vai būtisku pārmaiņu veikšana tajos; </w:t>
            </w:r>
          </w:p>
          <w:p w:rsidR="00E5731C" w:rsidRPr="0067216C" w:rsidRDefault="00E5731C" w:rsidP="00E5731C">
            <w:pPr>
              <w:pStyle w:val="BodyText"/>
              <w:jc w:val="both"/>
              <w:outlineLvl w:val="0"/>
            </w:pPr>
            <w:r w:rsidRPr="0067216C">
              <w:t>6. civiltiesiskās atbildības apdrošinājuma minimālo summu.</w:t>
            </w:r>
          </w:p>
          <w:p w:rsidR="00E5731C" w:rsidRPr="0067216C" w:rsidRDefault="00E5731C" w:rsidP="0008724C">
            <w:pPr>
              <w:pStyle w:val="BodyText"/>
              <w:jc w:val="both"/>
              <w:outlineLvl w:val="0"/>
            </w:pPr>
            <w:r w:rsidRPr="0067216C">
              <w:t>C</w:t>
            </w:r>
            <w:r w:rsidR="0008724C" w:rsidRPr="0067216C">
              <w:t>iviltiesiskās atbildības apdrošinā</w:t>
            </w:r>
            <w:r w:rsidRPr="0067216C">
              <w:t xml:space="preserve">šana ir nepieciešama  </w:t>
            </w:r>
            <w:r w:rsidR="0008724C" w:rsidRPr="0067216C">
              <w:t xml:space="preserve"> </w:t>
            </w:r>
            <w:r w:rsidRPr="0067216C">
              <w:t xml:space="preserve">jebkurām darbībām ar jonizējošā starojuma avotiem un </w:t>
            </w:r>
            <w:r w:rsidR="0008724C" w:rsidRPr="0067216C">
              <w:lastRenderedPageBreak/>
              <w:t xml:space="preserve">minimālās summas </w:t>
            </w:r>
            <w:r w:rsidRPr="0067216C">
              <w:t>ir noteiktas, ievērojot avotu bīstamību.</w:t>
            </w:r>
          </w:p>
          <w:p w:rsidR="00E5731C" w:rsidRPr="0067216C" w:rsidRDefault="0008724C" w:rsidP="0067689C">
            <w:pPr>
              <w:pStyle w:val="BodyText"/>
              <w:jc w:val="both"/>
              <w:outlineLvl w:val="0"/>
            </w:pPr>
            <w:r w:rsidRPr="0067216C">
              <w:t xml:space="preserve">Izstrādājot grozījumus likumā „Par radiācijas drošību un kodoldrošību” (izsludināti Valsts sekretāru sanāksmē 2013.gada 7.februārī, </w:t>
            </w:r>
            <w:r w:rsidR="00DB0C94" w:rsidRPr="0067216C">
              <w:t>VSS-</w:t>
            </w:r>
            <w:r w:rsidR="00735D55" w:rsidRPr="0067216C">
              <w:t>105</w:t>
            </w:r>
            <w:r w:rsidRPr="0067216C">
              <w:t>)</w:t>
            </w:r>
            <w:r w:rsidR="0067689C" w:rsidRPr="0067216C">
              <w:t xml:space="preserve">, konstatēts, ka pēc izmaiņām likumā </w:t>
            </w:r>
            <w:r w:rsidR="00355273" w:rsidRPr="0067216C">
              <w:t>būs</w:t>
            </w:r>
            <w:r w:rsidR="0067689C" w:rsidRPr="0067216C">
              <w:t xml:space="preserve"> </w:t>
            </w:r>
            <w:r w:rsidR="00355273" w:rsidRPr="0067216C">
              <w:t>jāizstrādā</w:t>
            </w:r>
            <w:r w:rsidR="0067689C" w:rsidRPr="0067216C">
              <w:t xml:space="preserve"> arī jauni MK noteikumi par darbībām ar jonizējošā starojuma avotiem licencēšanu. Šajos noteikumos plānots veikt izmaiņas arī jautājumos par civiltiesisk</w:t>
            </w:r>
            <w:r w:rsidR="00182683" w:rsidRPr="0067216C">
              <w:t>ās</w:t>
            </w:r>
            <w:r w:rsidR="0067689C" w:rsidRPr="0067216C">
              <w:t xml:space="preserve"> atbildības apdrošināšanu, samazinot to objektu skaitu, kuriem nepieciešama šāda apdrošināšana</w:t>
            </w:r>
            <w:r w:rsidR="00355273" w:rsidRPr="0067216C">
              <w:t xml:space="preserve">. Šādas izmaiņas </w:t>
            </w:r>
            <w:r w:rsidR="00DB0C94" w:rsidRPr="0067216C">
              <w:t>būtu</w:t>
            </w:r>
            <w:r w:rsidR="00C206D1" w:rsidRPr="0067216C">
              <w:t xml:space="preserve"> atbalstāmas</w:t>
            </w:r>
            <w:r w:rsidR="0067689C" w:rsidRPr="0067216C">
              <w:t xml:space="preserve">, </w:t>
            </w:r>
            <w:r w:rsidR="00C206D1" w:rsidRPr="0067216C">
              <w:t>ievērojot, ka</w:t>
            </w:r>
            <w:r w:rsidR="0067689C" w:rsidRPr="0067216C">
              <w:t xml:space="preserve"> </w:t>
            </w:r>
            <w:r w:rsidR="00C206D1" w:rsidRPr="0067216C">
              <w:t>radiācijas drošības prasību ievērošana ir pieaugusi, kā arī ar katru gadu tiek izmantoti arvien jaunāki un modernāki jonizējošā starojuma avoti, kuru drošības mehānismi ir ievērojami augstāki</w:t>
            </w:r>
            <w:r w:rsidR="00E5731C" w:rsidRPr="0067216C">
              <w:t xml:space="preserve">, kā arī to, ka VARAM rīcībā nav informācijas </w:t>
            </w:r>
            <w:r w:rsidR="0059798F">
              <w:t xml:space="preserve">par </w:t>
            </w:r>
            <w:r w:rsidR="00E5731C" w:rsidRPr="0067216C">
              <w:t>situācij</w:t>
            </w:r>
            <w:r w:rsidR="009366CA">
              <w:t>ām</w:t>
            </w:r>
            <w:r w:rsidR="00E5731C" w:rsidRPr="0067216C">
              <w:t xml:space="preserve">, kad ir </w:t>
            </w:r>
            <w:r w:rsidR="009366CA">
              <w:t xml:space="preserve">bijusi </w:t>
            </w:r>
            <w:r w:rsidR="00E5731C" w:rsidRPr="0067216C">
              <w:t>jāizmanto šī apdrošināšana</w:t>
            </w:r>
            <w:r w:rsidR="0067689C" w:rsidRPr="0067216C">
              <w:t xml:space="preserve">. </w:t>
            </w:r>
            <w:r w:rsidR="00E5731C" w:rsidRPr="0067216C">
              <w:t xml:space="preserve">Jebkurā gadījumā, ja cilvēks uzskata, ka ir nodarīts kaitējums, veicot darbības ar jonizējošā starojuma avotu, var vērsties tiesā, lai piedzītu </w:t>
            </w:r>
            <w:r w:rsidR="009366CA">
              <w:t>atlīdzību</w:t>
            </w:r>
            <w:r w:rsidR="00E5731C" w:rsidRPr="0067216C">
              <w:t>.</w:t>
            </w:r>
          </w:p>
          <w:p w:rsidR="00B5709E" w:rsidRPr="0067216C" w:rsidRDefault="0067689C" w:rsidP="0067689C">
            <w:pPr>
              <w:pStyle w:val="BodyText"/>
              <w:jc w:val="both"/>
              <w:outlineLvl w:val="0"/>
            </w:pPr>
            <w:r w:rsidRPr="0067216C">
              <w:t>Ievērojot, ka likuma grozījumu virzība varētu būt samērā ilga</w:t>
            </w:r>
            <w:r w:rsidR="005F7095" w:rsidRPr="0067216C">
              <w:t>, jo projektu</w:t>
            </w:r>
            <w:r w:rsidR="00C206D1" w:rsidRPr="0067216C">
              <w:t xml:space="preserve"> atbilstoši </w:t>
            </w:r>
            <w:r w:rsidR="00E5731C" w:rsidRPr="0067216C">
              <w:t>Eiropas Atomenerģijas kopienas dibināšanas līguma (</w:t>
            </w:r>
            <w:r w:rsidR="00E5731C" w:rsidRPr="0067216C">
              <w:rPr>
                <w:i/>
              </w:rPr>
              <w:t xml:space="preserve">Euratom </w:t>
            </w:r>
            <w:r w:rsidR="00E5731C" w:rsidRPr="0067216C">
              <w:t>līgums</w:t>
            </w:r>
            <w:r w:rsidR="00E5731C" w:rsidRPr="0067216C">
              <w:rPr>
                <w:i/>
              </w:rPr>
              <w:t>)</w:t>
            </w:r>
            <w:r w:rsidR="00E5731C" w:rsidRPr="0067216C">
              <w:t xml:space="preserve"> 33.pantam nepieciešams saskaņot ar Eiropas Komisiju </w:t>
            </w:r>
            <w:r w:rsidRPr="0067216C">
              <w:t xml:space="preserve">un arī </w:t>
            </w:r>
            <w:r w:rsidR="00AA39CE" w:rsidRPr="0067216C">
              <w:t xml:space="preserve">jauno </w:t>
            </w:r>
            <w:r w:rsidRPr="0067216C">
              <w:t>MK noteikumu spēkā stāšanās plānota tikai no 2015.gada 1.janvāra, tad, lai samazinātu izmaksas operatoriem, kuri veic darbības ar jonizējošā starojuma avotiem, optimālākais risinājums ir veikt šādas izmaiņas pēc iespējas ātrāk – izdarīt grozījumus MK noteikumos Nr.723.</w:t>
            </w:r>
          </w:p>
          <w:p w:rsidR="00624589" w:rsidRPr="0067216C" w:rsidRDefault="00D75B9D" w:rsidP="00AA39CE">
            <w:pPr>
              <w:pStyle w:val="BodyText"/>
              <w:jc w:val="both"/>
              <w:outlineLvl w:val="0"/>
            </w:pPr>
            <w:r w:rsidRPr="0067216C">
              <w:t xml:space="preserve">Izmaiņas ir nepieciešamas attiecībā uz tiem jonizējošā starojuma avotiem, kuru bīstamība nav liela un kuru iespējamais radītais kaitējums būtu neliels, </w:t>
            </w:r>
            <w:r w:rsidR="0021582D" w:rsidRPr="0067216C">
              <w:t xml:space="preserve">tai skaitā radioaktīvo vielu nesaturošajiem jonizējošā starojuma avotiem, </w:t>
            </w:r>
            <w:r w:rsidR="005A7080" w:rsidRPr="0067216C">
              <w:t>jo tie</w:t>
            </w:r>
            <w:r w:rsidRPr="0067216C">
              <w:t xml:space="preserve"> nerada kaitējumu </w:t>
            </w:r>
            <w:r w:rsidR="005A7080" w:rsidRPr="0067216C">
              <w:t xml:space="preserve">mantai un </w:t>
            </w:r>
            <w:r w:rsidRPr="0067216C">
              <w:t xml:space="preserve">videi. </w:t>
            </w:r>
            <w:r w:rsidR="00624589" w:rsidRPr="0067216C">
              <w:t>Izvērtējot jonizējošā starojuma avot</w:t>
            </w:r>
            <w:r w:rsidR="00A30397" w:rsidRPr="0067216C">
              <w:t>us, ierosinājums ir turpmāk neprasīt obligāto civiltiesiskās atbildības apdrošin</w:t>
            </w:r>
            <w:r w:rsidR="001C4B47" w:rsidRPr="0067216C">
              <w:t>āšanu mazākās bīstamības avotiem</w:t>
            </w:r>
            <w:r w:rsidR="003F0679" w:rsidRPr="0067216C">
              <w:t>, kuru civiltiesiskās atbildības summa ir vismazākā (1000 Ls)</w:t>
            </w:r>
            <w:r w:rsidR="00A30397" w:rsidRPr="0067216C">
              <w:t xml:space="preserve">. </w:t>
            </w:r>
            <w:bookmarkStart w:id="2" w:name="OLE_LINK1"/>
            <w:bookmarkStart w:id="3" w:name="OLE_LINK2"/>
            <w:r w:rsidR="00A30397" w:rsidRPr="0067216C">
              <w:t xml:space="preserve">Tāpat arī </w:t>
            </w:r>
            <w:r w:rsidR="003D3B69" w:rsidRPr="0067216C">
              <w:t xml:space="preserve">ir iespējams izslēgt no saraksta </w:t>
            </w:r>
            <w:r w:rsidR="00A30397" w:rsidRPr="0067216C">
              <w:t>vidējas jaudas</w:t>
            </w:r>
            <w:r w:rsidR="0021582D" w:rsidRPr="0067216C">
              <w:t xml:space="preserve"> un lieljaudas</w:t>
            </w:r>
            <w:r w:rsidR="00A30397" w:rsidRPr="0067216C">
              <w:t xml:space="preserve"> jonizējošā starojuma avot</w:t>
            </w:r>
            <w:r w:rsidR="00F11EDC" w:rsidRPr="0067216C">
              <w:t>us</w:t>
            </w:r>
            <w:r w:rsidR="003F0679" w:rsidRPr="0067216C">
              <w:t>, kuri nesatur radioaktīvās vielas</w:t>
            </w:r>
            <w:r w:rsidR="00A30397" w:rsidRPr="0067216C">
              <w:t xml:space="preserve"> (noteikumu Nr.723 5.pielikuma </w:t>
            </w:r>
            <w:r w:rsidR="003F0679" w:rsidRPr="0067216C">
              <w:t>3</w:t>
            </w:r>
            <w:r w:rsidR="00A30397" w:rsidRPr="0067216C">
              <w:t>.2.</w:t>
            </w:r>
            <w:r w:rsidR="0021582D" w:rsidRPr="0067216C">
              <w:t xml:space="preserve"> un </w:t>
            </w:r>
            <w:r w:rsidR="003F0679" w:rsidRPr="0067216C">
              <w:t>4</w:t>
            </w:r>
            <w:r w:rsidR="0021582D" w:rsidRPr="0067216C">
              <w:t>.2.</w:t>
            </w:r>
            <w:r w:rsidR="00A30397" w:rsidRPr="0067216C">
              <w:t>apakšpunkts)</w:t>
            </w:r>
            <w:r w:rsidR="003F0679" w:rsidRPr="0067216C">
              <w:t>.</w:t>
            </w:r>
            <w:r w:rsidR="00A30397" w:rsidRPr="0067216C">
              <w:t xml:space="preserve"> </w:t>
            </w:r>
            <w:r w:rsidR="003F0679" w:rsidRPr="0067216C">
              <w:t>Š</w:t>
            </w:r>
            <w:r w:rsidR="00A30397" w:rsidRPr="0067216C">
              <w:t>ie</w:t>
            </w:r>
            <w:r w:rsidR="003D3B69" w:rsidRPr="0067216C">
              <w:t xml:space="preserve"> avoti, salīdzinājumā ar noteikumu Nr.723 5.pielikuma </w:t>
            </w:r>
            <w:r w:rsidR="003F0679" w:rsidRPr="0067216C">
              <w:t>3</w:t>
            </w:r>
            <w:r w:rsidR="003D3B69" w:rsidRPr="0067216C">
              <w:t>.1.</w:t>
            </w:r>
            <w:r w:rsidR="0021582D" w:rsidRPr="0067216C">
              <w:t xml:space="preserve"> un </w:t>
            </w:r>
            <w:r w:rsidR="003F0679" w:rsidRPr="0067216C">
              <w:t>4</w:t>
            </w:r>
            <w:r w:rsidR="0021582D" w:rsidRPr="0067216C">
              <w:t>.1.</w:t>
            </w:r>
            <w:r w:rsidR="003D3B69" w:rsidRPr="0067216C">
              <w:t>apakšpunktā minētajiem,</w:t>
            </w:r>
            <w:r w:rsidR="003F0679" w:rsidRPr="0067216C">
              <w:t xml:space="preserve"> kuri satur radioaktīvās vielas,</w:t>
            </w:r>
            <w:r w:rsidR="003D3B69" w:rsidRPr="0067216C">
              <w:t xml:space="preserve"> </w:t>
            </w:r>
            <w:r w:rsidR="003F0679" w:rsidRPr="0067216C">
              <w:t xml:space="preserve">nerada radioaktīvo piesārņojumu un attiecīgi </w:t>
            </w:r>
            <w:r w:rsidR="003F0679" w:rsidRPr="0050271A">
              <w:t>nevar radīt</w:t>
            </w:r>
            <w:r w:rsidR="003D3B69" w:rsidRPr="0050271A">
              <w:t xml:space="preserve"> kaitējumu </w:t>
            </w:r>
            <w:r w:rsidR="0021582D" w:rsidRPr="0050271A">
              <w:t xml:space="preserve">mantai un </w:t>
            </w:r>
            <w:r w:rsidR="003F0679" w:rsidRPr="0050271A">
              <w:t>videi</w:t>
            </w:r>
            <w:r w:rsidR="00E10B31" w:rsidRPr="0050271A">
              <w:t>.</w:t>
            </w:r>
            <w:r w:rsidR="00A30397" w:rsidRPr="0050271A">
              <w:t xml:space="preserve"> </w:t>
            </w:r>
            <w:r w:rsidR="001C4B47" w:rsidRPr="0050271A">
              <w:t>Savukārt, ja ar ši</w:t>
            </w:r>
            <w:r w:rsidR="001C4B47" w:rsidRPr="0067216C">
              <w:t>em avotiem tiks nodarīts tāds kaitējums veselībai, kuru var pierādīt, tad</w:t>
            </w:r>
            <w:r w:rsidR="00082F63" w:rsidRPr="0067216C">
              <w:t xml:space="preserve"> ir</w:t>
            </w:r>
            <w:r w:rsidR="001C4B47" w:rsidRPr="0067216C">
              <w:t xml:space="preserve"> iespējams vērsties tiesā un pieprasīt </w:t>
            </w:r>
            <w:r w:rsidR="00027162">
              <w:t>atlīdzību</w:t>
            </w:r>
            <w:r w:rsidR="00027162" w:rsidRPr="0067216C">
              <w:t xml:space="preserve"> </w:t>
            </w:r>
            <w:r w:rsidR="001C4B47" w:rsidRPr="0067216C">
              <w:t>civiltiesiskā ceļā.</w:t>
            </w:r>
          </w:p>
          <w:bookmarkEnd w:id="2"/>
          <w:bookmarkEnd w:id="3"/>
          <w:p w:rsidR="005A7080" w:rsidRPr="0067216C" w:rsidRDefault="003D44ED" w:rsidP="005A7080">
            <w:pPr>
              <w:pStyle w:val="BodyText"/>
              <w:jc w:val="both"/>
              <w:outlineLvl w:val="0"/>
            </w:pPr>
            <w:r w:rsidRPr="0067216C">
              <w:rPr>
                <w:bCs/>
              </w:rPr>
              <w:t xml:space="preserve">Noteikumu Nr.723 5.pielikuma 3.1.apakšpunktā </w:t>
            </w:r>
            <w:r w:rsidR="00027162">
              <w:rPr>
                <w:bCs/>
              </w:rPr>
              <w:t>minētās</w:t>
            </w:r>
            <w:r w:rsidRPr="0067216C">
              <w:rPr>
                <w:bCs/>
              </w:rPr>
              <w:t xml:space="preserve"> </w:t>
            </w:r>
            <w:r w:rsidR="001635CE" w:rsidRPr="0067216C">
              <w:rPr>
                <w:bCs/>
              </w:rPr>
              <w:t>darbības ar lieljaudas radioaktīvajiem</w:t>
            </w:r>
            <w:r w:rsidRPr="0067216C">
              <w:rPr>
                <w:bCs/>
              </w:rPr>
              <w:t xml:space="preserve"> avoti</w:t>
            </w:r>
            <w:r w:rsidR="001635CE" w:rsidRPr="0067216C">
              <w:rPr>
                <w:bCs/>
              </w:rPr>
              <w:t>em</w:t>
            </w:r>
            <w:r w:rsidRPr="0067216C">
              <w:rPr>
                <w:bCs/>
              </w:rPr>
              <w:t xml:space="preserve"> </w:t>
            </w:r>
            <w:r w:rsidR="00027162">
              <w:rPr>
                <w:bCs/>
              </w:rPr>
              <w:t>pašlaik</w:t>
            </w:r>
            <w:r w:rsidRPr="0067216C">
              <w:rPr>
                <w:bCs/>
              </w:rPr>
              <w:t xml:space="preserve"> </w:t>
            </w:r>
            <w:r w:rsidR="001635CE" w:rsidRPr="0067216C">
              <w:rPr>
                <w:bCs/>
              </w:rPr>
              <w:t xml:space="preserve">veic </w:t>
            </w:r>
            <w:r w:rsidR="001635CE" w:rsidRPr="0067216C">
              <w:rPr>
                <w:bCs/>
              </w:rPr>
              <w:lastRenderedPageBreak/>
              <w:t>12 operatori, bet</w:t>
            </w:r>
            <w:r w:rsidRPr="0067216C">
              <w:rPr>
                <w:bCs/>
              </w:rPr>
              <w:t xml:space="preserve"> 3.2.apakšpunktā minētie</w:t>
            </w:r>
            <w:r w:rsidR="005F7095" w:rsidRPr="0067216C">
              <w:rPr>
                <w:bCs/>
              </w:rPr>
              <w:t xml:space="preserve"> jonizējošā starojuma avoti ir </w:t>
            </w:r>
            <w:r w:rsidR="00D47AF0" w:rsidRPr="0067216C">
              <w:rPr>
                <w:bCs/>
              </w:rPr>
              <w:t>aptuveni 50</w:t>
            </w:r>
            <w:r w:rsidR="00110A36" w:rsidRPr="0067216C">
              <w:rPr>
                <w:bCs/>
              </w:rPr>
              <w:t xml:space="preserve"> </w:t>
            </w:r>
            <w:r w:rsidR="005F7095" w:rsidRPr="0067216C">
              <w:rPr>
                <w:bCs/>
              </w:rPr>
              <w:t xml:space="preserve">operatoru rīcībā. </w:t>
            </w:r>
            <w:r w:rsidRPr="0067216C">
              <w:rPr>
                <w:bCs/>
              </w:rPr>
              <w:t xml:space="preserve"> </w:t>
            </w:r>
            <w:r w:rsidR="00A12A49" w:rsidRPr="0067216C">
              <w:rPr>
                <w:bCs/>
              </w:rPr>
              <w:t>Attiecībā uz n</w:t>
            </w:r>
            <w:r w:rsidR="005A7080" w:rsidRPr="0067216C">
              <w:rPr>
                <w:bCs/>
              </w:rPr>
              <w:t xml:space="preserve">oteikumu Nr.723 5.pielikuma </w:t>
            </w:r>
            <w:r w:rsidR="00A12A49" w:rsidRPr="0067216C">
              <w:rPr>
                <w:bCs/>
              </w:rPr>
              <w:t>4.1.apakšpunktu darbības ar vidējas jaudas jonizējošā starojuma avotiem, kuri satur radioaktīvas vielas</w:t>
            </w:r>
            <w:r w:rsidR="00027162">
              <w:rPr>
                <w:bCs/>
              </w:rPr>
              <w:t>,</w:t>
            </w:r>
            <w:r w:rsidR="00FC33E0" w:rsidRPr="0067216C">
              <w:rPr>
                <w:bCs/>
              </w:rPr>
              <w:t xml:space="preserve"> ir </w:t>
            </w:r>
            <w:r w:rsidR="001635CE" w:rsidRPr="0067216C">
              <w:rPr>
                <w:bCs/>
              </w:rPr>
              <w:t>17</w:t>
            </w:r>
            <w:r w:rsidR="00FC33E0" w:rsidRPr="0067216C">
              <w:rPr>
                <w:bCs/>
              </w:rPr>
              <w:t xml:space="preserve"> operatoru lietošanā.</w:t>
            </w:r>
            <w:r w:rsidR="00A12A49" w:rsidRPr="0067216C">
              <w:rPr>
                <w:bCs/>
              </w:rPr>
              <w:t xml:space="preserve"> </w:t>
            </w:r>
            <w:r w:rsidR="00FC33E0" w:rsidRPr="0067216C">
              <w:rPr>
                <w:bCs/>
              </w:rPr>
              <w:t xml:space="preserve">Savukārt </w:t>
            </w:r>
            <w:r w:rsidR="005A7080" w:rsidRPr="0067216C">
              <w:rPr>
                <w:bCs/>
              </w:rPr>
              <w:t>4.2.apakšpunktā minētie ir rentg</w:t>
            </w:r>
            <w:r w:rsidR="00BB1B48" w:rsidRPr="0067216C">
              <w:rPr>
                <w:bCs/>
              </w:rPr>
              <w:t>en</w:t>
            </w:r>
            <w:r w:rsidR="005A7080" w:rsidRPr="0067216C">
              <w:rPr>
                <w:bCs/>
              </w:rPr>
              <w:t xml:space="preserve">starojuma avoti un Latvijā </w:t>
            </w:r>
            <w:r w:rsidRPr="0067216C">
              <w:rPr>
                <w:bCs/>
              </w:rPr>
              <w:t xml:space="preserve">kopumā </w:t>
            </w:r>
            <w:r w:rsidR="00110A36" w:rsidRPr="0067216C">
              <w:rPr>
                <w:bCs/>
              </w:rPr>
              <w:t>darbības ar šādiem jo</w:t>
            </w:r>
            <w:r w:rsidR="001635CE" w:rsidRPr="0067216C">
              <w:rPr>
                <w:bCs/>
              </w:rPr>
              <w:t xml:space="preserve">nizējošā starojuma avotiem veic </w:t>
            </w:r>
            <w:r w:rsidR="00D47AF0" w:rsidRPr="0067216C">
              <w:rPr>
                <w:bCs/>
              </w:rPr>
              <w:t>aptuveni 840</w:t>
            </w:r>
            <w:r w:rsidRPr="0067216C">
              <w:rPr>
                <w:bCs/>
              </w:rPr>
              <w:t xml:space="preserve"> operatori</w:t>
            </w:r>
            <w:r w:rsidR="00D47AF0" w:rsidRPr="0067216C">
              <w:rPr>
                <w:bCs/>
              </w:rPr>
              <w:t xml:space="preserve"> (pamatā zobārstniecībā un veterinārijā)</w:t>
            </w:r>
            <w:r w:rsidR="00110A36" w:rsidRPr="0067216C">
              <w:rPr>
                <w:bCs/>
              </w:rPr>
              <w:t>.</w:t>
            </w:r>
            <w:r w:rsidR="00017112" w:rsidRPr="0067216C">
              <w:rPr>
                <w:bCs/>
              </w:rPr>
              <w:t xml:space="preserve"> </w:t>
            </w:r>
          </w:p>
          <w:p w:rsidR="00AA39CE" w:rsidRPr="0067216C" w:rsidRDefault="00B942FF" w:rsidP="00AA39CE">
            <w:pPr>
              <w:pStyle w:val="BodyText"/>
              <w:jc w:val="both"/>
              <w:outlineLvl w:val="0"/>
            </w:pPr>
            <w:r w:rsidRPr="0067216C">
              <w:t>Attiecībā uz kodoliekārtām civiltiesiskās atbildības nosacījumi ir noteikti 1997.gada 12.septembra Protokolā par grozījumiem 1963.gada 21.maija Vīnes konvencijā par civilo atbildību par kodolkaitējumiem. Protokols pieņemts un apstiprināts 2001.gada 28.jūnijā ar likumu „Par 1997.gada 12.septembra Protokolu par grozījumiem 1963.gada 21.maija Vīnes konvencijā par civilo atbildību par kodolkaitējumiem”.</w:t>
            </w:r>
          </w:p>
          <w:p w:rsidR="00DB632B" w:rsidRPr="0067216C" w:rsidRDefault="007928BC" w:rsidP="00F90642">
            <w:pPr>
              <w:pStyle w:val="BodyText"/>
              <w:jc w:val="both"/>
              <w:outlineLvl w:val="0"/>
            </w:pPr>
            <w:r w:rsidRPr="0067216C">
              <w:t xml:space="preserve">Papildus, lai tiktu veicināta </w:t>
            </w:r>
            <w:r w:rsidRPr="0067216C">
              <w:rPr>
                <w:bCs/>
              </w:rPr>
              <w:t>labas pārvaldības principa ievērošana valsts pārvaldē ar taisnīgu procedūru īstenošanu saprātīgā laikā,</w:t>
            </w:r>
            <w:r w:rsidR="00F11EDC" w:rsidRPr="0067216C">
              <w:rPr>
                <w:bCs/>
              </w:rPr>
              <w:t xml:space="preserve"> MK noteikumu Nr.723 3</w:t>
            </w:r>
            <w:r w:rsidR="001C4B47" w:rsidRPr="0067216C">
              <w:rPr>
                <w:bCs/>
              </w:rPr>
              <w:t>7</w:t>
            </w:r>
            <w:r w:rsidR="00F11EDC" w:rsidRPr="0067216C">
              <w:rPr>
                <w:bCs/>
              </w:rPr>
              <w:t>.</w:t>
            </w:r>
            <w:r w:rsidR="001C4B47" w:rsidRPr="0067216C">
              <w:rPr>
                <w:bCs/>
              </w:rPr>
              <w:t>, 39., 40. un 41.</w:t>
            </w:r>
            <w:r w:rsidRPr="0067216C">
              <w:rPr>
                <w:bCs/>
              </w:rPr>
              <w:t xml:space="preserve">punktā ir nepieciešams </w:t>
            </w:r>
            <w:r w:rsidR="00DB632B" w:rsidRPr="0067216C">
              <w:rPr>
                <w:bCs/>
              </w:rPr>
              <w:t xml:space="preserve">noteikt konkrētus </w:t>
            </w:r>
            <w:r w:rsidR="00DB632B" w:rsidRPr="0067216C">
              <w:t xml:space="preserve">termiņus, kādos </w:t>
            </w:r>
            <w:r w:rsidR="0059798F">
              <w:t xml:space="preserve">Valsts Vides dienesta Radiācijas drošības centrs </w:t>
            </w:r>
            <w:r w:rsidR="00DB632B" w:rsidRPr="0067216C">
              <w:t>pēc</w:t>
            </w:r>
            <w:r w:rsidR="00F90642" w:rsidRPr="0067216C">
              <w:t xml:space="preserve"> attiecīgu</w:t>
            </w:r>
            <w:r w:rsidR="00DB632B" w:rsidRPr="0067216C">
              <w:t xml:space="preserve"> iesniegumu saņemšanas </w:t>
            </w:r>
            <w:r w:rsidR="001C4B47" w:rsidRPr="0067216C">
              <w:t xml:space="preserve">veic attiecīgās darbības un </w:t>
            </w:r>
            <w:r w:rsidR="003F0679" w:rsidRPr="0067216C">
              <w:t>pieņem lēmumu.</w:t>
            </w:r>
          </w:p>
          <w:p w:rsidR="003C35B7" w:rsidRPr="00027162" w:rsidRDefault="00365491" w:rsidP="003C35B7">
            <w:pPr>
              <w:pStyle w:val="BodyText"/>
              <w:jc w:val="both"/>
              <w:outlineLvl w:val="0"/>
            </w:pPr>
            <w:r w:rsidRPr="00027162">
              <w:t xml:space="preserve">Ņemot vērā, ka ar 2014.gada 1.janvāri Latvijā plānots ieviest </w:t>
            </w:r>
            <w:proofErr w:type="spellStart"/>
            <w:r w:rsidRPr="00027162">
              <w:rPr>
                <w:i/>
                <w:iCs/>
              </w:rPr>
              <w:t>euro</w:t>
            </w:r>
            <w:proofErr w:type="spellEnd"/>
            <w:r w:rsidRPr="00027162">
              <w:t>, ir nepieciešams veikt grozījumus Ministru kabineta 2011.gada 20.septembra noteikumos Nr.723 „</w:t>
            </w:r>
            <w:r w:rsidRPr="00027162">
              <w:rPr>
                <w:bCs/>
              </w:rPr>
              <w:t>Darbību ar jonizējošā starojuma avotiem licencēšanas kārtība”,</w:t>
            </w:r>
            <w:r w:rsidRPr="00027162">
              <w:t xml:space="preserve"> aizstājot tajos latus ar </w:t>
            </w:r>
            <w:proofErr w:type="spellStart"/>
            <w:r w:rsidRPr="00027162">
              <w:rPr>
                <w:i/>
                <w:iCs/>
              </w:rPr>
              <w:t>euro</w:t>
            </w:r>
            <w:proofErr w:type="spellEnd"/>
            <w:r w:rsidRPr="00027162">
              <w:t>.</w:t>
            </w:r>
          </w:p>
        </w:tc>
      </w:tr>
      <w:tr w:rsidR="004E0BED" w:rsidRPr="007869AC" w:rsidTr="00565391">
        <w:tc>
          <w:tcPr>
            <w:tcW w:w="540" w:type="dxa"/>
            <w:shd w:val="clear" w:color="auto" w:fill="auto"/>
          </w:tcPr>
          <w:p w:rsidR="004E0BED" w:rsidRPr="007869AC" w:rsidRDefault="004E0BED" w:rsidP="00BE0CB2">
            <w:pPr>
              <w:pStyle w:val="naiskr"/>
              <w:jc w:val="center"/>
            </w:pPr>
            <w:r w:rsidRPr="007869AC">
              <w:lastRenderedPageBreak/>
              <w:t>3.</w:t>
            </w:r>
          </w:p>
        </w:tc>
        <w:tc>
          <w:tcPr>
            <w:tcW w:w="2437" w:type="dxa"/>
            <w:shd w:val="clear" w:color="auto" w:fill="auto"/>
          </w:tcPr>
          <w:p w:rsidR="004E0BED" w:rsidRPr="007869AC" w:rsidRDefault="004E0BED" w:rsidP="00BE0CB2">
            <w:pPr>
              <w:pStyle w:val="naiskr"/>
              <w:ind w:left="33"/>
              <w:jc w:val="both"/>
            </w:pPr>
            <w:r w:rsidRPr="007869AC">
              <w:t>Saistītie politikas ietekmes novērtējumi un pētījumi</w:t>
            </w:r>
          </w:p>
        </w:tc>
        <w:tc>
          <w:tcPr>
            <w:tcW w:w="6095" w:type="dxa"/>
            <w:shd w:val="clear" w:color="auto" w:fill="auto"/>
          </w:tcPr>
          <w:p w:rsidR="004E0BED" w:rsidRPr="007869AC" w:rsidRDefault="004E0BED" w:rsidP="00BE0CB2">
            <w:pPr>
              <w:pStyle w:val="naiskr"/>
              <w:ind w:left="34"/>
              <w:jc w:val="both"/>
            </w:pPr>
            <w:r w:rsidRPr="007869AC">
              <w:t>Projekts šo jomu neskar</w:t>
            </w:r>
            <w:r w:rsidR="00995806">
              <w:t>.</w:t>
            </w:r>
          </w:p>
        </w:tc>
      </w:tr>
      <w:tr w:rsidR="004E0BED" w:rsidRPr="007869AC" w:rsidTr="00565391">
        <w:tc>
          <w:tcPr>
            <w:tcW w:w="540" w:type="dxa"/>
            <w:shd w:val="clear" w:color="auto" w:fill="auto"/>
          </w:tcPr>
          <w:p w:rsidR="004E0BED" w:rsidRPr="007869AC" w:rsidRDefault="004E0BED" w:rsidP="00BE0CB2">
            <w:pPr>
              <w:pStyle w:val="naiskr"/>
              <w:jc w:val="center"/>
            </w:pPr>
            <w:r w:rsidRPr="007869AC">
              <w:t>4.</w:t>
            </w:r>
          </w:p>
        </w:tc>
        <w:tc>
          <w:tcPr>
            <w:tcW w:w="2437" w:type="dxa"/>
            <w:shd w:val="clear" w:color="auto" w:fill="auto"/>
          </w:tcPr>
          <w:p w:rsidR="004E0BED" w:rsidRPr="007869AC" w:rsidRDefault="004E0BED" w:rsidP="00BE0CB2">
            <w:pPr>
              <w:pStyle w:val="naiskr"/>
              <w:ind w:left="33" w:right="34"/>
              <w:jc w:val="both"/>
            </w:pPr>
            <w:r w:rsidRPr="007869AC">
              <w:t>Tiesiskā regulējuma mērķis un būtība</w:t>
            </w:r>
          </w:p>
        </w:tc>
        <w:tc>
          <w:tcPr>
            <w:tcW w:w="6095" w:type="dxa"/>
            <w:shd w:val="clear" w:color="auto" w:fill="auto"/>
          </w:tcPr>
          <w:p w:rsidR="0067689C" w:rsidRPr="003C35B7" w:rsidRDefault="0067689C" w:rsidP="005E02C3">
            <w:pPr>
              <w:pStyle w:val="BodyText"/>
              <w:spacing w:before="120"/>
              <w:jc w:val="both"/>
              <w:outlineLvl w:val="0"/>
            </w:pPr>
            <w:r w:rsidRPr="003C35B7">
              <w:t>P</w:t>
            </w:r>
            <w:r w:rsidR="005E02C3" w:rsidRPr="003C35B7">
              <w:t>rojekts paredz mainīt šobrīd MK</w:t>
            </w:r>
            <w:r w:rsidRPr="003C35B7">
              <w:t xml:space="preserve"> noteikumos</w:t>
            </w:r>
            <w:r w:rsidR="005E02C3" w:rsidRPr="003C35B7">
              <w:t xml:space="preserve"> </w:t>
            </w:r>
            <w:r w:rsidRPr="003C35B7">
              <w:t>Nr.723</w:t>
            </w:r>
            <w:r w:rsidR="005E02C3" w:rsidRPr="003C35B7">
              <w:t xml:space="preserve"> noteiktās prasības attiecībā uz civiltiesiskās atbildības apdrošinājuma minimālo summu darbībām ar</w:t>
            </w:r>
            <w:r w:rsidRPr="003C35B7">
              <w:t xml:space="preserve"> jonizējošā starojuma avo</w:t>
            </w:r>
            <w:r w:rsidR="007276FA" w:rsidRPr="003C35B7">
              <w:t>tiem, kuru bīstamība ir mazāka</w:t>
            </w:r>
            <w:r w:rsidR="001C4B47">
              <w:t xml:space="preserve"> kā tas ir minēts anotācijas I sadaļas 2.punktā</w:t>
            </w:r>
            <w:r w:rsidR="007276FA" w:rsidRPr="003C35B7">
              <w:t xml:space="preserve">. </w:t>
            </w:r>
          </w:p>
          <w:p w:rsidR="005E02C3" w:rsidRPr="003C35B7" w:rsidRDefault="00C206D1" w:rsidP="005E02C3">
            <w:pPr>
              <w:pStyle w:val="BodyText"/>
              <w:spacing w:before="120"/>
              <w:jc w:val="both"/>
              <w:outlineLvl w:val="0"/>
            </w:pPr>
            <w:r w:rsidRPr="003C35B7">
              <w:t xml:space="preserve">Projekts paredz </w:t>
            </w:r>
            <w:r w:rsidR="00AA39CE" w:rsidRPr="003C35B7">
              <w:t xml:space="preserve">MK noteikumos Nr.723 </w:t>
            </w:r>
            <w:r w:rsidRPr="003C35B7">
              <w:t xml:space="preserve">saglabāt </w:t>
            </w:r>
            <w:r w:rsidR="00B366D3" w:rsidRPr="003C35B7">
              <w:t xml:space="preserve">nosacījumus civiltiesiskajai atbildībai </w:t>
            </w:r>
            <w:r w:rsidRPr="003C35B7">
              <w:t xml:space="preserve">attiecībā uz </w:t>
            </w:r>
            <w:r w:rsidR="005E02C3" w:rsidRPr="003C35B7">
              <w:t xml:space="preserve">kodoliekārtām, </w:t>
            </w:r>
            <w:r w:rsidR="00B366D3" w:rsidRPr="003C35B7">
              <w:t>ievērojot</w:t>
            </w:r>
            <w:r w:rsidR="005E02C3" w:rsidRPr="003C35B7">
              <w:rPr>
                <w:b/>
              </w:rPr>
              <w:t xml:space="preserve"> </w:t>
            </w:r>
            <w:r w:rsidR="0064130E" w:rsidRPr="003C35B7">
              <w:t>Vīnes konvencijas p</w:t>
            </w:r>
            <w:r w:rsidR="00B366D3" w:rsidRPr="003C35B7">
              <w:t>rotokola</w:t>
            </w:r>
            <w:r w:rsidR="005E02C3" w:rsidRPr="003C35B7">
              <w:t xml:space="preserve"> 7.pantu.</w:t>
            </w:r>
            <w:r w:rsidR="00B366D3" w:rsidRPr="003C35B7">
              <w:t xml:space="preserve"> </w:t>
            </w:r>
            <w:r w:rsidR="005E02C3" w:rsidRPr="003C35B7">
              <w:t>Civiltiesiskās apdrošināšanas minimālās summas tiek novērtētas:</w:t>
            </w:r>
          </w:p>
          <w:p w:rsidR="005E02C3" w:rsidRPr="003C35B7" w:rsidRDefault="005E02C3" w:rsidP="005E02C3">
            <w:pPr>
              <w:pStyle w:val="BodyText"/>
              <w:spacing w:before="120"/>
              <w:jc w:val="both"/>
              <w:outlineLvl w:val="0"/>
            </w:pPr>
            <w:r w:rsidRPr="003C35B7">
              <w:t>1) kodoliekārtām:</w:t>
            </w:r>
          </w:p>
          <w:p w:rsidR="005E02C3" w:rsidRPr="003C35B7" w:rsidRDefault="005E02C3" w:rsidP="005E02C3">
            <w:pPr>
              <w:pStyle w:val="BodyText"/>
              <w:spacing w:before="120"/>
              <w:jc w:val="both"/>
              <w:outlineLvl w:val="0"/>
            </w:pPr>
            <w:r w:rsidRPr="003C35B7">
              <w:t>- ja to siltumjauda nepārsniedz 30 MW</w:t>
            </w:r>
            <w:r w:rsidRPr="003C35B7">
              <w:rPr>
                <w:vertAlign w:val="subscript"/>
              </w:rPr>
              <w:t>th</w:t>
            </w:r>
            <w:r w:rsidRPr="003C35B7">
              <w:t xml:space="preserve">, atbilstoši Protokola 7.panta 2.punktam; </w:t>
            </w:r>
          </w:p>
          <w:p w:rsidR="005E02C3" w:rsidRPr="003C35B7" w:rsidRDefault="005E02C3" w:rsidP="005E02C3">
            <w:pPr>
              <w:pStyle w:val="BodyText"/>
              <w:spacing w:before="120"/>
              <w:jc w:val="both"/>
              <w:outlineLvl w:val="0"/>
            </w:pPr>
            <w:r w:rsidRPr="003C35B7">
              <w:lastRenderedPageBreak/>
              <w:t>- ja to siltumjauda pārsniedz 30 MW</w:t>
            </w:r>
            <w:r w:rsidRPr="003C35B7">
              <w:rPr>
                <w:vertAlign w:val="subscript"/>
              </w:rPr>
              <w:t>th</w:t>
            </w:r>
            <w:r w:rsidRPr="003C35B7">
              <w:t>, bet ir mazāka par 150 MW</w:t>
            </w:r>
            <w:r w:rsidRPr="003C35B7">
              <w:rPr>
                <w:vertAlign w:val="subscript"/>
              </w:rPr>
              <w:t>th</w:t>
            </w:r>
            <w:r w:rsidRPr="003C35B7">
              <w:t xml:space="preserve"> vai elektriskā jauda pārsniedz 10 MW</w:t>
            </w:r>
            <w:r w:rsidRPr="003C35B7">
              <w:rPr>
                <w:vertAlign w:val="subscript"/>
              </w:rPr>
              <w:t>e</w:t>
            </w:r>
            <w:r w:rsidRPr="003C35B7">
              <w:t>, bet ir mazāka par 50 MW</w:t>
            </w:r>
            <w:r w:rsidRPr="003C35B7">
              <w:rPr>
                <w:vertAlign w:val="subscript"/>
              </w:rPr>
              <w:t>e</w:t>
            </w:r>
            <w:r w:rsidRPr="003C35B7">
              <w:t xml:space="preserve">, atbilstoši Protokola 7.panta 1.punkta c)apakšpunktam; </w:t>
            </w:r>
          </w:p>
          <w:p w:rsidR="005E02C3" w:rsidRPr="003C35B7" w:rsidRDefault="005E02C3" w:rsidP="005E02C3">
            <w:pPr>
              <w:pStyle w:val="BodyText"/>
              <w:spacing w:before="120"/>
              <w:jc w:val="both"/>
              <w:outlineLvl w:val="0"/>
            </w:pPr>
            <w:r w:rsidRPr="003C35B7">
              <w:t>- ja to siltumjauda pārsniedz 150 MW</w:t>
            </w:r>
            <w:r w:rsidRPr="003C35B7">
              <w:rPr>
                <w:vertAlign w:val="subscript"/>
              </w:rPr>
              <w:t>th</w:t>
            </w:r>
            <w:r w:rsidRPr="003C35B7">
              <w:t xml:space="preserve"> vai elektriskā jauda pārsniedz 50 MW</w:t>
            </w:r>
            <w:r w:rsidRPr="003C35B7">
              <w:rPr>
                <w:vertAlign w:val="subscript"/>
              </w:rPr>
              <w:t>e</w:t>
            </w:r>
            <w:r w:rsidRPr="003C35B7">
              <w:t>, atbilstoši Protokola 7.panta 1.punkta a)apakšpunktam.</w:t>
            </w:r>
          </w:p>
          <w:p w:rsidR="00624589" w:rsidRDefault="005E02C3" w:rsidP="001F60E7">
            <w:pPr>
              <w:pStyle w:val="BodyText"/>
              <w:spacing w:before="120"/>
              <w:jc w:val="both"/>
              <w:outlineLvl w:val="0"/>
            </w:pPr>
            <w:r w:rsidRPr="003C35B7">
              <w:t>2) darbībām ar citiem jonizējošā starojuma avotiem – aprēķiniem</w:t>
            </w:r>
            <w:r w:rsidR="00ED05C8" w:rsidRPr="003C35B7">
              <w:t>,</w:t>
            </w:r>
            <w:r w:rsidRPr="003C35B7">
              <w:t xml:space="preserve"> izmantojot viena cilvēka dzīves laikā radītos vidējos ienākumus valstij, kuri netiek iegūti cilvēka nāves gadījumā.</w:t>
            </w:r>
          </w:p>
          <w:p w:rsidR="00365491" w:rsidRPr="00027162" w:rsidRDefault="00365491" w:rsidP="00365491">
            <w:pPr>
              <w:pStyle w:val="BodyText"/>
              <w:spacing w:before="120"/>
              <w:jc w:val="both"/>
              <w:outlineLvl w:val="0"/>
            </w:pPr>
            <w:r w:rsidRPr="00027162">
              <w:t xml:space="preserve">Vienlaicīgi šis projekts paredz aizstāt attiecīgajā normatīvajā aktā latus ar </w:t>
            </w:r>
            <w:proofErr w:type="spellStart"/>
            <w:r w:rsidRPr="00027162">
              <w:rPr>
                <w:i/>
                <w:iCs/>
              </w:rPr>
              <w:t>euro</w:t>
            </w:r>
            <w:proofErr w:type="spellEnd"/>
            <w:r w:rsidRPr="00027162">
              <w:rPr>
                <w:i/>
                <w:iCs/>
              </w:rPr>
              <w:t xml:space="preserve"> </w:t>
            </w:r>
            <w:r w:rsidRPr="00027162">
              <w:t xml:space="preserve">atbilstoši </w:t>
            </w:r>
            <w:proofErr w:type="spellStart"/>
            <w:r w:rsidRPr="00027162">
              <w:rPr>
                <w:i/>
                <w:iCs/>
              </w:rPr>
              <w:t>Euro</w:t>
            </w:r>
            <w:proofErr w:type="spellEnd"/>
            <w:r w:rsidRPr="00027162">
              <w:rPr>
                <w:i/>
                <w:iCs/>
              </w:rPr>
              <w:t xml:space="preserve"> </w:t>
            </w:r>
            <w:r w:rsidRPr="00027162">
              <w:t>ieviešanas kārtības likuma 6.panta otrajā daļā paredzētajam principam</w:t>
            </w:r>
            <w:r w:rsidR="00DD25A1">
              <w:t xml:space="preserve"> attiecībā uz noteikumu projekta 4.pielikumu</w:t>
            </w:r>
            <w:r w:rsidRPr="00027162">
              <w:t xml:space="preserve">. </w:t>
            </w:r>
          </w:p>
          <w:p w:rsidR="00365491" w:rsidRPr="00027162" w:rsidRDefault="00365491" w:rsidP="00365491">
            <w:pPr>
              <w:pStyle w:val="BodyText"/>
              <w:spacing w:before="120"/>
              <w:jc w:val="both"/>
              <w:outlineLvl w:val="0"/>
            </w:pPr>
            <w:r w:rsidRPr="00027162">
              <w:t xml:space="preserve">Noteikumu projekta </w:t>
            </w:r>
            <w:r w:rsidR="00DD25A1">
              <w:t>5</w:t>
            </w:r>
            <w:r w:rsidRPr="00027162">
              <w:t>.</w:t>
            </w:r>
            <w:r w:rsidR="00DD25A1">
              <w:rPr>
                <w:vertAlign w:val="superscript"/>
              </w:rPr>
              <w:t xml:space="preserve">1 </w:t>
            </w:r>
            <w:r w:rsidRPr="00027162">
              <w:t xml:space="preserve">pielikumā skaitliskās vērtības ir noapaļotas līdz veseliem eiro, pamatojoties uz </w:t>
            </w:r>
            <w:proofErr w:type="spellStart"/>
            <w:r w:rsidRPr="00027162">
              <w:rPr>
                <w:i/>
              </w:rPr>
              <w:t>Euro</w:t>
            </w:r>
            <w:proofErr w:type="spellEnd"/>
            <w:r w:rsidRPr="00027162">
              <w:t xml:space="preserve"> ieviešanas kārtības likuma 32.panta otrās daļas 2.punkta noteikumiem. Šāda apaļošana ir izskaidrojama ar to, ka</w:t>
            </w:r>
            <w:r w:rsidR="00DD25A1">
              <w:t xml:space="preserve"> 5</w:t>
            </w:r>
            <w:r w:rsidR="00DD25A1" w:rsidRPr="00027162">
              <w:t>.</w:t>
            </w:r>
            <w:r w:rsidR="00DD25A1">
              <w:rPr>
                <w:vertAlign w:val="superscript"/>
              </w:rPr>
              <w:t>1</w:t>
            </w:r>
            <w:r w:rsidRPr="00027162">
              <w:t>pielikumā ietvertās skaitliskās vērtības nosaka minimālo atbildības slieksni, kas neietekmē pakalpojumu cenas vai maksājumus budžetā.</w:t>
            </w:r>
          </w:p>
          <w:p w:rsidR="00365491" w:rsidRPr="00027162" w:rsidRDefault="00365491" w:rsidP="00365491">
            <w:pPr>
              <w:spacing w:before="120"/>
              <w:ind w:right="113"/>
              <w:jc w:val="both"/>
              <w:rPr>
                <w:sz w:val="24"/>
              </w:rPr>
            </w:pPr>
            <w:r w:rsidRPr="00027162">
              <w:rPr>
                <w:sz w:val="24"/>
              </w:rPr>
              <w:t xml:space="preserve">Grozītās tiesību normas </w:t>
            </w:r>
            <w:proofErr w:type="spellStart"/>
            <w:r w:rsidRPr="00027162">
              <w:rPr>
                <w:i/>
                <w:iCs/>
                <w:sz w:val="24"/>
              </w:rPr>
              <w:t>euro</w:t>
            </w:r>
            <w:proofErr w:type="spellEnd"/>
            <w:r w:rsidRPr="00027162">
              <w:rPr>
                <w:i/>
                <w:iCs/>
                <w:sz w:val="24"/>
              </w:rPr>
              <w:t xml:space="preserve"> </w:t>
            </w:r>
            <w:r w:rsidRPr="00027162">
              <w:rPr>
                <w:sz w:val="24"/>
              </w:rPr>
              <w:t>valūtā nav personām nelabvēlīgākas par sākotnējo tiesību normu latos un nerada vērā ņemamu negatīvu ietekmi uz valsts budžetu.</w:t>
            </w:r>
          </w:p>
          <w:p w:rsidR="00EF40B0" w:rsidRPr="00EF40B0" w:rsidRDefault="00EF40B0" w:rsidP="00EF40B0">
            <w:pPr>
              <w:pStyle w:val="BodyText"/>
              <w:spacing w:before="120"/>
              <w:jc w:val="both"/>
              <w:outlineLvl w:val="0"/>
            </w:pPr>
            <w:r>
              <w:t>Projekts paredz papildināt MK noteikumus Nr.723 ar atsauci uz Padomes 2011.gada 19.jūlija direktīvu 2011/70/Euratom, ar ko izveido Kopienas sistēmu lietotās kodoldegvielas un radioaktīvo atkritumu atbildīgai un drošai apsaimniekošanai, ievērojot, ka noteikumi satur atsevišķas Direktīvas 2011/70/Euratom normas.</w:t>
            </w:r>
          </w:p>
        </w:tc>
      </w:tr>
      <w:tr w:rsidR="004E0BED" w:rsidRPr="007869AC" w:rsidTr="00565391">
        <w:tc>
          <w:tcPr>
            <w:tcW w:w="540" w:type="dxa"/>
            <w:shd w:val="clear" w:color="auto" w:fill="auto"/>
          </w:tcPr>
          <w:p w:rsidR="004E0BED" w:rsidRPr="007869AC" w:rsidRDefault="004E0BED" w:rsidP="00BE0CB2">
            <w:pPr>
              <w:pStyle w:val="naiskr"/>
              <w:jc w:val="center"/>
            </w:pPr>
            <w:r w:rsidRPr="007869AC">
              <w:lastRenderedPageBreak/>
              <w:t>5.</w:t>
            </w:r>
          </w:p>
        </w:tc>
        <w:tc>
          <w:tcPr>
            <w:tcW w:w="2437" w:type="dxa"/>
            <w:shd w:val="clear" w:color="auto" w:fill="auto"/>
          </w:tcPr>
          <w:p w:rsidR="004E0BED" w:rsidRPr="007869AC" w:rsidRDefault="004E0BED" w:rsidP="00BE0CB2">
            <w:pPr>
              <w:pStyle w:val="naiskr"/>
              <w:ind w:left="33" w:right="34"/>
              <w:jc w:val="both"/>
            </w:pPr>
            <w:r w:rsidRPr="007869AC">
              <w:t>Projekta izstrādē iesaistītās institūcijas</w:t>
            </w:r>
          </w:p>
        </w:tc>
        <w:tc>
          <w:tcPr>
            <w:tcW w:w="6095" w:type="dxa"/>
            <w:shd w:val="clear" w:color="auto" w:fill="auto"/>
          </w:tcPr>
          <w:p w:rsidR="00996549" w:rsidRPr="007869AC" w:rsidRDefault="00AA39CE" w:rsidP="00B3758F">
            <w:pPr>
              <w:tabs>
                <w:tab w:val="left" w:pos="360"/>
              </w:tabs>
              <w:spacing w:after="120"/>
              <w:jc w:val="both"/>
              <w:rPr>
                <w:sz w:val="24"/>
              </w:rPr>
            </w:pPr>
            <w:r w:rsidRPr="007869AC">
              <w:rPr>
                <w:sz w:val="24"/>
              </w:rPr>
              <w:t>Projekts šo jomu neskar</w:t>
            </w:r>
            <w:r w:rsidR="00995806">
              <w:rPr>
                <w:sz w:val="24"/>
              </w:rPr>
              <w:t>.</w:t>
            </w:r>
          </w:p>
        </w:tc>
      </w:tr>
      <w:tr w:rsidR="004E0BED" w:rsidRPr="007869AC" w:rsidTr="00565391">
        <w:tc>
          <w:tcPr>
            <w:tcW w:w="540" w:type="dxa"/>
            <w:shd w:val="clear" w:color="auto" w:fill="auto"/>
          </w:tcPr>
          <w:p w:rsidR="004E0BED" w:rsidRPr="007869AC" w:rsidRDefault="004E0BED" w:rsidP="00BE0CB2">
            <w:pPr>
              <w:pStyle w:val="naiskr"/>
              <w:jc w:val="center"/>
            </w:pPr>
            <w:r w:rsidRPr="007869AC">
              <w:t>6.</w:t>
            </w:r>
          </w:p>
        </w:tc>
        <w:tc>
          <w:tcPr>
            <w:tcW w:w="2437" w:type="dxa"/>
            <w:shd w:val="clear" w:color="auto" w:fill="auto"/>
          </w:tcPr>
          <w:p w:rsidR="004E0BED" w:rsidRPr="007869AC" w:rsidRDefault="004E0BED" w:rsidP="00BE0CB2">
            <w:pPr>
              <w:pStyle w:val="naiskr"/>
              <w:ind w:left="33" w:right="34"/>
              <w:jc w:val="both"/>
            </w:pPr>
            <w:r w:rsidRPr="007869AC">
              <w:t>Iemesli, kādēļ netika nodrošināta sabiedrības līdzdalība</w:t>
            </w:r>
          </w:p>
        </w:tc>
        <w:tc>
          <w:tcPr>
            <w:tcW w:w="6095" w:type="dxa"/>
            <w:shd w:val="clear" w:color="auto" w:fill="auto"/>
          </w:tcPr>
          <w:p w:rsidR="004E0BED" w:rsidRPr="007869AC" w:rsidRDefault="004E0BED" w:rsidP="007869AC">
            <w:pPr>
              <w:pStyle w:val="naiskr"/>
              <w:jc w:val="both"/>
            </w:pPr>
            <w:r w:rsidRPr="007869AC">
              <w:t>Projekts šo jomu neskar</w:t>
            </w:r>
            <w:r w:rsidR="00995806">
              <w:t>.</w:t>
            </w:r>
          </w:p>
        </w:tc>
      </w:tr>
      <w:tr w:rsidR="004E0BED" w:rsidRPr="007869AC" w:rsidTr="00565391">
        <w:tc>
          <w:tcPr>
            <w:tcW w:w="540" w:type="dxa"/>
            <w:shd w:val="clear" w:color="auto" w:fill="auto"/>
          </w:tcPr>
          <w:p w:rsidR="004E0BED" w:rsidRPr="007869AC" w:rsidRDefault="004E0BED" w:rsidP="00BE0CB2">
            <w:pPr>
              <w:pStyle w:val="naiskr"/>
              <w:jc w:val="center"/>
            </w:pPr>
            <w:r w:rsidRPr="007869AC">
              <w:t>7.</w:t>
            </w:r>
          </w:p>
        </w:tc>
        <w:tc>
          <w:tcPr>
            <w:tcW w:w="2437" w:type="dxa"/>
            <w:shd w:val="clear" w:color="auto" w:fill="auto"/>
          </w:tcPr>
          <w:p w:rsidR="004E0BED" w:rsidRPr="007869AC" w:rsidRDefault="004E0BED" w:rsidP="00BE0CB2">
            <w:pPr>
              <w:pStyle w:val="naiskr"/>
              <w:ind w:left="33" w:right="34"/>
              <w:jc w:val="both"/>
            </w:pPr>
            <w:r w:rsidRPr="007869AC">
              <w:t> Cita informācija</w:t>
            </w:r>
          </w:p>
        </w:tc>
        <w:tc>
          <w:tcPr>
            <w:tcW w:w="6095" w:type="dxa"/>
            <w:shd w:val="clear" w:color="auto" w:fill="auto"/>
          </w:tcPr>
          <w:p w:rsidR="003C35B7" w:rsidRPr="007869AC" w:rsidRDefault="003C35B7" w:rsidP="00BE0CB2">
            <w:pPr>
              <w:pStyle w:val="naiskr"/>
              <w:ind w:left="34"/>
              <w:jc w:val="both"/>
            </w:pPr>
            <w:r w:rsidRPr="001C4B47">
              <w:t xml:space="preserve">Saskaņā ar </w:t>
            </w:r>
            <w:bookmarkStart w:id="4" w:name="OLE_LINK3"/>
            <w:r w:rsidRPr="001C4B47">
              <w:rPr>
                <w:i/>
                <w:iCs/>
              </w:rPr>
              <w:t xml:space="preserve">Euro </w:t>
            </w:r>
            <w:r w:rsidRPr="001C4B47">
              <w:t xml:space="preserve">ieviešanas kārtības likuma </w:t>
            </w:r>
            <w:bookmarkEnd w:id="4"/>
            <w:r w:rsidRPr="001C4B47">
              <w:t xml:space="preserve">13.panta pirmo daļu preču un pakalpojumu cenu paralēlās atspoguļošanas periods sākas trīs mēnešus pirms </w:t>
            </w:r>
            <w:r w:rsidRPr="001C4B47">
              <w:rPr>
                <w:i/>
                <w:iCs/>
              </w:rPr>
              <w:t xml:space="preserve">euro </w:t>
            </w:r>
            <w:r w:rsidRPr="001C4B47">
              <w:t>ieviešanas dienas, tādēļ šim projektam ir jābūt izskatītam Ministru kabinetā un publicētam oficiālajā izdevumā „Latvijas Vēstnesis” līdz 2013.gada 1.oktobrim.</w:t>
            </w:r>
          </w:p>
        </w:tc>
      </w:tr>
    </w:tbl>
    <w:p w:rsidR="004E0BED" w:rsidRPr="007869AC" w:rsidRDefault="004E0BED" w:rsidP="00F00AE2">
      <w:pPr>
        <w:rPr>
          <w:b/>
          <w:bCs/>
          <w:szCs w:val="28"/>
          <w:lang w:eastAsia="lv-LV"/>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6"/>
        <w:gridCol w:w="2551"/>
        <w:gridCol w:w="6095"/>
      </w:tblGrid>
      <w:tr w:rsidR="004E0BED" w:rsidRPr="007869AC" w:rsidTr="00BE0CB2">
        <w:tc>
          <w:tcPr>
            <w:tcW w:w="9072" w:type="dxa"/>
            <w:gridSpan w:val="3"/>
            <w:shd w:val="clear" w:color="auto" w:fill="auto"/>
          </w:tcPr>
          <w:p w:rsidR="004E0BED" w:rsidRPr="007869AC" w:rsidRDefault="004E0BED" w:rsidP="00B83ED8">
            <w:pPr>
              <w:spacing w:before="120" w:after="120"/>
              <w:jc w:val="center"/>
              <w:rPr>
                <w:b/>
                <w:bCs/>
                <w:sz w:val="24"/>
                <w:lang w:eastAsia="lv-LV"/>
              </w:rPr>
            </w:pPr>
            <w:r w:rsidRPr="007869AC">
              <w:rPr>
                <w:b/>
                <w:sz w:val="24"/>
              </w:rPr>
              <w:t>II. Tiesību akta projekta ietekme uz sabiedrību</w:t>
            </w:r>
          </w:p>
        </w:tc>
      </w:tr>
      <w:tr w:rsidR="00B20055" w:rsidRPr="007869AC" w:rsidTr="00BE0CB2">
        <w:tc>
          <w:tcPr>
            <w:tcW w:w="426" w:type="dxa"/>
            <w:shd w:val="clear" w:color="auto" w:fill="auto"/>
          </w:tcPr>
          <w:p w:rsidR="00B20055" w:rsidRPr="007869AC" w:rsidRDefault="00B20055" w:rsidP="00BE0CB2">
            <w:pPr>
              <w:pStyle w:val="naiskr"/>
              <w:jc w:val="center"/>
            </w:pPr>
            <w:r w:rsidRPr="007869AC">
              <w:lastRenderedPageBreak/>
              <w:t>1.</w:t>
            </w:r>
          </w:p>
        </w:tc>
        <w:tc>
          <w:tcPr>
            <w:tcW w:w="2551" w:type="dxa"/>
            <w:shd w:val="clear" w:color="auto" w:fill="auto"/>
          </w:tcPr>
          <w:p w:rsidR="00B20055" w:rsidRPr="007869AC" w:rsidRDefault="00B20055" w:rsidP="00BE0CB2">
            <w:pPr>
              <w:pStyle w:val="naiskr"/>
              <w:ind w:left="33"/>
              <w:jc w:val="both"/>
            </w:pPr>
            <w:r w:rsidRPr="007869AC">
              <w:t>Sabiedrības mērķgrupa</w:t>
            </w:r>
          </w:p>
        </w:tc>
        <w:tc>
          <w:tcPr>
            <w:tcW w:w="6095" w:type="dxa"/>
            <w:shd w:val="clear" w:color="auto" w:fill="auto"/>
          </w:tcPr>
          <w:p w:rsidR="00B20055" w:rsidRPr="007869AC" w:rsidRDefault="00D33D82" w:rsidP="00B366D3">
            <w:pPr>
              <w:pStyle w:val="naiskr"/>
              <w:jc w:val="both"/>
            </w:pPr>
            <w:r w:rsidRPr="007869AC">
              <w:t>P</w:t>
            </w:r>
            <w:r w:rsidR="00B20055" w:rsidRPr="007869AC">
              <w:t>rojektā noteikt</w:t>
            </w:r>
            <w:r w:rsidR="00525023" w:rsidRPr="007869AC">
              <w:t>ās normas</w:t>
            </w:r>
            <w:r w:rsidR="00B20055" w:rsidRPr="007869AC">
              <w:t xml:space="preserve"> attieksi</w:t>
            </w:r>
            <w:smartTag w:uri="urn:schemas-microsoft-com:office:smarttags" w:element="PersonName">
              <w:r w:rsidR="00B20055" w:rsidRPr="007869AC">
                <w:t>es</w:t>
              </w:r>
            </w:smartTag>
            <w:r w:rsidR="00B20055" w:rsidRPr="007869AC">
              <w:t xml:space="preserve"> uz</w:t>
            </w:r>
            <w:r w:rsidR="00B366D3" w:rsidRPr="007869AC">
              <w:t xml:space="preserve"> komersantiem, kuri veic darbības ar jonizējošā starojuma avotiem (operatoriem).</w:t>
            </w:r>
          </w:p>
        </w:tc>
      </w:tr>
      <w:tr w:rsidR="00B20055" w:rsidRPr="007869AC" w:rsidTr="00BE0CB2">
        <w:tc>
          <w:tcPr>
            <w:tcW w:w="426" w:type="dxa"/>
            <w:shd w:val="clear" w:color="auto" w:fill="auto"/>
          </w:tcPr>
          <w:p w:rsidR="00B20055" w:rsidRPr="007869AC" w:rsidRDefault="00B20055" w:rsidP="00BE0CB2">
            <w:pPr>
              <w:pStyle w:val="naiskr"/>
              <w:jc w:val="center"/>
            </w:pPr>
            <w:r w:rsidRPr="007869AC">
              <w:t>2.</w:t>
            </w:r>
          </w:p>
        </w:tc>
        <w:tc>
          <w:tcPr>
            <w:tcW w:w="2551" w:type="dxa"/>
            <w:shd w:val="clear" w:color="auto" w:fill="auto"/>
          </w:tcPr>
          <w:p w:rsidR="00B20055" w:rsidRPr="007869AC" w:rsidRDefault="00B20055" w:rsidP="00BE0CB2">
            <w:pPr>
              <w:pStyle w:val="naiskr"/>
              <w:ind w:left="33"/>
              <w:jc w:val="both"/>
            </w:pPr>
            <w:r w:rsidRPr="007869AC">
              <w:t>Citas sabiedrības grupas (bez mērķgrupas), kuras tiesiskais regulējums arī ietekmē vai varētu ietekmēt</w:t>
            </w:r>
          </w:p>
        </w:tc>
        <w:tc>
          <w:tcPr>
            <w:tcW w:w="6095" w:type="dxa"/>
            <w:shd w:val="clear" w:color="auto" w:fill="auto"/>
          </w:tcPr>
          <w:p w:rsidR="00B20055" w:rsidRPr="007869AC" w:rsidRDefault="00341071" w:rsidP="00BE0CB2">
            <w:pPr>
              <w:pStyle w:val="naiskr"/>
              <w:jc w:val="both"/>
            </w:pPr>
            <w:r w:rsidRPr="007869AC">
              <w:t>Projekts šo jomu neskar</w:t>
            </w:r>
            <w:r w:rsidR="00995806">
              <w:t>.</w:t>
            </w:r>
          </w:p>
        </w:tc>
      </w:tr>
      <w:tr w:rsidR="00B20055" w:rsidRPr="007869AC" w:rsidTr="00BE0CB2">
        <w:tc>
          <w:tcPr>
            <w:tcW w:w="426" w:type="dxa"/>
            <w:shd w:val="clear" w:color="auto" w:fill="auto"/>
          </w:tcPr>
          <w:p w:rsidR="00B20055" w:rsidRPr="007869AC" w:rsidRDefault="00B20055" w:rsidP="00BE0CB2">
            <w:pPr>
              <w:pStyle w:val="naiskr"/>
              <w:jc w:val="center"/>
            </w:pPr>
            <w:r w:rsidRPr="007869AC">
              <w:t>3.</w:t>
            </w:r>
          </w:p>
        </w:tc>
        <w:tc>
          <w:tcPr>
            <w:tcW w:w="2551" w:type="dxa"/>
            <w:shd w:val="clear" w:color="auto" w:fill="auto"/>
          </w:tcPr>
          <w:p w:rsidR="00B20055" w:rsidRPr="007869AC" w:rsidRDefault="00B20055" w:rsidP="00BE0CB2">
            <w:pPr>
              <w:pStyle w:val="naiskr"/>
              <w:ind w:left="33"/>
              <w:jc w:val="both"/>
            </w:pPr>
            <w:r w:rsidRPr="007869AC">
              <w:t>Tiesiskā regulējuma finansiālā ietekme</w:t>
            </w:r>
          </w:p>
        </w:tc>
        <w:tc>
          <w:tcPr>
            <w:tcW w:w="6095" w:type="dxa"/>
            <w:shd w:val="clear" w:color="auto" w:fill="auto"/>
          </w:tcPr>
          <w:p w:rsidR="00B20055" w:rsidRPr="007869AC" w:rsidRDefault="00ED05C8" w:rsidP="00E85C33">
            <w:pPr>
              <w:pStyle w:val="naiskr"/>
              <w:jc w:val="both"/>
              <w:rPr>
                <w:bCs/>
              </w:rPr>
            </w:pPr>
            <w:r>
              <w:rPr>
                <w:bCs/>
              </w:rPr>
              <w:t>Tiks</w:t>
            </w:r>
            <w:r w:rsidR="00B366D3" w:rsidRPr="007869AC">
              <w:rPr>
                <w:bCs/>
              </w:rPr>
              <w:t xml:space="preserve"> samazinā</w:t>
            </w:r>
            <w:r>
              <w:rPr>
                <w:bCs/>
              </w:rPr>
              <w:t>tas</w:t>
            </w:r>
            <w:r w:rsidR="00B366D3" w:rsidRPr="007869AC">
              <w:rPr>
                <w:bCs/>
              </w:rPr>
              <w:t xml:space="preserve"> izmaksas komersantiem</w:t>
            </w:r>
            <w:r>
              <w:rPr>
                <w:bCs/>
              </w:rPr>
              <w:t xml:space="preserve"> </w:t>
            </w:r>
            <w:r w:rsidRPr="007869AC">
              <w:rPr>
                <w:bCs/>
              </w:rPr>
              <w:t>(operatoriem)</w:t>
            </w:r>
            <w:r w:rsidR="00B366D3" w:rsidRPr="007869AC">
              <w:rPr>
                <w:bCs/>
              </w:rPr>
              <w:t>, kuri veic darbības ar jonizējošā starojuma avotiem</w:t>
            </w:r>
            <w:r>
              <w:rPr>
                <w:bCs/>
              </w:rPr>
              <w:t>,</w:t>
            </w:r>
            <w:r w:rsidR="00B366D3" w:rsidRPr="007869AC">
              <w:rPr>
                <w:bCs/>
              </w:rPr>
              <w:t xml:space="preserve"> </w:t>
            </w:r>
            <w:r>
              <w:rPr>
                <w:bCs/>
              </w:rPr>
              <w:t xml:space="preserve">jo </w:t>
            </w:r>
            <w:r w:rsidR="00B366D3" w:rsidRPr="007869AC">
              <w:rPr>
                <w:bCs/>
              </w:rPr>
              <w:t>nebūs nepieciešams veikt šo darbību civiltiesiskās atbildības apdrošinājuma iemaksas.</w:t>
            </w:r>
          </w:p>
        </w:tc>
      </w:tr>
      <w:tr w:rsidR="00B20055" w:rsidRPr="007869AC" w:rsidTr="00BE0CB2">
        <w:tc>
          <w:tcPr>
            <w:tcW w:w="426" w:type="dxa"/>
            <w:shd w:val="clear" w:color="auto" w:fill="auto"/>
          </w:tcPr>
          <w:p w:rsidR="00B20055" w:rsidRPr="007869AC" w:rsidRDefault="00B20055" w:rsidP="00BE0CB2">
            <w:pPr>
              <w:pStyle w:val="naiskr"/>
              <w:jc w:val="center"/>
            </w:pPr>
            <w:r w:rsidRPr="007869AC">
              <w:t>4.</w:t>
            </w:r>
          </w:p>
        </w:tc>
        <w:tc>
          <w:tcPr>
            <w:tcW w:w="2551" w:type="dxa"/>
            <w:shd w:val="clear" w:color="auto" w:fill="auto"/>
          </w:tcPr>
          <w:p w:rsidR="00B20055" w:rsidRPr="007869AC" w:rsidRDefault="00B20055" w:rsidP="00BE0CB2">
            <w:pPr>
              <w:pStyle w:val="naiskr"/>
              <w:jc w:val="both"/>
            </w:pPr>
            <w:r w:rsidRPr="007869AC">
              <w:t>Tiesiskā regulējuma nefinansiālā ietekme</w:t>
            </w:r>
          </w:p>
        </w:tc>
        <w:tc>
          <w:tcPr>
            <w:tcW w:w="6095" w:type="dxa"/>
            <w:shd w:val="clear" w:color="auto" w:fill="auto"/>
          </w:tcPr>
          <w:p w:rsidR="00A257F7" w:rsidRPr="007869AC" w:rsidRDefault="00A257F7" w:rsidP="00B366D3">
            <w:pPr>
              <w:pStyle w:val="naiskr"/>
              <w:jc w:val="both"/>
            </w:pPr>
            <w:r w:rsidRPr="007869AC">
              <w:t>Projektā paredzētās normas</w:t>
            </w:r>
            <w:r w:rsidR="005E02C3" w:rsidRPr="007869AC">
              <w:t xml:space="preserve"> </w:t>
            </w:r>
            <w:r w:rsidR="00B366D3" w:rsidRPr="007869AC">
              <w:t xml:space="preserve">atvieglos </w:t>
            </w:r>
            <w:r w:rsidR="00B366D3" w:rsidRPr="007869AC">
              <w:rPr>
                <w:bCs/>
              </w:rPr>
              <w:t>komersantiem</w:t>
            </w:r>
            <w:r w:rsidR="0033027F">
              <w:rPr>
                <w:bCs/>
              </w:rPr>
              <w:t xml:space="preserve"> </w:t>
            </w:r>
            <w:r w:rsidR="0033027F" w:rsidRPr="007869AC">
              <w:rPr>
                <w:bCs/>
              </w:rPr>
              <w:t>(operatoriem)</w:t>
            </w:r>
            <w:r w:rsidR="00B366D3" w:rsidRPr="007869AC">
              <w:rPr>
                <w:bCs/>
              </w:rPr>
              <w:t>, kuri veic darbības ar jonizējošā starojuma avotiem, šo darbību īstenošanu</w:t>
            </w:r>
            <w:r w:rsidR="00AA39CE" w:rsidRPr="007869AC">
              <w:rPr>
                <w:bCs/>
              </w:rPr>
              <w:t>, jo nebūs nepieciešams atsevišķi veikt civiltiesiskās atbildības apdrošināšanu.</w:t>
            </w:r>
          </w:p>
        </w:tc>
      </w:tr>
      <w:tr w:rsidR="00B20055" w:rsidRPr="007869AC" w:rsidTr="00BE0CB2">
        <w:tc>
          <w:tcPr>
            <w:tcW w:w="426" w:type="dxa"/>
            <w:shd w:val="clear" w:color="auto" w:fill="auto"/>
          </w:tcPr>
          <w:p w:rsidR="00B20055" w:rsidRPr="007869AC" w:rsidRDefault="00B20055" w:rsidP="00BE0CB2">
            <w:pPr>
              <w:pStyle w:val="naiskr"/>
              <w:jc w:val="center"/>
            </w:pPr>
            <w:r w:rsidRPr="007869AC">
              <w:t>5.</w:t>
            </w:r>
          </w:p>
        </w:tc>
        <w:tc>
          <w:tcPr>
            <w:tcW w:w="2551" w:type="dxa"/>
            <w:shd w:val="clear" w:color="auto" w:fill="auto"/>
          </w:tcPr>
          <w:p w:rsidR="00B20055" w:rsidRPr="007869AC" w:rsidRDefault="00B20055" w:rsidP="00BE0CB2">
            <w:pPr>
              <w:pStyle w:val="naiskr"/>
              <w:ind w:left="33"/>
              <w:jc w:val="both"/>
            </w:pPr>
            <w:r w:rsidRPr="007869AC">
              <w:t>Administratīvās procedūras raksturojums</w:t>
            </w:r>
          </w:p>
        </w:tc>
        <w:tc>
          <w:tcPr>
            <w:tcW w:w="6095" w:type="dxa"/>
            <w:shd w:val="clear" w:color="auto" w:fill="auto"/>
          </w:tcPr>
          <w:p w:rsidR="00525023" w:rsidRPr="007869AC" w:rsidRDefault="00B366D3" w:rsidP="009C6AFC">
            <w:pPr>
              <w:pStyle w:val="naisf"/>
              <w:spacing w:before="0" w:after="120"/>
              <w:ind w:firstLine="0"/>
            </w:pPr>
            <w:r w:rsidRPr="007869AC">
              <w:t>Projekts šo jomu neskar</w:t>
            </w:r>
            <w:r w:rsidR="00995806">
              <w:t>.</w:t>
            </w:r>
          </w:p>
        </w:tc>
      </w:tr>
      <w:tr w:rsidR="00B20055" w:rsidRPr="007869AC" w:rsidTr="00BE0CB2">
        <w:tc>
          <w:tcPr>
            <w:tcW w:w="426" w:type="dxa"/>
            <w:shd w:val="clear" w:color="auto" w:fill="auto"/>
          </w:tcPr>
          <w:p w:rsidR="00B20055" w:rsidRPr="007869AC" w:rsidRDefault="00B20055" w:rsidP="00BE0CB2">
            <w:pPr>
              <w:pStyle w:val="naiskr"/>
              <w:jc w:val="center"/>
            </w:pPr>
            <w:r w:rsidRPr="007869AC">
              <w:t>6.</w:t>
            </w:r>
          </w:p>
        </w:tc>
        <w:tc>
          <w:tcPr>
            <w:tcW w:w="2551" w:type="dxa"/>
            <w:shd w:val="clear" w:color="auto" w:fill="auto"/>
          </w:tcPr>
          <w:p w:rsidR="00B20055" w:rsidRPr="007869AC" w:rsidRDefault="00B20055" w:rsidP="00BE0CB2">
            <w:pPr>
              <w:pStyle w:val="naiskr"/>
              <w:ind w:left="33"/>
              <w:jc w:val="both"/>
            </w:pPr>
            <w:r w:rsidRPr="007869AC">
              <w:t>Administratīvo izmaksu monetārs novērtējums</w:t>
            </w:r>
          </w:p>
        </w:tc>
        <w:tc>
          <w:tcPr>
            <w:tcW w:w="6095" w:type="dxa"/>
            <w:shd w:val="clear" w:color="auto" w:fill="auto"/>
          </w:tcPr>
          <w:p w:rsidR="00B20055" w:rsidRPr="007869AC" w:rsidRDefault="00B20055" w:rsidP="00B20055">
            <w:pPr>
              <w:pStyle w:val="naiskr"/>
            </w:pPr>
            <w:r w:rsidRPr="007869AC">
              <w:t>Projekts šo jomu neskar</w:t>
            </w:r>
            <w:r w:rsidR="00995806">
              <w:t>.</w:t>
            </w:r>
          </w:p>
        </w:tc>
      </w:tr>
      <w:tr w:rsidR="00B20055" w:rsidRPr="007869AC" w:rsidTr="00BE0CB2">
        <w:tc>
          <w:tcPr>
            <w:tcW w:w="426" w:type="dxa"/>
            <w:shd w:val="clear" w:color="auto" w:fill="auto"/>
          </w:tcPr>
          <w:p w:rsidR="00B20055" w:rsidRPr="007869AC" w:rsidRDefault="00B20055" w:rsidP="00E43705">
            <w:pPr>
              <w:pStyle w:val="naiskr"/>
              <w:spacing w:before="0" w:after="120"/>
              <w:jc w:val="center"/>
            </w:pPr>
            <w:r w:rsidRPr="007869AC">
              <w:t>7.</w:t>
            </w:r>
          </w:p>
        </w:tc>
        <w:tc>
          <w:tcPr>
            <w:tcW w:w="2551" w:type="dxa"/>
            <w:shd w:val="clear" w:color="auto" w:fill="auto"/>
          </w:tcPr>
          <w:p w:rsidR="00B20055" w:rsidRPr="007869AC" w:rsidRDefault="00B20055" w:rsidP="00E43705">
            <w:pPr>
              <w:pStyle w:val="naiskr"/>
              <w:spacing w:before="0" w:after="120"/>
              <w:ind w:left="33"/>
              <w:jc w:val="both"/>
            </w:pPr>
            <w:r w:rsidRPr="007869AC">
              <w:t>Cita informācija</w:t>
            </w:r>
          </w:p>
        </w:tc>
        <w:tc>
          <w:tcPr>
            <w:tcW w:w="6095" w:type="dxa"/>
            <w:shd w:val="clear" w:color="auto" w:fill="auto"/>
          </w:tcPr>
          <w:p w:rsidR="00B20055" w:rsidRPr="007869AC" w:rsidRDefault="00B20055" w:rsidP="00E43705">
            <w:pPr>
              <w:spacing w:after="120"/>
              <w:jc w:val="both"/>
              <w:rPr>
                <w:sz w:val="24"/>
              </w:rPr>
            </w:pPr>
            <w:r w:rsidRPr="007869AC">
              <w:rPr>
                <w:sz w:val="24"/>
              </w:rPr>
              <w:t>Nav</w:t>
            </w:r>
            <w:r w:rsidR="00995806">
              <w:rPr>
                <w:sz w:val="24"/>
              </w:rPr>
              <w:t>.</w:t>
            </w:r>
          </w:p>
        </w:tc>
      </w:tr>
    </w:tbl>
    <w:p w:rsidR="000409CF" w:rsidRDefault="000409CF" w:rsidP="00F00AE2">
      <w:pPr>
        <w:rPr>
          <w:b/>
          <w:bCs/>
          <w:szCs w:val="28"/>
          <w:lang w:eastAsia="lv-LV"/>
        </w:rPr>
      </w:pPr>
    </w:p>
    <w:tbl>
      <w:tblPr>
        <w:tblW w:w="9601" w:type="dxa"/>
        <w:jc w:val="center"/>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11"/>
        <w:gridCol w:w="1331"/>
        <w:gridCol w:w="1354"/>
        <w:gridCol w:w="1354"/>
        <w:gridCol w:w="1355"/>
        <w:gridCol w:w="1296"/>
      </w:tblGrid>
      <w:tr w:rsidR="00171333" w:rsidRPr="00FE313F" w:rsidTr="00374BE1">
        <w:trPr>
          <w:trHeight w:val="652"/>
          <w:jc w:val="center"/>
        </w:trPr>
        <w:tc>
          <w:tcPr>
            <w:tcW w:w="9601" w:type="dxa"/>
            <w:gridSpan w:val="6"/>
          </w:tcPr>
          <w:p w:rsidR="00171333" w:rsidRPr="00FE313F" w:rsidRDefault="00171333" w:rsidP="00374BE1">
            <w:pPr>
              <w:pStyle w:val="naisnod"/>
              <w:spacing w:before="0" w:after="0"/>
              <w:rPr>
                <w:i/>
              </w:rPr>
            </w:pPr>
            <w:r w:rsidRPr="00FE313F">
              <w:br w:type="page"/>
              <w:t>III. Tiesību akta projekta ietekme uz valsts budžetu un pašvaldību budžetiem</w:t>
            </w:r>
          </w:p>
        </w:tc>
      </w:tr>
      <w:tr w:rsidR="00171333" w:rsidRPr="00FE313F" w:rsidTr="00374BE1">
        <w:trPr>
          <w:jc w:val="center"/>
        </w:trPr>
        <w:tc>
          <w:tcPr>
            <w:tcW w:w="2911" w:type="dxa"/>
            <w:vMerge w:val="restart"/>
            <w:vAlign w:val="center"/>
          </w:tcPr>
          <w:p w:rsidR="00171333" w:rsidRPr="00FE313F" w:rsidRDefault="00171333" w:rsidP="00374BE1">
            <w:pPr>
              <w:pStyle w:val="naisf"/>
              <w:spacing w:before="0" w:after="0"/>
              <w:ind w:firstLine="0"/>
              <w:jc w:val="center"/>
              <w:rPr>
                <w:b/>
              </w:rPr>
            </w:pPr>
            <w:r w:rsidRPr="00FE313F">
              <w:rPr>
                <w:b/>
              </w:rPr>
              <w:t>Rādītāji</w:t>
            </w:r>
          </w:p>
        </w:tc>
        <w:tc>
          <w:tcPr>
            <w:tcW w:w="2685" w:type="dxa"/>
            <w:gridSpan w:val="2"/>
            <w:vMerge w:val="restart"/>
            <w:vAlign w:val="center"/>
          </w:tcPr>
          <w:p w:rsidR="00171333" w:rsidRPr="00FE313F" w:rsidRDefault="00171333" w:rsidP="00374BE1">
            <w:pPr>
              <w:pStyle w:val="naisf"/>
              <w:spacing w:before="0" w:after="0"/>
              <w:ind w:firstLine="0"/>
              <w:jc w:val="center"/>
              <w:rPr>
                <w:b/>
              </w:rPr>
            </w:pPr>
            <w:r>
              <w:rPr>
                <w:b/>
              </w:rPr>
              <w:t>2013.</w:t>
            </w:r>
            <w:r w:rsidRPr="00FE313F">
              <w:rPr>
                <w:b/>
              </w:rPr>
              <w:t xml:space="preserve"> gads</w:t>
            </w:r>
          </w:p>
        </w:tc>
        <w:tc>
          <w:tcPr>
            <w:tcW w:w="4005" w:type="dxa"/>
            <w:gridSpan w:val="3"/>
            <w:vAlign w:val="center"/>
          </w:tcPr>
          <w:p w:rsidR="00171333" w:rsidRPr="00FE313F" w:rsidRDefault="00171333" w:rsidP="00374BE1">
            <w:pPr>
              <w:pStyle w:val="naisf"/>
              <w:spacing w:before="0" w:after="0"/>
              <w:ind w:firstLine="0"/>
              <w:jc w:val="center"/>
              <w:rPr>
                <w:b/>
                <w:i/>
              </w:rPr>
            </w:pPr>
            <w:r w:rsidRPr="00FE313F">
              <w:t xml:space="preserve">Turpmākie trīs gadi (tūkst. </w:t>
            </w:r>
            <w:proofErr w:type="spellStart"/>
            <w:r w:rsidRPr="009D6CF9">
              <w:rPr>
                <w:i/>
              </w:rPr>
              <w:t>euro</w:t>
            </w:r>
            <w:proofErr w:type="spellEnd"/>
            <w:r w:rsidRPr="00FE313F">
              <w:t>)</w:t>
            </w:r>
          </w:p>
        </w:tc>
      </w:tr>
      <w:tr w:rsidR="00171333" w:rsidRPr="00FE313F" w:rsidTr="00374BE1">
        <w:trPr>
          <w:jc w:val="center"/>
        </w:trPr>
        <w:tc>
          <w:tcPr>
            <w:tcW w:w="2911" w:type="dxa"/>
            <w:vMerge/>
            <w:vAlign w:val="center"/>
          </w:tcPr>
          <w:p w:rsidR="00171333" w:rsidRPr="00FE313F" w:rsidRDefault="00171333" w:rsidP="00374BE1">
            <w:pPr>
              <w:pStyle w:val="naisf"/>
              <w:spacing w:before="0" w:after="0"/>
              <w:ind w:firstLine="0"/>
              <w:jc w:val="center"/>
              <w:rPr>
                <w:b/>
                <w:i/>
              </w:rPr>
            </w:pPr>
          </w:p>
        </w:tc>
        <w:tc>
          <w:tcPr>
            <w:tcW w:w="2685" w:type="dxa"/>
            <w:gridSpan w:val="2"/>
            <w:vMerge/>
            <w:vAlign w:val="center"/>
          </w:tcPr>
          <w:p w:rsidR="00171333" w:rsidRPr="00FE313F" w:rsidRDefault="00171333" w:rsidP="00374BE1">
            <w:pPr>
              <w:pStyle w:val="naisf"/>
              <w:spacing w:before="0" w:after="0"/>
              <w:ind w:firstLine="0"/>
              <w:jc w:val="center"/>
              <w:rPr>
                <w:b/>
                <w:i/>
              </w:rPr>
            </w:pPr>
          </w:p>
        </w:tc>
        <w:tc>
          <w:tcPr>
            <w:tcW w:w="1354" w:type="dxa"/>
            <w:vAlign w:val="center"/>
          </w:tcPr>
          <w:p w:rsidR="00171333" w:rsidRPr="00FE313F" w:rsidRDefault="00171333" w:rsidP="00374BE1">
            <w:pPr>
              <w:pStyle w:val="naisf"/>
              <w:spacing w:before="0" w:after="0"/>
              <w:ind w:firstLine="0"/>
              <w:jc w:val="center"/>
              <w:rPr>
                <w:b/>
                <w:i/>
              </w:rPr>
            </w:pPr>
            <w:r>
              <w:rPr>
                <w:b/>
                <w:bCs/>
              </w:rPr>
              <w:t>2014.gads</w:t>
            </w:r>
          </w:p>
        </w:tc>
        <w:tc>
          <w:tcPr>
            <w:tcW w:w="1355" w:type="dxa"/>
            <w:vAlign w:val="center"/>
          </w:tcPr>
          <w:p w:rsidR="00171333" w:rsidRPr="00FE313F" w:rsidRDefault="00171333" w:rsidP="00374BE1">
            <w:pPr>
              <w:pStyle w:val="naisf"/>
              <w:spacing w:before="0" w:after="0"/>
              <w:ind w:firstLine="0"/>
              <w:jc w:val="center"/>
              <w:rPr>
                <w:b/>
                <w:i/>
              </w:rPr>
            </w:pPr>
            <w:r>
              <w:rPr>
                <w:b/>
                <w:bCs/>
              </w:rPr>
              <w:t>2015.gads</w:t>
            </w:r>
          </w:p>
        </w:tc>
        <w:tc>
          <w:tcPr>
            <w:tcW w:w="1296" w:type="dxa"/>
            <w:vAlign w:val="center"/>
          </w:tcPr>
          <w:p w:rsidR="00171333" w:rsidRPr="00FE313F" w:rsidRDefault="00171333" w:rsidP="00374BE1">
            <w:pPr>
              <w:pStyle w:val="naisf"/>
              <w:spacing w:before="0" w:after="0"/>
              <w:ind w:firstLine="0"/>
              <w:jc w:val="center"/>
              <w:rPr>
                <w:b/>
                <w:i/>
              </w:rPr>
            </w:pPr>
            <w:r>
              <w:rPr>
                <w:b/>
                <w:bCs/>
              </w:rPr>
              <w:t>2016.gads</w:t>
            </w:r>
          </w:p>
        </w:tc>
      </w:tr>
      <w:tr w:rsidR="00171333" w:rsidRPr="00FE313F" w:rsidTr="00374BE1">
        <w:trPr>
          <w:jc w:val="center"/>
        </w:trPr>
        <w:tc>
          <w:tcPr>
            <w:tcW w:w="2911" w:type="dxa"/>
            <w:vMerge/>
            <w:vAlign w:val="center"/>
          </w:tcPr>
          <w:p w:rsidR="00171333" w:rsidRPr="00FE313F" w:rsidRDefault="00171333" w:rsidP="00374BE1">
            <w:pPr>
              <w:pStyle w:val="naisf"/>
              <w:spacing w:before="0" w:after="0"/>
              <w:ind w:firstLine="0"/>
              <w:jc w:val="center"/>
              <w:rPr>
                <w:b/>
                <w:i/>
              </w:rPr>
            </w:pPr>
          </w:p>
        </w:tc>
        <w:tc>
          <w:tcPr>
            <w:tcW w:w="1331" w:type="dxa"/>
            <w:vAlign w:val="center"/>
          </w:tcPr>
          <w:p w:rsidR="00171333" w:rsidRPr="00FE313F" w:rsidRDefault="00171333" w:rsidP="00374BE1">
            <w:pPr>
              <w:pStyle w:val="naisf"/>
              <w:spacing w:before="0" w:after="0"/>
              <w:ind w:firstLine="0"/>
              <w:jc w:val="center"/>
              <w:rPr>
                <w:b/>
                <w:i/>
              </w:rPr>
            </w:pPr>
            <w:r w:rsidRPr="00FE313F">
              <w:t>Saskaņā ar valsts budžetu kārtējam gadam</w:t>
            </w:r>
          </w:p>
        </w:tc>
        <w:tc>
          <w:tcPr>
            <w:tcW w:w="1354" w:type="dxa"/>
            <w:vAlign w:val="center"/>
          </w:tcPr>
          <w:p w:rsidR="00171333" w:rsidRPr="00FE313F" w:rsidRDefault="00171333" w:rsidP="00374BE1">
            <w:pPr>
              <w:pStyle w:val="naisf"/>
              <w:spacing w:before="0" w:after="0"/>
              <w:ind w:firstLine="0"/>
              <w:jc w:val="center"/>
              <w:rPr>
                <w:b/>
                <w:i/>
              </w:rPr>
            </w:pPr>
            <w:r w:rsidRPr="00FE313F">
              <w:t>Izmaiņas kārtējā gadā, salīdzinot ar budžetu kārtējam gadam</w:t>
            </w:r>
          </w:p>
        </w:tc>
        <w:tc>
          <w:tcPr>
            <w:tcW w:w="1354" w:type="dxa"/>
            <w:vAlign w:val="center"/>
          </w:tcPr>
          <w:p w:rsidR="00171333" w:rsidRPr="00FE313F" w:rsidRDefault="00171333" w:rsidP="00374BE1">
            <w:pPr>
              <w:pStyle w:val="naisf"/>
              <w:spacing w:before="0" w:after="0"/>
              <w:ind w:firstLine="0"/>
              <w:jc w:val="center"/>
              <w:rPr>
                <w:b/>
                <w:i/>
              </w:rPr>
            </w:pPr>
            <w:r w:rsidRPr="00FE313F">
              <w:t xml:space="preserve">Izmaiņas, salīdzinot ar kārtējo </w:t>
            </w:r>
            <w:r>
              <w:t>2013.</w:t>
            </w:r>
            <w:r w:rsidRPr="00FE313F">
              <w:t xml:space="preserve"> gadu</w:t>
            </w:r>
          </w:p>
        </w:tc>
        <w:tc>
          <w:tcPr>
            <w:tcW w:w="1355" w:type="dxa"/>
            <w:vAlign w:val="center"/>
          </w:tcPr>
          <w:p w:rsidR="00171333" w:rsidRPr="00FE313F" w:rsidRDefault="00171333" w:rsidP="00374BE1">
            <w:pPr>
              <w:pStyle w:val="naisf"/>
              <w:spacing w:before="0" w:after="0"/>
              <w:ind w:firstLine="0"/>
              <w:jc w:val="center"/>
              <w:rPr>
                <w:b/>
                <w:i/>
              </w:rPr>
            </w:pPr>
            <w:r w:rsidRPr="00FE313F">
              <w:t xml:space="preserve">Izmaiņas, salīdzinot ar kārtējo </w:t>
            </w:r>
            <w:r>
              <w:t>2013.</w:t>
            </w:r>
            <w:r w:rsidRPr="00FE313F">
              <w:t xml:space="preserve"> gadu</w:t>
            </w:r>
          </w:p>
        </w:tc>
        <w:tc>
          <w:tcPr>
            <w:tcW w:w="1296" w:type="dxa"/>
            <w:vAlign w:val="center"/>
          </w:tcPr>
          <w:p w:rsidR="00171333" w:rsidRPr="00FE313F" w:rsidRDefault="00171333" w:rsidP="00374BE1">
            <w:pPr>
              <w:pStyle w:val="naisf"/>
              <w:spacing w:before="0" w:after="0"/>
              <w:ind w:firstLine="0"/>
              <w:jc w:val="center"/>
              <w:rPr>
                <w:b/>
                <w:i/>
              </w:rPr>
            </w:pPr>
            <w:r w:rsidRPr="00FE313F">
              <w:t xml:space="preserve">Izmaiņas, salīdzinot ar kārtējo </w:t>
            </w:r>
            <w:r>
              <w:t>2013.</w:t>
            </w:r>
            <w:r w:rsidRPr="00FE313F">
              <w:t>gadu</w:t>
            </w:r>
          </w:p>
        </w:tc>
      </w:tr>
      <w:tr w:rsidR="00171333" w:rsidRPr="00FE313F" w:rsidTr="00374BE1">
        <w:trPr>
          <w:jc w:val="center"/>
        </w:trPr>
        <w:tc>
          <w:tcPr>
            <w:tcW w:w="2911" w:type="dxa"/>
            <w:vAlign w:val="center"/>
          </w:tcPr>
          <w:p w:rsidR="00171333" w:rsidRPr="00FE313F" w:rsidRDefault="00171333" w:rsidP="00374BE1">
            <w:pPr>
              <w:pStyle w:val="naisf"/>
              <w:spacing w:before="0" w:after="0"/>
              <w:ind w:firstLine="0"/>
              <w:jc w:val="center"/>
              <w:rPr>
                <w:bCs/>
              </w:rPr>
            </w:pPr>
            <w:r w:rsidRPr="00FE313F">
              <w:rPr>
                <w:bCs/>
              </w:rPr>
              <w:t>1</w:t>
            </w:r>
          </w:p>
        </w:tc>
        <w:tc>
          <w:tcPr>
            <w:tcW w:w="1331" w:type="dxa"/>
            <w:vAlign w:val="center"/>
          </w:tcPr>
          <w:p w:rsidR="00171333" w:rsidRPr="00FE313F" w:rsidRDefault="00171333" w:rsidP="00374BE1">
            <w:pPr>
              <w:pStyle w:val="naisf"/>
              <w:spacing w:before="0" w:after="0"/>
              <w:ind w:firstLine="0"/>
              <w:jc w:val="center"/>
              <w:rPr>
                <w:bCs/>
              </w:rPr>
            </w:pPr>
            <w:r w:rsidRPr="00FE313F">
              <w:rPr>
                <w:bCs/>
              </w:rPr>
              <w:t>2</w:t>
            </w:r>
          </w:p>
        </w:tc>
        <w:tc>
          <w:tcPr>
            <w:tcW w:w="1354" w:type="dxa"/>
            <w:vAlign w:val="center"/>
          </w:tcPr>
          <w:p w:rsidR="00171333" w:rsidRPr="00FE313F" w:rsidRDefault="00171333" w:rsidP="00374BE1">
            <w:pPr>
              <w:pStyle w:val="naisf"/>
              <w:spacing w:before="0" w:after="0"/>
              <w:ind w:firstLine="0"/>
              <w:jc w:val="center"/>
              <w:rPr>
                <w:bCs/>
              </w:rPr>
            </w:pPr>
            <w:r w:rsidRPr="00FE313F">
              <w:rPr>
                <w:bCs/>
              </w:rPr>
              <w:t>3</w:t>
            </w:r>
          </w:p>
        </w:tc>
        <w:tc>
          <w:tcPr>
            <w:tcW w:w="1354" w:type="dxa"/>
            <w:vAlign w:val="center"/>
          </w:tcPr>
          <w:p w:rsidR="00171333" w:rsidRPr="00FE313F" w:rsidRDefault="00171333" w:rsidP="00374BE1">
            <w:pPr>
              <w:pStyle w:val="naisf"/>
              <w:spacing w:before="0" w:after="0"/>
              <w:ind w:firstLine="0"/>
              <w:jc w:val="center"/>
              <w:rPr>
                <w:bCs/>
              </w:rPr>
            </w:pPr>
            <w:r w:rsidRPr="00FE313F">
              <w:rPr>
                <w:bCs/>
              </w:rPr>
              <w:t>4</w:t>
            </w:r>
          </w:p>
        </w:tc>
        <w:tc>
          <w:tcPr>
            <w:tcW w:w="1355" w:type="dxa"/>
            <w:vAlign w:val="center"/>
          </w:tcPr>
          <w:p w:rsidR="00171333" w:rsidRPr="00FE313F" w:rsidRDefault="00171333" w:rsidP="00374BE1">
            <w:pPr>
              <w:pStyle w:val="naisf"/>
              <w:spacing w:before="0" w:after="0"/>
              <w:ind w:firstLine="0"/>
              <w:jc w:val="center"/>
              <w:rPr>
                <w:bCs/>
              </w:rPr>
            </w:pPr>
            <w:r w:rsidRPr="00FE313F">
              <w:rPr>
                <w:bCs/>
              </w:rPr>
              <w:t>5</w:t>
            </w:r>
          </w:p>
        </w:tc>
        <w:tc>
          <w:tcPr>
            <w:tcW w:w="1296" w:type="dxa"/>
            <w:vAlign w:val="center"/>
          </w:tcPr>
          <w:p w:rsidR="00171333" w:rsidRPr="00FE313F" w:rsidRDefault="00171333" w:rsidP="00374BE1">
            <w:pPr>
              <w:pStyle w:val="naisf"/>
              <w:spacing w:before="0" w:after="0"/>
              <w:ind w:firstLine="0"/>
              <w:jc w:val="center"/>
              <w:rPr>
                <w:bCs/>
              </w:rPr>
            </w:pPr>
            <w:r w:rsidRPr="00FE313F">
              <w:rPr>
                <w:bCs/>
              </w:rPr>
              <w:t>6</w:t>
            </w:r>
          </w:p>
        </w:tc>
      </w:tr>
      <w:tr w:rsidR="00171333" w:rsidRPr="00FE313F" w:rsidTr="00374BE1">
        <w:trPr>
          <w:jc w:val="center"/>
        </w:trPr>
        <w:tc>
          <w:tcPr>
            <w:tcW w:w="2911" w:type="dxa"/>
          </w:tcPr>
          <w:p w:rsidR="00171333" w:rsidRPr="00FE313F" w:rsidRDefault="00171333" w:rsidP="00374BE1">
            <w:pPr>
              <w:pStyle w:val="naisf"/>
              <w:spacing w:before="0" w:after="0"/>
              <w:ind w:firstLine="0"/>
              <w:rPr>
                <w:i/>
              </w:rPr>
            </w:pPr>
            <w:r w:rsidRPr="00FE313F">
              <w:t>1. Budžeta ieņēmumi:</w:t>
            </w:r>
          </w:p>
        </w:tc>
        <w:tc>
          <w:tcPr>
            <w:tcW w:w="1331" w:type="dxa"/>
          </w:tcPr>
          <w:p w:rsidR="00171333" w:rsidRPr="00FE313F" w:rsidRDefault="00171333" w:rsidP="00374BE1">
            <w:pPr>
              <w:pStyle w:val="naisf"/>
              <w:spacing w:before="0" w:after="0"/>
              <w:ind w:firstLine="0"/>
              <w:rPr>
                <w:b/>
                <w:i/>
              </w:rPr>
            </w:pPr>
          </w:p>
        </w:tc>
        <w:tc>
          <w:tcPr>
            <w:tcW w:w="1354" w:type="dxa"/>
          </w:tcPr>
          <w:p w:rsidR="00171333" w:rsidRPr="00FE313F" w:rsidRDefault="00171333" w:rsidP="00374BE1">
            <w:pPr>
              <w:pStyle w:val="naisf"/>
              <w:spacing w:before="0" w:after="0"/>
              <w:ind w:firstLine="0"/>
              <w:rPr>
                <w:b/>
                <w:i/>
              </w:rPr>
            </w:pPr>
          </w:p>
        </w:tc>
        <w:tc>
          <w:tcPr>
            <w:tcW w:w="1354" w:type="dxa"/>
          </w:tcPr>
          <w:p w:rsidR="00171333" w:rsidRPr="00FE313F" w:rsidRDefault="00171333" w:rsidP="00374BE1">
            <w:pPr>
              <w:pStyle w:val="naisf"/>
              <w:spacing w:before="0" w:after="0"/>
              <w:ind w:firstLine="0"/>
              <w:rPr>
                <w:b/>
                <w:i/>
              </w:rPr>
            </w:pPr>
          </w:p>
        </w:tc>
        <w:tc>
          <w:tcPr>
            <w:tcW w:w="1355" w:type="dxa"/>
          </w:tcPr>
          <w:p w:rsidR="00171333" w:rsidRPr="00FE313F" w:rsidRDefault="00171333" w:rsidP="00374BE1">
            <w:pPr>
              <w:pStyle w:val="naisf"/>
              <w:spacing w:before="0" w:after="0"/>
              <w:ind w:firstLine="0"/>
              <w:rPr>
                <w:b/>
                <w:i/>
              </w:rPr>
            </w:pPr>
          </w:p>
        </w:tc>
        <w:tc>
          <w:tcPr>
            <w:tcW w:w="1296" w:type="dxa"/>
          </w:tcPr>
          <w:p w:rsidR="00171333" w:rsidRPr="00FE313F" w:rsidRDefault="00171333" w:rsidP="00374BE1">
            <w:pPr>
              <w:pStyle w:val="naisf"/>
              <w:spacing w:before="0" w:after="0"/>
              <w:ind w:firstLine="0"/>
              <w:rPr>
                <w:b/>
                <w:i/>
              </w:rPr>
            </w:pPr>
          </w:p>
        </w:tc>
      </w:tr>
      <w:tr w:rsidR="00171333" w:rsidRPr="00FE313F" w:rsidTr="00374BE1">
        <w:trPr>
          <w:jc w:val="center"/>
        </w:trPr>
        <w:tc>
          <w:tcPr>
            <w:tcW w:w="2911" w:type="dxa"/>
          </w:tcPr>
          <w:p w:rsidR="00171333" w:rsidRPr="00FE313F" w:rsidRDefault="00171333" w:rsidP="00374BE1">
            <w:pPr>
              <w:pStyle w:val="naisf"/>
              <w:spacing w:before="0" w:after="0"/>
              <w:ind w:firstLine="0"/>
              <w:rPr>
                <w:i/>
              </w:rPr>
            </w:pPr>
            <w:r w:rsidRPr="00FE313F">
              <w:t>1.1. valsts pamatbudžets, tai skaitā ieņēmumi no maksas pakalpojumiem un citi pašu ieņēmumi</w:t>
            </w:r>
          </w:p>
        </w:tc>
        <w:tc>
          <w:tcPr>
            <w:tcW w:w="1331" w:type="dxa"/>
          </w:tcPr>
          <w:p w:rsidR="00171333" w:rsidRPr="00FE313F" w:rsidRDefault="00171333" w:rsidP="00374BE1">
            <w:pPr>
              <w:pStyle w:val="naisf"/>
              <w:spacing w:before="0" w:after="0"/>
              <w:ind w:firstLine="0"/>
              <w:rPr>
                <w:b/>
                <w:i/>
              </w:rPr>
            </w:pPr>
          </w:p>
        </w:tc>
        <w:tc>
          <w:tcPr>
            <w:tcW w:w="1354" w:type="dxa"/>
          </w:tcPr>
          <w:p w:rsidR="00171333" w:rsidRPr="00FE313F" w:rsidRDefault="00171333" w:rsidP="00374BE1">
            <w:pPr>
              <w:pStyle w:val="naisf"/>
              <w:spacing w:before="0" w:after="0"/>
              <w:ind w:firstLine="0"/>
              <w:rPr>
                <w:b/>
                <w:i/>
              </w:rPr>
            </w:pPr>
          </w:p>
        </w:tc>
        <w:tc>
          <w:tcPr>
            <w:tcW w:w="1354" w:type="dxa"/>
          </w:tcPr>
          <w:p w:rsidR="00171333" w:rsidRPr="00FE313F" w:rsidRDefault="00171333" w:rsidP="00374BE1">
            <w:pPr>
              <w:pStyle w:val="naisf"/>
              <w:spacing w:before="0" w:after="0"/>
              <w:ind w:firstLine="0"/>
              <w:rPr>
                <w:b/>
                <w:i/>
              </w:rPr>
            </w:pPr>
          </w:p>
        </w:tc>
        <w:tc>
          <w:tcPr>
            <w:tcW w:w="1355" w:type="dxa"/>
          </w:tcPr>
          <w:p w:rsidR="00171333" w:rsidRPr="00FE313F" w:rsidRDefault="00171333" w:rsidP="00374BE1">
            <w:pPr>
              <w:pStyle w:val="naisf"/>
              <w:spacing w:before="0" w:after="0"/>
              <w:ind w:firstLine="0"/>
              <w:rPr>
                <w:b/>
                <w:i/>
              </w:rPr>
            </w:pPr>
          </w:p>
        </w:tc>
        <w:tc>
          <w:tcPr>
            <w:tcW w:w="1296" w:type="dxa"/>
          </w:tcPr>
          <w:p w:rsidR="00171333" w:rsidRPr="00FE313F" w:rsidRDefault="00171333" w:rsidP="00374BE1">
            <w:pPr>
              <w:pStyle w:val="naisf"/>
              <w:spacing w:before="0" w:after="0"/>
              <w:ind w:firstLine="0"/>
              <w:rPr>
                <w:b/>
                <w:i/>
              </w:rPr>
            </w:pPr>
          </w:p>
        </w:tc>
      </w:tr>
      <w:tr w:rsidR="00171333" w:rsidRPr="00FE313F" w:rsidTr="00374BE1">
        <w:trPr>
          <w:jc w:val="center"/>
        </w:trPr>
        <w:tc>
          <w:tcPr>
            <w:tcW w:w="2911" w:type="dxa"/>
          </w:tcPr>
          <w:p w:rsidR="00171333" w:rsidRPr="00FE313F" w:rsidRDefault="00171333" w:rsidP="00374BE1">
            <w:pPr>
              <w:pStyle w:val="naisf"/>
              <w:spacing w:before="0" w:after="0"/>
              <w:ind w:firstLine="0"/>
              <w:rPr>
                <w:i/>
              </w:rPr>
            </w:pPr>
            <w:r w:rsidRPr="00FE313F">
              <w:t>1.2. valsts speciālais budžets</w:t>
            </w:r>
          </w:p>
        </w:tc>
        <w:tc>
          <w:tcPr>
            <w:tcW w:w="1331" w:type="dxa"/>
          </w:tcPr>
          <w:p w:rsidR="00171333" w:rsidRPr="00FE313F" w:rsidRDefault="00171333" w:rsidP="00374BE1">
            <w:pPr>
              <w:pStyle w:val="naisf"/>
              <w:spacing w:before="0" w:after="0"/>
              <w:ind w:firstLine="0"/>
              <w:rPr>
                <w:b/>
                <w:i/>
              </w:rPr>
            </w:pPr>
          </w:p>
        </w:tc>
        <w:tc>
          <w:tcPr>
            <w:tcW w:w="1354" w:type="dxa"/>
          </w:tcPr>
          <w:p w:rsidR="00171333" w:rsidRPr="00FE313F" w:rsidRDefault="00171333" w:rsidP="00374BE1">
            <w:pPr>
              <w:pStyle w:val="naisf"/>
              <w:spacing w:before="0" w:after="0"/>
              <w:ind w:firstLine="0"/>
              <w:rPr>
                <w:b/>
                <w:i/>
              </w:rPr>
            </w:pPr>
          </w:p>
        </w:tc>
        <w:tc>
          <w:tcPr>
            <w:tcW w:w="1354" w:type="dxa"/>
          </w:tcPr>
          <w:p w:rsidR="00171333" w:rsidRPr="00FE313F" w:rsidRDefault="00171333" w:rsidP="00374BE1">
            <w:pPr>
              <w:pStyle w:val="naisf"/>
              <w:spacing w:before="0" w:after="0"/>
              <w:ind w:firstLine="0"/>
              <w:rPr>
                <w:b/>
                <w:i/>
              </w:rPr>
            </w:pPr>
          </w:p>
        </w:tc>
        <w:tc>
          <w:tcPr>
            <w:tcW w:w="1355" w:type="dxa"/>
          </w:tcPr>
          <w:p w:rsidR="00171333" w:rsidRPr="00FE313F" w:rsidRDefault="00171333" w:rsidP="00374BE1">
            <w:pPr>
              <w:pStyle w:val="naisf"/>
              <w:spacing w:before="0" w:after="0"/>
              <w:ind w:firstLine="0"/>
              <w:rPr>
                <w:b/>
                <w:i/>
              </w:rPr>
            </w:pPr>
          </w:p>
        </w:tc>
        <w:tc>
          <w:tcPr>
            <w:tcW w:w="1296" w:type="dxa"/>
          </w:tcPr>
          <w:p w:rsidR="00171333" w:rsidRPr="00FE313F" w:rsidRDefault="00171333" w:rsidP="00374BE1">
            <w:pPr>
              <w:pStyle w:val="naisf"/>
              <w:spacing w:before="0" w:after="0"/>
              <w:ind w:firstLine="0"/>
              <w:rPr>
                <w:b/>
                <w:i/>
              </w:rPr>
            </w:pPr>
          </w:p>
        </w:tc>
      </w:tr>
      <w:tr w:rsidR="00171333" w:rsidRPr="00FE313F" w:rsidTr="00374BE1">
        <w:trPr>
          <w:jc w:val="center"/>
        </w:trPr>
        <w:tc>
          <w:tcPr>
            <w:tcW w:w="2911" w:type="dxa"/>
          </w:tcPr>
          <w:p w:rsidR="00171333" w:rsidRPr="00FE313F" w:rsidRDefault="00171333" w:rsidP="00374BE1">
            <w:pPr>
              <w:pStyle w:val="naisf"/>
              <w:spacing w:before="0" w:after="0"/>
              <w:ind w:firstLine="0"/>
              <w:rPr>
                <w:i/>
              </w:rPr>
            </w:pPr>
            <w:r w:rsidRPr="00FE313F">
              <w:t>1.3. pašvaldību budžets</w:t>
            </w:r>
          </w:p>
        </w:tc>
        <w:tc>
          <w:tcPr>
            <w:tcW w:w="1331" w:type="dxa"/>
          </w:tcPr>
          <w:p w:rsidR="00171333" w:rsidRPr="00FE313F" w:rsidRDefault="00171333" w:rsidP="00374BE1">
            <w:pPr>
              <w:pStyle w:val="naisf"/>
              <w:spacing w:before="0" w:after="0"/>
              <w:ind w:firstLine="0"/>
              <w:rPr>
                <w:b/>
                <w:i/>
              </w:rPr>
            </w:pPr>
          </w:p>
        </w:tc>
        <w:tc>
          <w:tcPr>
            <w:tcW w:w="1354" w:type="dxa"/>
          </w:tcPr>
          <w:p w:rsidR="00171333" w:rsidRPr="00FE313F" w:rsidRDefault="00171333" w:rsidP="00374BE1">
            <w:pPr>
              <w:pStyle w:val="naisf"/>
              <w:spacing w:before="0" w:after="0"/>
              <w:ind w:firstLine="0"/>
              <w:rPr>
                <w:b/>
                <w:i/>
              </w:rPr>
            </w:pPr>
          </w:p>
        </w:tc>
        <w:tc>
          <w:tcPr>
            <w:tcW w:w="1354" w:type="dxa"/>
          </w:tcPr>
          <w:p w:rsidR="00171333" w:rsidRPr="00FE313F" w:rsidRDefault="00171333" w:rsidP="00374BE1">
            <w:pPr>
              <w:pStyle w:val="naisf"/>
              <w:spacing w:before="0" w:after="0"/>
              <w:ind w:firstLine="0"/>
              <w:rPr>
                <w:b/>
                <w:i/>
              </w:rPr>
            </w:pPr>
          </w:p>
        </w:tc>
        <w:tc>
          <w:tcPr>
            <w:tcW w:w="1355" w:type="dxa"/>
          </w:tcPr>
          <w:p w:rsidR="00171333" w:rsidRPr="00FE313F" w:rsidRDefault="00171333" w:rsidP="00374BE1">
            <w:pPr>
              <w:pStyle w:val="naisf"/>
              <w:spacing w:before="0" w:after="0"/>
              <w:ind w:firstLine="0"/>
              <w:rPr>
                <w:b/>
                <w:i/>
              </w:rPr>
            </w:pPr>
          </w:p>
        </w:tc>
        <w:tc>
          <w:tcPr>
            <w:tcW w:w="1296" w:type="dxa"/>
          </w:tcPr>
          <w:p w:rsidR="00171333" w:rsidRPr="00FE313F" w:rsidRDefault="00171333" w:rsidP="00374BE1">
            <w:pPr>
              <w:pStyle w:val="naisf"/>
              <w:spacing w:before="0" w:after="0"/>
              <w:ind w:firstLine="0"/>
              <w:rPr>
                <w:b/>
                <w:i/>
              </w:rPr>
            </w:pPr>
          </w:p>
        </w:tc>
      </w:tr>
      <w:tr w:rsidR="00171333" w:rsidRPr="00FE313F" w:rsidTr="00374BE1">
        <w:trPr>
          <w:jc w:val="center"/>
        </w:trPr>
        <w:tc>
          <w:tcPr>
            <w:tcW w:w="2911" w:type="dxa"/>
          </w:tcPr>
          <w:p w:rsidR="00171333" w:rsidRPr="00FE313F" w:rsidRDefault="00171333" w:rsidP="00374BE1">
            <w:pPr>
              <w:jc w:val="both"/>
            </w:pPr>
            <w:r w:rsidRPr="00FE313F">
              <w:t>2. Budžeta izdevumi:</w:t>
            </w:r>
          </w:p>
        </w:tc>
        <w:tc>
          <w:tcPr>
            <w:tcW w:w="1331" w:type="dxa"/>
          </w:tcPr>
          <w:p w:rsidR="00171333" w:rsidRPr="00FE313F" w:rsidRDefault="00171333" w:rsidP="00374BE1">
            <w:pPr>
              <w:pStyle w:val="naisf"/>
              <w:spacing w:before="0" w:after="0"/>
              <w:ind w:firstLine="0"/>
              <w:rPr>
                <w:b/>
                <w:i/>
              </w:rPr>
            </w:pPr>
          </w:p>
        </w:tc>
        <w:tc>
          <w:tcPr>
            <w:tcW w:w="1354" w:type="dxa"/>
          </w:tcPr>
          <w:p w:rsidR="00171333" w:rsidRPr="00FE313F" w:rsidRDefault="00171333" w:rsidP="00374BE1">
            <w:pPr>
              <w:pStyle w:val="naisf"/>
              <w:spacing w:before="0" w:after="0"/>
              <w:ind w:firstLine="0"/>
              <w:rPr>
                <w:b/>
                <w:i/>
              </w:rPr>
            </w:pPr>
          </w:p>
        </w:tc>
        <w:tc>
          <w:tcPr>
            <w:tcW w:w="1354" w:type="dxa"/>
          </w:tcPr>
          <w:p w:rsidR="00171333" w:rsidRPr="00FE313F" w:rsidRDefault="00171333" w:rsidP="00374BE1">
            <w:pPr>
              <w:pStyle w:val="naisf"/>
              <w:spacing w:before="0" w:after="0"/>
              <w:ind w:firstLine="0"/>
              <w:rPr>
                <w:b/>
                <w:i/>
              </w:rPr>
            </w:pPr>
          </w:p>
        </w:tc>
        <w:tc>
          <w:tcPr>
            <w:tcW w:w="1355" w:type="dxa"/>
          </w:tcPr>
          <w:p w:rsidR="00171333" w:rsidRPr="00FE313F" w:rsidRDefault="00171333" w:rsidP="00374BE1">
            <w:pPr>
              <w:pStyle w:val="naisf"/>
              <w:spacing w:before="0" w:after="0"/>
              <w:ind w:firstLine="0"/>
              <w:rPr>
                <w:b/>
                <w:i/>
              </w:rPr>
            </w:pPr>
          </w:p>
        </w:tc>
        <w:tc>
          <w:tcPr>
            <w:tcW w:w="1296" w:type="dxa"/>
          </w:tcPr>
          <w:p w:rsidR="00171333" w:rsidRPr="00FE313F" w:rsidRDefault="00171333" w:rsidP="00374BE1">
            <w:pPr>
              <w:pStyle w:val="naisf"/>
              <w:spacing w:before="0" w:after="0"/>
              <w:ind w:firstLine="0"/>
              <w:rPr>
                <w:b/>
                <w:i/>
              </w:rPr>
            </w:pPr>
          </w:p>
        </w:tc>
      </w:tr>
      <w:tr w:rsidR="00171333" w:rsidRPr="00FE313F" w:rsidTr="00374BE1">
        <w:trPr>
          <w:jc w:val="center"/>
        </w:trPr>
        <w:tc>
          <w:tcPr>
            <w:tcW w:w="2911" w:type="dxa"/>
          </w:tcPr>
          <w:p w:rsidR="00171333" w:rsidRPr="00FE313F" w:rsidRDefault="00171333" w:rsidP="00374BE1">
            <w:pPr>
              <w:jc w:val="both"/>
            </w:pPr>
            <w:r w:rsidRPr="00FE313F">
              <w:lastRenderedPageBreak/>
              <w:t>2.1. valsts pamatbudžets</w:t>
            </w:r>
          </w:p>
        </w:tc>
        <w:tc>
          <w:tcPr>
            <w:tcW w:w="1331" w:type="dxa"/>
          </w:tcPr>
          <w:p w:rsidR="00171333" w:rsidRPr="00FE313F" w:rsidRDefault="00171333" w:rsidP="00374BE1">
            <w:pPr>
              <w:pStyle w:val="naisf"/>
              <w:spacing w:before="0" w:after="0"/>
              <w:ind w:firstLine="0"/>
              <w:rPr>
                <w:b/>
                <w:i/>
              </w:rPr>
            </w:pPr>
          </w:p>
        </w:tc>
        <w:tc>
          <w:tcPr>
            <w:tcW w:w="1354" w:type="dxa"/>
          </w:tcPr>
          <w:p w:rsidR="00171333" w:rsidRPr="00FE313F" w:rsidRDefault="00171333" w:rsidP="00374BE1">
            <w:pPr>
              <w:pStyle w:val="naisf"/>
              <w:spacing w:before="0" w:after="0"/>
              <w:ind w:firstLine="0"/>
              <w:rPr>
                <w:b/>
                <w:i/>
              </w:rPr>
            </w:pPr>
          </w:p>
        </w:tc>
        <w:tc>
          <w:tcPr>
            <w:tcW w:w="1354" w:type="dxa"/>
          </w:tcPr>
          <w:p w:rsidR="00171333" w:rsidRPr="00FE313F" w:rsidRDefault="00171333" w:rsidP="00374BE1">
            <w:pPr>
              <w:pStyle w:val="naisf"/>
              <w:spacing w:before="0" w:after="0"/>
              <w:ind w:firstLine="0"/>
              <w:rPr>
                <w:b/>
                <w:i/>
              </w:rPr>
            </w:pPr>
          </w:p>
        </w:tc>
        <w:tc>
          <w:tcPr>
            <w:tcW w:w="1355" w:type="dxa"/>
          </w:tcPr>
          <w:p w:rsidR="00171333" w:rsidRPr="00FE313F" w:rsidRDefault="00171333" w:rsidP="00374BE1">
            <w:pPr>
              <w:pStyle w:val="naisf"/>
              <w:spacing w:before="0" w:after="0"/>
              <w:ind w:firstLine="0"/>
              <w:rPr>
                <w:b/>
                <w:i/>
              </w:rPr>
            </w:pPr>
          </w:p>
        </w:tc>
        <w:tc>
          <w:tcPr>
            <w:tcW w:w="1296" w:type="dxa"/>
          </w:tcPr>
          <w:p w:rsidR="00171333" w:rsidRPr="00FE313F" w:rsidRDefault="00171333" w:rsidP="00374BE1">
            <w:pPr>
              <w:pStyle w:val="naisf"/>
              <w:spacing w:before="0" w:after="0"/>
              <w:ind w:firstLine="0"/>
              <w:rPr>
                <w:b/>
                <w:i/>
              </w:rPr>
            </w:pPr>
          </w:p>
        </w:tc>
      </w:tr>
      <w:tr w:rsidR="00171333" w:rsidRPr="00FE313F" w:rsidTr="00374BE1">
        <w:trPr>
          <w:jc w:val="center"/>
        </w:trPr>
        <w:tc>
          <w:tcPr>
            <w:tcW w:w="2911" w:type="dxa"/>
          </w:tcPr>
          <w:p w:rsidR="00171333" w:rsidRPr="00FE313F" w:rsidRDefault="00171333" w:rsidP="00374BE1">
            <w:pPr>
              <w:jc w:val="both"/>
            </w:pPr>
            <w:r w:rsidRPr="00FE313F">
              <w:t>2.2. valsts speciālais budžets</w:t>
            </w:r>
          </w:p>
        </w:tc>
        <w:tc>
          <w:tcPr>
            <w:tcW w:w="1331" w:type="dxa"/>
          </w:tcPr>
          <w:p w:rsidR="00171333" w:rsidRPr="00FE313F" w:rsidRDefault="00171333" w:rsidP="00374BE1">
            <w:pPr>
              <w:pStyle w:val="naisf"/>
              <w:spacing w:before="0" w:after="0"/>
              <w:ind w:firstLine="0"/>
              <w:rPr>
                <w:b/>
                <w:i/>
              </w:rPr>
            </w:pPr>
          </w:p>
        </w:tc>
        <w:tc>
          <w:tcPr>
            <w:tcW w:w="1354" w:type="dxa"/>
          </w:tcPr>
          <w:p w:rsidR="00171333" w:rsidRPr="00FE313F" w:rsidRDefault="00171333" w:rsidP="00374BE1">
            <w:pPr>
              <w:pStyle w:val="naisf"/>
              <w:spacing w:before="0" w:after="0"/>
              <w:ind w:firstLine="0"/>
              <w:rPr>
                <w:b/>
                <w:i/>
              </w:rPr>
            </w:pPr>
          </w:p>
        </w:tc>
        <w:tc>
          <w:tcPr>
            <w:tcW w:w="1354" w:type="dxa"/>
          </w:tcPr>
          <w:p w:rsidR="00171333" w:rsidRPr="00FE313F" w:rsidRDefault="00171333" w:rsidP="00374BE1">
            <w:pPr>
              <w:pStyle w:val="naisf"/>
              <w:spacing w:before="0" w:after="0"/>
              <w:ind w:firstLine="0"/>
              <w:rPr>
                <w:b/>
                <w:i/>
              </w:rPr>
            </w:pPr>
          </w:p>
        </w:tc>
        <w:tc>
          <w:tcPr>
            <w:tcW w:w="1355" w:type="dxa"/>
          </w:tcPr>
          <w:p w:rsidR="00171333" w:rsidRPr="00FE313F" w:rsidRDefault="00171333" w:rsidP="00374BE1">
            <w:pPr>
              <w:pStyle w:val="naisf"/>
              <w:spacing w:before="0" w:after="0"/>
              <w:ind w:firstLine="0"/>
              <w:rPr>
                <w:b/>
                <w:i/>
              </w:rPr>
            </w:pPr>
          </w:p>
        </w:tc>
        <w:tc>
          <w:tcPr>
            <w:tcW w:w="1296" w:type="dxa"/>
          </w:tcPr>
          <w:p w:rsidR="00171333" w:rsidRPr="00FE313F" w:rsidRDefault="00171333" w:rsidP="00374BE1">
            <w:pPr>
              <w:pStyle w:val="naisf"/>
              <w:spacing w:before="0" w:after="0"/>
              <w:ind w:firstLine="0"/>
              <w:rPr>
                <w:b/>
                <w:i/>
              </w:rPr>
            </w:pPr>
          </w:p>
        </w:tc>
      </w:tr>
      <w:tr w:rsidR="00171333" w:rsidRPr="00FE313F" w:rsidTr="00374BE1">
        <w:trPr>
          <w:jc w:val="center"/>
        </w:trPr>
        <w:tc>
          <w:tcPr>
            <w:tcW w:w="2911" w:type="dxa"/>
          </w:tcPr>
          <w:p w:rsidR="00171333" w:rsidRPr="00FE313F" w:rsidRDefault="00171333" w:rsidP="00374BE1">
            <w:pPr>
              <w:jc w:val="both"/>
            </w:pPr>
            <w:r w:rsidRPr="00FE313F">
              <w:t xml:space="preserve">2.3. pašvaldību budžets </w:t>
            </w:r>
          </w:p>
        </w:tc>
        <w:tc>
          <w:tcPr>
            <w:tcW w:w="1331" w:type="dxa"/>
          </w:tcPr>
          <w:p w:rsidR="00171333" w:rsidRPr="00FE313F" w:rsidRDefault="00171333" w:rsidP="00374BE1">
            <w:pPr>
              <w:pStyle w:val="naisf"/>
              <w:spacing w:before="0" w:after="0"/>
              <w:ind w:firstLine="0"/>
              <w:rPr>
                <w:b/>
                <w:i/>
              </w:rPr>
            </w:pPr>
          </w:p>
        </w:tc>
        <w:tc>
          <w:tcPr>
            <w:tcW w:w="1354" w:type="dxa"/>
          </w:tcPr>
          <w:p w:rsidR="00171333" w:rsidRPr="00FE313F" w:rsidRDefault="00171333" w:rsidP="00374BE1">
            <w:pPr>
              <w:pStyle w:val="naisf"/>
              <w:spacing w:before="0" w:after="0"/>
              <w:ind w:firstLine="0"/>
              <w:rPr>
                <w:b/>
                <w:i/>
              </w:rPr>
            </w:pPr>
          </w:p>
        </w:tc>
        <w:tc>
          <w:tcPr>
            <w:tcW w:w="1354" w:type="dxa"/>
          </w:tcPr>
          <w:p w:rsidR="00171333" w:rsidRPr="00FE313F" w:rsidRDefault="00171333" w:rsidP="00374BE1">
            <w:pPr>
              <w:pStyle w:val="naisf"/>
              <w:spacing w:before="0" w:after="0"/>
              <w:ind w:firstLine="0"/>
              <w:rPr>
                <w:b/>
                <w:i/>
              </w:rPr>
            </w:pPr>
          </w:p>
        </w:tc>
        <w:tc>
          <w:tcPr>
            <w:tcW w:w="1355" w:type="dxa"/>
          </w:tcPr>
          <w:p w:rsidR="00171333" w:rsidRPr="00FE313F" w:rsidRDefault="00171333" w:rsidP="00374BE1">
            <w:pPr>
              <w:pStyle w:val="naisf"/>
              <w:spacing w:before="0" w:after="0"/>
              <w:ind w:firstLine="0"/>
              <w:rPr>
                <w:b/>
                <w:i/>
              </w:rPr>
            </w:pPr>
          </w:p>
        </w:tc>
        <w:tc>
          <w:tcPr>
            <w:tcW w:w="1296" w:type="dxa"/>
          </w:tcPr>
          <w:p w:rsidR="00171333" w:rsidRPr="00FE313F" w:rsidRDefault="00171333" w:rsidP="00374BE1">
            <w:pPr>
              <w:pStyle w:val="naisf"/>
              <w:spacing w:before="0" w:after="0"/>
              <w:ind w:firstLine="0"/>
              <w:rPr>
                <w:b/>
                <w:i/>
              </w:rPr>
            </w:pPr>
          </w:p>
        </w:tc>
      </w:tr>
      <w:tr w:rsidR="00171333" w:rsidRPr="00FE313F" w:rsidTr="00374BE1">
        <w:trPr>
          <w:jc w:val="center"/>
        </w:trPr>
        <w:tc>
          <w:tcPr>
            <w:tcW w:w="2911" w:type="dxa"/>
          </w:tcPr>
          <w:p w:rsidR="00171333" w:rsidRPr="00FE313F" w:rsidRDefault="00171333" w:rsidP="00374BE1">
            <w:pPr>
              <w:jc w:val="both"/>
            </w:pPr>
            <w:r w:rsidRPr="00FE313F">
              <w:t>3. Finansiālā ietekme:</w:t>
            </w:r>
          </w:p>
        </w:tc>
        <w:tc>
          <w:tcPr>
            <w:tcW w:w="1331" w:type="dxa"/>
            <w:shd w:val="clear" w:color="auto" w:fill="auto"/>
            <w:vAlign w:val="center"/>
          </w:tcPr>
          <w:p w:rsidR="00171333" w:rsidRPr="00FE313F" w:rsidRDefault="00171333" w:rsidP="00374BE1">
            <w:pPr>
              <w:pStyle w:val="naisf"/>
              <w:spacing w:before="0" w:after="0"/>
              <w:ind w:firstLine="0"/>
              <w:jc w:val="center"/>
            </w:pPr>
          </w:p>
        </w:tc>
        <w:tc>
          <w:tcPr>
            <w:tcW w:w="1354" w:type="dxa"/>
          </w:tcPr>
          <w:p w:rsidR="00171333" w:rsidRPr="00FE313F" w:rsidRDefault="00171333" w:rsidP="00374BE1">
            <w:pPr>
              <w:pStyle w:val="naisf"/>
              <w:spacing w:before="0" w:after="0"/>
              <w:ind w:firstLine="0"/>
              <w:rPr>
                <w:b/>
                <w:i/>
              </w:rPr>
            </w:pPr>
          </w:p>
        </w:tc>
        <w:tc>
          <w:tcPr>
            <w:tcW w:w="1354" w:type="dxa"/>
          </w:tcPr>
          <w:p w:rsidR="00171333" w:rsidRPr="00FE313F" w:rsidRDefault="00171333" w:rsidP="00374BE1">
            <w:pPr>
              <w:pStyle w:val="naisf"/>
              <w:spacing w:before="0" w:after="0"/>
              <w:ind w:firstLine="0"/>
              <w:rPr>
                <w:b/>
                <w:i/>
              </w:rPr>
            </w:pPr>
          </w:p>
        </w:tc>
        <w:tc>
          <w:tcPr>
            <w:tcW w:w="1355" w:type="dxa"/>
          </w:tcPr>
          <w:p w:rsidR="00171333" w:rsidRPr="00FE313F" w:rsidRDefault="00171333" w:rsidP="00374BE1">
            <w:pPr>
              <w:pStyle w:val="naisf"/>
              <w:spacing w:before="0" w:after="0"/>
              <w:ind w:firstLine="0"/>
              <w:rPr>
                <w:b/>
                <w:i/>
              </w:rPr>
            </w:pPr>
          </w:p>
        </w:tc>
        <w:tc>
          <w:tcPr>
            <w:tcW w:w="1296" w:type="dxa"/>
          </w:tcPr>
          <w:p w:rsidR="00171333" w:rsidRPr="00FE313F" w:rsidRDefault="00171333" w:rsidP="00374BE1">
            <w:pPr>
              <w:pStyle w:val="naisf"/>
              <w:spacing w:before="0" w:after="0"/>
              <w:ind w:firstLine="0"/>
              <w:rPr>
                <w:b/>
                <w:i/>
              </w:rPr>
            </w:pPr>
          </w:p>
        </w:tc>
      </w:tr>
      <w:tr w:rsidR="00171333" w:rsidRPr="00FE313F" w:rsidTr="00374BE1">
        <w:trPr>
          <w:jc w:val="center"/>
        </w:trPr>
        <w:tc>
          <w:tcPr>
            <w:tcW w:w="2911" w:type="dxa"/>
          </w:tcPr>
          <w:p w:rsidR="00171333" w:rsidRPr="00FE313F" w:rsidRDefault="00171333" w:rsidP="00374BE1">
            <w:pPr>
              <w:jc w:val="both"/>
            </w:pPr>
            <w:r w:rsidRPr="00FE313F">
              <w:t>3.1. valsts pamatbudžets</w:t>
            </w:r>
          </w:p>
        </w:tc>
        <w:tc>
          <w:tcPr>
            <w:tcW w:w="1331" w:type="dxa"/>
            <w:shd w:val="clear" w:color="auto" w:fill="auto"/>
          </w:tcPr>
          <w:p w:rsidR="00171333" w:rsidRPr="00FE313F" w:rsidRDefault="00171333" w:rsidP="00374BE1">
            <w:pPr>
              <w:pStyle w:val="naisf"/>
              <w:spacing w:before="0" w:after="0"/>
              <w:ind w:firstLine="0"/>
              <w:rPr>
                <w:i/>
              </w:rPr>
            </w:pPr>
          </w:p>
        </w:tc>
        <w:tc>
          <w:tcPr>
            <w:tcW w:w="1354" w:type="dxa"/>
          </w:tcPr>
          <w:p w:rsidR="00171333" w:rsidRPr="00FE313F" w:rsidRDefault="00171333" w:rsidP="00374BE1">
            <w:pPr>
              <w:pStyle w:val="naisf"/>
              <w:spacing w:before="0" w:after="0"/>
              <w:ind w:firstLine="0"/>
              <w:rPr>
                <w:b/>
                <w:i/>
              </w:rPr>
            </w:pPr>
          </w:p>
        </w:tc>
        <w:tc>
          <w:tcPr>
            <w:tcW w:w="1354" w:type="dxa"/>
          </w:tcPr>
          <w:p w:rsidR="00171333" w:rsidRPr="00FE313F" w:rsidRDefault="00171333" w:rsidP="00374BE1">
            <w:pPr>
              <w:pStyle w:val="naisf"/>
              <w:spacing w:before="0" w:after="0"/>
              <w:ind w:firstLine="0"/>
              <w:rPr>
                <w:b/>
                <w:i/>
              </w:rPr>
            </w:pPr>
          </w:p>
        </w:tc>
        <w:tc>
          <w:tcPr>
            <w:tcW w:w="1355" w:type="dxa"/>
          </w:tcPr>
          <w:p w:rsidR="00171333" w:rsidRPr="00FE313F" w:rsidRDefault="00171333" w:rsidP="00374BE1">
            <w:pPr>
              <w:pStyle w:val="naisf"/>
              <w:spacing w:before="0" w:after="0"/>
              <w:ind w:firstLine="0"/>
              <w:rPr>
                <w:b/>
                <w:i/>
              </w:rPr>
            </w:pPr>
          </w:p>
        </w:tc>
        <w:tc>
          <w:tcPr>
            <w:tcW w:w="1296" w:type="dxa"/>
          </w:tcPr>
          <w:p w:rsidR="00171333" w:rsidRPr="00FE313F" w:rsidRDefault="00171333" w:rsidP="00374BE1">
            <w:pPr>
              <w:pStyle w:val="naisf"/>
              <w:spacing w:before="0" w:after="0"/>
              <w:ind w:firstLine="0"/>
              <w:rPr>
                <w:b/>
                <w:i/>
              </w:rPr>
            </w:pPr>
          </w:p>
        </w:tc>
      </w:tr>
      <w:tr w:rsidR="00171333" w:rsidRPr="00FE313F" w:rsidTr="00374BE1">
        <w:trPr>
          <w:jc w:val="center"/>
        </w:trPr>
        <w:tc>
          <w:tcPr>
            <w:tcW w:w="2911" w:type="dxa"/>
          </w:tcPr>
          <w:p w:rsidR="00171333" w:rsidRPr="00FE313F" w:rsidRDefault="00171333" w:rsidP="00374BE1">
            <w:pPr>
              <w:jc w:val="both"/>
            </w:pPr>
            <w:r w:rsidRPr="00FE313F">
              <w:t>3.2. speciālais budžets</w:t>
            </w:r>
          </w:p>
        </w:tc>
        <w:tc>
          <w:tcPr>
            <w:tcW w:w="1331" w:type="dxa"/>
            <w:shd w:val="clear" w:color="auto" w:fill="auto"/>
          </w:tcPr>
          <w:p w:rsidR="00171333" w:rsidRPr="00FE313F" w:rsidRDefault="00171333" w:rsidP="00374BE1">
            <w:pPr>
              <w:pStyle w:val="naisf"/>
              <w:spacing w:before="0" w:after="0"/>
              <w:ind w:firstLine="0"/>
              <w:rPr>
                <w:i/>
              </w:rPr>
            </w:pPr>
          </w:p>
        </w:tc>
        <w:tc>
          <w:tcPr>
            <w:tcW w:w="1354" w:type="dxa"/>
          </w:tcPr>
          <w:p w:rsidR="00171333" w:rsidRPr="00FE313F" w:rsidRDefault="00171333" w:rsidP="00374BE1">
            <w:pPr>
              <w:pStyle w:val="naisf"/>
              <w:spacing w:before="0" w:after="0"/>
              <w:ind w:firstLine="0"/>
              <w:rPr>
                <w:b/>
                <w:i/>
              </w:rPr>
            </w:pPr>
          </w:p>
        </w:tc>
        <w:tc>
          <w:tcPr>
            <w:tcW w:w="1354" w:type="dxa"/>
          </w:tcPr>
          <w:p w:rsidR="00171333" w:rsidRPr="00FE313F" w:rsidRDefault="00171333" w:rsidP="00374BE1">
            <w:pPr>
              <w:pStyle w:val="naisf"/>
              <w:spacing w:before="0" w:after="0"/>
              <w:ind w:firstLine="0"/>
              <w:rPr>
                <w:b/>
                <w:i/>
              </w:rPr>
            </w:pPr>
          </w:p>
        </w:tc>
        <w:tc>
          <w:tcPr>
            <w:tcW w:w="1355" w:type="dxa"/>
          </w:tcPr>
          <w:p w:rsidR="00171333" w:rsidRPr="00FE313F" w:rsidRDefault="00171333" w:rsidP="00374BE1">
            <w:pPr>
              <w:pStyle w:val="naisf"/>
              <w:spacing w:before="0" w:after="0"/>
              <w:ind w:firstLine="0"/>
              <w:rPr>
                <w:b/>
                <w:i/>
              </w:rPr>
            </w:pPr>
          </w:p>
        </w:tc>
        <w:tc>
          <w:tcPr>
            <w:tcW w:w="1296" w:type="dxa"/>
          </w:tcPr>
          <w:p w:rsidR="00171333" w:rsidRPr="00FE313F" w:rsidRDefault="00171333" w:rsidP="00374BE1">
            <w:pPr>
              <w:pStyle w:val="naisf"/>
              <w:spacing w:before="0" w:after="0"/>
              <w:ind w:firstLine="0"/>
              <w:rPr>
                <w:b/>
                <w:i/>
              </w:rPr>
            </w:pPr>
          </w:p>
        </w:tc>
      </w:tr>
      <w:tr w:rsidR="00171333" w:rsidRPr="00FE313F" w:rsidTr="00374BE1">
        <w:trPr>
          <w:jc w:val="center"/>
        </w:trPr>
        <w:tc>
          <w:tcPr>
            <w:tcW w:w="2911" w:type="dxa"/>
          </w:tcPr>
          <w:p w:rsidR="00171333" w:rsidRPr="00FE313F" w:rsidRDefault="00171333" w:rsidP="00374BE1">
            <w:pPr>
              <w:jc w:val="both"/>
            </w:pPr>
            <w:r w:rsidRPr="00FE313F">
              <w:t xml:space="preserve">3.3. pašvaldību budžets </w:t>
            </w:r>
          </w:p>
        </w:tc>
        <w:tc>
          <w:tcPr>
            <w:tcW w:w="1331" w:type="dxa"/>
            <w:shd w:val="clear" w:color="auto" w:fill="auto"/>
          </w:tcPr>
          <w:p w:rsidR="00171333" w:rsidRPr="00FE313F" w:rsidRDefault="00171333" w:rsidP="00374BE1">
            <w:pPr>
              <w:pStyle w:val="naisf"/>
              <w:spacing w:before="0" w:after="0"/>
              <w:ind w:firstLine="0"/>
              <w:rPr>
                <w:i/>
              </w:rPr>
            </w:pPr>
          </w:p>
        </w:tc>
        <w:tc>
          <w:tcPr>
            <w:tcW w:w="1354" w:type="dxa"/>
          </w:tcPr>
          <w:p w:rsidR="00171333" w:rsidRPr="00FE313F" w:rsidRDefault="00171333" w:rsidP="00374BE1">
            <w:pPr>
              <w:pStyle w:val="naisf"/>
              <w:spacing w:before="0" w:after="0"/>
              <w:ind w:firstLine="0"/>
              <w:rPr>
                <w:b/>
                <w:i/>
              </w:rPr>
            </w:pPr>
          </w:p>
        </w:tc>
        <w:tc>
          <w:tcPr>
            <w:tcW w:w="1354" w:type="dxa"/>
          </w:tcPr>
          <w:p w:rsidR="00171333" w:rsidRPr="00FE313F" w:rsidRDefault="00171333" w:rsidP="00374BE1">
            <w:pPr>
              <w:pStyle w:val="naisf"/>
              <w:spacing w:before="0" w:after="0"/>
              <w:ind w:firstLine="0"/>
              <w:rPr>
                <w:b/>
                <w:i/>
              </w:rPr>
            </w:pPr>
          </w:p>
        </w:tc>
        <w:tc>
          <w:tcPr>
            <w:tcW w:w="1355" w:type="dxa"/>
          </w:tcPr>
          <w:p w:rsidR="00171333" w:rsidRPr="00FE313F" w:rsidRDefault="00171333" w:rsidP="00374BE1">
            <w:pPr>
              <w:pStyle w:val="naisf"/>
              <w:spacing w:before="0" w:after="0"/>
              <w:ind w:firstLine="0"/>
              <w:rPr>
                <w:b/>
                <w:i/>
              </w:rPr>
            </w:pPr>
          </w:p>
        </w:tc>
        <w:tc>
          <w:tcPr>
            <w:tcW w:w="1296" w:type="dxa"/>
          </w:tcPr>
          <w:p w:rsidR="00171333" w:rsidRPr="00FE313F" w:rsidRDefault="00171333" w:rsidP="00374BE1">
            <w:pPr>
              <w:pStyle w:val="naisf"/>
              <w:spacing w:before="0" w:after="0"/>
              <w:ind w:firstLine="0"/>
              <w:rPr>
                <w:b/>
                <w:i/>
              </w:rPr>
            </w:pPr>
          </w:p>
        </w:tc>
      </w:tr>
      <w:tr w:rsidR="00171333" w:rsidRPr="00FE313F" w:rsidTr="00374BE1">
        <w:trPr>
          <w:jc w:val="center"/>
        </w:trPr>
        <w:tc>
          <w:tcPr>
            <w:tcW w:w="2911" w:type="dxa"/>
            <w:vMerge w:val="restart"/>
          </w:tcPr>
          <w:p w:rsidR="00171333" w:rsidRPr="00FE313F" w:rsidRDefault="00171333" w:rsidP="00374BE1">
            <w:pPr>
              <w:jc w:val="both"/>
            </w:pPr>
            <w:r w:rsidRPr="00FE313F">
              <w:t>4. Finanšu līdzekļi papildu izde</w:t>
            </w:r>
            <w:r w:rsidRPr="00FE313F">
              <w:softHyphen/>
              <w:t>vumu finansēšanai (kompensējošu izdevumu samazinājumu norāda ar "+" zīmi)</w:t>
            </w:r>
          </w:p>
        </w:tc>
        <w:tc>
          <w:tcPr>
            <w:tcW w:w="1331" w:type="dxa"/>
            <w:vMerge w:val="restart"/>
          </w:tcPr>
          <w:p w:rsidR="00171333" w:rsidRPr="00FE313F" w:rsidRDefault="00171333" w:rsidP="00374BE1">
            <w:pPr>
              <w:pStyle w:val="naisf"/>
              <w:spacing w:before="0" w:after="0"/>
              <w:ind w:firstLine="0"/>
              <w:jc w:val="center"/>
              <w:rPr>
                <w:i/>
              </w:rPr>
            </w:pPr>
            <w:r w:rsidRPr="00FE313F">
              <w:t>X</w:t>
            </w:r>
          </w:p>
        </w:tc>
        <w:tc>
          <w:tcPr>
            <w:tcW w:w="1354" w:type="dxa"/>
          </w:tcPr>
          <w:p w:rsidR="00171333" w:rsidRPr="00FE313F" w:rsidRDefault="00171333" w:rsidP="00374BE1">
            <w:pPr>
              <w:pStyle w:val="naisf"/>
              <w:spacing w:before="0" w:after="0"/>
              <w:ind w:firstLine="0"/>
              <w:jc w:val="left"/>
              <w:rPr>
                <w:b/>
                <w:i/>
              </w:rPr>
            </w:pPr>
          </w:p>
        </w:tc>
        <w:tc>
          <w:tcPr>
            <w:tcW w:w="1354" w:type="dxa"/>
          </w:tcPr>
          <w:p w:rsidR="00171333" w:rsidRPr="00FE313F" w:rsidRDefault="00171333" w:rsidP="00374BE1">
            <w:pPr>
              <w:pStyle w:val="naisf"/>
              <w:spacing w:before="0" w:after="0"/>
              <w:ind w:firstLine="0"/>
              <w:jc w:val="left"/>
              <w:rPr>
                <w:b/>
                <w:i/>
              </w:rPr>
            </w:pPr>
          </w:p>
        </w:tc>
        <w:tc>
          <w:tcPr>
            <w:tcW w:w="1355" w:type="dxa"/>
          </w:tcPr>
          <w:p w:rsidR="00171333" w:rsidRPr="00FE313F" w:rsidRDefault="00171333" w:rsidP="00374BE1">
            <w:pPr>
              <w:pStyle w:val="naisf"/>
              <w:spacing w:before="0" w:after="0"/>
              <w:ind w:firstLine="0"/>
              <w:jc w:val="left"/>
              <w:rPr>
                <w:b/>
                <w:i/>
              </w:rPr>
            </w:pPr>
          </w:p>
        </w:tc>
        <w:tc>
          <w:tcPr>
            <w:tcW w:w="1296" w:type="dxa"/>
          </w:tcPr>
          <w:p w:rsidR="00171333" w:rsidRPr="00FE313F" w:rsidRDefault="00171333" w:rsidP="00374BE1">
            <w:pPr>
              <w:pStyle w:val="naisf"/>
              <w:spacing w:before="0" w:after="0"/>
              <w:ind w:firstLine="0"/>
              <w:jc w:val="left"/>
              <w:rPr>
                <w:b/>
                <w:i/>
              </w:rPr>
            </w:pPr>
          </w:p>
        </w:tc>
      </w:tr>
      <w:tr w:rsidR="00171333" w:rsidRPr="00FE313F" w:rsidTr="00374BE1">
        <w:trPr>
          <w:jc w:val="center"/>
        </w:trPr>
        <w:tc>
          <w:tcPr>
            <w:tcW w:w="2911" w:type="dxa"/>
            <w:vMerge/>
          </w:tcPr>
          <w:p w:rsidR="00171333" w:rsidRPr="00FE313F" w:rsidRDefault="00171333" w:rsidP="00374BE1">
            <w:pPr>
              <w:jc w:val="both"/>
            </w:pPr>
          </w:p>
        </w:tc>
        <w:tc>
          <w:tcPr>
            <w:tcW w:w="1331" w:type="dxa"/>
            <w:vMerge/>
          </w:tcPr>
          <w:p w:rsidR="00171333" w:rsidRPr="00FE313F" w:rsidRDefault="00171333" w:rsidP="00374BE1">
            <w:pPr>
              <w:pStyle w:val="naisf"/>
              <w:spacing w:before="0" w:after="0"/>
              <w:ind w:firstLine="0"/>
              <w:jc w:val="center"/>
              <w:rPr>
                <w:i/>
              </w:rPr>
            </w:pPr>
          </w:p>
        </w:tc>
        <w:tc>
          <w:tcPr>
            <w:tcW w:w="1354" w:type="dxa"/>
          </w:tcPr>
          <w:p w:rsidR="00171333" w:rsidRPr="00FE313F" w:rsidRDefault="00171333" w:rsidP="00374BE1">
            <w:pPr>
              <w:pStyle w:val="naisf"/>
              <w:spacing w:before="0" w:after="0"/>
              <w:ind w:firstLine="0"/>
              <w:jc w:val="left"/>
              <w:rPr>
                <w:b/>
                <w:i/>
              </w:rPr>
            </w:pPr>
          </w:p>
        </w:tc>
        <w:tc>
          <w:tcPr>
            <w:tcW w:w="1354" w:type="dxa"/>
          </w:tcPr>
          <w:p w:rsidR="00171333" w:rsidRPr="00FE313F" w:rsidRDefault="00171333" w:rsidP="00374BE1">
            <w:pPr>
              <w:pStyle w:val="naisf"/>
              <w:spacing w:before="0" w:after="0"/>
              <w:ind w:firstLine="0"/>
              <w:jc w:val="left"/>
              <w:rPr>
                <w:b/>
                <w:i/>
              </w:rPr>
            </w:pPr>
          </w:p>
        </w:tc>
        <w:tc>
          <w:tcPr>
            <w:tcW w:w="1355" w:type="dxa"/>
          </w:tcPr>
          <w:p w:rsidR="00171333" w:rsidRPr="00FE313F" w:rsidRDefault="00171333" w:rsidP="00374BE1">
            <w:pPr>
              <w:pStyle w:val="naisf"/>
              <w:spacing w:before="0" w:after="0"/>
              <w:ind w:firstLine="0"/>
              <w:jc w:val="left"/>
              <w:rPr>
                <w:b/>
                <w:i/>
              </w:rPr>
            </w:pPr>
          </w:p>
        </w:tc>
        <w:tc>
          <w:tcPr>
            <w:tcW w:w="1296" w:type="dxa"/>
          </w:tcPr>
          <w:p w:rsidR="00171333" w:rsidRPr="00FE313F" w:rsidRDefault="00171333" w:rsidP="00374BE1">
            <w:pPr>
              <w:pStyle w:val="naisf"/>
              <w:spacing w:before="0" w:after="0"/>
              <w:ind w:firstLine="0"/>
              <w:jc w:val="left"/>
              <w:rPr>
                <w:b/>
                <w:i/>
              </w:rPr>
            </w:pPr>
          </w:p>
        </w:tc>
      </w:tr>
      <w:tr w:rsidR="00171333" w:rsidRPr="00FE313F" w:rsidTr="00374BE1">
        <w:trPr>
          <w:jc w:val="center"/>
        </w:trPr>
        <w:tc>
          <w:tcPr>
            <w:tcW w:w="2911" w:type="dxa"/>
            <w:vMerge/>
          </w:tcPr>
          <w:p w:rsidR="00171333" w:rsidRPr="00FE313F" w:rsidRDefault="00171333" w:rsidP="00374BE1">
            <w:pPr>
              <w:jc w:val="both"/>
            </w:pPr>
          </w:p>
        </w:tc>
        <w:tc>
          <w:tcPr>
            <w:tcW w:w="1331" w:type="dxa"/>
            <w:vMerge/>
          </w:tcPr>
          <w:p w:rsidR="00171333" w:rsidRPr="00FE313F" w:rsidRDefault="00171333" w:rsidP="00374BE1">
            <w:pPr>
              <w:pStyle w:val="naisf"/>
              <w:spacing w:before="0" w:after="0"/>
              <w:ind w:firstLine="0"/>
              <w:jc w:val="center"/>
              <w:rPr>
                <w:i/>
              </w:rPr>
            </w:pPr>
          </w:p>
        </w:tc>
        <w:tc>
          <w:tcPr>
            <w:tcW w:w="1354" w:type="dxa"/>
          </w:tcPr>
          <w:p w:rsidR="00171333" w:rsidRPr="00FE313F" w:rsidRDefault="00171333" w:rsidP="00374BE1">
            <w:pPr>
              <w:pStyle w:val="naisf"/>
              <w:spacing w:before="0" w:after="0"/>
              <w:ind w:firstLine="0"/>
              <w:jc w:val="left"/>
              <w:rPr>
                <w:b/>
                <w:i/>
              </w:rPr>
            </w:pPr>
          </w:p>
        </w:tc>
        <w:tc>
          <w:tcPr>
            <w:tcW w:w="1354" w:type="dxa"/>
          </w:tcPr>
          <w:p w:rsidR="00171333" w:rsidRPr="00FE313F" w:rsidRDefault="00171333" w:rsidP="00374BE1">
            <w:pPr>
              <w:pStyle w:val="naisf"/>
              <w:spacing w:before="0" w:after="0"/>
              <w:ind w:firstLine="0"/>
              <w:jc w:val="left"/>
              <w:rPr>
                <w:b/>
                <w:i/>
              </w:rPr>
            </w:pPr>
          </w:p>
        </w:tc>
        <w:tc>
          <w:tcPr>
            <w:tcW w:w="1355" w:type="dxa"/>
          </w:tcPr>
          <w:p w:rsidR="00171333" w:rsidRPr="00FE313F" w:rsidRDefault="00171333" w:rsidP="00374BE1">
            <w:pPr>
              <w:pStyle w:val="naisf"/>
              <w:spacing w:before="0" w:after="0"/>
              <w:ind w:firstLine="0"/>
              <w:jc w:val="left"/>
              <w:rPr>
                <w:b/>
                <w:i/>
              </w:rPr>
            </w:pPr>
          </w:p>
        </w:tc>
        <w:tc>
          <w:tcPr>
            <w:tcW w:w="1296" w:type="dxa"/>
          </w:tcPr>
          <w:p w:rsidR="00171333" w:rsidRPr="00FE313F" w:rsidRDefault="00171333" w:rsidP="00374BE1">
            <w:pPr>
              <w:pStyle w:val="naisf"/>
              <w:spacing w:before="0" w:after="0"/>
              <w:ind w:firstLine="0"/>
              <w:jc w:val="left"/>
              <w:rPr>
                <w:b/>
                <w:i/>
              </w:rPr>
            </w:pPr>
          </w:p>
        </w:tc>
      </w:tr>
      <w:tr w:rsidR="00171333" w:rsidRPr="00FE313F" w:rsidTr="00374BE1">
        <w:trPr>
          <w:jc w:val="center"/>
        </w:trPr>
        <w:tc>
          <w:tcPr>
            <w:tcW w:w="2911" w:type="dxa"/>
          </w:tcPr>
          <w:p w:rsidR="00171333" w:rsidRPr="00FE313F" w:rsidRDefault="00171333" w:rsidP="00374BE1">
            <w:pPr>
              <w:jc w:val="both"/>
            </w:pPr>
            <w:r w:rsidRPr="00FE313F">
              <w:t>5. Precizēta finansiālā ietekme:</w:t>
            </w:r>
          </w:p>
        </w:tc>
        <w:tc>
          <w:tcPr>
            <w:tcW w:w="1331" w:type="dxa"/>
            <w:vMerge w:val="restart"/>
          </w:tcPr>
          <w:p w:rsidR="00171333" w:rsidRPr="00FE313F" w:rsidRDefault="00171333" w:rsidP="00374BE1">
            <w:pPr>
              <w:pStyle w:val="naisf"/>
              <w:spacing w:before="0" w:after="0"/>
              <w:ind w:firstLine="0"/>
              <w:jc w:val="center"/>
              <w:rPr>
                <w:i/>
              </w:rPr>
            </w:pPr>
            <w:r w:rsidRPr="00FE313F">
              <w:t>X</w:t>
            </w:r>
          </w:p>
        </w:tc>
        <w:tc>
          <w:tcPr>
            <w:tcW w:w="1354" w:type="dxa"/>
          </w:tcPr>
          <w:p w:rsidR="00171333" w:rsidRPr="00FE313F" w:rsidRDefault="00171333" w:rsidP="00374BE1">
            <w:pPr>
              <w:pStyle w:val="naisf"/>
              <w:spacing w:before="0" w:after="0"/>
              <w:ind w:firstLine="0"/>
              <w:rPr>
                <w:b/>
                <w:i/>
              </w:rPr>
            </w:pPr>
          </w:p>
        </w:tc>
        <w:tc>
          <w:tcPr>
            <w:tcW w:w="1354" w:type="dxa"/>
          </w:tcPr>
          <w:p w:rsidR="00171333" w:rsidRPr="00FE313F" w:rsidRDefault="00171333" w:rsidP="00374BE1">
            <w:pPr>
              <w:pStyle w:val="naisf"/>
              <w:spacing w:before="0" w:after="0"/>
              <w:ind w:firstLine="0"/>
              <w:rPr>
                <w:b/>
                <w:i/>
              </w:rPr>
            </w:pPr>
          </w:p>
        </w:tc>
        <w:tc>
          <w:tcPr>
            <w:tcW w:w="1355" w:type="dxa"/>
          </w:tcPr>
          <w:p w:rsidR="00171333" w:rsidRPr="00FE313F" w:rsidRDefault="00171333" w:rsidP="00374BE1">
            <w:pPr>
              <w:pStyle w:val="naisf"/>
              <w:spacing w:before="0" w:after="0"/>
              <w:ind w:firstLine="0"/>
              <w:rPr>
                <w:b/>
                <w:i/>
              </w:rPr>
            </w:pPr>
          </w:p>
        </w:tc>
        <w:tc>
          <w:tcPr>
            <w:tcW w:w="1296" w:type="dxa"/>
          </w:tcPr>
          <w:p w:rsidR="00171333" w:rsidRPr="00FE313F" w:rsidRDefault="00171333" w:rsidP="00374BE1">
            <w:pPr>
              <w:pStyle w:val="naisf"/>
              <w:spacing w:before="0" w:after="0"/>
              <w:ind w:firstLine="0"/>
              <w:rPr>
                <w:b/>
                <w:i/>
              </w:rPr>
            </w:pPr>
          </w:p>
        </w:tc>
      </w:tr>
      <w:tr w:rsidR="00171333" w:rsidRPr="00FE313F" w:rsidTr="00374BE1">
        <w:trPr>
          <w:jc w:val="center"/>
        </w:trPr>
        <w:tc>
          <w:tcPr>
            <w:tcW w:w="2911" w:type="dxa"/>
          </w:tcPr>
          <w:p w:rsidR="00171333" w:rsidRPr="00FE313F" w:rsidRDefault="00171333" w:rsidP="00374BE1">
            <w:pPr>
              <w:jc w:val="both"/>
            </w:pPr>
            <w:r w:rsidRPr="00FE313F">
              <w:t>5.1. valsts pamatbudžets</w:t>
            </w:r>
          </w:p>
        </w:tc>
        <w:tc>
          <w:tcPr>
            <w:tcW w:w="1331" w:type="dxa"/>
            <w:vMerge/>
            <w:vAlign w:val="center"/>
          </w:tcPr>
          <w:p w:rsidR="00171333" w:rsidRPr="00FE313F" w:rsidRDefault="00171333" w:rsidP="00374BE1">
            <w:pPr>
              <w:pStyle w:val="naisf"/>
              <w:spacing w:before="0" w:after="0"/>
              <w:ind w:firstLine="0"/>
              <w:jc w:val="center"/>
              <w:rPr>
                <w:i/>
              </w:rPr>
            </w:pPr>
          </w:p>
        </w:tc>
        <w:tc>
          <w:tcPr>
            <w:tcW w:w="1354" w:type="dxa"/>
          </w:tcPr>
          <w:p w:rsidR="00171333" w:rsidRPr="00FE313F" w:rsidRDefault="00171333" w:rsidP="00374BE1">
            <w:pPr>
              <w:pStyle w:val="naisf"/>
              <w:spacing w:before="0" w:after="0"/>
              <w:ind w:firstLine="0"/>
              <w:rPr>
                <w:b/>
                <w:i/>
              </w:rPr>
            </w:pPr>
          </w:p>
        </w:tc>
        <w:tc>
          <w:tcPr>
            <w:tcW w:w="1354" w:type="dxa"/>
          </w:tcPr>
          <w:p w:rsidR="00171333" w:rsidRPr="00FE313F" w:rsidRDefault="00171333" w:rsidP="00374BE1">
            <w:pPr>
              <w:pStyle w:val="naisf"/>
              <w:spacing w:before="0" w:after="0"/>
              <w:ind w:firstLine="0"/>
              <w:rPr>
                <w:b/>
                <w:i/>
              </w:rPr>
            </w:pPr>
          </w:p>
        </w:tc>
        <w:tc>
          <w:tcPr>
            <w:tcW w:w="1355" w:type="dxa"/>
          </w:tcPr>
          <w:p w:rsidR="00171333" w:rsidRPr="00FE313F" w:rsidRDefault="00171333" w:rsidP="00374BE1">
            <w:pPr>
              <w:pStyle w:val="naisf"/>
              <w:spacing w:before="0" w:after="0"/>
              <w:ind w:firstLine="0"/>
              <w:rPr>
                <w:b/>
                <w:i/>
              </w:rPr>
            </w:pPr>
          </w:p>
        </w:tc>
        <w:tc>
          <w:tcPr>
            <w:tcW w:w="1296" w:type="dxa"/>
          </w:tcPr>
          <w:p w:rsidR="00171333" w:rsidRPr="00FE313F" w:rsidRDefault="00171333" w:rsidP="00374BE1">
            <w:pPr>
              <w:pStyle w:val="naisf"/>
              <w:spacing w:before="0" w:after="0"/>
              <w:ind w:firstLine="0"/>
              <w:rPr>
                <w:b/>
                <w:i/>
              </w:rPr>
            </w:pPr>
          </w:p>
        </w:tc>
      </w:tr>
      <w:tr w:rsidR="00171333" w:rsidRPr="00FE313F" w:rsidTr="00374BE1">
        <w:trPr>
          <w:jc w:val="center"/>
        </w:trPr>
        <w:tc>
          <w:tcPr>
            <w:tcW w:w="2911" w:type="dxa"/>
          </w:tcPr>
          <w:p w:rsidR="00171333" w:rsidRPr="00FE313F" w:rsidRDefault="00171333" w:rsidP="00374BE1">
            <w:pPr>
              <w:jc w:val="both"/>
            </w:pPr>
            <w:r w:rsidRPr="00FE313F">
              <w:t>5.2. speciālais budžets</w:t>
            </w:r>
          </w:p>
        </w:tc>
        <w:tc>
          <w:tcPr>
            <w:tcW w:w="1331" w:type="dxa"/>
            <w:vMerge/>
            <w:vAlign w:val="center"/>
          </w:tcPr>
          <w:p w:rsidR="00171333" w:rsidRPr="00FE313F" w:rsidRDefault="00171333" w:rsidP="00374BE1">
            <w:pPr>
              <w:pStyle w:val="naisf"/>
              <w:spacing w:before="0" w:after="0"/>
              <w:ind w:firstLine="0"/>
              <w:jc w:val="center"/>
              <w:rPr>
                <w:i/>
              </w:rPr>
            </w:pPr>
          </w:p>
        </w:tc>
        <w:tc>
          <w:tcPr>
            <w:tcW w:w="1354" w:type="dxa"/>
          </w:tcPr>
          <w:p w:rsidR="00171333" w:rsidRPr="00FE313F" w:rsidRDefault="00171333" w:rsidP="00374BE1">
            <w:pPr>
              <w:pStyle w:val="naisf"/>
              <w:spacing w:before="0" w:after="0"/>
              <w:ind w:firstLine="0"/>
              <w:rPr>
                <w:b/>
                <w:i/>
              </w:rPr>
            </w:pPr>
          </w:p>
        </w:tc>
        <w:tc>
          <w:tcPr>
            <w:tcW w:w="1354" w:type="dxa"/>
          </w:tcPr>
          <w:p w:rsidR="00171333" w:rsidRPr="00FE313F" w:rsidRDefault="00171333" w:rsidP="00374BE1">
            <w:pPr>
              <w:pStyle w:val="naisf"/>
              <w:spacing w:before="0" w:after="0"/>
              <w:ind w:firstLine="0"/>
              <w:rPr>
                <w:b/>
                <w:i/>
              </w:rPr>
            </w:pPr>
          </w:p>
        </w:tc>
        <w:tc>
          <w:tcPr>
            <w:tcW w:w="1355" w:type="dxa"/>
          </w:tcPr>
          <w:p w:rsidR="00171333" w:rsidRPr="00FE313F" w:rsidRDefault="00171333" w:rsidP="00374BE1">
            <w:pPr>
              <w:pStyle w:val="naisf"/>
              <w:spacing w:before="0" w:after="0"/>
              <w:ind w:firstLine="0"/>
              <w:rPr>
                <w:b/>
                <w:i/>
              </w:rPr>
            </w:pPr>
          </w:p>
        </w:tc>
        <w:tc>
          <w:tcPr>
            <w:tcW w:w="1296" w:type="dxa"/>
          </w:tcPr>
          <w:p w:rsidR="00171333" w:rsidRPr="00FE313F" w:rsidRDefault="00171333" w:rsidP="00374BE1">
            <w:pPr>
              <w:pStyle w:val="naisf"/>
              <w:spacing w:before="0" w:after="0"/>
              <w:ind w:firstLine="0"/>
              <w:rPr>
                <w:b/>
                <w:i/>
              </w:rPr>
            </w:pPr>
          </w:p>
        </w:tc>
      </w:tr>
      <w:tr w:rsidR="00171333" w:rsidRPr="00FE313F" w:rsidTr="00374BE1">
        <w:trPr>
          <w:jc w:val="center"/>
        </w:trPr>
        <w:tc>
          <w:tcPr>
            <w:tcW w:w="2911" w:type="dxa"/>
          </w:tcPr>
          <w:p w:rsidR="00171333" w:rsidRPr="00FE313F" w:rsidRDefault="00171333" w:rsidP="00374BE1">
            <w:pPr>
              <w:jc w:val="both"/>
            </w:pPr>
            <w:r w:rsidRPr="00FE313F">
              <w:t xml:space="preserve">5.3. pašvaldību budžets </w:t>
            </w:r>
          </w:p>
        </w:tc>
        <w:tc>
          <w:tcPr>
            <w:tcW w:w="1331" w:type="dxa"/>
            <w:vMerge/>
            <w:vAlign w:val="center"/>
          </w:tcPr>
          <w:p w:rsidR="00171333" w:rsidRPr="00FE313F" w:rsidRDefault="00171333" w:rsidP="00374BE1">
            <w:pPr>
              <w:pStyle w:val="naisf"/>
              <w:spacing w:before="0" w:after="0"/>
              <w:ind w:firstLine="0"/>
              <w:jc w:val="center"/>
              <w:rPr>
                <w:i/>
              </w:rPr>
            </w:pPr>
          </w:p>
        </w:tc>
        <w:tc>
          <w:tcPr>
            <w:tcW w:w="1354" w:type="dxa"/>
          </w:tcPr>
          <w:p w:rsidR="00171333" w:rsidRPr="00FE313F" w:rsidRDefault="00171333" w:rsidP="00374BE1">
            <w:pPr>
              <w:pStyle w:val="naisf"/>
              <w:spacing w:before="0" w:after="0"/>
              <w:ind w:firstLine="0"/>
              <w:rPr>
                <w:b/>
                <w:i/>
              </w:rPr>
            </w:pPr>
          </w:p>
        </w:tc>
        <w:tc>
          <w:tcPr>
            <w:tcW w:w="1354" w:type="dxa"/>
          </w:tcPr>
          <w:p w:rsidR="00171333" w:rsidRPr="00FE313F" w:rsidRDefault="00171333" w:rsidP="00374BE1">
            <w:pPr>
              <w:pStyle w:val="naisf"/>
              <w:spacing w:before="0" w:after="0"/>
              <w:ind w:firstLine="0"/>
              <w:rPr>
                <w:b/>
                <w:i/>
              </w:rPr>
            </w:pPr>
          </w:p>
        </w:tc>
        <w:tc>
          <w:tcPr>
            <w:tcW w:w="1355" w:type="dxa"/>
          </w:tcPr>
          <w:p w:rsidR="00171333" w:rsidRPr="00FE313F" w:rsidRDefault="00171333" w:rsidP="00374BE1">
            <w:pPr>
              <w:pStyle w:val="naisf"/>
              <w:spacing w:before="0" w:after="0"/>
              <w:ind w:firstLine="0"/>
              <w:rPr>
                <w:b/>
                <w:i/>
              </w:rPr>
            </w:pPr>
          </w:p>
        </w:tc>
        <w:tc>
          <w:tcPr>
            <w:tcW w:w="1296" w:type="dxa"/>
          </w:tcPr>
          <w:p w:rsidR="00171333" w:rsidRPr="00FE313F" w:rsidRDefault="00171333" w:rsidP="00374BE1">
            <w:pPr>
              <w:pStyle w:val="naisf"/>
              <w:spacing w:before="0" w:after="0"/>
              <w:ind w:firstLine="0"/>
              <w:rPr>
                <w:b/>
                <w:i/>
              </w:rPr>
            </w:pPr>
          </w:p>
        </w:tc>
      </w:tr>
      <w:tr w:rsidR="00171333" w:rsidRPr="00FE313F" w:rsidTr="00374BE1">
        <w:trPr>
          <w:jc w:val="center"/>
        </w:trPr>
        <w:tc>
          <w:tcPr>
            <w:tcW w:w="2911" w:type="dxa"/>
          </w:tcPr>
          <w:p w:rsidR="00171333" w:rsidRPr="00FE313F" w:rsidRDefault="00171333" w:rsidP="00374BE1">
            <w:pPr>
              <w:jc w:val="both"/>
            </w:pPr>
            <w:r w:rsidRPr="00FE313F">
              <w:t>6. Detalizēts ieņēmumu un izdevu</w:t>
            </w:r>
            <w:r w:rsidRPr="00FE313F">
              <w:softHyphen/>
              <w:t>mu aprēķins (ja nepieciešams, detalizētu ieņēmumu un izdevumu aprēķinu var pievienot anotācijas pielikumā):</w:t>
            </w:r>
          </w:p>
        </w:tc>
        <w:tc>
          <w:tcPr>
            <w:tcW w:w="6690" w:type="dxa"/>
            <w:gridSpan w:val="5"/>
            <w:vMerge w:val="restart"/>
            <w:vAlign w:val="center"/>
          </w:tcPr>
          <w:p w:rsidR="00171333" w:rsidRPr="00FE313F" w:rsidRDefault="00171333" w:rsidP="00374BE1">
            <w:pPr>
              <w:pStyle w:val="naisf"/>
              <w:spacing w:before="0" w:after="0"/>
              <w:ind w:firstLine="0"/>
              <w:rPr>
                <w:b/>
                <w:i/>
              </w:rPr>
            </w:pPr>
          </w:p>
        </w:tc>
      </w:tr>
      <w:tr w:rsidR="00171333" w:rsidRPr="00FE313F" w:rsidTr="00374BE1">
        <w:trPr>
          <w:jc w:val="center"/>
        </w:trPr>
        <w:tc>
          <w:tcPr>
            <w:tcW w:w="2911" w:type="dxa"/>
          </w:tcPr>
          <w:p w:rsidR="00171333" w:rsidRPr="00FE313F" w:rsidRDefault="00171333" w:rsidP="00374BE1">
            <w:pPr>
              <w:jc w:val="both"/>
            </w:pPr>
            <w:r w:rsidRPr="00FE313F">
              <w:t>6.1. detalizēts ieņēmumu aprēķins</w:t>
            </w:r>
          </w:p>
        </w:tc>
        <w:tc>
          <w:tcPr>
            <w:tcW w:w="6690" w:type="dxa"/>
            <w:gridSpan w:val="5"/>
            <w:vMerge/>
          </w:tcPr>
          <w:p w:rsidR="00171333" w:rsidRPr="00FE313F" w:rsidRDefault="00171333" w:rsidP="00374BE1">
            <w:pPr>
              <w:pStyle w:val="naisf"/>
              <w:spacing w:before="0" w:after="0"/>
              <w:ind w:firstLine="0"/>
              <w:rPr>
                <w:b/>
                <w:i/>
              </w:rPr>
            </w:pPr>
          </w:p>
        </w:tc>
      </w:tr>
      <w:tr w:rsidR="00171333" w:rsidRPr="00FE313F" w:rsidTr="00374BE1">
        <w:trPr>
          <w:jc w:val="center"/>
        </w:trPr>
        <w:tc>
          <w:tcPr>
            <w:tcW w:w="2911" w:type="dxa"/>
          </w:tcPr>
          <w:p w:rsidR="00171333" w:rsidRPr="00FE313F" w:rsidRDefault="00171333" w:rsidP="00374BE1">
            <w:pPr>
              <w:jc w:val="both"/>
            </w:pPr>
            <w:r w:rsidRPr="00FE313F">
              <w:t>6.2. detalizēts izdevumu aprēķins</w:t>
            </w:r>
          </w:p>
        </w:tc>
        <w:tc>
          <w:tcPr>
            <w:tcW w:w="6690" w:type="dxa"/>
            <w:gridSpan w:val="5"/>
            <w:vMerge/>
          </w:tcPr>
          <w:p w:rsidR="00171333" w:rsidRPr="00FE313F" w:rsidRDefault="00171333" w:rsidP="00374BE1">
            <w:pPr>
              <w:pStyle w:val="naisf"/>
              <w:spacing w:before="0" w:after="0"/>
              <w:ind w:firstLine="0"/>
              <w:rPr>
                <w:b/>
                <w:i/>
              </w:rPr>
            </w:pPr>
          </w:p>
        </w:tc>
      </w:tr>
      <w:tr w:rsidR="00171333" w:rsidRPr="00FE313F" w:rsidTr="00374BE1">
        <w:trPr>
          <w:jc w:val="center"/>
        </w:trPr>
        <w:tc>
          <w:tcPr>
            <w:tcW w:w="2911" w:type="dxa"/>
          </w:tcPr>
          <w:p w:rsidR="00171333" w:rsidRPr="00FE313F" w:rsidRDefault="00171333" w:rsidP="00374BE1">
            <w:pPr>
              <w:jc w:val="both"/>
            </w:pPr>
            <w:r w:rsidRPr="00FE313F">
              <w:t>7. Cita informācija</w:t>
            </w:r>
          </w:p>
        </w:tc>
        <w:tc>
          <w:tcPr>
            <w:tcW w:w="6690" w:type="dxa"/>
            <w:gridSpan w:val="5"/>
          </w:tcPr>
          <w:p w:rsidR="00171333" w:rsidRPr="009F0F50" w:rsidRDefault="00171333" w:rsidP="00374BE1">
            <w:pPr>
              <w:pStyle w:val="PlainText"/>
              <w:jc w:val="both"/>
              <w:rPr>
                <w:rFonts w:ascii="Times New Roman" w:hAnsi="Times New Roman" w:cs="Times New Roman"/>
                <w:sz w:val="24"/>
                <w:szCs w:val="24"/>
              </w:rPr>
            </w:pPr>
            <w:r w:rsidRPr="009F0F50">
              <w:rPr>
                <w:rFonts w:ascii="Times New Roman" w:hAnsi="Times New Roman" w:cs="Times New Roman"/>
                <w:sz w:val="24"/>
                <w:szCs w:val="24"/>
              </w:rPr>
              <w:t>Grozījumu ietekmi</w:t>
            </w:r>
            <w:r w:rsidR="0067216C">
              <w:rPr>
                <w:rFonts w:ascii="Times New Roman" w:hAnsi="Times New Roman" w:cs="Times New Roman"/>
                <w:sz w:val="24"/>
                <w:szCs w:val="24"/>
              </w:rPr>
              <w:t xml:space="preserve"> attiecībā uz </w:t>
            </w:r>
            <w:proofErr w:type="spellStart"/>
            <w:r w:rsidR="0067216C">
              <w:rPr>
                <w:rFonts w:ascii="Times New Roman" w:hAnsi="Times New Roman" w:cs="Times New Roman"/>
                <w:i/>
                <w:sz w:val="24"/>
                <w:szCs w:val="24"/>
              </w:rPr>
              <w:t>euro</w:t>
            </w:r>
            <w:proofErr w:type="spellEnd"/>
            <w:r w:rsidRPr="009F0F50">
              <w:rPr>
                <w:rFonts w:ascii="Times New Roman" w:hAnsi="Times New Roman" w:cs="Times New Roman"/>
                <w:sz w:val="24"/>
                <w:szCs w:val="24"/>
              </w:rPr>
              <w:t xml:space="preserve"> (iespējamo ieņēmumu samazinājumu vai izdevumu palielinājumu), iespējams segt, nemainot attiecīgajās budžeta programmās vai apakšprogrammās finansējuma sadalījumu pa ieņēmumu, izdevumu vai fin</w:t>
            </w:r>
            <w:r>
              <w:rPr>
                <w:rFonts w:ascii="Times New Roman" w:hAnsi="Times New Roman" w:cs="Times New Roman"/>
                <w:sz w:val="24"/>
                <w:szCs w:val="24"/>
              </w:rPr>
              <w:t xml:space="preserve">ansēšanas klasifikācijas </w:t>
            </w:r>
            <w:r w:rsidRPr="00831668">
              <w:rPr>
                <w:rFonts w:ascii="Times New Roman" w:hAnsi="Times New Roman" w:cs="Times New Roman"/>
                <w:sz w:val="24"/>
                <w:szCs w:val="24"/>
              </w:rPr>
              <w:t xml:space="preserve">kodiem (skat. Excel pielikumu ar aprēķiniem, datne  </w:t>
            </w:r>
            <w:r w:rsidR="0067216C" w:rsidRPr="00831668">
              <w:rPr>
                <w:rFonts w:ascii="Times New Roman" w:hAnsi="Times New Roman" w:cs="Times New Roman"/>
                <w:sz w:val="24"/>
                <w:szCs w:val="24"/>
              </w:rPr>
              <w:t>VARAMAnotp1_0909</w:t>
            </w:r>
            <w:r w:rsidRPr="00831668">
              <w:rPr>
                <w:rFonts w:ascii="Times New Roman" w:hAnsi="Times New Roman" w:cs="Times New Roman"/>
                <w:sz w:val="24"/>
                <w:szCs w:val="24"/>
              </w:rPr>
              <w:t>13_</w:t>
            </w:r>
            <w:r w:rsidR="0067216C" w:rsidRPr="00831668">
              <w:rPr>
                <w:rFonts w:ascii="Times New Roman" w:hAnsi="Times New Roman" w:cs="Times New Roman"/>
                <w:sz w:val="24"/>
                <w:szCs w:val="24"/>
              </w:rPr>
              <w:t>radiacija</w:t>
            </w:r>
            <w:r w:rsidRPr="00831668">
              <w:rPr>
                <w:rFonts w:ascii="Times New Roman" w:hAnsi="Times New Roman" w:cs="Times New Roman"/>
                <w:sz w:val="24"/>
                <w:szCs w:val="24"/>
              </w:rPr>
              <w:t>).</w:t>
            </w:r>
          </w:p>
          <w:p w:rsidR="00171333" w:rsidRPr="009F0F50" w:rsidRDefault="00171333" w:rsidP="00374BE1">
            <w:pPr>
              <w:pStyle w:val="naisf"/>
              <w:tabs>
                <w:tab w:val="left" w:pos="4644"/>
              </w:tabs>
              <w:spacing w:before="0" w:after="0"/>
              <w:ind w:firstLine="0"/>
              <w:rPr>
                <w:highlight w:val="yellow"/>
              </w:rPr>
            </w:pPr>
          </w:p>
        </w:tc>
      </w:tr>
    </w:tbl>
    <w:p w:rsidR="000409CF" w:rsidRPr="007869AC" w:rsidRDefault="000409CF" w:rsidP="00F00AE2">
      <w:pPr>
        <w:rPr>
          <w:b/>
          <w:bCs/>
          <w:szCs w:val="28"/>
          <w:lang w:eastAsia="lv-LV"/>
        </w:rPr>
      </w:pPr>
    </w:p>
    <w:tbl>
      <w:tblPr>
        <w:tblW w:w="9116" w:type="dxa"/>
        <w:jc w:val="center"/>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139"/>
      </w:tblGrid>
      <w:tr w:rsidR="00E17DF5" w:rsidRPr="007869AC" w:rsidTr="00983E0A">
        <w:trPr>
          <w:jc w:val="center"/>
        </w:trPr>
        <w:tc>
          <w:tcPr>
            <w:tcW w:w="9116" w:type="dxa"/>
            <w:gridSpan w:val="3"/>
            <w:tcBorders>
              <w:top w:val="single" w:sz="4" w:space="0" w:color="auto"/>
              <w:left w:val="single" w:sz="4" w:space="0" w:color="auto"/>
              <w:bottom w:val="single" w:sz="4" w:space="0" w:color="auto"/>
              <w:right w:val="single" w:sz="4" w:space="0" w:color="auto"/>
            </w:tcBorders>
          </w:tcPr>
          <w:p w:rsidR="00E17DF5" w:rsidRPr="007869AC" w:rsidRDefault="00E17DF5" w:rsidP="00E17DF5">
            <w:pPr>
              <w:pStyle w:val="naisnod"/>
            </w:pPr>
            <w:r w:rsidRPr="007869AC">
              <w:lastRenderedPageBreak/>
              <w:t>V. Tiesību akta projekta atbilstība Latvijas Republikas starptautiskajām saistībām</w:t>
            </w:r>
          </w:p>
        </w:tc>
      </w:tr>
      <w:tr w:rsidR="00E17DF5" w:rsidRPr="007869AC" w:rsidTr="00983E0A">
        <w:trPr>
          <w:jc w:val="center"/>
        </w:trPr>
        <w:tc>
          <w:tcPr>
            <w:tcW w:w="567" w:type="dxa"/>
            <w:tcBorders>
              <w:top w:val="single" w:sz="4" w:space="0" w:color="auto"/>
              <w:left w:val="single" w:sz="4" w:space="0" w:color="auto"/>
              <w:bottom w:val="single" w:sz="4" w:space="0" w:color="auto"/>
              <w:right w:val="single" w:sz="4" w:space="0" w:color="auto"/>
            </w:tcBorders>
          </w:tcPr>
          <w:p w:rsidR="00E17DF5" w:rsidRPr="007869AC" w:rsidRDefault="00E17DF5" w:rsidP="00E17DF5">
            <w:pPr>
              <w:rPr>
                <w:sz w:val="24"/>
              </w:rPr>
            </w:pPr>
            <w:r w:rsidRPr="007869AC">
              <w:rPr>
                <w:sz w:val="24"/>
              </w:rPr>
              <w:t> 1.</w:t>
            </w:r>
          </w:p>
        </w:tc>
        <w:tc>
          <w:tcPr>
            <w:tcW w:w="2410" w:type="dxa"/>
            <w:tcBorders>
              <w:top w:val="single" w:sz="4" w:space="0" w:color="auto"/>
              <w:left w:val="single" w:sz="4" w:space="0" w:color="auto"/>
              <w:bottom w:val="single" w:sz="4" w:space="0" w:color="auto"/>
              <w:right w:val="single" w:sz="4" w:space="0" w:color="auto"/>
            </w:tcBorders>
          </w:tcPr>
          <w:p w:rsidR="00E17DF5" w:rsidRPr="007869AC" w:rsidRDefault="00E17DF5" w:rsidP="00E17DF5">
            <w:pPr>
              <w:jc w:val="both"/>
              <w:rPr>
                <w:sz w:val="24"/>
              </w:rPr>
            </w:pPr>
            <w:r w:rsidRPr="007869AC">
              <w:rPr>
                <w:sz w:val="24"/>
              </w:rPr>
              <w:t>Saistības pret Eiropas Savienību</w:t>
            </w:r>
          </w:p>
        </w:tc>
        <w:tc>
          <w:tcPr>
            <w:tcW w:w="6139" w:type="dxa"/>
            <w:tcBorders>
              <w:top w:val="single" w:sz="4" w:space="0" w:color="auto"/>
              <w:left w:val="single" w:sz="4" w:space="0" w:color="auto"/>
              <w:bottom w:val="single" w:sz="4" w:space="0" w:color="auto"/>
              <w:right w:val="single" w:sz="4" w:space="0" w:color="auto"/>
            </w:tcBorders>
          </w:tcPr>
          <w:p w:rsidR="00EF40B0" w:rsidRPr="00EA0F22" w:rsidRDefault="00EF40B0" w:rsidP="00EF40B0">
            <w:pPr>
              <w:pStyle w:val="naisf"/>
              <w:spacing w:before="0" w:after="120"/>
              <w:ind w:firstLine="0"/>
            </w:pPr>
            <w:r w:rsidRPr="00EA0F22">
              <w:t>Atsevišķas tiesību normas, kas izriet no Padomes 2011.gada 19.jūlija direktīvas 2011/70/Euratom, ar ko izveido Kopienas sistēmu lietotās kodoldegvielas un radioaktīvo atkritumu atbildīgai un drošai apsaimniekošanai</w:t>
            </w:r>
            <w:r w:rsidRPr="00EA0F22">
              <w:rPr>
                <w:bCs/>
              </w:rPr>
              <w:t xml:space="preserve"> (turpmāk - </w:t>
            </w:r>
            <w:r w:rsidRPr="00EA0F22">
              <w:t>Direktīva 2011/70/Euratom) ir jau iekļautas MK noteikumos Nr.723, līdz ar to noteikumu projekts paredz papildināt MK noteikumus Nr.723 ar atsauci uz Direktīvu 2011/70/Euratom.</w:t>
            </w:r>
          </w:p>
        </w:tc>
      </w:tr>
      <w:tr w:rsidR="00E17DF5" w:rsidRPr="007869AC" w:rsidTr="00983E0A">
        <w:trPr>
          <w:jc w:val="center"/>
        </w:trPr>
        <w:tc>
          <w:tcPr>
            <w:tcW w:w="567" w:type="dxa"/>
            <w:tcBorders>
              <w:top w:val="single" w:sz="4" w:space="0" w:color="auto"/>
              <w:left w:val="single" w:sz="4" w:space="0" w:color="auto"/>
              <w:bottom w:val="single" w:sz="4" w:space="0" w:color="auto"/>
              <w:right w:val="single" w:sz="4" w:space="0" w:color="auto"/>
            </w:tcBorders>
          </w:tcPr>
          <w:p w:rsidR="00E17DF5" w:rsidRPr="007869AC" w:rsidRDefault="00E17DF5" w:rsidP="00E17DF5">
            <w:pPr>
              <w:pStyle w:val="naiskr"/>
            </w:pPr>
            <w:r w:rsidRPr="007869AC">
              <w:t> 2.</w:t>
            </w:r>
          </w:p>
        </w:tc>
        <w:tc>
          <w:tcPr>
            <w:tcW w:w="2410" w:type="dxa"/>
            <w:tcBorders>
              <w:top w:val="single" w:sz="4" w:space="0" w:color="auto"/>
              <w:left w:val="single" w:sz="4" w:space="0" w:color="auto"/>
              <w:bottom w:val="single" w:sz="4" w:space="0" w:color="auto"/>
              <w:right w:val="single" w:sz="4" w:space="0" w:color="auto"/>
            </w:tcBorders>
          </w:tcPr>
          <w:p w:rsidR="00E17DF5" w:rsidRPr="007869AC" w:rsidRDefault="00E17DF5" w:rsidP="00E17DF5">
            <w:pPr>
              <w:pStyle w:val="naiskr"/>
              <w:jc w:val="both"/>
            </w:pPr>
            <w:r w:rsidRPr="007869AC">
              <w:t>Citas starptautiskās saistības</w:t>
            </w:r>
          </w:p>
        </w:tc>
        <w:tc>
          <w:tcPr>
            <w:tcW w:w="6139" w:type="dxa"/>
            <w:tcBorders>
              <w:top w:val="single" w:sz="4" w:space="0" w:color="auto"/>
              <w:left w:val="single" w:sz="4" w:space="0" w:color="auto"/>
              <w:bottom w:val="single" w:sz="4" w:space="0" w:color="auto"/>
              <w:right w:val="single" w:sz="4" w:space="0" w:color="auto"/>
            </w:tcBorders>
          </w:tcPr>
          <w:p w:rsidR="00AD3120" w:rsidRPr="00EF40B0" w:rsidRDefault="003C7E11" w:rsidP="00F025F7">
            <w:pPr>
              <w:spacing w:after="120"/>
              <w:jc w:val="both"/>
              <w:rPr>
                <w:sz w:val="24"/>
              </w:rPr>
            </w:pPr>
            <w:r w:rsidRPr="007869AC">
              <w:rPr>
                <w:sz w:val="24"/>
              </w:rPr>
              <w:t>P</w:t>
            </w:r>
            <w:r w:rsidR="005E02C3" w:rsidRPr="007869AC">
              <w:rPr>
                <w:sz w:val="24"/>
              </w:rPr>
              <w:t xml:space="preserve">rojektā iekļautas </w:t>
            </w:r>
            <w:r w:rsidR="007869AC" w:rsidRPr="007869AC">
              <w:rPr>
                <w:sz w:val="24"/>
              </w:rPr>
              <w:t xml:space="preserve">normas </w:t>
            </w:r>
            <w:r w:rsidR="005E02C3" w:rsidRPr="007869AC">
              <w:rPr>
                <w:sz w:val="24"/>
              </w:rPr>
              <w:t xml:space="preserve">no MK </w:t>
            </w:r>
            <w:r w:rsidRPr="007869AC">
              <w:rPr>
                <w:sz w:val="24"/>
              </w:rPr>
              <w:t>noteikum</w:t>
            </w:r>
            <w:r w:rsidR="0064130E" w:rsidRPr="007869AC">
              <w:rPr>
                <w:sz w:val="24"/>
              </w:rPr>
              <w:t>iem</w:t>
            </w:r>
            <w:r w:rsidRPr="007869AC">
              <w:rPr>
                <w:sz w:val="24"/>
              </w:rPr>
              <w:t xml:space="preserve"> Nr.723</w:t>
            </w:r>
            <w:r w:rsidR="005E02C3" w:rsidRPr="007869AC">
              <w:rPr>
                <w:sz w:val="24"/>
              </w:rPr>
              <w:t xml:space="preserve">, kuras pārņemtas no </w:t>
            </w:r>
            <w:r w:rsidRPr="007869AC">
              <w:rPr>
                <w:sz w:val="24"/>
              </w:rPr>
              <w:t>1997.gada 12.septembra Protokol</w:t>
            </w:r>
            <w:r w:rsidR="0064130E" w:rsidRPr="007869AC">
              <w:rPr>
                <w:sz w:val="24"/>
              </w:rPr>
              <w:t>a</w:t>
            </w:r>
            <w:r w:rsidRPr="007869AC">
              <w:rPr>
                <w:sz w:val="24"/>
              </w:rPr>
              <w:t xml:space="preserve"> par grozījumiem 1963.gada 21.maija Vīnes konvencijā par civilo atbildību par kodolkaitējumiem</w:t>
            </w:r>
            <w:r w:rsidR="0064130E" w:rsidRPr="007869AC">
              <w:rPr>
                <w:sz w:val="24"/>
              </w:rPr>
              <w:t>, kas</w:t>
            </w:r>
            <w:r w:rsidRPr="007869AC">
              <w:rPr>
                <w:sz w:val="24"/>
              </w:rPr>
              <w:t xml:space="preserve"> pieņemts un apstiprināts 2001.gada 28.jūnijā ar likumu „Par 1997.gada 12.septembra Protokolu par grozījumiem 1963.gada 21.maija Vīnes konvencijā par civilo atbildību par kodolkaitējumiem”.</w:t>
            </w:r>
          </w:p>
        </w:tc>
      </w:tr>
      <w:tr w:rsidR="00E17DF5" w:rsidRPr="007869AC" w:rsidTr="00983E0A">
        <w:trPr>
          <w:jc w:val="center"/>
        </w:trPr>
        <w:tc>
          <w:tcPr>
            <w:tcW w:w="567" w:type="dxa"/>
            <w:tcBorders>
              <w:top w:val="single" w:sz="4" w:space="0" w:color="auto"/>
              <w:left w:val="single" w:sz="4" w:space="0" w:color="auto"/>
              <w:bottom w:val="single" w:sz="4" w:space="0" w:color="auto"/>
              <w:right w:val="single" w:sz="4" w:space="0" w:color="auto"/>
            </w:tcBorders>
          </w:tcPr>
          <w:p w:rsidR="00E17DF5" w:rsidRPr="007869AC" w:rsidRDefault="00E17DF5" w:rsidP="00E17DF5">
            <w:pPr>
              <w:pStyle w:val="naiskr"/>
            </w:pPr>
            <w:r w:rsidRPr="007869AC">
              <w:t> 3.</w:t>
            </w:r>
          </w:p>
        </w:tc>
        <w:tc>
          <w:tcPr>
            <w:tcW w:w="2410" w:type="dxa"/>
            <w:tcBorders>
              <w:top w:val="single" w:sz="4" w:space="0" w:color="auto"/>
              <w:left w:val="single" w:sz="4" w:space="0" w:color="auto"/>
              <w:bottom w:val="single" w:sz="4" w:space="0" w:color="auto"/>
              <w:right w:val="single" w:sz="4" w:space="0" w:color="auto"/>
            </w:tcBorders>
          </w:tcPr>
          <w:p w:rsidR="00E17DF5" w:rsidRPr="007869AC" w:rsidRDefault="00E17DF5" w:rsidP="00E17DF5">
            <w:pPr>
              <w:pStyle w:val="naiskr"/>
            </w:pPr>
            <w:r w:rsidRPr="007869AC">
              <w:t> Cita informācija</w:t>
            </w:r>
          </w:p>
        </w:tc>
        <w:tc>
          <w:tcPr>
            <w:tcW w:w="6139" w:type="dxa"/>
            <w:tcBorders>
              <w:top w:val="single" w:sz="4" w:space="0" w:color="auto"/>
              <w:left w:val="single" w:sz="4" w:space="0" w:color="auto"/>
              <w:bottom w:val="single" w:sz="4" w:space="0" w:color="auto"/>
              <w:right w:val="single" w:sz="4" w:space="0" w:color="auto"/>
            </w:tcBorders>
          </w:tcPr>
          <w:p w:rsidR="00E17DF5" w:rsidRPr="007869AC" w:rsidRDefault="00E17DF5" w:rsidP="00E17DF5">
            <w:pPr>
              <w:pStyle w:val="naiskr"/>
            </w:pPr>
            <w:r w:rsidRPr="007869AC">
              <w:t>Nav</w:t>
            </w:r>
            <w:r w:rsidR="00995806">
              <w:t>.</w:t>
            </w:r>
          </w:p>
        </w:tc>
      </w:tr>
    </w:tbl>
    <w:p w:rsidR="000409CF" w:rsidRDefault="00E17DF5" w:rsidP="00E17DF5">
      <w:pPr>
        <w:pStyle w:val="naisf"/>
      </w:pPr>
      <w:r w:rsidRPr="007869AC">
        <w:t> </w:t>
      </w:r>
    </w:p>
    <w:tbl>
      <w:tblPr>
        <w:tblW w:w="9169" w:type="dxa"/>
        <w:jc w:val="center"/>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45"/>
        <w:gridCol w:w="2639"/>
        <w:gridCol w:w="2110"/>
        <w:gridCol w:w="2075"/>
      </w:tblGrid>
      <w:tr w:rsidR="00EF40B0" w:rsidTr="00EF40B0">
        <w:trPr>
          <w:trHeight w:val="523"/>
          <w:jc w:val="center"/>
        </w:trPr>
        <w:tc>
          <w:tcPr>
            <w:tcW w:w="9169" w:type="dxa"/>
            <w:gridSpan w:val="4"/>
            <w:tcBorders>
              <w:top w:val="single" w:sz="4" w:space="0" w:color="auto"/>
              <w:left w:val="single" w:sz="4" w:space="0" w:color="auto"/>
              <w:bottom w:val="single" w:sz="4" w:space="0" w:color="auto"/>
              <w:right w:val="single" w:sz="4" w:space="0" w:color="auto"/>
            </w:tcBorders>
            <w:hideMark/>
          </w:tcPr>
          <w:p w:rsidR="00EF40B0" w:rsidRPr="00EA0F22" w:rsidRDefault="00EF40B0">
            <w:pPr>
              <w:pStyle w:val="naisnod"/>
              <w:spacing w:before="0" w:after="120"/>
            </w:pPr>
            <w:r w:rsidRPr="00EA0F22">
              <w:t> 1.tabula</w:t>
            </w:r>
          </w:p>
          <w:p w:rsidR="00EF40B0" w:rsidRPr="00EA0F22" w:rsidRDefault="00EF40B0">
            <w:pPr>
              <w:pStyle w:val="naisnod"/>
              <w:spacing w:before="0" w:after="120"/>
            </w:pPr>
            <w:r w:rsidRPr="00EA0F22">
              <w:t>Tiesību akta projekta atbilstība ES tiesību aktiem</w:t>
            </w:r>
          </w:p>
        </w:tc>
      </w:tr>
      <w:tr w:rsidR="00EF40B0" w:rsidTr="00633297">
        <w:trPr>
          <w:trHeight w:val="894"/>
          <w:jc w:val="center"/>
        </w:trPr>
        <w:tc>
          <w:tcPr>
            <w:tcW w:w="2345" w:type="dxa"/>
            <w:tcBorders>
              <w:top w:val="single" w:sz="4" w:space="0" w:color="auto"/>
              <w:left w:val="single" w:sz="4" w:space="0" w:color="auto"/>
              <w:bottom w:val="single" w:sz="4" w:space="0" w:color="auto"/>
              <w:right w:val="single" w:sz="4" w:space="0" w:color="auto"/>
            </w:tcBorders>
            <w:hideMark/>
          </w:tcPr>
          <w:p w:rsidR="00EF40B0" w:rsidRPr="00EA0F22" w:rsidRDefault="00EF40B0">
            <w:pPr>
              <w:pStyle w:val="naisc"/>
              <w:spacing w:before="0" w:after="120"/>
              <w:jc w:val="both"/>
            </w:pPr>
            <w:r w:rsidRPr="00EA0F22">
              <w:t>Attiecīgā ES tiesību akta datums, numurs un nosaukums</w:t>
            </w:r>
          </w:p>
        </w:tc>
        <w:tc>
          <w:tcPr>
            <w:tcW w:w="6824" w:type="dxa"/>
            <w:gridSpan w:val="3"/>
            <w:tcBorders>
              <w:top w:val="single" w:sz="4" w:space="0" w:color="auto"/>
              <w:left w:val="single" w:sz="4" w:space="0" w:color="auto"/>
              <w:bottom w:val="single" w:sz="4" w:space="0" w:color="auto"/>
              <w:right w:val="single" w:sz="4" w:space="0" w:color="auto"/>
            </w:tcBorders>
            <w:hideMark/>
          </w:tcPr>
          <w:p w:rsidR="00EF40B0" w:rsidRPr="00EA0F22" w:rsidRDefault="00EF40B0">
            <w:pPr>
              <w:pStyle w:val="naiskr"/>
              <w:tabs>
                <w:tab w:val="left" w:pos="2628"/>
              </w:tabs>
              <w:spacing w:before="0" w:after="120"/>
              <w:jc w:val="both"/>
              <w:rPr>
                <w:bCs/>
              </w:rPr>
            </w:pPr>
            <w:r w:rsidRPr="00EA0F22">
              <w:t>Padomes 2011.gada 19.jūlija direktīvas 2011/70/Euratom, ar ko izveido Kopienas sistēmu lietotās kodoldegvielas un radioaktīvo atkritumu atbildīgai un drošai apsaimniekošanai</w:t>
            </w:r>
            <w:r w:rsidRPr="00EA0F22">
              <w:rPr>
                <w:bCs/>
              </w:rPr>
              <w:t xml:space="preserve"> (turpmāk - </w:t>
            </w:r>
            <w:r w:rsidRPr="00EA0F22">
              <w:t>Direktīva 2011/70/Euratom)</w:t>
            </w:r>
          </w:p>
        </w:tc>
      </w:tr>
      <w:tr w:rsidR="00D445E9" w:rsidTr="00633297">
        <w:trPr>
          <w:trHeight w:val="165"/>
          <w:jc w:val="center"/>
        </w:trPr>
        <w:tc>
          <w:tcPr>
            <w:tcW w:w="2345" w:type="dxa"/>
            <w:tcBorders>
              <w:top w:val="single" w:sz="4" w:space="0" w:color="auto"/>
              <w:left w:val="single" w:sz="4" w:space="0" w:color="auto"/>
              <w:bottom w:val="single" w:sz="4" w:space="0" w:color="auto"/>
              <w:right w:val="single" w:sz="4" w:space="0" w:color="auto"/>
            </w:tcBorders>
            <w:hideMark/>
          </w:tcPr>
          <w:p w:rsidR="00EF40B0" w:rsidRPr="00EA0F22" w:rsidRDefault="00EF40B0">
            <w:pPr>
              <w:pStyle w:val="naisc"/>
              <w:spacing w:before="0" w:after="120"/>
            </w:pPr>
            <w:r w:rsidRPr="00EA0F22">
              <w:t> A</w:t>
            </w:r>
          </w:p>
        </w:tc>
        <w:tc>
          <w:tcPr>
            <w:tcW w:w="2639" w:type="dxa"/>
            <w:tcBorders>
              <w:top w:val="single" w:sz="4" w:space="0" w:color="auto"/>
              <w:left w:val="single" w:sz="4" w:space="0" w:color="auto"/>
              <w:bottom w:val="single" w:sz="4" w:space="0" w:color="auto"/>
              <w:right w:val="single" w:sz="4" w:space="0" w:color="auto"/>
            </w:tcBorders>
            <w:hideMark/>
          </w:tcPr>
          <w:p w:rsidR="00EF40B0" w:rsidRPr="00EA0F22" w:rsidRDefault="00EF40B0">
            <w:pPr>
              <w:pStyle w:val="naisc"/>
              <w:spacing w:before="0" w:after="120"/>
            </w:pPr>
            <w:r w:rsidRPr="00EA0F22">
              <w:t> B</w:t>
            </w:r>
          </w:p>
        </w:tc>
        <w:tc>
          <w:tcPr>
            <w:tcW w:w="2110" w:type="dxa"/>
            <w:tcBorders>
              <w:top w:val="single" w:sz="4" w:space="0" w:color="auto"/>
              <w:left w:val="single" w:sz="4" w:space="0" w:color="auto"/>
              <w:bottom w:val="single" w:sz="4" w:space="0" w:color="auto"/>
              <w:right w:val="single" w:sz="4" w:space="0" w:color="auto"/>
            </w:tcBorders>
            <w:hideMark/>
          </w:tcPr>
          <w:p w:rsidR="00EF40B0" w:rsidRPr="00EA0F22" w:rsidRDefault="00EF40B0">
            <w:pPr>
              <w:pStyle w:val="naisc"/>
              <w:spacing w:before="0" w:after="120"/>
            </w:pPr>
            <w:r w:rsidRPr="00EA0F22">
              <w:t> C</w:t>
            </w:r>
          </w:p>
        </w:tc>
        <w:tc>
          <w:tcPr>
            <w:tcW w:w="2075" w:type="dxa"/>
            <w:tcBorders>
              <w:top w:val="single" w:sz="4" w:space="0" w:color="auto"/>
              <w:left w:val="single" w:sz="4" w:space="0" w:color="auto"/>
              <w:bottom w:val="single" w:sz="4" w:space="0" w:color="auto"/>
              <w:right w:val="single" w:sz="4" w:space="0" w:color="auto"/>
            </w:tcBorders>
            <w:hideMark/>
          </w:tcPr>
          <w:p w:rsidR="00EF40B0" w:rsidRPr="00EA0F22" w:rsidRDefault="00EF40B0">
            <w:pPr>
              <w:pStyle w:val="naisc"/>
              <w:spacing w:before="0" w:after="120"/>
            </w:pPr>
            <w:r w:rsidRPr="00EA0F22">
              <w:t> D</w:t>
            </w:r>
          </w:p>
        </w:tc>
      </w:tr>
      <w:tr w:rsidR="00EF6CE6" w:rsidRPr="00EF6CE6" w:rsidTr="00633297">
        <w:trPr>
          <w:trHeight w:val="165"/>
          <w:jc w:val="center"/>
        </w:trPr>
        <w:tc>
          <w:tcPr>
            <w:tcW w:w="2345" w:type="dxa"/>
            <w:tcBorders>
              <w:top w:val="single" w:sz="4" w:space="0" w:color="auto"/>
              <w:left w:val="single" w:sz="4" w:space="0" w:color="auto"/>
              <w:bottom w:val="single" w:sz="4" w:space="0" w:color="auto"/>
              <w:right w:val="single" w:sz="4" w:space="0" w:color="auto"/>
            </w:tcBorders>
            <w:hideMark/>
          </w:tcPr>
          <w:p w:rsidR="00EF40B0" w:rsidRPr="00EA0F22" w:rsidRDefault="00EF40B0" w:rsidP="00EF6CE6">
            <w:pPr>
              <w:jc w:val="center"/>
              <w:rPr>
                <w:sz w:val="24"/>
              </w:rPr>
            </w:pPr>
            <w:r w:rsidRPr="00EA0F22">
              <w:rPr>
                <w:sz w:val="24"/>
              </w:rPr>
              <w:t>Direktīvas 2011</w:t>
            </w:r>
            <w:r w:rsidR="00EF6CE6" w:rsidRPr="00EA0F22">
              <w:rPr>
                <w:sz w:val="24"/>
              </w:rPr>
              <w:t>/70/Euratom 5.panta 1.punkts c)</w:t>
            </w:r>
            <w:r w:rsidRPr="00EA0F22">
              <w:rPr>
                <w:sz w:val="24"/>
              </w:rPr>
              <w:t>punkts</w:t>
            </w:r>
          </w:p>
        </w:tc>
        <w:tc>
          <w:tcPr>
            <w:tcW w:w="2639" w:type="dxa"/>
            <w:tcBorders>
              <w:top w:val="single" w:sz="4" w:space="0" w:color="auto"/>
              <w:left w:val="single" w:sz="4" w:space="0" w:color="auto"/>
              <w:bottom w:val="single" w:sz="4" w:space="0" w:color="auto"/>
              <w:right w:val="single" w:sz="4" w:space="0" w:color="auto"/>
            </w:tcBorders>
            <w:hideMark/>
          </w:tcPr>
          <w:p w:rsidR="001B6B30" w:rsidRPr="00EA0F22" w:rsidRDefault="00F23982" w:rsidP="00F23982">
            <w:pPr>
              <w:jc w:val="center"/>
              <w:rPr>
                <w:sz w:val="24"/>
              </w:rPr>
            </w:pPr>
            <w:r w:rsidRPr="00EA0F22">
              <w:rPr>
                <w:sz w:val="24"/>
              </w:rPr>
              <w:t>Likuma „Par radiācijas drošību un kodoldrošību” (turpmāk – likums)</w:t>
            </w:r>
            <w:r w:rsidR="00E04443" w:rsidRPr="00EA0F22">
              <w:rPr>
                <w:sz w:val="24"/>
              </w:rPr>
              <w:t xml:space="preserve"> </w:t>
            </w:r>
            <w:r w:rsidR="001B6B30" w:rsidRPr="00EA0F22">
              <w:rPr>
                <w:sz w:val="24"/>
              </w:rPr>
              <w:t>3.panta 1.daļas 5.punkts</w:t>
            </w:r>
            <w:r w:rsidR="00EF6CE6" w:rsidRPr="00EA0F22">
              <w:rPr>
                <w:sz w:val="24"/>
              </w:rPr>
              <w:t xml:space="preserve"> un</w:t>
            </w:r>
            <w:r w:rsidR="001B6B30" w:rsidRPr="00EA0F22">
              <w:rPr>
                <w:sz w:val="24"/>
              </w:rPr>
              <w:t xml:space="preserve"> </w:t>
            </w:r>
            <w:r w:rsidR="00E04443" w:rsidRPr="00EA0F22">
              <w:rPr>
                <w:sz w:val="24"/>
              </w:rPr>
              <w:t>11.</w:t>
            </w:r>
            <w:r w:rsidR="00EF6CE6" w:rsidRPr="00EA0F22">
              <w:rPr>
                <w:sz w:val="24"/>
              </w:rPr>
              <w:t xml:space="preserve"> un 12.</w:t>
            </w:r>
            <w:r w:rsidR="00E04443" w:rsidRPr="00EA0F22">
              <w:rPr>
                <w:sz w:val="24"/>
              </w:rPr>
              <w:t>pants, MK noteikum</w:t>
            </w:r>
            <w:r w:rsidR="00EF6CE6" w:rsidRPr="00EA0F22">
              <w:rPr>
                <w:sz w:val="24"/>
              </w:rPr>
              <w:t xml:space="preserve">u </w:t>
            </w:r>
            <w:r w:rsidR="00E04443" w:rsidRPr="00EA0F22">
              <w:rPr>
                <w:sz w:val="24"/>
              </w:rPr>
              <w:t>Nr.723</w:t>
            </w:r>
            <w:r w:rsidRPr="00EA0F22">
              <w:rPr>
                <w:sz w:val="24"/>
              </w:rPr>
              <w:t xml:space="preserve"> </w:t>
            </w:r>
            <w:r w:rsidR="00EF6CE6" w:rsidRPr="00EA0F22">
              <w:rPr>
                <w:sz w:val="24"/>
              </w:rPr>
              <w:t>5., 10.</w:t>
            </w:r>
            <w:r w:rsidR="001B6B30" w:rsidRPr="00EA0F22">
              <w:rPr>
                <w:sz w:val="24"/>
              </w:rPr>
              <w:t>, 2</w:t>
            </w:r>
            <w:r w:rsidR="00056EA9" w:rsidRPr="00EA0F22">
              <w:rPr>
                <w:sz w:val="24"/>
              </w:rPr>
              <w:t>0</w:t>
            </w:r>
            <w:r w:rsidR="001B6B30" w:rsidRPr="00EA0F22">
              <w:rPr>
                <w:sz w:val="24"/>
              </w:rPr>
              <w:t>.</w:t>
            </w:r>
            <w:r w:rsidR="00EF6CE6" w:rsidRPr="00EA0F22">
              <w:rPr>
                <w:sz w:val="24"/>
              </w:rPr>
              <w:t>, 27., 29.</w:t>
            </w:r>
            <w:r w:rsidRPr="00EA0F22">
              <w:rPr>
                <w:sz w:val="24"/>
              </w:rPr>
              <w:t xml:space="preserve">, 32. </w:t>
            </w:r>
            <w:r w:rsidR="00EF6CE6" w:rsidRPr="00EA0F22">
              <w:rPr>
                <w:sz w:val="24"/>
              </w:rPr>
              <w:t>un 47.punkts, V nodaļa, 3.pielikuma III nodaļa</w:t>
            </w:r>
          </w:p>
        </w:tc>
        <w:tc>
          <w:tcPr>
            <w:tcW w:w="2110" w:type="dxa"/>
            <w:tcBorders>
              <w:top w:val="single" w:sz="4" w:space="0" w:color="auto"/>
              <w:left w:val="single" w:sz="4" w:space="0" w:color="auto"/>
              <w:bottom w:val="single" w:sz="4" w:space="0" w:color="auto"/>
              <w:right w:val="single" w:sz="4" w:space="0" w:color="auto"/>
            </w:tcBorders>
            <w:hideMark/>
          </w:tcPr>
          <w:p w:rsidR="00EF40B0" w:rsidRPr="00EA0F22" w:rsidRDefault="00633297">
            <w:pPr>
              <w:jc w:val="center"/>
              <w:rPr>
                <w:sz w:val="24"/>
              </w:rPr>
            </w:pPr>
            <w:r w:rsidRPr="00EA0F22">
              <w:rPr>
                <w:sz w:val="24"/>
              </w:rPr>
              <w:t>I</w:t>
            </w:r>
            <w:r w:rsidR="00EF40B0" w:rsidRPr="00EA0F22">
              <w:rPr>
                <w:sz w:val="24"/>
              </w:rPr>
              <w:t>eviests</w:t>
            </w:r>
            <w:r w:rsidRPr="00EA0F22">
              <w:rPr>
                <w:sz w:val="24"/>
              </w:rPr>
              <w:t xml:space="preserve"> pilnībā</w:t>
            </w:r>
          </w:p>
          <w:p w:rsidR="00EF40B0" w:rsidRPr="00EA0F22" w:rsidRDefault="00EF40B0">
            <w:pPr>
              <w:jc w:val="both"/>
              <w:rPr>
                <w:sz w:val="24"/>
              </w:rPr>
            </w:pPr>
          </w:p>
        </w:tc>
        <w:tc>
          <w:tcPr>
            <w:tcW w:w="2075" w:type="dxa"/>
            <w:tcBorders>
              <w:top w:val="single" w:sz="4" w:space="0" w:color="auto"/>
              <w:left w:val="single" w:sz="4" w:space="0" w:color="auto"/>
              <w:bottom w:val="single" w:sz="4" w:space="0" w:color="auto"/>
              <w:right w:val="single" w:sz="4" w:space="0" w:color="auto"/>
            </w:tcBorders>
            <w:hideMark/>
          </w:tcPr>
          <w:p w:rsidR="00EF40B0" w:rsidRPr="00EA0F22" w:rsidRDefault="00EF40B0">
            <w:pPr>
              <w:jc w:val="center"/>
              <w:rPr>
                <w:sz w:val="24"/>
              </w:rPr>
            </w:pPr>
            <w:r w:rsidRPr="00EA0F22">
              <w:rPr>
                <w:sz w:val="24"/>
              </w:rPr>
              <w:t>Neparedz stingrākas prasības</w:t>
            </w:r>
          </w:p>
        </w:tc>
      </w:tr>
      <w:tr w:rsidR="00F23982" w:rsidRPr="00EF6CE6" w:rsidTr="00633297">
        <w:trPr>
          <w:trHeight w:val="165"/>
          <w:jc w:val="center"/>
        </w:trPr>
        <w:tc>
          <w:tcPr>
            <w:tcW w:w="2345" w:type="dxa"/>
            <w:tcBorders>
              <w:top w:val="single" w:sz="4" w:space="0" w:color="auto"/>
              <w:left w:val="single" w:sz="4" w:space="0" w:color="auto"/>
              <w:bottom w:val="single" w:sz="4" w:space="0" w:color="auto"/>
              <w:right w:val="single" w:sz="4" w:space="0" w:color="auto"/>
            </w:tcBorders>
          </w:tcPr>
          <w:p w:rsidR="00F23982" w:rsidRPr="00EA0F22" w:rsidRDefault="00F23982" w:rsidP="00F23982">
            <w:pPr>
              <w:jc w:val="center"/>
              <w:rPr>
                <w:sz w:val="24"/>
              </w:rPr>
            </w:pPr>
            <w:r w:rsidRPr="00EA0F22">
              <w:rPr>
                <w:sz w:val="24"/>
              </w:rPr>
              <w:t>Direktīvas 2011/70/Euratom 5.panta 1.punkts d)punkts</w:t>
            </w:r>
          </w:p>
        </w:tc>
        <w:tc>
          <w:tcPr>
            <w:tcW w:w="2639" w:type="dxa"/>
            <w:tcBorders>
              <w:top w:val="single" w:sz="4" w:space="0" w:color="auto"/>
              <w:left w:val="single" w:sz="4" w:space="0" w:color="auto"/>
              <w:bottom w:val="single" w:sz="4" w:space="0" w:color="auto"/>
              <w:right w:val="single" w:sz="4" w:space="0" w:color="auto"/>
            </w:tcBorders>
          </w:tcPr>
          <w:p w:rsidR="00F23982" w:rsidRPr="00EA0F22" w:rsidRDefault="00D445E9" w:rsidP="001A02C7">
            <w:pPr>
              <w:pStyle w:val="Header"/>
              <w:tabs>
                <w:tab w:val="clear" w:pos="4153"/>
                <w:tab w:val="clear" w:pos="8306"/>
              </w:tabs>
              <w:spacing w:after="120"/>
              <w:jc w:val="center"/>
              <w:rPr>
                <w:sz w:val="24"/>
              </w:rPr>
            </w:pPr>
            <w:r w:rsidRPr="00EA0F22">
              <w:rPr>
                <w:sz w:val="24"/>
              </w:rPr>
              <w:t xml:space="preserve">Likuma 4.pants, 5.panta 2. un 14.punkts, 7.pants, 13.panta sestā daļa, MK noteikumu Nr.723 50.punkts, MK </w:t>
            </w:r>
            <w:r w:rsidR="001A02C7" w:rsidRPr="00EA0F22">
              <w:rPr>
                <w:sz w:val="24"/>
              </w:rPr>
              <w:t xml:space="preserve">19.03.2002 </w:t>
            </w:r>
            <w:r w:rsidRPr="00EA0F22">
              <w:rPr>
                <w:sz w:val="24"/>
              </w:rPr>
              <w:t xml:space="preserve">noteikumu Nr.129 „Prasības darbībām ar radioaktīvajiem atkritumiem un ar tiem saistītajiem materiāliem” </w:t>
            </w:r>
            <w:r w:rsidRPr="00EA0F22">
              <w:rPr>
                <w:sz w:val="24"/>
              </w:rPr>
              <w:lastRenderedPageBreak/>
              <w:t>(turpmāk – noteikumi Nr.12</w:t>
            </w:r>
            <w:r w:rsidR="001A02C7" w:rsidRPr="00EA0F22">
              <w:rPr>
                <w:sz w:val="24"/>
              </w:rPr>
              <w:t>9</w:t>
            </w:r>
            <w:r w:rsidRPr="00EA0F22">
              <w:rPr>
                <w:sz w:val="24"/>
              </w:rPr>
              <w:t>) 8.-12.punkts, 43.5.apakšpunkts</w:t>
            </w:r>
          </w:p>
        </w:tc>
        <w:tc>
          <w:tcPr>
            <w:tcW w:w="2110" w:type="dxa"/>
            <w:tcBorders>
              <w:top w:val="single" w:sz="4" w:space="0" w:color="auto"/>
              <w:left w:val="single" w:sz="4" w:space="0" w:color="auto"/>
              <w:bottom w:val="single" w:sz="4" w:space="0" w:color="auto"/>
              <w:right w:val="single" w:sz="4" w:space="0" w:color="auto"/>
            </w:tcBorders>
          </w:tcPr>
          <w:p w:rsidR="00F23982" w:rsidRPr="00EA0F22" w:rsidRDefault="00F23982" w:rsidP="00DD6034">
            <w:pPr>
              <w:jc w:val="center"/>
              <w:rPr>
                <w:sz w:val="24"/>
              </w:rPr>
            </w:pPr>
            <w:r w:rsidRPr="00EA0F22">
              <w:rPr>
                <w:sz w:val="24"/>
              </w:rPr>
              <w:lastRenderedPageBreak/>
              <w:t xml:space="preserve">Ieviests </w:t>
            </w:r>
            <w:r w:rsidR="00D445E9" w:rsidRPr="00EA0F22">
              <w:rPr>
                <w:sz w:val="24"/>
              </w:rPr>
              <w:t>daļēji</w:t>
            </w:r>
          </w:p>
          <w:p w:rsidR="00F23982" w:rsidRPr="00EA0F22" w:rsidRDefault="00D445E9" w:rsidP="00DD6034">
            <w:pPr>
              <w:jc w:val="both"/>
              <w:rPr>
                <w:sz w:val="24"/>
              </w:rPr>
            </w:pPr>
            <w:r w:rsidRPr="00EA0F22">
              <w:rPr>
                <w:sz w:val="24"/>
              </w:rPr>
              <w:t xml:space="preserve">Lai ieviestu prasības pilnībā ir izstrādāts MK noteikumu projekts „Grozījumi Ministru kabineta 2002.gada 19.marta noteikumos Nr.129 „Prasības darbībām </w:t>
            </w:r>
            <w:r w:rsidRPr="00EA0F22">
              <w:rPr>
                <w:sz w:val="24"/>
              </w:rPr>
              <w:lastRenderedPageBreak/>
              <w:t>ar radioaktīvajiem atkritumiem un ar tiem saistītajiem materiāliem”” (izsludināts Valsts sekretāru 2013.gada 1.augusta sanāksmē, protokols Nr.30 49.§, VSS-1533) – noteikumu projekta 12.punkts (MK noteikumu Nr.129 77.</w:t>
            </w:r>
            <w:r w:rsidRPr="00EA0F22">
              <w:rPr>
                <w:sz w:val="24"/>
                <w:vertAlign w:val="superscript"/>
              </w:rPr>
              <w:t>1</w:t>
            </w:r>
            <w:r w:rsidRPr="00EA0F22">
              <w:rPr>
                <w:sz w:val="24"/>
              </w:rPr>
              <w:t>4.apakšpunkts un 77.</w:t>
            </w:r>
            <w:r w:rsidRPr="00EA0F22">
              <w:rPr>
                <w:sz w:val="24"/>
                <w:vertAlign w:val="superscript"/>
              </w:rPr>
              <w:t>2</w:t>
            </w:r>
            <w:r w:rsidRPr="00EA0F22">
              <w:rPr>
                <w:sz w:val="24"/>
              </w:rPr>
              <w:t>punkts)</w:t>
            </w:r>
          </w:p>
        </w:tc>
        <w:tc>
          <w:tcPr>
            <w:tcW w:w="2075" w:type="dxa"/>
            <w:tcBorders>
              <w:top w:val="single" w:sz="4" w:space="0" w:color="auto"/>
              <w:left w:val="single" w:sz="4" w:space="0" w:color="auto"/>
              <w:bottom w:val="single" w:sz="4" w:space="0" w:color="auto"/>
              <w:right w:val="single" w:sz="4" w:space="0" w:color="auto"/>
            </w:tcBorders>
          </w:tcPr>
          <w:p w:rsidR="00F23982" w:rsidRPr="00EA0F22" w:rsidRDefault="00F23982" w:rsidP="00DD6034">
            <w:pPr>
              <w:jc w:val="center"/>
              <w:rPr>
                <w:sz w:val="24"/>
              </w:rPr>
            </w:pPr>
            <w:r w:rsidRPr="00EA0F22">
              <w:rPr>
                <w:sz w:val="24"/>
              </w:rPr>
              <w:lastRenderedPageBreak/>
              <w:t>Neparedz stingrākas prasības</w:t>
            </w:r>
          </w:p>
        </w:tc>
      </w:tr>
      <w:tr w:rsidR="00F23982" w:rsidRPr="00D445E9" w:rsidTr="00633297">
        <w:trPr>
          <w:trHeight w:val="165"/>
          <w:jc w:val="center"/>
        </w:trPr>
        <w:tc>
          <w:tcPr>
            <w:tcW w:w="2345" w:type="dxa"/>
            <w:tcBorders>
              <w:top w:val="single" w:sz="4" w:space="0" w:color="auto"/>
              <w:left w:val="single" w:sz="4" w:space="0" w:color="auto"/>
              <w:bottom w:val="single" w:sz="4" w:space="0" w:color="auto"/>
              <w:right w:val="single" w:sz="4" w:space="0" w:color="auto"/>
            </w:tcBorders>
          </w:tcPr>
          <w:p w:rsidR="00F23982" w:rsidRPr="00EA0F22" w:rsidRDefault="00F23982" w:rsidP="00EF6CE6">
            <w:pPr>
              <w:jc w:val="center"/>
              <w:rPr>
                <w:sz w:val="24"/>
              </w:rPr>
            </w:pPr>
            <w:r w:rsidRPr="00EA0F22">
              <w:rPr>
                <w:sz w:val="24"/>
              </w:rPr>
              <w:lastRenderedPageBreak/>
              <w:t>Direktīvas 2011/70/Euratom 5.panta 1.punkts e)punkts</w:t>
            </w:r>
          </w:p>
        </w:tc>
        <w:tc>
          <w:tcPr>
            <w:tcW w:w="2639" w:type="dxa"/>
            <w:tcBorders>
              <w:top w:val="single" w:sz="4" w:space="0" w:color="auto"/>
              <w:left w:val="single" w:sz="4" w:space="0" w:color="auto"/>
              <w:bottom w:val="single" w:sz="4" w:space="0" w:color="auto"/>
              <w:right w:val="single" w:sz="4" w:space="0" w:color="auto"/>
            </w:tcBorders>
          </w:tcPr>
          <w:p w:rsidR="00F23982" w:rsidRPr="00EA0F22" w:rsidRDefault="00CF2AC2" w:rsidP="00DD6034">
            <w:pPr>
              <w:jc w:val="center"/>
              <w:rPr>
                <w:sz w:val="24"/>
              </w:rPr>
            </w:pPr>
            <w:r w:rsidRPr="00EA0F22">
              <w:rPr>
                <w:sz w:val="24"/>
              </w:rPr>
              <w:t>Likuma 6.panta 2.daļas 1.punkts</w:t>
            </w:r>
            <w:r w:rsidR="001A02C7" w:rsidRPr="00EA0F22">
              <w:rPr>
                <w:sz w:val="24"/>
              </w:rPr>
              <w:t>, 11.panta</w:t>
            </w:r>
            <w:r w:rsidRPr="00EA0F22">
              <w:rPr>
                <w:sz w:val="24"/>
              </w:rPr>
              <w:t xml:space="preserve"> sestā un septītā daļa, MK noteikumu Nr.723 32. un 47.punkts, 3.pielikuma III nodaļa</w:t>
            </w:r>
          </w:p>
        </w:tc>
        <w:tc>
          <w:tcPr>
            <w:tcW w:w="2110" w:type="dxa"/>
            <w:tcBorders>
              <w:top w:val="single" w:sz="4" w:space="0" w:color="auto"/>
              <w:left w:val="single" w:sz="4" w:space="0" w:color="auto"/>
              <w:bottom w:val="single" w:sz="4" w:space="0" w:color="auto"/>
              <w:right w:val="single" w:sz="4" w:space="0" w:color="auto"/>
            </w:tcBorders>
          </w:tcPr>
          <w:p w:rsidR="00F23982" w:rsidRPr="00EA0F22" w:rsidRDefault="00F23982" w:rsidP="00DD6034">
            <w:pPr>
              <w:jc w:val="center"/>
              <w:rPr>
                <w:sz w:val="24"/>
              </w:rPr>
            </w:pPr>
            <w:r w:rsidRPr="00EA0F22">
              <w:rPr>
                <w:sz w:val="24"/>
              </w:rPr>
              <w:t>Ieviests pilnībā</w:t>
            </w:r>
          </w:p>
          <w:p w:rsidR="00F23982" w:rsidRPr="00EA0F22" w:rsidRDefault="00F23982" w:rsidP="00DD6034">
            <w:pPr>
              <w:jc w:val="both"/>
              <w:rPr>
                <w:sz w:val="24"/>
              </w:rPr>
            </w:pPr>
          </w:p>
        </w:tc>
        <w:tc>
          <w:tcPr>
            <w:tcW w:w="2075" w:type="dxa"/>
            <w:tcBorders>
              <w:top w:val="single" w:sz="4" w:space="0" w:color="auto"/>
              <w:left w:val="single" w:sz="4" w:space="0" w:color="auto"/>
              <w:bottom w:val="single" w:sz="4" w:space="0" w:color="auto"/>
              <w:right w:val="single" w:sz="4" w:space="0" w:color="auto"/>
            </w:tcBorders>
          </w:tcPr>
          <w:p w:rsidR="00F23982" w:rsidRPr="00EA0F22" w:rsidRDefault="00F23982" w:rsidP="00DD6034">
            <w:pPr>
              <w:jc w:val="center"/>
              <w:rPr>
                <w:sz w:val="24"/>
              </w:rPr>
            </w:pPr>
            <w:r w:rsidRPr="00EA0F22">
              <w:rPr>
                <w:sz w:val="24"/>
              </w:rPr>
              <w:t>Neparedz stingrākas prasības</w:t>
            </w:r>
          </w:p>
        </w:tc>
      </w:tr>
      <w:tr w:rsidR="008F423B" w:rsidRPr="008F423B" w:rsidTr="00633297">
        <w:trPr>
          <w:trHeight w:val="165"/>
          <w:jc w:val="center"/>
        </w:trPr>
        <w:tc>
          <w:tcPr>
            <w:tcW w:w="2345" w:type="dxa"/>
            <w:tcBorders>
              <w:top w:val="single" w:sz="4" w:space="0" w:color="auto"/>
              <w:left w:val="single" w:sz="4" w:space="0" w:color="auto"/>
              <w:bottom w:val="single" w:sz="4" w:space="0" w:color="auto"/>
              <w:right w:val="single" w:sz="4" w:space="0" w:color="auto"/>
            </w:tcBorders>
            <w:hideMark/>
          </w:tcPr>
          <w:p w:rsidR="00F23982" w:rsidRPr="00EA0F22" w:rsidRDefault="00F23982">
            <w:pPr>
              <w:jc w:val="center"/>
              <w:rPr>
                <w:sz w:val="24"/>
              </w:rPr>
            </w:pPr>
            <w:r w:rsidRPr="00EA0F22">
              <w:rPr>
                <w:sz w:val="24"/>
              </w:rPr>
              <w:t>Direktīvas 2011/70/Euratom 5.panta 1.punkts g)punkts</w:t>
            </w:r>
          </w:p>
          <w:p w:rsidR="00F23982" w:rsidRPr="00EA0F22" w:rsidRDefault="00F23982">
            <w:pPr>
              <w:jc w:val="center"/>
              <w:rPr>
                <w:sz w:val="24"/>
              </w:rPr>
            </w:pPr>
          </w:p>
        </w:tc>
        <w:tc>
          <w:tcPr>
            <w:tcW w:w="2639" w:type="dxa"/>
            <w:tcBorders>
              <w:top w:val="single" w:sz="4" w:space="0" w:color="auto"/>
              <w:left w:val="single" w:sz="4" w:space="0" w:color="auto"/>
              <w:bottom w:val="single" w:sz="4" w:space="0" w:color="auto"/>
              <w:right w:val="single" w:sz="4" w:space="0" w:color="auto"/>
            </w:tcBorders>
            <w:hideMark/>
          </w:tcPr>
          <w:p w:rsidR="00F23982" w:rsidRPr="00EA0F22" w:rsidRDefault="008F423B">
            <w:pPr>
              <w:jc w:val="center"/>
              <w:rPr>
                <w:sz w:val="24"/>
              </w:rPr>
            </w:pPr>
            <w:r w:rsidRPr="00EA0F22">
              <w:rPr>
                <w:sz w:val="24"/>
              </w:rPr>
              <w:t>Likuma 5.panta 15.</w:t>
            </w:r>
            <w:r w:rsidRPr="00EA0F22">
              <w:rPr>
                <w:sz w:val="24"/>
                <w:vertAlign w:val="superscript"/>
              </w:rPr>
              <w:t>1</w:t>
            </w:r>
            <w:r w:rsidRPr="00EA0F22">
              <w:rPr>
                <w:sz w:val="24"/>
              </w:rPr>
              <w:t xml:space="preserve"> punkts, 12.panta pirmā daļa, 15. un 16.pants, likums „Par ietekmes uz vidi novērtējumu”, MK noteikumu Nr.723 43.punkts, V nodaļa</w:t>
            </w:r>
          </w:p>
        </w:tc>
        <w:tc>
          <w:tcPr>
            <w:tcW w:w="2110" w:type="dxa"/>
            <w:tcBorders>
              <w:top w:val="single" w:sz="4" w:space="0" w:color="auto"/>
              <w:left w:val="single" w:sz="4" w:space="0" w:color="auto"/>
              <w:bottom w:val="single" w:sz="4" w:space="0" w:color="auto"/>
              <w:right w:val="single" w:sz="4" w:space="0" w:color="auto"/>
            </w:tcBorders>
          </w:tcPr>
          <w:p w:rsidR="00F23982" w:rsidRPr="00EA0F22" w:rsidRDefault="00F23982">
            <w:pPr>
              <w:jc w:val="center"/>
              <w:rPr>
                <w:sz w:val="24"/>
              </w:rPr>
            </w:pPr>
            <w:r w:rsidRPr="00EA0F22">
              <w:rPr>
                <w:sz w:val="24"/>
              </w:rPr>
              <w:t>Ieviests pilnībā</w:t>
            </w:r>
          </w:p>
          <w:p w:rsidR="00F23982" w:rsidRPr="00EA0F22" w:rsidRDefault="00F23982">
            <w:pPr>
              <w:jc w:val="center"/>
              <w:rPr>
                <w:sz w:val="24"/>
              </w:rPr>
            </w:pPr>
          </w:p>
        </w:tc>
        <w:tc>
          <w:tcPr>
            <w:tcW w:w="2075" w:type="dxa"/>
            <w:tcBorders>
              <w:top w:val="single" w:sz="4" w:space="0" w:color="auto"/>
              <w:left w:val="single" w:sz="4" w:space="0" w:color="auto"/>
              <w:bottom w:val="single" w:sz="4" w:space="0" w:color="auto"/>
              <w:right w:val="single" w:sz="4" w:space="0" w:color="auto"/>
            </w:tcBorders>
            <w:hideMark/>
          </w:tcPr>
          <w:p w:rsidR="00F23982" w:rsidRPr="00EA0F22" w:rsidRDefault="00F23982">
            <w:pPr>
              <w:jc w:val="center"/>
              <w:rPr>
                <w:sz w:val="24"/>
              </w:rPr>
            </w:pPr>
            <w:r w:rsidRPr="00EA0F22">
              <w:rPr>
                <w:sz w:val="24"/>
              </w:rPr>
              <w:t>Neparedz stingrākas prasības</w:t>
            </w:r>
          </w:p>
        </w:tc>
      </w:tr>
      <w:tr w:rsidR="00DA79BE" w:rsidRPr="00DA79BE" w:rsidTr="00633297">
        <w:trPr>
          <w:trHeight w:val="165"/>
          <w:jc w:val="center"/>
        </w:trPr>
        <w:tc>
          <w:tcPr>
            <w:tcW w:w="2345" w:type="dxa"/>
            <w:tcBorders>
              <w:top w:val="single" w:sz="4" w:space="0" w:color="auto"/>
              <w:left w:val="single" w:sz="4" w:space="0" w:color="auto"/>
              <w:bottom w:val="single" w:sz="4" w:space="0" w:color="auto"/>
              <w:right w:val="single" w:sz="4" w:space="0" w:color="auto"/>
            </w:tcBorders>
            <w:hideMark/>
          </w:tcPr>
          <w:p w:rsidR="00F23982" w:rsidRPr="00EA0F22" w:rsidRDefault="00F23982">
            <w:pPr>
              <w:jc w:val="center"/>
              <w:rPr>
                <w:sz w:val="24"/>
              </w:rPr>
            </w:pPr>
            <w:r w:rsidRPr="00EA0F22">
              <w:rPr>
                <w:sz w:val="24"/>
              </w:rPr>
              <w:t>Direktīvas 2011/70/Euratom 6.pants</w:t>
            </w:r>
          </w:p>
        </w:tc>
        <w:tc>
          <w:tcPr>
            <w:tcW w:w="2639" w:type="dxa"/>
            <w:tcBorders>
              <w:top w:val="single" w:sz="4" w:space="0" w:color="auto"/>
              <w:left w:val="single" w:sz="4" w:space="0" w:color="auto"/>
              <w:bottom w:val="single" w:sz="4" w:space="0" w:color="auto"/>
              <w:right w:val="single" w:sz="4" w:space="0" w:color="auto"/>
            </w:tcBorders>
            <w:hideMark/>
          </w:tcPr>
          <w:p w:rsidR="00F23982" w:rsidRPr="00EA0F22" w:rsidRDefault="00DA79BE">
            <w:pPr>
              <w:jc w:val="center"/>
              <w:rPr>
                <w:sz w:val="24"/>
              </w:rPr>
            </w:pPr>
            <w:r w:rsidRPr="00EA0F22">
              <w:rPr>
                <w:sz w:val="24"/>
              </w:rPr>
              <w:t>Likuma 4.pants, 5.pant</w:t>
            </w:r>
            <w:r w:rsidR="001A02C7" w:rsidRPr="00EA0F22">
              <w:rPr>
                <w:sz w:val="24"/>
              </w:rPr>
              <w:t xml:space="preserve">a 2.punkts, 7.pants, 11.panta trešā, sestā un  septītā </w:t>
            </w:r>
            <w:r w:rsidRPr="00EA0F22">
              <w:rPr>
                <w:sz w:val="24"/>
              </w:rPr>
              <w:t>daļa, 12.panta pirmā daļa, MK noteikumu  Nr.723 20., 24. un 51.punkts, MK 23.11.2004. noteikumu Nr.962 "Valsts vides dienesta nolikums" 6.2.apakšpunkts</w:t>
            </w:r>
          </w:p>
        </w:tc>
        <w:tc>
          <w:tcPr>
            <w:tcW w:w="2110" w:type="dxa"/>
            <w:tcBorders>
              <w:top w:val="single" w:sz="4" w:space="0" w:color="auto"/>
              <w:left w:val="single" w:sz="4" w:space="0" w:color="auto"/>
              <w:bottom w:val="single" w:sz="4" w:space="0" w:color="auto"/>
              <w:right w:val="single" w:sz="4" w:space="0" w:color="auto"/>
            </w:tcBorders>
            <w:hideMark/>
          </w:tcPr>
          <w:p w:rsidR="00F23982" w:rsidRPr="00EA0F22" w:rsidRDefault="00F23982">
            <w:pPr>
              <w:jc w:val="center"/>
              <w:rPr>
                <w:sz w:val="24"/>
              </w:rPr>
            </w:pPr>
            <w:r w:rsidRPr="00EA0F22">
              <w:rPr>
                <w:sz w:val="24"/>
              </w:rPr>
              <w:t>Ieviests pilnībā</w:t>
            </w:r>
          </w:p>
          <w:p w:rsidR="00F23982" w:rsidRPr="00EA0F22" w:rsidRDefault="00F23982">
            <w:pPr>
              <w:jc w:val="both"/>
              <w:rPr>
                <w:sz w:val="24"/>
              </w:rPr>
            </w:pPr>
            <w:r w:rsidRPr="00EA0F22">
              <w:rPr>
                <w:sz w:val="24"/>
              </w:rPr>
              <w:t xml:space="preserve">Vienlaicīgi jāņem vērā, ka nepieciešams stiprināt VVD RDC kapacitāti </w:t>
            </w:r>
          </w:p>
        </w:tc>
        <w:tc>
          <w:tcPr>
            <w:tcW w:w="2075" w:type="dxa"/>
            <w:tcBorders>
              <w:top w:val="single" w:sz="4" w:space="0" w:color="auto"/>
              <w:left w:val="single" w:sz="4" w:space="0" w:color="auto"/>
              <w:bottom w:val="single" w:sz="4" w:space="0" w:color="auto"/>
              <w:right w:val="single" w:sz="4" w:space="0" w:color="auto"/>
            </w:tcBorders>
            <w:hideMark/>
          </w:tcPr>
          <w:p w:rsidR="00F23982" w:rsidRPr="00EA0F22" w:rsidRDefault="00F23982">
            <w:pPr>
              <w:jc w:val="center"/>
              <w:rPr>
                <w:sz w:val="24"/>
              </w:rPr>
            </w:pPr>
            <w:r w:rsidRPr="00EA0F22">
              <w:rPr>
                <w:sz w:val="24"/>
              </w:rPr>
              <w:t>Neparedz stingrākas prasības</w:t>
            </w:r>
          </w:p>
        </w:tc>
      </w:tr>
      <w:tr w:rsidR="00DA79BE" w:rsidRPr="00DA79BE" w:rsidTr="00633297">
        <w:trPr>
          <w:trHeight w:val="165"/>
          <w:jc w:val="center"/>
        </w:trPr>
        <w:tc>
          <w:tcPr>
            <w:tcW w:w="2345" w:type="dxa"/>
            <w:tcBorders>
              <w:top w:val="single" w:sz="4" w:space="0" w:color="auto"/>
              <w:left w:val="single" w:sz="4" w:space="0" w:color="auto"/>
              <w:bottom w:val="single" w:sz="4" w:space="0" w:color="auto"/>
              <w:right w:val="single" w:sz="4" w:space="0" w:color="auto"/>
            </w:tcBorders>
            <w:hideMark/>
          </w:tcPr>
          <w:p w:rsidR="00F23982" w:rsidRPr="00EA0F22" w:rsidRDefault="00F23982" w:rsidP="00DA79BE">
            <w:pPr>
              <w:jc w:val="center"/>
              <w:rPr>
                <w:sz w:val="24"/>
              </w:rPr>
            </w:pPr>
            <w:r w:rsidRPr="00EA0F22">
              <w:rPr>
                <w:sz w:val="24"/>
              </w:rPr>
              <w:t>Direktīvas 2011/70/Euratom 7.panta 4.punkts</w:t>
            </w:r>
          </w:p>
        </w:tc>
        <w:tc>
          <w:tcPr>
            <w:tcW w:w="2639" w:type="dxa"/>
            <w:tcBorders>
              <w:top w:val="single" w:sz="4" w:space="0" w:color="auto"/>
              <w:left w:val="single" w:sz="4" w:space="0" w:color="auto"/>
              <w:bottom w:val="single" w:sz="4" w:space="0" w:color="auto"/>
              <w:right w:val="single" w:sz="4" w:space="0" w:color="auto"/>
            </w:tcBorders>
          </w:tcPr>
          <w:p w:rsidR="00F23982" w:rsidRPr="00EA0F22" w:rsidRDefault="00DA79BE">
            <w:pPr>
              <w:jc w:val="center"/>
              <w:rPr>
                <w:sz w:val="24"/>
              </w:rPr>
            </w:pPr>
            <w:r w:rsidRPr="00EA0F22">
              <w:rPr>
                <w:sz w:val="24"/>
              </w:rPr>
              <w:t>MK noteikumu Nr.723 10.6.apakšpunkts, 3.pielikuma III.nodaļas 5.3.apakšpunkts; MK 2002.gada 9.aprīļa noteikumu Nr.149 „Noteikumi par aizsardzību pret jonizējošo starojumu” 16. un 17.punkts</w:t>
            </w:r>
            <w:r w:rsidR="00732EE1" w:rsidRPr="00EA0F22">
              <w:rPr>
                <w:sz w:val="24"/>
              </w:rPr>
              <w:t xml:space="preserve">, </w:t>
            </w:r>
            <w:r w:rsidR="00732EE1" w:rsidRPr="00EA0F22">
              <w:rPr>
                <w:sz w:val="24"/>
              </w:rPr>
              <w:lastRenderedPageBreak/>
              <w:t>18.2.apakšpunkts</w:t>
            </w:r>
            <w:r w:rsidRPr="00EA0F22">
              <w:rPr>
                <w:sz w:val="24"/>
              </w:rPr>
              <w:t xml:space="preserve"> </w:t>
            </w:r>
          </w:p>
        </w:tc>
        <w:tc>
          <w:tcPr>
            <w:tcW w:w="2110" w:type="dxa"/>
            <w:tcBorders>
              <w:top w:val="single" w:sz="4" w:space="0" w:color="auto"/>
              <w:left w:val="single" w:sz="4" w:space="0" w:color="auto"/>
              <w:bottom w:val="single" w:sz="4" w:space="0" w:color="auto"/>
              <w:right w:val="single" w:sz="4" w:space="0" w:color="auto"/>
            </w:tcBorders>
          </w:tcPr>
          <w:p w:rsidR="00DA79BE" w:rsidRPr="00EA0F22" w:rsidRDefault="00DA79BE" w:rsidP="00DA79BE">
            <w:pPr>
              <w:jc w:val="center"/>
              <w:rPr>
                <w:sz w:val="24"/>
              </w:rPr>
            </w:pPr>
            <w:r w:rsidRPr="00EA0F22">
              <w:rPr>
                <w:sz w:val="24"/>
              </w:rPr>
              <w:lastRenderedPageBreak/>
              <w:t>Ieviests daļēji</w:t>
            </w:r>
          </w:p>
          <w:p w:rsidR="00F23982" w:rsidRPr="00EA0F22" w:rsidRDefault="00DA79BE" w:rsidP="00A571FA">
            <w:pPr>
              <w:jc w:val="both"/>
              <w:rPr>
                <w:sz w:val="24"/>
              </w:rPr>
            </w:pPr>
            <w:r w:rsidRPr="00EA0F22">
              <w:rPr>
                <w:sz w:val="24"/>
              </w:rPr>
              <w:t xml:space="preserve">Lai ieviestu prasības pilnībā ir izstrādāts MK noteikumu projekts „Grozījumi Ministru kabineta 2002.gada 19.marta noteikumos Nr.129 </w:t>
            </w:r>
            <w:r w:rsidRPr="00EA0F22">
              <w:rPr>
                <w:sz w:val="24"/>
              </w:rPr>
              <w:lastRenderedPageBreak/>
              <w:t>„Prasības darbībām ar radioaktīvajiem atkritumiem un ar tiem saistītajiem materiāliem”” (izsludināts Valsts sekretāru 2013.gada 1.augusta sanāksmē, protokols Nr.30 49.§, VSS-1533) – noteikumu projekta 12.punkts (noteikumu Nr.129 77.</w:t>
            </w:r>
            <w:r w:rsidRPr="00EA0F22">
              <w:rPr>
                <w:sz w:val="24"/>
                <w:vertAlign w:val="superscript"/>
              </w:rPr>
              <w:t>1</w:t>
            </w:r>
            <w:r w:rsidRPr="00EA0F22">
              <w:rPr>
                <w:sz w:val="24"/>
              </w:rPr>
              <w:t>2. un 77.</w:t>
            </w:r>
            <w:r w:rsidRPr="00EA0F22">
              <w:rPr>
                <w:sz w:val="24"/>
                <w:vertAlign w:val="superscript"/>
              </w:rPr>
              <w:t>1</w:t>
            </w:r>
            <w:r w:rsidRPr="00EA0F22">
              <w:rPr>
                <w:sz w:val="24"/>
              </w:rPr>
              <w:t>3.apakšpunkts)</w:t>
            </w:r>
          </w:p>
        </w:tc>
        <w:tc>
          <w:tcPr>
            <w:tcW w:w="2075" w:type="dxa"/>
            <w:tcBorders>
              <w:top w:val="single" w:sz="4" w:space="0" w:color="auto"/>
              <w:left w:val="single" w:sz="4" w:space="0" w:color="auto"/>
              <w:bottom w:val="single" w:sz="4" w:space="0" w:color="auto"/>
              <w:right w:val="single" w:sz="4" w:space="0" w:color="auto"/>
            </w:tcBorders>
            <w:hideMark/>
          </w:tcPr>
          <w:p w:rsidR="00F23982" w:rsidRPr="00EA0F22" w:rsidRDefault="00F23982">
            <w:pPr>
              <w:jc w:val="center"/>
              <w:rPr>
                <w:sz w:val="24"/>
              </w:rPr>
            </w:pPr>
            <w:r w:rsidRPr="00EA0F22">
              <w:rPr>
                <w:sz w:val="24"/>
              </w:rPr>
              <w:lastRenderedPageBreak/>
              <w:t>Neparedz stingrākas prasības</w:t>
            </w:r>
          </w:p>
        </w:tc>
      </w:tr>
      <w:tr w:rsidR="00A571FA" w:rsidRPr="00A571FA" w:rsidTr="00633297">
        <w:trPr>
          <w:trHeight w:val="165"/>
          <w:jc w:val="center"/>
        </w:trPr>
        <w:tc>
          <w:tcPr>
            <w:tcW w:w="2345" w:type="dxa"/>
            <w:tcBorders>
              <w:top w:val="single" w:sz="4" w:space="0" w:color="auto"/>
              <w:left w:val="single" w:sz="4" w:space="0" w:color="auto"/>
              <w:bottom w:val="single" w:sz="4" w:space="0" w:color="auto"/>
              <w:right w:val="single" w:sz="4" w:space="0" w:color="auto"/>
            </w:tcBorders>
            <w:hideMark/>
          </w:tcPr>
          <w:p w:rsidR="00F23982" w:rsidRPr="00EA0F22" w:rsidRDefault="00F23982">
            <w:pPr>
              <w:jc w:val="center"/>
              <w:rPr>
                <w:sz w:val="24"/>
              </w:rPr>
            </w:pPr>
            <w:r w:rsidRPr="00EA0F22">
              <w:rPr>
                <w:sz w:val="24"/>
              </w:rPr>
              <w:lastRenderedPageBreak/>
              <w:t>Direktīvas 2011/70/Euratom 8.pants</w:t>
            </w:r>
          </w:p>
        </w:tc>
        <w:tc>
          <w:tcPr>
            <w:tcW w:w="2639" w:type="dxa"/>
            <w:tcBorders>
              <w:top w:val="single" w:sz="4" w:space="0" w:color="auto"/>
              <w:left w:val="single" w:sz="4" w:space="0" w:color="auto"/>
              <w:bottom w:val="single" w:sz="4" w:space="0" w:color="auto"/>
              <w:right w:val="single" w:sz="4" w:space="0" w:color="auto"/>
            </w:tcBorders>
            <w:hideMark/>
          </w:tcPr>
          <w:p w:rsidR="00F23982" w:rsidRPr="00EA0F22" w:rsidRDefault="00732EE1" w:rsidP="001A02C7">
            <w:pPr>
              <w:jc w:val="center"/>
              <w:rPr>
                <w:sz w:val="24"/>
              </w:rPr>
            </w:pPr>
            <w:r w:rsidRPr="00EA0F22">
              <w:rPr>
                <w:sz w:val="24"/>
              </w:rPr>
              <w:t>Likuma 5.panta 12.apakšpunkts, 14.panta otrās daļas 5.punkt</w:t>
            </w:r>
            <w:r w:rsidR="001A02C7" w:rsidRPr="00EA0F22">
              <w:rPr>
                <w:sz w:val="24"/>
              </w:rPr>
              <w:t>s; MK noteikumu Nr.723 12., 15.-16. un</w:t>
            </w:r>
            <w:r w:rsidRPr="00EA0F22">
              <w:rPr>
                <w:sz w:val="24"/>
              </w:rPr>
              <w:t xml:space="preserve"> 18.-19.punkts</w:t>
            </w:r>
          </w:p>
        </w:tc>
        <w:tc>
          <w:tcPr>
            <w:tcW w:w="2110" w:type="dxa"/>
            <w:tcBorders>
              <w:top w:val="single" w:sz="4" w:space="0" w:color="auto"/>
              <w:left w:val="single" w:sz="4" w:space="0" w:color="auto"/>
              <w:bottom w:val="single" w:sz="4" w:space="0" w:color="auto"/>
              <w:right w:val="single" w:sz="4" w:space="0" w:color="auto"/>
            </w:tcBorders>
          </w:tcPr>
          <w:p w:rsidR="00F23982" w:rsidRPr="00EA0F22" w:rsidRDefault="00F23982">
            <w:pPr>
              <w:jc w:val="center"/>
              <w:rPr>
                <w:sz w:val="24"/>
              </w:rPr>
            </w:pPr>
            <w:r w:rsidRPr="00EA0F22">
              <w:rPr>
                <w:sz w:val="24"/>
              </w:rPr>
              <w:t>Ieviests pilnībā</w:t>
            </w:r>
          </w:p>
          <w:p w:rsidR="00F23982" w:rsidRPr="00EA0F22" w:rsidRDefault="00F23982">
            <w:pPr>
              <w:jc w:val="center"/>
              <w:rPr>
                <w:sz w:val="24"/>
              </w:rPr>
            </w:pPr>
          </w:p>
        </w:tc>
        <w:tc>
          <w:tcPr>
            <w:tcW w:w="2075" w:type="dxa"/>
            <w:tcBorders>
              <w:top w:val="single" w:sz="4" w:space="0" w:color="auto"/>
              <w:left w:val="single" w:sz="4" w:space="0" w:color="auto"/>
              <w:bottom w:val="single" w:sz="4" w:space="0" w:color="auto"/>
              <w:right w:val="single" w:sz="4" w:space="0" w:color="auto"/>
            </w:tcBorders>
            <w:hideMark/>
          </w:tcPr>
          <w:p w:rsidR="00F23982" w:rsidRPr="00EA0F22" w:rsidRDefault="00F23982">
            <w:pPr>
              <w:jc w:val="center"/>
              <w:rPr>
                <w:sz w:val="24"/>
              </w:rPr>
            </w:pPr>
            <w:r w:rsidRPr="00EA0F22">
              <w:rPr>
                <w:sz w:val="24"/>
              </w:rPr>
              <w:t>Neparedz stingrākas prasības</w:t>
            </w:r>
          </w:p>
        </w:tc>
      </w:tr>
      <w:tr w:rsidR="00A571FA" w:rsidRPr="00A571FA" w:rsidTr="00633297">
        <w:trPr>
          <w:trHeight w:val="165"/>
          <w:jc w:val="center"/>
        </w:trPr>
        <w:tc>
          <w:tcPr>
            <w:tcW w:w="2345" w:type="dxa"/>
            <w:tcBorders>
              <w:top w:val="single" w:sz="4" w:space="0" w:color="auto"/>
              <w:left w:val="single" w:sz="4" w:space="0" w:color="auto"/>
              <w:bottom w:val="single" w:sz="4" w:space="0" w:color="auto"/>
              <w:right w:val="single" w:sz="4" w:space="0" w:color="auto"/>
            </w:tcBorders>
            <w:hideMark/>
          </w:tcPr>
          <w:p w:rsidR="00F23982" w:rsidRPr="00EA0F22" w:rsidRDefault="00F23982">
            <w:pPr>
              <w:jc w:val="center"/>
              <w:rPr>
                <w:sz w:val="24"/>
              </w:rPr>
            </w:pPr>
            <w:r w:rsidRPr="00EA0F22">
              <w:rPr>
                <w:sz w:val="24"/>
              </w:rPr>
              <w:t>Direktīvas 2011/70/Euratom 10.panta 1.punkts</w:t>
            </w:r>
          </w:p>
        </w:tc>
        <w:tc>
          <w:tcPr>
            <w:tcW w:w="2639" w:type="dxa"/>
            <w:tcBorders>
              <w:top w:val="single" w:sz="4" w:space="0" w:color="auto"/>
              <w:left w:val="single" w:sz="4" w:space="0" w:color="auto"/>
              <w:bottom w:val="single" w:sz="4" w:space="0" w:color="auto"/>
              <w:right w:val="single" w:sz="4" w:space="0" w:color="auto"/>
            </w:tcBorders>
            <w:hideMark/>
          </w:tcPr>
          <w:p w:rsidR="00F23982" w:rsidRPr="00EA0F22" w:rsidRDefault="00A571FA">
            <w:pPr>
              <w:jc w:val="center"/>
              <w:rPr>
                <w:sz w:val="24"/>
              </w:rPr>
            </w:pPr>
            <w:r w:rsidRPr="00EA0F22">
              <w:rPr>
                <w:sz w:val="24"/>
              </w:rPr>
              <w:t>Likuma 5.panta 15</w:t>
            </w:r>
            <w:r w:rsidRPr="00EA0F22">
              <w:rPr>
                <w:sz w:val="24"/>
                <w:vertAlign w:val="superscript"/>
              </w:rPr>
              <w:t>1</w:t>
            </w:r>
            <w:r w:rsidRPr="00EA0F22">
              <w:rPr>
                <w:sz w:val="24"/>
              </w:rPr>
              <w:t xml:space="preserve"> punkts, 12.panta pirmā daļa, 14.panta otrās daļas 5.punkts</w:t>
            </w:r>
            <w:r w:rsidR="001A02C7" w:rsidRPr="00EA0F22">
              <w:rPr>
                <w:sz w:val="24"/>
              </w:rPr>
              <w:t xml:space="preserve">, </w:t>
            </w:r>
            <w:r w:rsidRPr="00EA0F22">
              <w:rPr>
                <w:sz w:val="24"/>
              </w:rPr>
              <w:t>15. un 16.pants, likums „Par ietekmes uz vidi novērtējumu”, MK noteikumu Nr.723 15. un 18.punkts, 43.punkts, V nodaļa</w:t>
            </w:r>
          </w:p>
        </w:tc>
        <w:tc>
          <w:tcPr>
            <w:tcW w:w="2110" w:type="dxa"/>
            <w:tcBorders>
              <w:top w:val="single" w:sz="4" w:space="0" w:color="auto"/>
              <w:left w:val="single" w:sz="4" w:space="0" w:color="auto"/>
              <w:bottom w:val="single" w:sz="4" w:space="0" w:color="auto"/>
              <w:right w:val="single" w:sz="4" w:space="0" w:color="auto"/>
            </w:tcBorders>
          </w:tcPr>
          <w:p w:rsidR="00F23982" w:rsidRPr="00EA0F22" w:rsidRDefault="00F23982">
            <w:pPr>
              <w:jc w:val="center"/>
              <w:rPr>
                <w:sz w:val="24"/>
              </w:rPr>
            </w:pPr>
            <w:r w:rsidRPr="00EA0F22">
              <w:rPr>
                <w:sz w:val="24"/>
              </w:rPr>
              <w:t>Ieviests pilnībā</w:t>
            </w:r>
          </w:p>
          <w:p w:rsidR="00F23982" w:rsidRPr="00EA0F22" w:rsidRDefault="00F23982">
            <w:pPr>
              <w:jc w:val="center"/>
              <w:rPr>
                <w:sz w:val="24"/>
              </w:rPr>
            </w:pPr>
          </w:p>
        </w:tc>
        <w:tc>
          <w:tcPr>
            <w:tcW w:w="2075" w:type="dxa"/>
            <w:tcBorders>
              <w:top w:val="single" w:sz="4" w:space="0" w:color="auto"/>
              <w:left w:val="single" w:sz="4" w:space="0" w:color="auto"/>
              <w:bottom w:val="single" w:sz="4" w:space="0" w:color="auto"/>
              <w:right w:val="single" w:sz="4" w:space="0" w:color="auto"/>
            </w:tcBorders>
            <w:hideMark/>
          </w:tcPr>
          <w:p w:rsidR="00F23982" w:rsidRPr="00EA0F22" w:rsidRDefault="00F23982">
            <w:pPr>
              <w:jc w:val="center"/>
              <w:rPr>
                <w:sz w:val="24"/>
              </w:rPr>
            </w:pPr>
            <w:r w:rsidRPr="00EA0F22">
              <w:rPr>
                <w:sz w:val="24"/>
              </w:rPr>
              <w:t>Neparedz stingrākas prasības</w:t>
            </w:r>
          </w:p>
        </w:tc>
      </w:tr>
      <w:tr w:rsidR="00A571FA" w:rsidRPr="00A571FA" w:rsidTr="00633297">
        <w:trPr>
          <w:trHeight w:val="165"/>
          <w:jc w:val="center"/>
        </w:trPr>
        <w:tc>
          <w:tcPr>
            <w:tcW w:w="2345" w:type="dxa"/>
            <w:tcBorders>
              <w:top w:val="single" w:sz="4" w:space="0" w:color="auto"/>
              <w:left w:val="single" w:sz="4" w:space="0" w:color="auto"/>
              <w:bottom w:val="single" w:sz="4" w:space="0" w:color="auto"/>
              <w:right w:val="single" w:sz="4" w:space="0" w:color="auto"/>
            </w:tcBorders>
            <w:hideMark/>
          </w:tcPr>
          <w:p w:rsidR="00F23982" w:rsidRPr="00EA0F22" w:rsidRDefault="00F23982">
            <w:pPr>
              <w:jc w:val="center"/>
              <w:rPr>
                <w:sz w:val="24"/>
              </w:rPr>
            </w:pPr>
            <w:r w:rsidRPr="00EA0F22">
              <w:rPr>
                <w:sz w:val="24"/>
              </w:rPr>
              <w:t>Direktīvas 2011/70/Euratom 10.panta 2.punkts</w:t>
            </w:r>
          </w:p>
        </w:tc>
        <w:tc>
          <w:tcPr>
            <w:tcW w:w="2639" w:type="dxa"/>
            <w:tcBorders>
              <w:top w:val="single" w:sz="4" w:space="0" w:color="auto"/>
              <w:left w:val="single" w:sz="4" w:space="0" w:color="auto"/>
              <w:bottom w:val="single" w:sz="4" w:space="0" w:color="auto"/>
              <w:right w:val="single" w:sz="4" w:space="0" w:color="auto"/>
            </w:tcBorders>
            <w:hideMark/>
          </w:tcPr>
          <w:p w:rsidR="00F23982" w:rsidRPr="00EA0F22" w:rsidRDefault="00A571FA">
            <w:pPr>
              <w:jc w:val="center"/>
              <w:rPr>
                <w:sz w:val="24"/>
              </w:rPr>
            </w:pPr>
            <w:r w:rsidRPr="00EA0F22">
              <w:rPr>
                <w:sz w:val="24"/>
              </w:rPr>
              <w:t>Likuma 5.panta 15</w:t>
            </w:r>
            <w:r w:rsidRPr="00EA0F22">
              <w:rPr>
                <w:sz w:val="24"/>
                <w:vertAlign w:val="superscript"/>
              </w:rPr>
              <w:t>1</w:t>
            </w:r>
            <w:r w:rsidRPr="00EA0F22">
              <w:rPr>
                <w:sz w:val="24"/>
              </w:rPr>
              <w:t xml:space="preserve"> punkts, 12.panta pirmā daļa, 15. un 16.pants, likums „Par ietekmes uz vidi novērtējumu”, MK noteikumu Nr.723 43.punkts, V nodaļa</w:t>
            </w:r>
          </w:p>
        </w:tc>
        <w:tc>
          <w:tcPr>
            <w:tcW w:w="2110" w:type="dxa"/>
            <w:tcBorders>
              <w:top w:val="single" w:sz="4" w:space="0" w:color="auto"/>
              <w:left w:val="single" w:sz="4" w:space="0" w:color="auto"/>
              <w:bottom w:val="single" w:sz="4" w:space="0" w:color="auto"/>
              <w:right w:val="single" w:sz="4" w:space="0" w:color="auto"/>
            </w:tcBorders>
          </w:tcPr>
          <w:p w:rsidR="00A571FA" w:rsidRPr="00EA0F22" w:rsidRDefault="00A571FA" w:rsidP="00A571FA">
            <w:pPr>
              <w:jc w:val="center"/>
              <w:rPr>
                <w:sz w:val="24"/>
              </w:rPr>
            </w:pPr>
            <w:r w:rsidRPr="00EA0F22">
              <w:rPr>
                <w:sz w:val="24"/>
              </w:rPr>
              <w:t>Ieviests daļēji</w:t>
            </w:r>
          </w:p>
          <w:p w:rsidR="00F23982" w:rsidRPr="00EA0F22" w:rsidRDefault="00A571FA" w:rsidP="00A571FA">
            <w:pPr>
              <w:jc w:val="both"/>
              <w:rPr>
                <w:sz w:val="24"/>
              </w:rPr>
            </w:pPr>
            <w:r w:rsidRPr="00EA0F22">
              <w:rPr>
                <w:sz w:val="24"/>
              </w:rPr>
              <w:t xml:space="preserve">Lai ieviestu prasības pilnībā ir izstrādāts MK noteikumu projekts „Grozījumi Ministru kabineta 2002.gada 19.marta noteikumos Nr.129 „Prasības darbībām ar radioaktīvajiem atkritumiem un ar tiem saistītajiem materiāliem”” (izsludināts Valsts sekretāru </w:t>
            </w:r>
            <w:r w:rsidRPr="00EA0F22">
              <w:rPr>
                <w:sz w:val="24"/>
              </w:rPr>
              <w:lastRenderedPageBreak/>
              <w:t>2013.gada 1.augusta sanāksmē, protokols Nr.30 49.§, VSS-1533) –noteikumu projekta 13.punkts (noteikumu Nr.129 85.</w:t>
            </w:r>
            <w:r w:rsidRPr="00EA0F22">
              <w:rPr>
                <w:sz w:val="24"/>
                <w:vertAlign w:val="superscript"/>
              </w:rPr>
              <w:t>2</w:t>
            </w:r>
            <w:r w:rsidRPr="00EA0F22">
              <w:rPr>
                <w:sz w:val="24"/>
              </w:rPr>
              <w:t xml:space="preserve"> punkts) un 15.punkts (noteikumu Nr.129 96.</w:t>
            </w:r>
            <w:r w:rsidRPr="00EA0F22">
              <w:rPr>
                <w:sz w:val="24"/>
                <w:vertAlign w:val="superscript"/>
              </w:rPr>
              <w:t xml:space="preserve">1, </w:t>
            </w:r>
            <w:r w:rsidRPr="00EA0F22">
              <w:rPr>
                <w:sz w:val="24"/>
              </w:rPr>
              <w:t>96.</w:t>
            </w:r>
            <w:r w:rsidRPr="00EA0F22">
              <w:rPr>
                <w:sz w:val="24"/>
                <w:vertAlign w:val="superscript"/>
              </w:rPr>
              <w:t>2</w:t>
            </w:r>
            <w:r w:rsidRPr="00EA0F22">
              <w:rPr>
                <w:sz w:val="24"/>
              </w:rPr>
              <w:t>, 96.</w:t>
            </w:r>
            <w:r w:rsidRPr="00EA0F22">
              <w:rPr>
                <w:sz w:val="24"/>
                <w:vertAlign w:val="superscript"/>
              </w:rPr>
              <w:t>3</w:t>
            </w:r>
            <w:r w:rsidRPr="00EA0F22">
              <w:rPr>
                <w:sz w:val="24"/>
              </w:rPr>
              <w:t>, 96.</w:t>
            </w:r>
            <w:r w:rsidRPr="00EA0F22">
              <w:rPr>
                <w:sz w:val="24"/>
                <w:vertAlign w:val="superscript"/>
              </w:rPr>
              <w:t>4</w:t>
            </w:r>
            <w:r w:rsidRPr="00EA0F22">
              <w:rPr>
                <w:sz w:val="24"/>
              </w:rPr>
              <w:t xml:space="preserve"> un 96.</w:t>
            </w:r>
            <w:r w:rsidRPr="00EA0F22">
              <w:rPr>
                <w:sz w:val="24"/>
                <w:vertAlign w:val="superscript"/>
              </w:rPr>
              <w:t>5</w:t>
            </w:r>
            <w:r w:rsidRPr="00EA0F22">
              <w:rPr>
                <w:sz w:val="24"/>
              </w:rPr>
              <w:t xml:space="preserve"> punkts)</w:t>
            </w:r>
          </w:p>
        </w:tc>
        <w:tc>
          <w:tcPr>
            <w:tcW w:w="2075" w:type="dxa"/>
            <w:tcBorders>
              <w:top w:val="single" w:sz="4" w:space="0" w:color="auto"/>
              <w:left w:val="single" w:sz="4" w:space="0" w:color="auto"/>
              <w:bottom w:val="single" w:sz="4" w:space="0" w:color="auto"/>
              <w:right w:val="single" w:sz="4" w:space="0" w:color="auto"/>
            </w:tcBorders>
            <w:hideMark/>
          </w:tcPr>
          <w:p w:rsidR="00F23982" w:rsidRPr="00EA0F22" w:rsidRDefault="00F23982">
            <w:pPr>
              <w:jc w:val="center"/>
              <w:rPr>
                <w:sz w:val="24"/>
              </w:rPr>
            </w:pPr>
            <w:r w:rsidRPr="00EA0F22">
              <w:rPr>
                <w:sz w:val="24"/>
              </w:rPr>
              <w:lastRenderedPageBreak/>
              <w:t>Neparedz stingrākas prasības</w:t>
            </w:r>
          </w:p>
        </w:tc>
      </w:tr>
      <w:tr w:rsidR="00F23982" w:rsidTr="00633297">
        <w:trPr>
          <w:trHeight w:val="281"/>
          <w:jc w:val="center"/>
        </w:trPr>
        <w:tc>
          <w:tcPr>
            <w:tcW w:w="2345" w:type="dxa"/>
            <w:tcBorders>
              <w:top w:val="single" w:sz="4" w:space="0" w:color="auto"/>
              <w:left w:val="single" w:sz="4" w:space="0" w:color="auto"/>
              <w:bottom w:val="single" w:sz="4" w:space="0" w:color="auto"/>
              <w:right w:val="single" w:sz="4" w:space="0" w:color="auto"/>
            </w:tcBorders>
            <w:hideMark/>
          </w:tcPr>
          <w:p w:rsidR="00F23982" w:rsidRPr="00EA0F22" w:rsidRDefault="00F23982">
            <w:pPr>
              <w:pStyle w:val="naiskr"/>
              <w:spacing w:before="0" w:after="120"/>
              <w:jc w:val="both"/>
            </w:pPr>
            <w:r w:rsidRPr="00EA0F22">
              <w:lastRenderedPageBreak/>
              <w:t>Kā ir izmantota ES tiesību aktā paredzētā rīcības brīvība dalībvalstij pārņemt vai ieviest noteiktas ES tiesību akta normas.</w:t>
            </w:r>
          </w:p>
          <w:p w:rsidR="00F23982" w:rsidRPr="00EA0F22" w:rsidRDefault="00F23982">
            <w:pPr>
              <w:pStyle w:val="naiskr"/>
              <w:spacing w:before="0" w:after="120"/>
            </w:pPr>
            <w:r w:rsidRPr="00EA0F22">
              <w:t>Kādēļ?</w:t>
            </w:r>
          </w:p>
        </w:tc>
        <w:tc>
          <w:tcPr>
            <w:tcW w:w="6824" w:type="dxa"/>
            <w:gridSpan w:val="3"/>
            <w:tcBorders>
              <w:top w:val="single" w:sz="4" w:space="0" w:color="auto"/>
              <w:left w:val="single" w:sz="4" w:space="0" w:color="auto"/>
              <w:bottom w:val="single" w:sz="4" w:space="0" w:color="auto"/>
              <w:right w:val="single" w:sz="4" w:space="0" w:color="auto"/>
            </w:tcBorders>
            <w:hideMark/>
          </w:tcPr>
          <w:p w:rsidR="00F23982" w:rsidRPr="00EA0F22" w:rsidRDefault="00F23982">
            <w:pPr>
              <w:pStyle w:val="naiskr"/>
              <w:spacing w:before="0" w:after="120"/>
              <w:jc w:val="both"/>
            </w:pPr>
            <w:r w:rsidRPr="00EA0F22">
              <w:t>Nav attiecināms</w:t>
            </w:r>
          </w:p>
        </w:tc>
      </w:tr>
      <w:tr w:rsidR="00F23982" w:rsidTr="00633297">
        <w:trPr>
          <w:trHeight w:val="913"/>
          <w:jc w:val="center"/>
        </w:trPr>
        <w:tc>
          <w:tcPr>
            <w:tcW w:w="2345" w:type="dxa"/>
            <w:tcBorders>
              <w:top w:val="single" w:sz="4" w:space="0" w:color="auto"/>
              <w:left w:val="single" w:sz="4" w:space="0" w:color="auto"/>
              <w:bottom w:val="single" w:sz="4" w:space="0" w:color="auto"/>
              <w:right w:val="single" w:sz="4" w:space="0" w:color="auto"/>
            </w:tcBorders>
            <w:hideMark/>
          </w:tcPr>
          <w:p w:rsidR="00F23982" w:rsidRPr="00EA0F22" w:rsidRDefault="00F23982">
            <w:pPr>
              <w:spacing w:after="120"/>
              <w:jc w:val="both"/>
              <w:rPr>
                <w:sz w:val="24"/>
              </w:rPr>
            </w:pPr>
            <w:r w:rsidRPr="00EA0F22">
              <w:rPr>
                <w:sz w:val="24"/>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6824" w:type="dxa"/>
            <w:gridSpan w:val="3"/>
            <w:tcBorders>
              <w:top w:val="single" w:sz="4" w:space="0" w:color="auto"/>
              <w:left w:val="single" w:sz="4" w:space="0" w:color="auto"/>
              <w:bottom w:val="single" w:sz="4" w:space="0" w:color="auto"/>
              <w:right w:val="single" w:sz="4" w:space="0" w:color="auto"/>
            </w:tcBorders>
            <w:hideMark/>
          </w:tcPr>
          <w:p w:rsidR="00F23982" w:rsidRPr="00EA0F22" w:rsidRDefault="00F23982">
            <w:pPr>
              <w:pStyle w:val="basetext"/>
              <w:widowControl/>
              <w:tabs>
                <w:tab w:val="clear" w:pos="357"/>
                <w:tab w:val="left" w:pos="720"/>
              </w:tabs>
              <w:spacing w:before="0" w:after="120"/>
              <w:ind w:right="72"/>
              <w:rPr>
                <w:szCs w:val="24"/>
                <w:lang w:val="lv-LV"/>
              </w:rPr>
            </w:pPr>
            <w:r w:rsidRPr="00EA0F22">
              <w:rPr>
                <w:szCs w:val="24"/>
                <w:lang w:val="lv-LV"/>
              </w:rPr>
              <w:t>Nav attiecināms</w:t>
            </w:r>
          </w:p>
        </w:tc>
      </w:tr>
      <w:tr w:rsidR="00F23982" w:rsidTr="00633297">
        <w:trPr>
          <w:trHeight w:val="579"/>
          <w:jc w:val="center"/>
        </w:trPr>
        <w:tc>
          <w:tcPr>
            <w:tcW w:w="2345" w:type="dxa"/>
            <w:tcBorders>
              <w:top w:val="single" w:sz="4" w:space="0" w:color="auto"/>
              <w:left w:val="single" w:sz="4" w:space="0" w:color="auto"/>
              <w:bottom w:val="single" w:sz="4" w:space="0" w:color="auto"/>
              <w:right w:val="single" w:sz="4" w:space="0" w:color="auto"/>
            </w:tcBorders>
            <w:hideMark/>
          </w:tcPr>
          <w:p w:rsidR="00F23982" w:rsidRPr="00EA0F22" w:rsidRDefault="00F23982">
            <w:pPr>
              <w:pStyle w:val="naiskr"/>
              <w:spacing w:before="0" w:after="120"/>
            </w:pPr>
            <w:r w:rsidRPr="00EA0F22">
              <w:t> Cita informācija</w:t>
            </w:r>
          </w:p>
        </w:tc>
        <w:tc>
          <w:tcPr>
            <w:tcW w:w="6824" w:type="dxa"/>
            <w:gridSpan w:val="3"/>
            <w:tcBorders>
              <w:top w:val="single" w:sz="4" w:space="0" w:color="auto"/>
              <w:left w:val="single" w:sz="4" w:space="0" w:color="auto"/>
              <w:bottom w:val="single" w:sz="4" w:space="0" w:color="auto"/>
              <w:right w:val="single" w:sz="4" w:space="0" w:color="auto"/>
            </w:tcBorders>
            <w:hideMark/>
          </w:tcPr>
          <w:p w:rsidR="00F23982" w:rsidRPr="001179B0" w:rsidRDefault="00F23982" w:rsidP="001B6B30">
            <w:pPr>
              <w:pStyle w:val="basetext"/>
              <w:widowControl/>
              <w:tabs>
                <w:tab w:val="clear" w:pos="357"/>
                <w:tab w:val="left" w:pos="720"/>
              </w:tabs>
              <w:spacing w:before="0" w:after="120"/>
              <w:ind w:right="72"/>
              <w:rPr>
                <w:szCs w:val="24"/>
                <w:lang w:val="lv-LV"/>
              </w:rPr>
            </w:pPr>
            <w:r w:rsidRPr="001179B0">
              <w:rPr>
                <w:szCs w:val="24"/>
                <w:lang w:val="lv-LV"/>
              </w:rPr>
              <w:t xml:space="preserve">1) Vairākas Direktīvas 2011/70/Euratom prasības ir pārņemtas likumā „Par radiācijas drošību un kodoldrošību” un </w:t>
            </w:r>
            <w:r w:rsidR="00CF2AC2" w:rsidRPr="001179B0">
              <w:rPr>
                <w:szCs w:val="24"/>
                <w:lang w:val="lv-LV"/>
              </w:rPr>
              <w:t>MK</w:t>
            </w:r>
            <w:r w:rsidRPr="001179B0">
              <w:rPr>
                <w:szCs w:val="24"/>
                <w:lang w:val="lv-LV"/>
              </w:rPr>
              <w:t xml:space="preserve"> 2002.gada 19.marta noteikumos Nr.129 „Prasības darbībām ar radioaktīvajiem atkritumiem un ar tiem saistītajiem materiāliem”. </w:t>
            </w:r>
          </w:p>
          <w:p w:rsidR="00F23982" w:rsidRPr="001179B0" w:rsidRDefault="00F23982" w:rsidP="00056EA9">
            <w:pPr>
              <w:pStyle w:val="basetext"/>
              <w:widowControl/>
              <w:tabs>
                <w:tab w:val="clear" w:pos="357"/>
                <w:tab w:val="left" w:pos="720"/>
              </w:tabs>
              <w:spacing w:before="0" w:after="120"/>
              <w:ind w:right="72"/>
              <w:rPr>
                <w:szCs w:val="24"/>
                <w:lang w:val="lv-LV"/>
              </w:rPr>
            </w:pPr>
            <w:r w:rsidRPr="001179B0">
              <w:rPr>
                <w:szCs w:val="24"/>
                <w:lang w:val="lv-LV"/>
              </w:rPr>
              <w:t xml:space="preserve">Atbilstoši Direktīvas 2011/70/Euratom 15.panta 2.punkta prasībām Latvijas tiesību aktos </w:t>
            </w:r>
            <w:r w:rsidRPr="001179B0">
              <w:rPr>
                <w:szCs w:val="24"/>
                <w:u w:val="single"/>
                <w:lang w:val="lv-LV"/>
              </w:rPr>
              <w:t>nav jāpārņem Direktīvas 2011/70/Euratom noteikumi par lietoto kodoldegvielu</w:t>
            </w:r>
            <w:r w:rsidRPr="001179B0">
              <w:rPr>
                <w:szCs w:val="24"/>
                <w:lang w:val="lv-LV"/>
              </w:rPr>
              <w:t>, kamēr nav pieņemts lēmums izvērst jebkādu darbību saistībā ar kodoldegvielu.</w:t>
            </w:r>
          </w:p>
          <w:p w:rsidR="00F23982" w:rsidRPr="001179B0" w:rsidRDefault="00F23982" w:rsidP="00056EA9">
            <w:pPr>
              <w:pStyle w:val="basetext"/>
              <w:widowControl/>
              <w:tabs>
                <w:tab w:val="clear" w:pos="357"/>
                <w:tab w:val="left" w:pos="720"/>
              </w:tabs>
              <w:spacing w:before="0" w:after="120"/>
              <w:ind w:right="72"/>
              <w:rPr>
                <w:szCs w:val="24"/>
                <w:lang w:val="lv-LV"/>
              </w:rPr>
            </w:pPr>
            <w:r w:rsidRPr="001179B0">
              <w:rPr>
                <w:szCs w:val="24"/>
                <w:lang w:val="lv-LV"/>
              </w:rPr>
              <w:t xml:space="preserve">2) Pašreiz plānotās darbības radioaktīvo atkritumu pārvaldības jomā nosaka </w:t>
            </w:r>
            <w:r w:rsidRPr="001179B0">
              <w:rPr>
                <w:bCs/>
                <w:szCs w:val="24"/>
                <w:lang w:val="lv-LV"/>
              </w:rPr>
              <w:t>Radioaktīvo atkritumu glabāšanas koncepcija (apstiprināta ar M</w:t>
            </w:r>
            <w:r w:rsidR="00FF54AA">
              <w:rPr>
                <w:bCs/>
                <w:szCs w:val="24"/>
                <w:lang w:val="lv-LV"/>
              </w:rPr>
              <w:t>inistru kabineta</w:t>
            </w:r>
            <w:r w:rsidRPr="001179B0">
              <w:rPr>
                <w:bCs/>
                <w:szCs w:val="24"/>
                <w:lang w:val="lv-LV"/>
              </w:rPr>
              <w:t xml:space="preserve"> </w:t>
            </w:r>
            <w:r w:rsidRPr="001179B0">
              <w:rPr>
                <w:szCs w:val="24"/>
                <w:lang w:val="lv-LV"/>
              </w:rPr>
              <w:t>2003.gada 26.jūnija</w:t>
            </w:r>
            <w:r w:rsidRPr="001179B0">
              <w:rPr>
                <w:bCs/>
                <w:szCs w:val="24"/>
                <w:lang w:val="lv-LV"/>
              </w:rPr>
              <w:t xml:space="preserve"> rīkojumu </w:t>
            </w:r>
            <w:r w:rsidRPr="001179B0">
              <w:rPr>
                <w:bCs/>
                <w:szCs w:val="24"/>
                <w:lang w:val="lv-LV"/>
              </w:rPr>
              <w:lastRenderedPageBreak/>
              <w:t xml:space="preserve">Nr.414). </w:t>
            </w:r>
            <w:r w:rsidRPr="001179B0">
              <w:rPr>
                <w:szCs w:val="24"/>
                <w:lang w:val="lv-LV"/>
              </w:rPr>
              <w:t xml:space="preserve">Direktīvas 2011/70/Euratom prasības, kas attiecas uz nacionālajām radioaktīvo atkritumu apsaimniekošanas programmām, plānots iekļaut Vides politikas pamatnostādnēs 2013.-2020.gadam, kuras ir izsludinātas Valsts sekretāru 2013.gada </w:t>
            </w:r>
            <w:r w:rsidR="00D07B08" w:rsidRPr="001179B0">
              <w:rPr>
                <w:szCs w:val="24"/>
                <w:lang w:val="lv-LV"/>
              </w:rPr>
              <w:t>4.jūlija sanāksmē, protokols Nr.26 109.§, VSS-1225.</w:t>
            </w:r>
            <w:r w:rsidRPr="001179B0">
              <w:rPr>
                <w:szCs w:val="24"/>
                <w:lang w:val="lv-LV"/>
              </w:rPr>
              <w:t xml:space="preserve"> Jautājumus par radioaktīvo atkritumu apsaimniekošanu Vides politikas pamatnostādnēs 2013.-2020.gadam plānots iekļaut 2015.gadā. Nacionālās programmas radioaktīvo atkritumu apsaimniekošanai atbilstoši Direktīvas 2011/70/Euratom 15.panta 3.punkta prasībām EK ir jānosūta ne vēlāk kā līdz 2015.gada 23.augustam.</w:t>
            </w:r>
          </w:p>
          <w:p w:rsidR="00F23982" w:rsidRPr="00EA0F22" w:rsidRDefault="00F23982" w:rsidP="00FF54AA">
            <w:pPr>
              <w:pStyle w:val="basetext"/>
              <w:widowControl/>
              <w:tabs>
                <w:tab w:val="clear" w:pos="357"/>
                <w:tab w:val="left" w:pos="720"/>
              </w:tabs>
              <w:spacing w:before="0" w:after="120"/>
              <w:ind w:right="72"/>
              <w:rPr>
                <w:szCs w:val="24"/>
                <w:lang w:val="lv-LV"/>
              </w:rPr>
            </w:pPr>
            <w:r w:rsidRPr="001179B0">
              <w:rPr>
                <w:szCs w:val="24"/>
                <w:lang w:val="lv-LV"/>
              </w:rPr>
              <w:t>3) Lai pārņemtu Direktīvas</w:t>
            </w:r>
            <w:r w:rsidRPr="00EA0F22">
              <w:rPr>
                <w:szCs w:val="24"/>
                <w:lang w:val="lv-LV"/>
              </w:rPr>
              <w:t xml:space="preserve"> 2011/70/Euratom atsevišķas prasības, ir izstrādāti grozījumi likumā „Par radiācijas drošību un kodoldrošību” (izsludināts Valsts sekretāru 2013.gada 7.februāra sanāksmē, protokols Nr.5 11.§, VSS-105, turpmāk - likumprojekts) un grozījumi </w:t>
            </w:r>
            <w:r w:rsidR="00D445E9" w:rsidRPr="00EA0F22">
              <w:rPr>
                <w:szCs w:val="24"/>
                <w:lang w:val="lv-LV"/>
              </w:rPr>
              <w:t>M</w:t>
            </w:r>
            <w:r w:rsidR="00FF54AA">
              <w:rPr>
                <w:szCs w:val="24"/>
                <w:lang w:val="lv-LV"/>
              </w:rPr>
              <w:t>inistru kabineta</w:t>
            </w:r>
            <w:r w:rsidRPr="00EA0F22">
              <w:rPr>
                <w:szCs w:val="24"/>
                <w:lang w:val="lv-LV"/>
              </w:rPr>
              <w:t xml:space="preserve"> 2002.gada 19.marta noteikumos Nr.129 „Prasības darbībām ar radioaktīvajiem atkritumiem un ar tiem saistītajiem materiāliem” (izsludināt</w:t>
            </w:r>
            <w:r w:rsidR="00FF54AA">
              <w:rPr>
                <w:szCs w:val="24"/>
                <w:lang w:val="lv-LV"/>
              </w:rPr>
              <w:t>i</w:t>
            </w:r>
            <w:r w:rsidRPr="00EA0F22">
              <w:rPr>
                <w:szCs w:val="24"/>
                <w:lang w:val="lv-LV"/>
              </w:rPr>
              <w:t xml:space="preserve"> Valsts sekretāru 2013.gada 1.augusta sanāksmē, protokols Nr.30 49.§, VSS-1533). Par projektiem atbildīg</w:t>
            </w:r>
            <w:r w:rsidR="00FF54AA">
              <w:rPr>
                <w:szCs w:val="24"/>
                <w:lang w:val="lv-LV"/>
              </w:rPr>
              <w:t>a</w:t>
            </w:r>
            <w:r w:rsidRPr="00EA0F22">
              <w:rPr>
                <w:szCs w:val="24"/>
                <w:lang w:val="lv-LV"/>
              </w:rPr>
              <w:t xml:space="preserve"> Vides aizsardzības un reģionālās attīstības ministrija.</w:t>
            </w:r>
          </w:p>
        </w:tc>
      </w:tr>
    </w:tbl>
    <w:p w:rsidR="000409CF" w:rsidRPr="007869AC" w:rsidRDefault="000409CF" w:rsidP="00E17DF5">
      <w:pPr>
        <w:pStyle w:val="naisf"/>
      </w:pPr>
    </w:p>
    <w:tbl>
      <w:tblPr>
        <w:tblW w:w="9035" w:type="dxa"/>
        <w:jc w:val="center"/>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10"/>
        <w:gridCol w:w="2091"/>
        <w:gridCol w:w="3134"/>
      </w:tblGrid>
      <w:tr w:rsidR="00E17DF5" w:rsidRPr="007869AC" w:rsidTr="00DB0C94">
        <w:trPr>
          <w:trHeight w:val="792"/>
          <w:jc w:val="center"/>
        </w:trPr>
        <w:tc>
          <w:tcPr>
            <w:tcW w:w="9035" w:type="dxa"/>
            <w:gridSpan w:val="3"/>
            <w:tcBorders>
              <w:top w:val="single" w:sz="4" w:space="0" w:color="auto"/>
              <w:left w:val="single" w:sz="4" w:space="0" w:color="auto"/>
              <w:bottom w:val="single" w:sz="4" w:space="0" w:color="auto"/>
              <w:right w:val="single" w:sz="4" w:space="0" w:color="auto"/>
            </w:tcBorders>
          </w:tcPr>
          <w:p w:rsidR="00E17DF5" w:rsidRPr="007869AC" w:rsidRDefault="00E17DF5" w:rsidP="00E17DF5">
            <w:pPr>
              <w:pStyle w:val="naisnod"/>
              <w:spacing w:before="0" w:after="120"/>
            </w:pPr>
            <w:r w:rsidRPr="007869AC">
              <w:t> 2.tabula</w:t>
            </w:r>
          </w:p>
          <w:p w:rsidR="00E17DF5" w:rsidRPr="007869AC" w:rsidRDefault="00E17DF5" w:rsidP="00E17DF5">
            <w:pPr>
              <w:pStyle w:val="naisnod"/>
              <w:spacing w:before="0" w:after="120"/>
            </w:pPr>
            <w:r w:rsidRPr="007869AC">
              <w:t>Ar tiesību akta projektu uzņemtās saistības, kas izriet no starptautiskajiem tiesību aktiem vai starptautiskas institūcijas vai organizācijas dokumentiem</w:t>
            </w:r>
          </w:p>
          <w:p w:rsidR="00E17DF5" w:rsidRPr="007869AC" w:rsidRDefault="00E17DF5" w:rsidP="00E17DF5">
            <w:pPr>
              <w:pStyle w:val="naisnod"/>
              <w:spacing w:before="0" w:after="120"/>
            </w:pPr>
            <w:r w:rsidRPr="007869AC">
              <w:t>Pasākumi šo saistību izpildei</w:t>
            </w:r>
          </w:p>
        </w:tc>
      </w:tr>
      <w:tr w:rsidR="00E17DF5" w:rsidRPr="007869AC" w:rsidTr="00DB0C94">
        <w:trPr>
          <w:trHeight w:val="1596"/>
          <w:jc w:val="center"/>
        </w:trPr>
        <w:tc>
          <w:tcPr>
            <w:tcW w:w="3810" w:type="dxa"/>
            <w:tcBorders>
              <w:top w:val="single" w:sz="4" w:space="0" w:color="auto"/>
              <w:left w:val="single" w:sz="4" w:space="0" w:color="auto"/>
              <w:bottom w:val="single" w:sz="4" w:space="0" w:color="auto"/>
              <w:right w:val="single" w:sz="4" w:space="0" w:color="auto"/>
            </w:tcBorders>
          </w:tcPr>
          <w:p w:rsidR="00E17DF5" w:rsidRPr="007869AC" w:rsidRDefault="00E17DF5" w:rsidP="00E17DF5">
            <w:pPr>
              <w:pStyle w:val="naiskr"/>
              <w:spacing w:before="0" w:after="120"/>
              <w:jc w:val="both"/>
            </w:pPr>
            <w:r w:rsidRPr="007869AC">
              <w:t>Attiecīgā starptautiskā tiesību akta vai starptautiskas institūcijas vai organizācijas dokumenta (turpmāk – starptautiskais dokuments) datums, numurs un nosaukums</w:t>
            </w:r>
          </w:p>
        </w:tc>
        <w:tc>
          <w:tcPr>
            <w:tcW w:w="5225" w:type="dxa"/>
            <w:gridSpan w:val="2"/>
            <w:tcBorders>
              <w:top w:val="single" w:sz="4" w:space="0" w:color="auto"/>
              <w:left w:val="single" w:sz="4" w:space="0" w:color="auto"/>
              <w:bottom w:val="single" w:sz="4" w:space="0" w:color="auto"/>
              <w:right w:val="single" w:sz="4" w:space="0" w:color="auto"/>
            </w:tcBorders>
          </w:tcPr>
          <w:p w:rsidR="00E17DF5" w:rsidRPr="007869AC" w:rsidRDefault="0066337C" w:rsidP="00E17DF5">
            <w:pPr>
              <w:spacing w:after="120"/>
              <w:jc w:val="both"/>
              <w:rPr>
                <w:sz w:val="24"/>
              </w:rPr>
            </w:pPr>
            <w:r w:rsidRPr="007869AC">
              <w:rPr>
                <w:sz w:val="24"/>
              </w:rPr>
              <w:t>1997.gada 12.septembra Protokols par grozījumiem 1963.gada 21.maija Vīne</w:t>
            </w:r>
            <w:r w:rsidRPr="00DB0C94">
              <w:rPr>
                <w:sz w:val="24"/>
              </w:rPr>
              <w:t xml:space="preserve">s konvencijā par civilo atbildību par kodolkaitējumiem (turpmāk – Vīnes </w:t>
            </w:r>
            <w:r w:rsidR="0064130E" w:rsidRPr="00DB0C94">
              <w:rPr>
                <w:sz w:val="24"/>
              </w:rPr>
              <w:t xml:space="preserve">konvencijas </w:t>
            </w:r>
            <w:r w:rsidRPr="00DB0C94">
              <w:rPr>
                <w:sz w:val="24"/>
              </w:rPr>
              <w:t>protokols).</w:t>
            </w:r>
          </w:p>
        </w:tc>
      </w:tr>
      <w:tr w:rsidR="00E17DF5" w:rsidRPr="007869AC" w:rsidTr="00DB0C94">
        <w:trPr>
          <w:trHeight w:val="341"/>
          <w:jc w:val="center"/>
        </w:trPr>
        <w:tc>
          <w:tcPr>
            <w:tcW w:w="3810" w:type="dxa"/>
            <w:tcBorders>
              <w:top w:val="single" w:sz="4" w:space="0" w:color="auto"/>
              <w:left w:val="single" w:sz="4" w:space="0" w:color="auto"/>
              <w:bottom w:val="single" w:sz="4" w:space="0" w:color="auto"/>
              <w:right w:val="single" w:sz="4" w:space="0" w:color="auto"/>
            </w:tcBorders>
          </w:tcPr>
          <w:p w:rsidR="00E17DF5" w:rsidRPr="007869AC" w:rsidRDefault="00E17DF5" w:rsidP="00E17DF5">
            <w:pPr>
              <w:pStyle w:val="naisc"/>
              <w:spacing w:before="0" w:after="120"/>
            </w:pPr>
            <w:r w:rsidRPr="007869AC">
              <w:t> A</w:t>
            </w:r>
          </w:p>
        </w:tc>
        <w:tc>
          <w:tcPr>
            <w:tcW w:w="2091" w:type="dxa"/>
            <w:tcBorders>
              <w:top w:val="single" w:sz="4" w:space="0" w:color="auto"/>
              <w:left w:val="single" w:sz="4" w:space="0" w:color="auto"/>
              <w:bottom w:val="single" w:sz="4" w:space="0" w:color="auto"/>
              <w:right w:val="single" w:sz="4" w:space="0" w:color="auto"/>
            </w:tcBorders>
          </w:tcPr>
          <w:p w:rsidR="00E17DF5" w:rsidRPr="007869AC" w:rsidRDefault="00E17DF5" w:rsidP="00E17DF5">
            <w:pPr>
              <w:pStyle w:val="naisc"/>
              <w:spacing w:before="0" w:after="120"/>
            </w:pPr>
            <w:r w:rsidRPr="007869AC">
              <w:t> B</w:t>
            </w:r>
          </w:p>
        </w:tc>
        <w:tc>
          <w:tcPr>
            <w:tcW w:w="3134" w:type="dxa"/>
            <w:tcBorders>
              <w:top w:val="single" w:sz="4" w:space="0" w:color="auto"/>
              <w:left w:val="single" w:sz="4" w:space="0" w:color="auto"/>
              <w:bottom w:val="single" w:sz="4" w:space="0" w:color="auto"/>
              <w:right w:val="single" w:sz="4" w:space="0" w:color="auto"/>
            </w:tcBorders>
          </w:tcPr>
          <w:p w:rsidR="00E17DF5" w:rsidRPr="007869AC" w:rsidRDefault="00E17DF5" w:rsidP="00E17DF5">
            <w:pPr>
              <w:pStyle w:val="naisc"/>
              <w:spacing w:before="0" w:after="120"/>
            </w:pPr>
            <w:r w:rsidRPr="007869AC">
              <w:t> C</w:t>
            </w:r>
          </w:p>
        </w:tc>
      </w:tr>
      <w:tr w:rsidR="0066337C" w:rsidRPr="007869AC" w:rsidTr="00DB0C94">
        <w:trPr>
          <w:trHeight w:val="341"/>
          <w:jc w:val="center"/>
        </w:trPr>
        <w:tc>
          <w:tcPr>
            <w:tcW w:w="3810" w:type="dxa"/>
            <w:tcBorders>
              <w:top w:val="single" w:sz="4" w:space="0" w:color="auto"/>
              <w:left w:val="single" w:sz="4" w:space="0" w:color="auto"/>
              <w:bottom w:val="single" w:sz="4" w:space="0" w:color="auto"/>
              <w:right w:val="single" w:sz="4" w:space="0" w:color="auto"/>
            </w:tcBorders>
          </w:tcPr>
          <w:p w:rsidR="0066337C" w:rsidRPr="007869AC" w:rsidRDefault="0066337C" w:rsidP="00AD5026">
            <w:pPr>
              <w:pStyle w:val="naiskr"/>
              <w:spacing w:before="0" w:after="120"/>
              <w:jc w:val="both"/>
            </w:pPr>
            <w:r w:rsidRPr="007869AC">
              <w:t xml:space="preserve">Vīnes protokols nosaka starptautiskās saistības par civilo atbildību par kodolkaitējumiem. Vīnes protokola 7.pants nosaka operatora atbildību par ikvienu kodolincidentu, izsakot to konkrētās summās. </w:t>
            </w:r>
          </w:p>
        </w:tc>
        <w:tc>
          <w:tcPr>
            <w:tcW w:w="2091" w:type="dxa"/>
            <w:tcBorders>
              <w:top w:val="single" w:sz="4" w:space="0" w:color="auto"/>
              <w:left w:val="single" w:sz="4" w:space="0" w:color="auto"/>
              <w:bottom w:val="single" w:sz="4" w:space="0" w:color="auto"/>
              <w:right w:val="single" w:sz="4" w:space="0" w:color="auto"/>
            </w:tcBorders>
          </w:tcPr>
          <w:p w:rsidR="0066337C" w:rsidRPr="007869AC" w:rsidRDefault="00DB0C94" w:rsidP="00317C33">
            <w:pPr>
              <w:pStyle w:val="naiskr"/>
              <w:spacing w:before="0" w:after="120"/>
              <w:jc w:val="center"/>
            </w:pPr>
            <w:r w:rsidRPr="00DB0C94">
              <w:t>MK noteikumu Nr.723</w:t>
            </w:r>
            <w:r w:rsidR="0066337C" w:rsidRPr="00DB0C94">
              <w:t xml:space="preserve"> 3.pielikuma III nodaļas 5.11.apakšpunkts un 5.</w:t>
            </w:r>
            <w:r w:rsidR="00DD25A1">
              <w:t xml:space="preserve"> </w:t>
            </w:r>
            <w:r w:rsidR="000E1E81">
              <w:t>vai 5.</w:t>
            </w:r>
            <w:r w:rsidR="000E1E81">
              <w:rPr>
                <w:vertAlign w:val="superscript"/>
              </w:rPr>
              <w:t xml:space="preserve">1 </w:t>
            </w:r>
            <w:r w:rsidR="0066337C" w:rsidRPr="00DB0C94">
              <w:t>pielikums</w:t>
            </w:r>
          </w:p>
        </w:tc>
        <w:tc>
          <w:tcPr>
            <w:tcW w:w="3134" w:type="dxa"/>
            <w:tcBorders>
              <w:top w:val="single" w:sz="4" w:space="0" w:color="auto"/>
              <w:left w:val="single" w:sz="4" w:space="0" w:color="auto"/>
              <w:bottom w:val="single" w:sz="4" w:space="0" w:color="auto"/>
              <w:right w:val="single" w:sz="4" w:space="0" w:color="auto"/>
            </w:tcBorders>
          </w:tcPr>
          <w:p w:rsidR="0066337C" w:rsidRPr="007869AC" w:rsidRDefault="0066337C" w:rsidP="00AD5026">
            <w:pPr>
              <w:pStyle w:val="naislab"/>
              <w:spacing w:before="0" w:after="120"/>
              <w:jc w:val="center"/>
            </w:pPr>
            <w:r w:rsidRPr="007869AC">
              <w:t>Ieviests daļēji</w:t>
            </w:r>
          </w:p>
          <w:p w:rsidR="0066337C" w:rsidRPr="007869AC" w:rsidRDefault="0066337C" w:rsidP="00AD5026">
            <w:pPr>
              <w:pStyle w:val="naislab"/>
              <w:spacing w:before="0" w:after="120"/>
              <w:jc w:val="both"/>
              <w:rPr>
                <w:b/>
                <w:sz w:val="28"/>
                <w:szCs w:val="28"/>
              </w:rPr>
            </w:pPr>
            <w:r w:rsidRPr="007869AC">
              <w:t xml:space="preserve">Ar projektu pilnībā tiek izpildītas Vīnes protokola starptautiskās saistības attiecībā uz civiltiesiskās atbildības apdrošinājuma minimālo summu noteikšanu. </w:t>
            </w:r>
          </w:p>
          <w:p w:rsidR="0066337C" w:rsidRPr="007869AC" w:rsidRDefault="0066337C" w:rsidP="00AD5026">
            <w:pPr>
              <w:pStyle w:val="naiskr"/>
              <w:spacing w:before="0" w:after="120"/>
              <w:jc w:val="both"/>
            </w:pPr>
            <w:r w:rsidRPr="007869AC">
              <w:t xml:space="preserve">Pārējās Vīnes protokola saistības pārņemtas citos radiācijas drošību un kodoldrošību regulējošajos normatīvajos aktos, piemēram, likuma „Par radiācijas drošību un </w:t>
            </w:r>
            <w:r w:rsidRPr="007869AC">
              <w:lastRenderedPageBreak/>
              <w:t>kodoldrošību” 29.pantā.</w:t>
            </w:r>
          </w:p>
        </w:tc>
      </w:tr>
      <w:tr w:rsidR="0066337C" w:rsidRPr="007869AC" w:rsidTr="00DB0C94">
        <w:trPr>
          <w:trHeight w:val="341"/>
          <w:jc w:val="center"/>
        </w:trPr>
        <w:tc>
          <w:tcPr>
            <w:tcW w:w="3810" w:type="dxa"/>
            <w:tcBorders>
              <w:top w:val="single" w:sz="4" w:space="0" w:color="auto"/>
              <w:left w:val="single" w:sz="4" w:space="0" w:color="auto"/>
              <w:bottom w:val="single" w:sz="4" w:space="0" w:color="auto"/>
              <w:right w:val="single" w:sz="4" w:space="0" w:color="auto"/>
            </w:tcBorders>
          </w:tcPr>
          <w:p w:rsidR="0066337C" w:rsidRPr="007869AC" w:rsidRDefault="0066337C" w:rsidP="00AD5026">
            <w:pPr>
              <w:pStyle w:val="naisf"/>
              <w:spacing w:before="0" w:after="120"/>
              <w:ind w:firstLine="0"/>
              <w:jc w:val="center"/>
            </w:pPr>
            <w:r w:rsidRPr="007869AC">
              <w:lastRenderedPageBreak/>
              <w:t>Vīnes protokola 7.panta 1.punkta (a) apakšpunkts</w:t>
            </w:r>
          </w:p>
          <w:p w:rsidR="0066337C" w:rsidRPr="007869AC" w:rsidRDefault="0066337C" w:rsidP="00AD5026">
            <w:pPr>
              <w:pStyle w:val="naisf"/>
              <w:spacing w:before="0" w:after="120"/>
              <w:ind w:firstLine="0"/>
            </w:pPr>
            <w:r w:rsidRPr="007869AC">
              <w:t>(a) ne mazāk kā 300 miljoni XDRu; vai</w:t>
            </w:r>
          </w:p>
        </w:tc>
        <w:tc>
          <w:tcPr>
            <w:tcW w:w="2091" w:type="dxa"/>
            <w:tcBorders>
              <w:top w:val="single" w:sz="4" w:space="0" w:color="auto"/>
              <w:left w:val="single" w:sz="4" w:space="0" w:color="auto"/>
              <w:bottom w:val="single" w:sz="4" w:space="0" w:color="auto"/>
              <w:right w:val="single" w:sz="4" w:space="0" w:color="auto"/>
            </w:tcBorders>
          </w:tcPr>
          <w:p w:rsidR="0066337C" w:rsidRPr="001C4B47" w:rsidRDefault="007869AC" w:rsidP="000E1E81">
            <w:pPr>
              <w:pStyle w:val="naiskr"/>
              <w:spacing w:before="0" w:after="120"/>
              <w:jc w:val="center"/>
            </w:pPr>
            <w:r w:rsidRPr="001C4B47">
              <w:t>Projekt</w:t>
            </w:r>
            <w:r w:rsidR="00C43E69">
              <w:t>a 1.10</w:t>
            </w:r>
            <w:r w:rsidR="001C4B47" w:rsidRPr="001C4B47">
              <w:t>.</w:t>
            </w:r>
            <w:r w:rsidR="00C43E69">
              <w:t xml:space="preserve"> un 1.11.</w:t>
            </w:r>
            <w:r w:rsidR="001C4B47" w:rsidRPr="001C4B47">
              <w:t>apakšpunkts</w:t>
            </w:r>
            <w:r w:rsidRPr="001C4B47">
              <w:t xml:space="preserve"> (MK noteikumu Nr.723 5.</w:t>
            </w:r>
            <w:r w:rsidR="000E1E81">
              <w:t xml:space="preserve"> vai 5.</w:t>
            </w:r>
            <w:r w:rsidR="000E1E81">
              <w:rPr>
                <w:vertAlign w:val="superscript"/>
              </w:rPr>
              <w:t xml:space="preserve">1 </w:t>
            </w:r>
            <w:r w:rsidR="00CB0E29">
              <w:t xml:space="preserve"> </w:t>
            </w:r>
            <w:r w:rsidRPr="001C4B47">
              <w:t>pielikuma 1.1.apakšpunkts)</w:t>
            </w:r>
          </w:p>
        </w:tc>
        <w:tc>
          <w:tcPr>
            <w:tcW w:w="3134" w:type="dxa"/>
            <w:tcBorders>
              <w:top w:val="single" w:sz="4" w:space="0" w:color="auto"/>
              <w:left w:val="single" w:sz="4" w:space="0" w:color="auto"/>
              <w:bottom w:val="single" w:sz="4" w:space="0" w:color="auto"/>
              <w:right w:val="single" w:sz="4" w:space="0" w:color="auto"/>
            </w:tcBorders>
          </w:tcPr>
          <w:p w:rsidR="0066337C" w:rsidRPr="007869AC" w:rsidRDefault="0066337C" w:rsidP="00AD5026">
            <w:pPr>
              <w:pStyle w:val="naislab"/>
              <w:spacing w:before="0" w:after="120"/>
              <w:jc w:val="center"/>
            </w:pPr>
            <w:r w:rsidRPr="007869AC">
              <w:t>Ieviests pilnībā</w:t>
            </w:r>
          </w:p>
        </w:tc>
      </w:tr>
      <w:tr w:rsidR="0066337C" w:rsidRPr="007869AC" w:rsidTr="00DB0C94">
        <w:trPr>
          <w:trHeight w:val="341"/>
          <w:jc w:val="center"/>
        </w:trPr>
        <w:tc>
          <w:tcPr>
            <w:tcW w:w="3810" w:type="dxa"/>
            <w:tcBorders>
              <w:top w:val="single" w:sz="4" w:space="0" w:color="auto"/>
              <w:left w:val="single" w:sz="4" w:space="0" w:color="auto"/>
              <w:bottom w:val="single" w:sz="4" w:space="0" w:color="auto"/>
              <w:right w:val="single" w:sz="4" w:space="0" w:color="auto"/>
            </w:tcBorders>
          </w:tcPr>
          <w:p w:rsidR="0066337C" w:rsidRPr="007869AC" w:rsidRDefault="0066337C" w:rsidP="00AD5026">
            <w:pPr>
              <w:pStyle w:val="naisf"/>
              <w:spacing w:before="0" w:after="120"/>
              <w:ind w:firstLine="0"/>
              <w:jc w:val="center"/>
            </w:pPr>
            <w:r w:rsidRPr="007869AC">
              <w:t>Vīnes protokola 7.panta 1.punkta (c) apakšpunkts</w:t>
            </w:r>
          </w:p>
          <w:p w:rsidR="0066337C" w:rsidRPr="007869AC" w:rsidRDefault="0066337C" w:rsidP="00AD5026">
            <w:pPr>
              <w:pStyle w:val="naisf"/>
              <w:spacing w:before="0" w:after="120"/>
              <w:ind w:firstLine="0"/>
            </w:pPr>
            <w:r w:rsidRPr="007869AC">
              <w:t>(c) no šī Protokola spēkā stāšanās datuma maksimāli 15 gadus uz īslaicīgām summām ne mazāk kā 100 miljonu XDRu apmērā attiecībā uz kodolincidentu, kas noticis šajā periodā. Par 100 miljoniem XDRu mazāku summu var noteikt ar noteikumu, ka starp šo mazāko noteikto summu un 100 miljoniem XDRu lielus sabiedriskos naudas līdzekļus šī valsts dara pieejamus kodolkaitējuma kompensēšanai.</w:t>
            </w:r>
          </w:p>
        </w:tc>
        <w:tc>
          <w:tcPr>
            <w:tcW w:w="2091" w:type="dxa"/>
            <w:tcBorders>
              <w:top w:val="single" w:sz="4" w:space="0" w:color="auto"/>
              <w:left w:val="single" w:sz="4" w:space="0" w:color="auto"/>
              <w:bottom w:val="single" w:sz="4" w:space="0" w:color="auto"/>
              <w:right w:val="single" w:sz="4" w:space="0" w:color="auto"/>
            </w:tcBorders>
          </w:tcPr>
          <w:p w:rsidR="0066337C" w:rsidRPr="001C4B47" w:rsidRDefault="007869AC" w:rsidP="000E1E81">
            <w:pPr>
              <w:pStyle w:val="naiskr"/>
              <w:spacing w:before="0" w:after="120"/>
              <w:jc w:val="center"/>
            </w:pPr>
            <w:r w:rsidRPr="001C4B47">
              <w:t>Projekt</w:t>
            </w:r>
            <w:r w:rsidR="000E1E81">
              <w:t>a</w:t>
            </w:r>
            <w:r w:rsidRPr="001C4B47">
              <w:t xml:space="preserve"> </w:t>
            </w:r>
            <w:r w:rsidR="000E1E81">
              <w:t>1.10. un 1.11</w:t>
            </w:r>
            <w:r w:rsidR="001C4B47" w:rsidRPr="001C4B47">
              <w:t xml:space="preserve">.apakšpunkts </w:t>
            </w:r>
            <w:r w:rsidRPr="001C4B47">
              <w:t>(MK noteikumu Nr.723 5.</w:t>
            </w:r>
            <w:r w:rsidR="00CB0E29">
              <w:t xml:space="preserve"> </w:t>
            </w:r>
            <w:r w:rsidR="00457B7C">
              <w:t>vai 5.</w:t>
            </w:r>
            <w:r w:rsidR="00457B7C">
              <w:rPr>
                <w:vertAlign w:val="superscript"/>
              </w:rPr>
              <w:t xml:space="preserve">1 </w:t>
            </w:r>
            <w:r w:rsidR="00457B7C">
              <w:t xml:space="preserve"> </w:t>
            </w:r>
            <w:r w:rsidRPr="001C4B47">
              <w:t>pielikuma 1.2.apakšpunkts)</w:t>
            </w:r>
          </w:p>
        </w:tc>
        <w:tc>
          <w:tcPr>
            <w:tcW w:w="3134" w:type="dxa"/>
            <w:tcBorders>
              <w:top w:val="single" w:sz="4" w:space="0" w:color="auto"/>
              <w:left w:val="single" w:sz="4" w:space="0" w:color="auto"/>
              <w:bottom w:val="single" w:sz="4" w:space="0" w:color="auto"/>
              <w:right w:val="single" w:sz="4" w:space="0" w:color="auto"/>
            </w:tcBorders>
          </w:tcPr>
          <w:p w:rsidR="0066337C" w:rsidRPr="007869AC" w:rsidRDefault="0066337C" w:rsidP="00AD5026">
            <w:pPr>
              <w:pStyle w:val="naislab"/>
              <w:spacing w:before="0" w:after="120"/>
              <w:jc w:val="center"/>
            </w:pPr>
            <w:r w:rsidRPr="007869AC">
              <w:t>Ieviests pilnībā</w:t>
            </w:r>
          </w:p>
        </w:tc>
      </w:tr>
      <w:tr w:rsidR="0066337C" w:rsidRPr="007869AC" w:rsidTr="00DB0C94">
        <w:trPr>
          <w:trHeight w:val="341"/>
          <w:jc w:val="center"/>
        </w:trPr>
        <w:tc>
          <w:tcPr>
            <w:tcW w:w="3810" w:type="dxa"/>
            <w:tcBorders>
              <w:top w:val="single" w:sz="4" w:space="0" w:color="auto"/>
              <w:left w:val="single" w:sz="4" w:space="0" w:color="auto"/>
              <w:bottom w:val="single" w:sz="4" w:space="0" w:color="auto"/>
              <w:right w:val="single" w:sz="4" w:space="0" w:color="auto"/>
            </w:tcBorders>
          </w:tcPr>
          <w:p w:rsidR="0066337C" w:rsidRPr="007869AC" w:rsidRDefault="0066337C" w:rsidP="00AD5026">
            <w:pPr>
              <w:pStyle w:val="naisf"/>
              <w:spacing w:before="0" w:after="120"/>
              <w:ind w:firstLine="0"/>
              <w:jc w:val="center"/>
            </w:pPr>
            <w:r w:rsidRPr="007869AC">
              <w:t>Vīnes protokola 7.panta 2.punkts</w:t>
            </w:r>
          </w:p>
          <w:p w:rsidR="0066337C" w:rsidRPr="007869AC" w:rsidRDefault="0066337C" w:rsidP="00AD5026">
            <w:pPr>
              <w:pStyle w:val="naisf"/>
              <w:spacing w:before="0" w:after="120"/>
              <w:ind w:firstLine="0"/>
            </w:pPr>
            <w:r w:rsidRPr="007869AC">
              <w:t>2. Neraugoties uz šī panta 1.punktu, Valsts, kura atbildīga par kodoliekārtu, novērtējot kodoliekārtas vai tajā esošo kodolvielu raksturu un iespējamās to izraisītā incidenta sekas, var noteikt mazāku operatora atbildību ar noteikumu, ka šādi noteiktā summa nevienā gadījumā nebūs mazāka par 5 miljoniem XDRu un ka Valsts, kura atbildīga par kodoliekārtu, nodrošina pieejamību sabiedriskajiem naudas līdzekļiem līdz summai, kas noteikta atbilstoši 1.punktam.</w:t>
            </w:r>
          </w:p>
        </w:tc>
        <w:tc>
          <w:tcPr>
            <w:tcW w:w="2091" w:type="dxa"/>
            <w:tcBorders>
              <w:top w:val="single" w:sz="4" w:space="0" w:color="auto"/>
              <w:left w:val="single" w:sz="4" w:space="0" w:color="auto"/>
              <w:bottom w:val="single" w:sz="4" w:space="0" w:color="auto"/>
              <w:right w:val="single" w:sz="4" w:space="0" w:color="auto"/>
            </w:tcBorders>
          </w:tcPr>
          <w:p w:rsidR="0066337C" w:rsidRPr="00DB0C94" w:rsidRDefault="0066337C" w:rsidP="000E1E81">
            <w:pPr>
              <w:pStyle w:val="naiskr"/>
              <w:spacing w:before="0" w:after="120"/>
              <w:jc w:val="center"/>
            </w:pPr>
            <w:r w:rsidRPr="001C4B47">
              <w:t>Projekt</w:t>
            </w:r>
            <w:r w:rsidR="001C4B47" w:rsidRPr="001C4B47">
              <w:t>a 1.</w:t>
            </w:r>
            <w:r w:rsidR="000E1E81">
              <w:t>10</w:t>
            </w:r>
            <w:r w:rsidR="001C4B47" w:rsidRPr="001C4B47">
              <w:t>.</w:t>
            </w:r>
            <w:r w:rsidR="000E1E81">
              <w:t xml:space="preserve"> un 10.11.</w:t>
            </w:r>
            <w:r w:rsidR="001C4B47" w:rsidRPr="001C4B47">
              <w:t>apakšpunkts</w:t>
            </w:r>
            <w:r w:rsidR="00431811">
              <w:t xml:space="preserve"> </w:t>
            </w:r>
            <w:r w:rsidR="007869AC" w:rsidRPr="00DB0C94">
              <w:t xml:space="preserve">(MK noteikumu Nr.723 </w:t>
            </w:r>
            <w:r w:rsidRPr="00DB0C94">
              <w:t>5.</w:t>
            </w:r>
            <w:r w:rsidR="00457B7C">
              <w:t xml:space="preserve"> vai 5.</w:t>
            </w:r>
            <w:r w:rsidR="00457B7C">
              <w:rPr>
                <w:vertAlign w:val="superscript"/>
              </w:rPr>
              <w:t xml:space="preserve">1 </w:t>
            </w:r>
            <w:r w:rsidR="00457B7C">
              <w:t xml:space="preserve"> </w:t>
            </w:r>
            <w:r w:rsidR="00CB0E29">
              <w:t xml:space="preserve"> </w:t>
            </w:r>
            <w:r w:rsidRPr="00DB0C94">
              <w:t>pielikuma 1.3.apakšpunkts</w:t>
            </w:r>
            <w:r w:rsidR="007869AC" w:rsidRPr="00DB0C94">
              <w:t>)</w:t>
            </w:r>
          </w:p>
        </w:tc>
        <w:tc>
          <w:tcPr>
            <w:tcW w:w="3134" w:type="dxa"/>
            <w:tcBorders>
              <w:top w:val="single" w:sz="4" w:space="0" w:color="auto"/>
              <w:left w:val="single" w:sz="4" w:space="0" w:color="auto"/>
              <w:bottom w:val="single" w:sz="4" w:space="0" w:color="auto"/>
              <w:right w:val="single" w:sz="4" w:space="0" w:color="auto"/>
            </w:tcBorders>
          </w:tcPr>
          <w:p w:rsidR="0066337C" w:rsidRPr="007869AC" w:rsidRDefault="0066337C" w:rsidP="00AD5026">
            <w:pPr>
              <w:pStyle w:val="naislab"/>
              <w:spacing w:before="0" w:after="120"/>
              <w:jc w:val="center"/>
            </w:pPr>
            <w:r w:rsidRPr="007869AC">
              <w:t>Ieviests pilnībā</w:t>
            </w:r>
          </w:p>
        </w:tc>
      </w:tr>
      <w:tr w:rsidR="0066337C" w:rsidRPr="007869AC" w:rsidTr="00DB0C94">
        <w:trPr>
          <w:trHeight w:val="161"/>
          <w:jc w:val="center"/>
        </w:trPr>
        <w:tc>
          <w:tcPr>
            <w:tcW w:w="3810" w:type="dxa"/>
            <w:tcBorders>
              <w:top w:val="single" w:sz="4" w:space="0" w:color="auto"/>
              <w:left w:val="single" w:sz="4" w:space="0" w:color="auto"/>
              <w:bottom w:val="single" w:sz="4" w:space="0" w:color="auto"/>
              <w:right w:val="single" w:sz="4" w:space="0" w:color="auto"/>
            </w:tcBorders>
          </w:tcPr>
          <w:p w:rsidR="0066337C" w:rsidRPr="007869AC" w:rsidRDefault="0066337C" w:rsidP="00E17DF5">
            <w:pPr>
              <w:pStyle w:val="naiskr"/>
              <w:spacing w:before="0" w:after="120"/>
              <w:jc w:val="both"/>
            </w:pPr>
            <w:r w:rsidRPr="007869AC">
              <w:t>Vai starptautiskajā dokumentā paredzētās saistības nav pretrunā ar jau esošajām Latvijas Republikas starptautiskajām saistībām</w:t>
            </w:r>
          </w:p>
        </w:tc>
        <w:tc>
          <w:tcPr>
            <w:tcW w:w="5225" w:type="dxa"/>
            <w:gridSpan w:val="2"/>
            <w:tcBorders>
              <w:top w:val="single" w:sz="4" w:space="0" w:color="auto"/>
              <w:left w:val="single" w:sz="4" w:space="0" w:color="auto"/>
              <w:bottom w:val="single" w:sz="4" w:space="0" w:color="auto"/>
              <w:right w:val="single" w:sz="4" w:space="0" w:color="auto"/>
            </w:tcBorders>
          </w:tcPr>
          <w:p w:rsidR="0066337C" w:rsidRPr="007869AC" w:rsidRDefault="0066337C" w:rsidP="00E17DF5">
            <w:pPr>
              <w:pStyle w:val="naiskr"/>
              <w:spacing w:before="0" w:after="120"/>
              <w:jc w:val="both"/>
            </w:pPr>
            <w:r w:rsidRPr="007869AC">
              <w:t>Starptautiskajos dokumentos paredzētās saistības nav pretrunā ar jau esošajām Latvijas Republikas starptautiskajām saistībām.</w:t>
            </w:r>
          </w:p>
        </w:tc>
      </w:tr>
      <w:tr w:rsidR="0066337C" w:rsidRPr="007869AC" w:rsidTr="00DB0C94">
        <w:trPr>
          <w:trHeight w:val="325"/>
          <w:jc w:val="center"/>
        </w:trPr>
        <w:tc>
          <w:tcPr>
            <w:tcW w:w="3810" w:type="dxa"/>
            <w:tcBorders>
              <w:top w:val="single" w:sz="4" w:space="0" w:color="auto"/>
              <w:left w:val="single" w:sz="4" w:space="0" w:color="auto"/>
              <w:bottom w:val="single" w:sz="4" w:space="0" w:color="auto"/>
              <w:right w:val="single" w:sz="4" w:space="0" w:color="auto"/>
            </w:tcBorders>
          </w:tcPr>
          <w:p w:rsidR="0066337C" w:rsidRPr="007869AC" w:rsidRDefault="0066337C" w:rsidP="00E17DF5">
            <w:pPr>
              <w:pStyle w:val="naiskr"/>
              <w:spacing w:before="0" w:after="120"/>
            </w:pPr>
            <w:r w:rsidRPr="007869AC">
              <w:t> Cita informācija</w:t>
            </w:r>
          </w:p>
        </w:tc>
        <w:tc>
          <w:tcPr>
            <w:tcW w:w="5225" w:type="dxa"/>
            <w:gridSpan w:val="2"/>
            <w:tcBorders>
              <w:top w:val="single" w:sz="4" w:space="0" w:color="auto"/>
              <w:left w:val="single" w:sz="4" w:space="0" w:color="auto"/>
              <w:bottom w:val="single" w:sz="4" w:space="0" w:color="auto"/>
              <w:right w:val="single" w:sz="4" w:space="0" w:color="auto"/>
            </w:tcBorders>
          </w:tcPr>
          <w:p w:rsidR="0066337C" w:rsidRPr="007869AC" w:rsidRDefault="0066337C" w:rsidP="00E17DF5">
            <w:pPr>
              <w:pStyle w:val="naiskr"/>
              <w:spacing w:before="0" w:after="120"/>
            </w:pPr>
            <w:r w:rsidRPr="007869AC">
              <w:t>Nav</w:t>
            </w:r>
          </w:p>
        </w:tc>
      </w:tr>
    </w:tbl>
    <w:p w:rsidR="00E17DF5" w:rsidRPr="007869AC" w:rsidRDefault="00E17DF5" w:rsidP="00F00AE2">
      <w:pPr>
        <w:pStyle w:val="naiskr"/>
        <w:tabs>
          <w:tab w:val="left" w:pos="2628"/>
        </w:tabs>
        <w:spacing w:before="0" w:after="0"/>
        <w:rPr>
          <w: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6"/>
        <w:gridCol w:w="2723"/>
        <w:gridCol w:w="5953"/>
      </w:tblGrid>
      <w:tr w:rsidR="00B20055" w:rsidRPr="007869AC" w:rsidTr="00BE0CB2">
        <w:tc>
          <w:tcPr>
            <w:tcW w:w="9072" w:type="dxa"/>
            <w:gridSpan w:val="3"/>
            <w:shd w:val="clear" w:color="auto" w:fill="auto"/>
          </w:tcPr>
          <w:p w:rsidR="00B20055" w:rsidRPr="007869AC" w:rsidRDefault="00B20055" w:rsidP="00B83ED8">
            <w:pPr>
              <w:pStyle w:val="naiskr"/>
              <w:tabs>
                <w:tab w:val="left" w:pos="2628"/>
              </w:tabs>
              <w:spacing w:before="120" w:after="120"/>
              <w:jc w:val="center"/>
            </w:pPr>
            <w:r w:rsidRPr="007869AC">
              <w:rPr>
                <w:b/>
                <w:bCs/>
              </w:rPr>
              <w:t>VI. Sabiedrības līdzdalība un šīs līdzdalības rezultāti</w:t>
            </w:r>
          </w:p>
        </w:tc>
      </w:tr>
      <w:tr w:rsidR="00B20055" w:rsidRPr="007869AC" w:rsidTr="00B83ED8">
        <w:tc>
          <w:tcPr>
            <w:tcW w:w="396" w:type="dxa"/>
            <w:shd w:val="clear" w:color="auto" w:fill="auto"/>
          </w:tcPr>
          <w:p w:rsidR="00B20055" w:rsidRPr="007869AC" w:rsidRDefault="00B20055" w:rsidP="00BE0CB2">
            <w:pPr>
              <w:pStyle w:val="naiskr"/>
              <w:jc w:val="center"/>
            </w:pPr>
            <w:r w:rsidRPr="007869AC">
              <w:t>1.</w:t>
            </w:r>
          </w:p>
        </w:tc>
        <w:tc>
          <w:tcPr>
            <w:tcW w:w="2723" w:type="dxa"/>
            <w:shd w:val="clear" w:color="auto" w:fill="auto"/>
          </w:tcPr>
          <w:p w:rsidR="00B20055" w:rsidRPr="007869AC" w:rsidRDefault="00B20055" w:rsidP="00BE0CB2">
            <w:pPr>
              <w:spacing w:before="100" w:beforeAutospacing="1" w:after="100" w:afterAutospacing="1"/>
              <w:jc w:val="both"/>
              <w:rPr>
                <w:sz w:val="24"/>
                <w:lang w:eastAsia="lv-LV"/>
              </w:rPr>
            </w:pPr>
            <w:r w:rsidRPr="007869AC">
              <w:rPr>
                <w:sz w:val="24"/>
                <w:lang w:eastAsia="lv-LV"/>
              </w:rPr>
              <w:t xml:space="preserve">Sabiedrības informēšana </w:t>
            </w:r>
            <w:r w:rsidRPr="007869AC">
              <w:rPr>
                <w:sz w:val="24"/>
                <w:lang w:eastAsia="lv-LV"/>
              </w:rPr>
              <w:lastRenderedPageBreak/>
              <w:t>par projekta izstrādes uzsākšanu</w:t>
            </w:r>
          </w:p>
        </w:tc>
        <w:tc>
          <w:tcPr>
            <w:tcW w:w="5953" w:type="dxa"/>
            <w:shd w:val="clear" w:color="auto" w:fill="auto"/>
          </w:tcPr>
          <w:p w:rsidR="00B20055" w:rsidRPr="007869AC" w:rsidRDefault="005E02C3" w:rsidP="00E34B37">
            <w:pPr>
              <w:spacing w:before="100" w:beforeAutospacing="1" w:after="100" w:afterAutospacing="1"/>
              <w:jc w:val="both"/>
              <w:rPr>
                <w:sz w:val="24"/>
                <w:lang w:eastAsia="lv-LV"/>
              </w:rPr>
            </w:pPr>
            <w:r w:rsidRPr="007869AC">
              <w:rPr>
                <w:sz w:val="24"/>
              </w:rPr>
              <w:lastRenderedPageBreak/>
              <w:t>Projekts šo jomu neskar</w:t>
            </w:r>
            <w:r w:rsidR="00995806">
              <w:rPr>
                <w:sz w:val="24"/>
              </w:rPr>
              <w:t>.</w:t>
            </w:r>
          </w:p>
        </w:tc>
      </w:tr>
      <w:tr w:rsidR="00B20055" w:rsidRPr="007869AC" w:rsidTr="00B83ED8">
        <w:tc>
          <w:tcPr>
            <w:tcW w:w="396" w:type="dxa"/>
            <w:shd w:val="clear" w:color="auto" w:fill="auto"/>
          </w:tcPr>
          <w:p w:rsidR="00B20055" w:rsidRPr="007869AC" w:rsidRDefault="00B20055" w:rsidP="00BE0CB2">
            <w:pPr>
              <w:pStyle w:val="naiskr"/>
              <w:jc w:val="center"/>
            </w:pPr>
            <w:r w:rsidRPr="007869AC">
              <w:lastRenderedPageBreak/>
              <w:t>2.</w:t>
            </w:r>
          </w:p>
        </w:tc>
        <w:tc>
          <w:tcPr>
            <w:tcW w:w="2723" w:type="dxa"/>
            <w:shd w:val="clear" w:color="auto" w:fill="auto"/>
          </w:tcPr>
          <w:p w:rsidR="00B20055" w:rsidRPr="007869AC" w:rsidRDefault="00B20055" w:rsidP="00BE0CB2">
            <w:pPr>
              <w:spacing w:before="100" w:beforeAutospacing="1" w:after="100" w:afterAutospacing="1"/>
              <w:jc w:val="both"/>
              <w:rPr>
                <w:sz w:val="24"/>
                <w:lang w:eastAsia="lv-LV"/>
              </w:rPr>
            </w:pPr>
            <w:r w:rsidRPr="007869AC">
              <w:rPr>
                <w:sz w:val="24"/>
                <w:lang w:eastAsia="lv-LV"/>
              </w:rPr>
              <w:t>Sabiedrības līdzdalība projekta izstrādē</w:t>
            </w:r>
          </w:p>
        </w:tc>
        <w:tc>
          <w:tcPr>
            <w:tcW w:w="5953" w:type="dxa"/>
            <w:shd w:val="clear" w:color="auto" w:fill="auto"/>
          </w:tcPr>
          <w:p w:rsidR="00457B7C" w:rsidRPr="00457B7C" w:rsidRDefault="00B20055" w:rsidP="00457B7C">
            <w:pPr>
              <w:spacing w:after="120"/>
              <w:jc w:val="both"/>
              <w:rPr>
                <w:sz w:val="24"/>
                <w:lang w:eastAsia="lv-LV"/>
              </w:rPr>
            </w:pPr>
            <w:r w:rsidRPr="007869AC">
              <w:rPr>
                <w:sz w:val="24"/>
                <w:lang w:eastAsia="lv-LV"/>
              </w:rPr>
              <w:t xml:space="preserve">Projekts pēc izsludināšanas </w:t>
            </w:r>
            <w:r w:rsidR="007928BC" w:rsidRPr="001C4B47">
              <w:rPr>
                <w:sz w:val="24"/>
                <w:lang w:eastAsia="lv-LV"/>
              </w:rPr>
              <w:t xml:space="preserve">2013.gada </w:t>
            </w:r>
            <w:r w:rsidR="00864C2E" w:rsidRPr="001C4B47">
              <w:rPr>
                <w:sz w:val="24"/>
                <w:lang w:eastAsia="lv-LV"/>
              </w:rPr>
              <w:t xml:space="preserve">2.maija Valsts sekretāru </w:t>
            </w:r>
            <w:r w:rsidR="007928BC" w:rsidRPr="001C4B47">
              <w:rPr>
                <w:sz w:val="24"/>
                <w:lang w:eastAsia="lv-LV"/>
              </w:rPr>
              <w:t>sanāksmē</w:t>
            </w:r>
            <w:r w:rsidR="00864C2E" w:rsidRPr="001C4B47">
              <w:rPr>
                <w:sz w:val="24"/>
                <w:lang w:eastAsia="lv-LV"/>
              </w:rPr>
              <w:t xml:space="preserve"> (VSS-413),</w:t>
            </w:r>
            <w:r w:rsidR="007928BC" w:rsidRPr="001C4B47">
              <w:rPr>
                <w:sz w:val="24"/>
                <w:lang w:eastAsia="lv-LV"/>
              </w:rPr>
              <w:t xml:space="preserve"> </w:t>
            </w:r>
            <w:r w:rsidR="00A46008" w:rsidRPr="001C4B47">
              <w:rPr>
                <w:sz w:val="24"/>
                <w:lang w:eastAsia="lv-LV"/>
              </w:rPr>
              <w:t>tik</w:t>
            </w:r>
            <w:r w:rsidR="007928BC" w:rsidRPr="001C4B47">
              <w:rPr>
                <w:sz w:val="24"/>
                <w:lang w:eastAsia="lv-LV"/>
              </w:rPr>
              <w:t>a</w:t>
            </w:r>
            <w:r w:rsidR="00A46008" w:rsidRPr="001C4B47">
              <w:rPr>
                <w:sz w:val="24"/>
                <w:lang w:eastAsia="lv-LV"/>
              </w:rPr>
              <w:t xml:space="preserve"> </w:t>
            </w:r>
            <w:r w:rsidRPr="001C4B47">
              <w:rPr>
                <w:sz w:val="24"/>
                <w:lang w:eastAsia="lv-LV"/>
              </w:rPr>
              <w:t>ievietots Vides aizsardzības un reģionālās attīstības</w:t>
            </w:r>
            <w:r w:rsidRPr="007869AC">
              <w:rPr>
                <w:sz w:val="24"/>
                <w:lang w:eastAsia="lv-LV"/>
              </w:rPr>
              <w:t xml:space="preserve"> </w:t>
            </w:r>
            <w:r w:rsidR="00341071" w:rsidRPr="007869AC">
              <w:rPr>
                <w:sz w:val="24"/>
                <w:lang w:eastAsia="lv-LV"/>
              </w:rPr>
              <w:t xml:space="preserve">ministrijas tīmekļa vietnē: </w:t>
            </w:r>
            <w:hyperlink r:id="rId8" w:history="1">
              <w:r w:rsidR="00341071" w:rsidRPr="007869AC">
                <w:rPr>
                  <w:rStyle w:val="Hyperlink"/>
                  <w:sz w:val="24"/>
                  <w:lang w:eastAsia="lv-LV"/>
                </w:rPr>
                <w:t>www.varam.gov.lv</w:t>
              </w:r>
            </w:hyperlink>
          </w:p>
        </w:tc>
      </w:tr>
      <w:tr w:rsidR="00B20055" w:rsidRPr="007869AC" w:rsidTr="00B83ED8">
        <w:tc>
          <w:tcPr>
            <w:tcW w:w="396" w:type="dxa"/>
            <w:shd w:val="clear" w:color="auto" w:fill="auto"/>
          </w:tcPr>
          <w:p w:rsidR="00B20055" w:rsidRPr="007869AC" w:rsidRDefault="00B20055" w:rsidP="00BE0CB2">
            <w:pPr>
              <w:pStyle w:val="naiskr"/>
              <w:jc w:val="center"/>
            </w:pPr>
            <w:r w:rsidRPr="007869AC">
              <w:t>3.</w:t>
            </w:r>
          </w:p>
        </w:tc>
        <w:tc>
          <w:tcPr>
            <w:tcW w:w="2723" w:type="dxa"/>
            <w:shd w:val="clear" w:color="auto" w:fill="auto"/>
          </w:tcPr>
          <w:p w:rsidR="00B20055" w:rsidRPr="007869AC" w:rsidRDefault="00B20055" w:rsidP="00BE0CB2">
            <w:pPr>
              <w:spacing w:before="100" w:beforeAutospacing="1" w:after="100" w:afterAutospacing="1"/>
              <w:jc w:val="both"/>
              <w:rPr>
                <w:sz w:val="24"/>
                <w:lang w:eastAsia="lv-LV"/>
              </w:rPr>
            </w:pPr>
            <w:r w:rsidRPr="007869AC">
              <w:rPr>
                <w:sz w:val="24"/>
                <w:lang w:eastAsia="lv-LV"/>
              </w:rPr>
              <w:t>Sabiedrības līdzdalības rezultāti</w:t>
            </w:r>
          </w:p>
        </w:tc>
        <w:tc>
          <w:tcPr>
            <w:tcW w:w="5953" w:type="dxa"/>
            <w:shd w:val="clear" w:color="auto" w:fill="auto"/>
          </w:tcPr>
          <w:p w:rsidR="00C90AAB" w:rsidRPr="007869AC" w:rsidRDefault="007928BC" w:rsidP="00A30B61">
            <w:pPr>
              <w:spacing w:after="120"/>
              <w:jc w:val="both"/>
              <w:rPr>
                <w:sz w:val="24"/>
                <w:lang w:eastAsia="lv-LV"/>
              </w:rPr>
            </w:pPr>
            <w:r>
              <w:rPr>
                <w:sz w:val="24"/>
                <w:lang w:eastAsia="lv-LV"/>
              </w:rPr>
              <w:t>P</w:t>
            </w:r>
            <w:r w:rsidR="00DB0C94" w:rsidRPr="007869AC">
              <w:rPr>
                <w:sz w:val="24"/>
                <w:lang w:eastAsia="lv-LV"/>
              </w:rPr>
              <w:t>ēc</w:t>
            </w:r>
            <w:r>
              <w:rPr>
                <w:sz w:val="24"/>
                <w:lang w:eastAsia="lv-LV"/>
              </w:rPr>
              <w:t xml:space="preserve"> projekta</w:t>
            </w:r>
            <w:r w:rsidR="00DB0C94" w:rsidRPr="007869AC">
              <w:rPr>
                <w:sz w:val="24"/>
                <w:lang w:eastAsia="lv-LV"/>
              </w:rPr>
              <w:t xml:space="preserve"> </w:t>
            </w:r>
            <w:r w:rsidR="00DB0C94" w:rsidRPr="001C4B47">
              <w:rPr>
                <w:sz w:val="24"/>
                <w:lang w:eastAsia="lv-LV"/>
              </w:rPr>
              <w:t xml:space="preserve">izsludināšanas </w:t>
            </w:r>
            <w:r w:rsidR="00864C2E" w:rsidRPr="001C4B47">
              <w:rPr>
                <w:sz w:val="24"/>
                <w:lang w:eastAsia="lv-LV"/>
              </w:rPr>
              <w:t xml:space="preserve">2013.gada 2.maija Valsts sekretāru sanāksmē (VSS-413) </w:t>
            </w:r>
            <w:r w:rsidRPr="001C4B47">
              <w:rPr>
                <w:sz w:val="24"/>
                <w:lang w:eastAsia="lv-LV"/>
              </w:rPr>
              <w:t xml:space="preserve">priekšlikumi un </w:t>
            </w:r>
            <w:r w:rsidR="00A30B61" w:rsidRPr="001C4B47">
              <w:rPr>
                <w:sz w:val="24"/>
                <w:lang w:eastAsia="lv-LV"/>
              </w:rPr>
              <w:t>komentāri</w:t>
            </w:r>
            <w:r w:rsidRPr="001C4B47">
              <w:rPr>
                <w:sz w:val="24"/>
                <w:lang w:eastAsia="lv-LV"/>
              </w:rPr>
              <w:t xml:space="preserve"> par projektu</w:t>
            </w:r>
            <w:r w:rsidR="00A30B61">
              <w:rPr>
                <w:sz w:val="24"/>
                <w:lang w:eastAsia="lv-LV"/>
              </w:rPr>
              <w:t xml:space="preserve"> </w:t>
            </w:r>
            <w:r w:rsidR="00A30B61" w:rsidRPr="001C4B47">
              <w:rPr>
                <w:sz w:val="24"/>
                <w:lang w:eastAsia="lv-LV"/>
              </w:rPr>
              <w:t>netika saņemti</w:t>
            </w:r>
            <w:r w:rsidRPr="001C4B47">
              <w:rPr>
                <w:sz w:val="24"/>
                <w:lang w:eastAsia="lv-LV"/>
              </w:rPr>
              <w:t xml:space="preserve">. </w:t>
            </w:r>
          </w:p>
        </w:tc>
      </w:tr>
      <w:tr w:rsidR="00B20055" w:rsidRPr="007869AC" w:rsidTr="00B83ED8">
        <w:tc>
          <w:tcPr>
            <w:tcW w:w="396" w:type="dxa"/>
            <w:shd w:val="clear" w:color="auto" w:fill="auto"/>
          </w:tcPr>
          <w:p w:rsidR="00B20055" w:rsidRPr="007869AC" w:rsidRDefault="00B20055" w:rsidP="00BE0CB2">
            <w:pPr>
              <w:pStyle w:val="naiskr"/>
              <w:jc w:val="center"/>
            </w:pPr>
            <w:r w:rsidRPr="007869AC">
              <w:t>4.</w:t>
            </w:r>
          </w:p>
        </w:tc>
        <w:tc>
          <w:tcPr>
            <w:tcW w:w="2723" w:type="dxa"/>
            <w:shd w:val="clear" w:color="auto" w:fill="auto"/>
          </w:tcPr>
          <w:p w:rsidR="00B20055" w:rsidRPr="007869AC" w:rsidRDefault="00B20055" w:rsidP="00BE0CB2">
            <w:pPr>
              <w:spacing w:before="100" w:beforeAutospacing="1" w:after="100" w:afterAutospacing="1"/>
              <w:jc w:val="both"/>
              <w:rPr>
                <w:sz w:val="24"/>
                <w:lang w:eastAsia="lv-LV"/>
              </w:rPr>
            </w:pPr>
            <w:r w:rsidRPr="007869AC">
              <w:rPr>
                <w:sz w:val="24"/>
                <w:lang w:eastAsia="lv-LV"/>
              </w:rPr>
              <w:t>Saeimas un ekspertu līdzdalība</w:t>
            </w:r>
          </w:p>
        </w:tc>
        <w:tc>
          <w:tcPr>
            <w:tcW w:w="5953" w:type="dxa"/>
            <w:shd w:val="clear" w:color="auto" w:fill="auto"/>
          </w:tcPr>
          <w:p w:rsidR="00B20055" w:rsidRPr="007869AC" w:rsidRDefault="00B20055" w:rsidP="00BE0CB2">
            <w:pPr>
              <w:spacing w:before="100" w:beforeAutospacing="1" w:after="100" w:afterAutospacing="1"/>
              <w:rPr>
                <w:sz w:val="24"/>
                <w:lang w:eastAsia="lv-LV"/>
              </w:rPr>
            </w:pPr>
            <w:r w:rsidRPr="007869AC">
              <w:rPr>
                <w:sz w:val="24"/>
              </w:rPr>
              <w:t>Projekts šo jomu neskar</w:t>
            </w:r>
            <w:r w:rsidR="00995806">
              <w:rPr>
                <w:sz w:val="24"/>
              </w:rPr>
              <w:t>.</w:t>
            </w:r>
          </w:p>
        </w:tc>
      </w:tr>
      <w:tr w:rsidR="00B20055" w:rsidRPr="007869AC" w:rsidTr="00B83ED8">
        <w:tc>
          <w:tcPr>
            <w:tcW w:w="396" w:type="dxa"/>
            <w:shd w:val="clear" w:color="auto" w:fill="auto"/>
          </w:tcPr>
          <w:p w:rsidR="00B20055" w:rsidRPr="007869AC" w:rsidRDefault="00B20055" w:rsidP="00BE0CB2">
            <w:pPr>
              <w:pStyle w:val="naiskr"/>
              <w:jc w:val="center"/>
            </w:pPr>
            <w:r w:rsidRPr="007869AC">
              <w:t>5.</w:t>
            </w:r>
          </w:p>
        </w:tc>
        <w:tc>
          <w:tcPr>
            <w:tcW w:w="2723" w:type="dxa"/>
            <w:shd w:val="clear" w:color="auto" w:fill="auto"/>
          </w:tcPr>
          <w:p w:rsidR="00B20055" w:rsidRPr="007869AC" w:rsidRDefault="00B20055" w:rsidP="00BE0CB2">
            <w:pPr>
              <w:spacing w:before="100" w:beforeAutospacing="1" w:after="100" w:afterAutospacing="1"/>
              <w:jc w:val="both"/>
              <w:rPr>
                <w:sz w:val="24"/>
                <w:lang w:eastAsia="lv-LV"/>
              </w:rPr>
            </w:pPr>
            <w:r w:rsidRPr="007869AC">
              <w:rPr>
                <w:sz w:val="24"/>
                <w:lang w:eastAsia="lv-LV"/>
              </w:rPr>
              <w:t>Cita informācija</w:t>
            </w:r>
          </w:p>
        </w:tc>
        <w:tc>
          <w:tcPr>
            <w:tcW w:w="5953" w:type="dxa"/>
            <w:shd w:val="clear" w:color="auto" w:fill="auto"/>
          </w:tcPr>
          <w:p w:rsidR="00B20055" w:rsidRPr="007869AC" w:rsidRDefault="00B20055" w:rsidP="00BE0CB2">
            <w:pPr>
              <w:spacing w:before="100" w:beforeAutospacing="1" w:after="100" w:afterAutospacing="1"/>
              <w:rPr>
                <w:sz w:val="24"/>
                <w:lang w:eastAsia="lv-LV"/>
              </w:rPr>
            </w:pPr>
            <w:r w:rsidRPr="007869AC">
              <w:rPr>
                <w:sz w:val="24"/>
                <w:lang w:eastAsia="lv-LV"/>
              </w:rPr>
              <w:t>Nav</w:t>
            </w:r>
            <w:r w:rsidR="00995806">
              <w:rPr>
                <w:sz w:val="24"/>
                <w:lang w:eastAsia="lv-LV"/>
              </w:rPr>
              <w:t>.</w:t>
            </w:r>
          </w:p>
        </w:tc>
      </w:tr>
    </w:tbl>
    <w:p w:rsidR="00B20055" w:rsidRPr="007869AC" w:rsidRDefault="00B20055" w:rsidP="00B20055">
      <w:pPr>
        <w:pStyle w:val="naiskr"/>
        <w:tabs>
          <w:tab w:val="left" w:pos="2628"/>
        </w:tabs>
        <w:spacing w:before="0" w:after="0"/>
        <w:jc w:val="center"/>
      </w:pPr>
    </w:p>
    <w:p w:rsidR="00AE7D6E" w:rsidRPr="00735D55" w:rsidRDefault="00AE7D6E" w:rsidP="00AE7D6E">
      <w:pPr>
        <w:jc w:val="both"/>
        <w:rPr>
          <w:i/>
          <w:szCs w:val="28"/>
        </w:rPr>
      </w:pPr>
      <w:r w:rsidRPr="00735D55">
        <w:rPr>
          <w:i/>
          <w:szCs w:val="28"/>
        </w:rPr>
        <w:t xml:space="preserve">Anotācijas  </w:t>
      </w:r>
      <w:r w:rsidRPr="00CB2CB2">
        <w:rPr>
          <w:i/>
          <w:szCs w:val="28"/>
        </w:rPr>
        <w:t>IV</w:t>
      </w:r>
      <w:r w:rsidRPr="00735D55">
        <w:rPr>
          <w:i/>
          <w:szCs w:val="28"/>
        </w:rPr>
        <w:t xml:space="preserve"> un V</w:t>
      </w:r>
      <w:r w:rsidR="00735D55" w:rsidRPr="00735D55">
        <w:rPr>
          <w:i/>
          <w:szCs w:val="28"/>
        </w:rPr>
        <w:t>II</w:t>
      </w:r>
      <w:r w:rsidRPr="00735D55">
        <w:rPr>
          <w:i/>
          <w:szCs w:val="28"/>
        </w:rPr>
        <w:t xml:space="preserve"> sadaļa – </w:t>
      </w:r>
      <w:r w:rsidR="00A30B61">
        <w:rPr>
          <w:i/>
          <w:szCs w:val="28"/>
        </w:rPr>
        <w:t>p</w:t>
      </w:r>
      <w:r w:rsidRPr="00735D55">
        <w:rPr>
          <w:i/>
          <w:szCs w:val="28"/>
        </w:rPr>
        <w:t>rojekts šīs jomas neskar.</w:t>
      </w:r>
    </w:p>
    <w:p w:rsidR="00F00AE2" w:rsidRPr="007869AC" w:rsidRDefault="00F00AE2" w:rsidP="00AE7D6E">
      <w:pPr>
        <w:pStyle w:val="naisc"/>
        <w:spacing w:before="0" w:after="0"/>
        <w:jc w:val="both"/>
        <w:rPr>
          <w:b/>
          <w:bCs/>
        </w:rPr>
      </w:pPr>
      <w:r w:rsidRPr="007869AC">
        <w:rPr>
          <w:b/>
          <w:bCs/>
        </w:rPr>
        <w:t> </w:t>
      </w:r>
    </w:p>
    <w:p w:rsidR="001C4B47" w:rsidRDefault="001C4B47" w:rsidP="00243826">
      <w:pPr>
        <w:rPr>
          <w:szCs w:val="28"/>
        </w:rPr>
      </w:pPr>
    </w:p>
    <w:p w:rsidR="00F00AE2" w:rsidRPr="007869AC" w:rsidRDefault="00F00AE2" w:rsidP="00243826">
      <w:pPr>
        <w:rPr>
          <w:szCs w:val="28"/>
        </w:rPr>
      </w:pPr>
      <w:r w:rsidRPr="007869AC">
        <w:rPr>
          <w:szCs w:val="28"/>
        </w:rPr>
        <w:t xml:space="preserve">Vides aizsardzības un </w:t>
      </w:r>
    </w:p>
    <w:p w:rsidR="00F00AE2" w:rsidRPr="007869AC" w:rsidRDefault="00F00AE2" w:rsidP="00F00AE2">
      <w:pPr>
        <w:spacing w:after="120"/>
        <w:rPr>
          <w:szCs w:val="28"/>
        </w:rPr>
      </w:pPr>
      <w:r w:rsidRPr="007869AC">
        <w:rPr>
          <w:szCs w:val="28"/>
        </w:rPr>
        <w:t>reģionālās attīstības ministrs</w:t>
      </w:r>
      <w:r w:rsidRPr="007869AC">
        <w:rPr>
          <w:szCs w:val="28"/>
        </w:rPr>
        <w:tab/>
      </w:r>
      <w:r w:rsidRPr="007869AC">
        <w:rPr>
          <w:szCs w:val="28"/>
        </w:rPr>
        <w:tab/>
      </w:r>
      <w:r w:rsidRPr="007869AC">
        <w:rPr>
          <w:szCs w:val="28"/>
        </w:rPr>
        <w:tab/>
      </w:r>
      <w:r w:rsidRPr="007869AC">
        <w:rPr>
          <w:szCs w:val="28"/>
        </w:rPr>
        <w:tab/>
      </w:r>
      <w:r w:rsidRPr="007869AC">
        <w:rPr>
          <w:szCs w:val="28"/>
        </w:rPr>
        <w:tab/>
        <w:t>E.Sprūdžs</w:t>
      </w:r>
    </w:p>
    <w:p w:rsidR="00DF1E9F" w:rsidRPr="007869AC" w:rsidRDefault="00DF1E9F"/>
    <w:p w:rsidR="00D85B53" w:rsidRDefault="00D85B53" w:rsidP="00214271">
      <w:pPr>
        <w:spacing w:after="120"/>
        <w:rPr>
          <w:b/>
          <w:sz w:val="26"/>
          <w:szCs w:val="26"/>
        </w:rPr>
      </w:pPr>
    </w:p>
    <w:p w:rsidR="00214271" w:rsidRPr="00AA4B63" w:rsidRDefault="00214271" w:rsidP="00214271">
      <w:pPr>
        <w:spacing w:after="120"/>
        <w:rPr>
          <w:sz w:val="26"/>
          <w:szCs w:val="26"/>
        </w:rPr>
      </w:pPr>
      <w:r w:rsidRPr="00AA4B63">
        <w:rPr>
          <w:sz w:val="26"/>
          <w:szCs w:val="26"/>
        </w:rPr>
        <w:t>Iesniedzējs:</w:t>
      </w:r>
    </w:p>
    <w:p w:rsidR="00214271" w:rsidRPr="007869AC" w:rsidRDefault="00AA4B63" w:rsidP="00214271">
      <w:pPr>
        <w:rPr>
          <w:sz w:val="26"/>
          <w:szCs w:val="26"/>
        </w:rPr>
      </w:pPr>
      <w:r>
        <w:rPr>
          <w:sz w:val="26"/>
          <w:szCs w:val="26"/>
        </w:rPr>
        <w:t>v</w:t>
      </w:r>
      <w:r w:rsidR="00214271" w:rsidRPr="007869AC">
        <w:rPr>
          <w:sz w:val="26"/>
          <w:szCs w:val="26"/>
        </w:rPr>
        <w:t xml:space="preserve">ides aizsardzības </w:t>
      </w:r>
    </w:p>
    <w:p w:rsidR="00214271" w:rsidRPr="007869AC" w:rsidRDefault="00214271" w:rsidP="00214271">
      <w:pPr>
        <w:spacing w:after="120"/>
        <w:rPr>
          <w:sz w:val="26"/>
          <w:szCs w:val="26"/>
        </w:rPr>
      </w:pPr>
      <w:r w:rsidRPr="007869AC">
        <w:rPr>
          <w:sz w:val="26"/>
          <w:szCs w:val="26"/>
        </w:rPr>
        <w:t xml:space="preserve">un reģionālās attīstības ministrs </w:t>
      </w:r>
      <w:r w:rsidRPr="007869AC">
        <w:rPr>
          <w:sz w:val="26"/>
          <w:szCs w:val="26"/>
        </w:rPr>
        <w:tab/>
      </w:r>
      <w:r w:rsidRPr="007869AC">
        <w:rPr>
          <w:sz w:val="26"/>
          <w:szCs w:val="26"/>
        </w:rPr>
        <w:tab/>
      </w:r>
      <w:r w:rsidRPr="007869AC">
        <w:rPr>
          <w:sz w:val="26"/>
          <w:szCs w:val="26"/>
        </w:rPr>
        <w:tab/>
      </w:r>
      <w:r w:rsidRPr="007869AC">
        <w:rPr>
          <w:sz w:val="26"/>
          <w:szCs w:val="26"/>
        </w:rPr>
        <w:tab/>
      </w:r>
      <w:r w:rsidRPr="007869AC">
        <w:rPr>
          <w:sz w:val="26"/>
          <w:szCs w:val="26"/>
        </w:rPr>
        <w:tab/>
        <w:t>E.Sprūdžs</w:t>
      </w:r>
    </w:p>
    <w:p w:rsidR="00214271" w:rsidRPr="007869AC" w:rsidRDefault="00214271" w:rsidP="00214271">
      <w:pPr>
        <w:spacing w:after="120"/>
        <w:rPr>
          <w:b/>
          <w:sz w:val="26"/>
          <w:szCs w:val="26"/>
        </w:rPr>
      </w:pPr>
    </w:p>
    <w:p w:rsidR="00CB0E29" w:rsidRDefault="00214271" w:rsidP="00214271">
      <w:pPr>
        <w:spacing w:after="120"/>
        <w:rPr>
          <w:sz w:val="26"/>
          <w:szCs w:val="26"/>
        </w:rPr>
      </w:pPr>
      <w:r w:rsidRPr="00AA4B63">
        <w:rPr>
          <w:sz w:val="26"/>
          <w:szCs w:val="26"/>
        </w:rPr>
        <w:t>Vīza:</w:t>
      </w:r>
      <w:r w:rsidRPr="007869AC">
        <w:rPr>
          <w:sz w:val="26"/>
          <w:szCs w:val="26"/>
        </w:rPr>
        <w:t xml:space="preserve"> </w:t>
      </w:r>
      <w:r w:rsidR="00AA4B63">
        <w:rPr>
          <w:sz w:val="26"/>
          <w:szCs w:val="26"/>
        </w:rPr>
        <w:t>v</w:t>
      </w:r>
      <w:r w:rsidRPr="007869AC">
        <w:rPr>
          <w:sz w:val="26"/>
          <w:szCs w:val="26"/>
        </w:rPr>
        <w:t>alsts sekretār</w:t>
      </w:r>
      <w:r w:rsidR="00CB0E29">
        <w:rPr>
          <w:sz w:val="26"/>
          <w:szCs w:val="26"/>
        </w:rPr>
        <w:t xml:space="preserve">a </w:t>
      </w:r>
      <w:proofErr w:type="spellStart"/>
      <w:r w:rsidR="00CB0E29">
        <w:rPr>
          <w:sz w:val="26"/>
          <w:szCs w:val="26"/>
        </w:rPr>
        <w:t>p.i</w:t>
      </w:r>
      <w:proofErr w:type="spellEnd"/>
      <w:r w:rsidR="00CB0E29">
        <w:rPr>
          <w:sz w:val="26"/>
          <w:szCs w:val="26"/>
        </w:rPr>
        <w:t>.</w:t>
      </w:r>
    </w:p>
    <w:p w:rsidR="00214271" w:rsidRPr="007869AC" w:rsidRDefault="00CB0E29" w:rsidP="00214271">
      <w:pPr>
        <w:spacing w:after="120"/>
        <w:rPr>
          <w:sz w:val="26"/>
          <w:szCs w:val="26"/>
        </w:rPr>
      </w:pPr>
      <w:r>
        <w:rPr>
          <w:sz w:val="26"/>
          <w:szCs w:val="26"/>
        </w:rPr>
        <w:t xml:space="preserve">Administrācijas vadītājs </w:t>
      </w:r>
      <w:r w:rsidR="00214271" w:rsidRPr="007869AC">
        <w:rPr>
          <w:sz w:val="26"/>
          <w:szCs w:val="26"/>
        </w:rPr>
        <w:tab/>
      </w:r>
      <w:r w:rsidR="00214271" w:rsidRPr="007869AC">
        <w:rPr>
          <w:sz w:val="26"/>
          <w:szCs w:val="26"/>
        </w:rPr>
        <w:tab/>
      </w:r>
      <w:r w:rsidR="00214271" w:rsidRPr="007869AC">
        <w:rPr>
          <w:sz w:val="26"/>
          <w:szCs w:val="26"/>
        </w:rPr>
        <w:tab/>
      </w:r>
      <w:r w:rsidR="00214271" w:rsidRPr="007869AC">
        <w:rPr>
          <w:sz w:val="26"/>
          <w:szCs w:val="26"/>
        </w:rPr>
        <w:tab/>
      </w:r>
      <w:r w:rsidR="00214271" w:rsidRPr="007869AC">
        <w:rPr>
          <w:sz w:val="26"/>
          <w:szCs w:val="26"/>
        </w:rPr>
        <w:tab/>
      </w:r>
      <w:r w:rsidR="00214271" w:rsidRPr="007869AC">
        <w:rPr>
          <w:sz w:val="26"/>
          <w:szCs w:val="26"/>
        </w:rPr>
        <w:tab/>
      </w:r>
      <w:r>
        <w:rPr>
          <w:sz w:val="26"/>
          <w:szCs w:val="26"/>
        </w:rPr>
        <w:t>G</w:t>
      </w:r>
      <w:r w:rsidR="00214271" w:rsidRPr="007869AC">
        <w:rPr>
          <w:sz w:val="26"/>
          <w:szCs w:val="26"/>
        </w:rPr>
        <w:t>.</w:t>
      </w:r>
      <w:r>
        <w:rPr>
          <w:sz w:val="26"/>
          <w:szCs w:val="26"/>
        </w:rPr>
        <w:t>Kauliņš</w:t>
      </w:r>
    </w:p>
    <w:p w:rsidR="00214271" w:rsidRDefault="00214271" w:rsidP="00214271">
      <w:pPr>
        <w:spacing w:after="120"/>
        <w:rPr>
          <w:sz w:val="24"/>
        </w:rPr>
      </w:pPr>
    </w:p>
    <w:p w:rsidR="00214271" w:rsidRPr="003F4FD5" w:rsidRDefault="00CB0E29" w:rsidP="008409F9">
      <w:pPr>
        <w:rPr>
          <w:sz w:val="22"/>
          <w:szCs w:val="22"/>
        </w:rPr>
      </w:pPr>
      <w:r>
        <w:rPr>
          <w:sz w:val="22"/>
          <w:szCs w:val="22"/>
        </w:rPr>
        <w:t>18</w:t>
      </w:r>
      <w:r w:rsidR="00FC463C" w:rsidRPr="003F4FD5">
        <w:rPr>
          <w:sz w:val="22"/>
          <w:szCs w:val="22"/>
        </w:rPr>
        <w:t>.0</w:t>
      </w:r>
      <w:r w:rsidR="00171333">
        <w:rPr>
          <w:sz w:val="22"/>
          <w:szCs w:val="22"/>
        </w:rPr>
        <w:t>9</w:t>
      </w:r>
      <w:r w:rsidR="00CE2174" w:rsidRPr="003F4FD5">
        <w:rPr>
          <w:sz w:val="22"/>
          <w:szCs w:val="22"/>
        </w:rPr>
        <w:t>.2013</w:t>
      </w:r>
      <w:r w:rsidR="00214271" w:rsidRPr="003F4FD5">
        <w:rPr>
          <w:sz w:val="22"/>
          <w:szCs w:val="22"/>
        </w:rPr>
        <w:t>. 1</w:t>
      </w:r>
      <w:r w:rsidR="00457B7C">
        <w:rPr>
          <w:sz w:val="22"/>
          <w:szCs w:val="22"/>
        </w:rPr>
        <w:t>3</w:t>
      </w:r>
      <w:r w:rsidR="0089175A" w:rsidRPr="003F4FD5">
        <w:rPr>
          <w:sz w:val="22"/>
          <w:szCs w:val="22"/>
        </w:rPr>
        <w:t>:2</w:t>
      </w:r>
      <w:r w:rsidR="00214271" w:rsidRPr="003F4FD5">
        <w:rPr>
          <w:sz w:val="22"/>
          <w:szCs w:val="22"/>
        </w:rPr>
        <w:t>0</w:t>
      </w:r>
    </w:p>
    <w:p w:rsidR="00214271" w:rsidRPr="003F4FD5" w:rsidRDefault="00171333" w:rsidP="008409F9">
      <w:pPr>
        <w:rPr>
          <w:sz w:val="22"/>
          <w:szCs w:val="22"/>
        </w:rPr>
      </w:pPr>
      <w:r w:rsidRPr="00457B7C">
        <w:rPr>
          <w:sz w:val="22"/>
          <w:szCs w:val="22"/>
        </w:rPr>
        <w:t>2</w:t>
      </w:r>
      <w:r w:rsidR="00457B7C" w:rsidRPr="00457B7C">
        <w:rPr>
          <w:sz w:val="22"/>
          <w:szCs w:val="22"/>
        </w:rPr>
        <w:t>780</w:t>
      </w:r>
    </w:p>
    <w:p w:rsidR="00214271" w:rsidRPr="00CB2CB2" w:rsidRDefault="00214271" w:rsidP="008409F9">
      <w:pPr>
        <w:tabs>
          <w:tab w:val="left" w:pos="7440"/>
        </w:tabs>
        <w:rPr>
          <w:sz w:val="22"/>
          <w:szCs w:val="22"/>
        </w:rPr>
      </w:pPr>
      <w:r w:rsidRPr="00CB2CB2">
        <w:rPr>
          <w:sz w:val="22"/>
          <w:szCs w:val="22"/>
        </w:rPr>
        <w:t>D.Šatrovska</w:t>
      </w:r>
    </w:p>
    <w:p w:rsidR="00214271" w:rsidRPr="00431811" w:rsidRDefault="00214271" w:rsidP="008409F9">
      <w:pPr>
        <w:tabs>
          <w:tab w:val="left" w:pos="7440"/>
        </w:tabs>
        <w:rPr>
          <w:sz w:val="22"/>
          <w:szCs w:val="22"/>
        </w:rPr>
      </w:pPr>
      <w:r w:rsidRPr="00CB2CB2">
        <w:rPr>
          <w:sz w:val="22"/>
          <w:szCs w:val="22"/>
        </w:rPr>
        <w:t xml:space="preserve">67026521, </w:t>
      </w:r>
      <w:hyperlink r:id="rId9" w:history="1">
        <w:r w:rsidRPr="00CB2CB2">
          <w:rPr>
            <w:rStyle w:val="Hyperlink"/>
            <w:sz w:val="22"/>
            <w:szCs w:val="22"/>
          </w:rPr>
          <w:t>dace.satrovska@varam.gov.lv</w:t>
        </w:r>
      </w:hyperlink>
    </w:p>
    <w:sectPr w:rsidR="00214271" w:rsidRPr="00431811" w:rsidSect="00F00AE2">
      <w:headerReference w:type="default" r:id="rId10"/>
      <w:footerReference w:type="default" r:id="rId11"/>
      <w:pgSz w:w="11906" w:h="16838"/>
      <w:pgMar w:top="1418" w:right="113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3F7A" w:rsidRDefault="00363F7A">
      <w:r>
        <w:separator/>
      </w:r>
    </w:p>
  </w:endnote>
  <w:endnote w:type="continuationSeparator" w:id="0">
    <w:p w:rsidR="00363F7A" w:rsidRDefault="00363F7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BA"/>
    <w:family w:val="swiss"/>
    <w:pitch w:val="variable"/>
    <w:sig w:usb0="20000287" w:usb1="00000000" w:usb2="00000000"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EUAlbertina">
    <w:altName w:val="Times New Roman"/>
    <w:charset w:val="00"/>
    <w:family w:val="auto"/>
    <w:pitch w:val="default"/>
    <w:sig w:usb0="00000000" w:usb1="00000000" w:usb2="00000000" w:usb3="00000000" w:csb0="0000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E81" w:rsidRPr="00F16F08" w:rsidRDefault="000E1E81" w:rsidP="00F00AE2">
    <w:pPr>
      <w:pStyle w:val="naisc"/>
      <w:spacing w:before="0" w:after="0"/>
      <w:jc w:val="both"/>
      <w:rPr>
        <w:bCs/>
      </w:rPr>
    </w:pPr>
    <w:r w:rsidRPr="00F16F08">
      <w:t>VARAMAnot_</w:t>
    </w:r>
    <w:r>
      <w:t>1809</w:t>
    </w:r>
    <w:r w:rsidRPr="00F16F08">
      <w:t>13_</w:t>
    </w:r>
    <w:r>
      <w:t>radiacija</w:t>
    </w:r>
    <w:r w:rsidRPr="00F16F08">
      <w:t>; Ministru kabineta noteikumu projekta „Grozījum</w:t>
    </w:r>
    <w:r>
      <w:t>i</w:t>
    </w:r>
    <w:r w:rsidRPr="00F16F08">
      <w:t xml:space="preserve"> Ministru kabineta 2011.gada 20.septembra noteikumos Nr.723 „Darbību ar jonizējošā starojuma avotiem licencēšanas kārtība</w:t>
    </w:r>
    <w:r w:rsidRPr="00F16F08">
      <w:rPr>
        <w:bCs/>
      </w:rPr>
      <w:t>”” sākotnējās ietekm</w:t>
    </w:r>
    <w:smartTag w:uri="urn:schemas-microsoft-com:office:smarttags" w:element="PersonName">
      <w:r w:rsidRPr="00F16F08">
        <w:rPr>
          <w:bCs/>
        </w:rPr>
        <w:t>es</w:t>
      </w:r>
    </w:smartTag>
    <w:r w:rsidRPr="00F16F08">
      <w:rPr>
        <w:bCs/>
      </w:rPr>
      <w:t xml:space="preserve"> novērtējuma </w:t>
    </w:r>
    <w:smartTag w:uri="schemas-tilde-lv/tildestengine" w:element="veidnes">
      <w:smartTagPr>
        <w:attr w:name="text" w:val="ziņojums"/>
        <w:attr w:name="baseform" w:val="zi￲ojums"/>
        <w:attr w:name="id" w:val="-1"/>
      </w:smartTagPr>
      <w:smartTag w:uri="urn:schemas-microsoft-com:office:smarttags" w:element="Street">
        <w:smartTagPr>
          <w:attr w:name="text" w:val="ziņojums"/>
          <w:attr w:name="baseform" w:val="zi￲ojums"/>
          <w:attr w:name="id" w:val="-1"/>
        </w:smartTagPr>
        <w:r w:rsidRPr="00F16F08">
          <w:rPr>
            <w:bCs/>
          </w:rPr>
          <w:t>ziņojums</w:t>
        </w:r>
      </w:smartTag>
    </w:smartTag>
    <w:r w:rsidRPr="00F16F08">
      <w:rPr>
        <w:bCs/>
      </w:rPr>
      <w:t xml:space="preserve">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3F7A" w:rsidRDefault="00363F7A">
      <w:r>
        <w:separator/>
      </w:r>
    </w:p>
  </w:footnote>
  <w:footnote w:type="continuationSeparator" w:id="0">
    <w:p w:rsidR="00363F7A" w:rsidRDefault="00363F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E81" w:rsidRPr="00735D55" w:rsidRDefault="005969D8" w:rsidP="00735D55">
    <w:pPr>
      <w:pStyle w:val="Header"/>
      <w:jc w:val="center"/>
      <w:rPr>
        <w:sz w:val="24"/>
      </w:rPr>
    </w:pPr>
    <w:r w:rsidRPr="006315D3">
      <w:rPr>
        <w:sz w:val="24"/>
      </w:rPr>
      <w:fldChar w:fldCharType="begin"/>
    </w:r>
    <w:r w:rsidR="000E1E81" w:rsidRPr="006315D3">
      <w:rPr>
        <w:sz w:val="24"/>
      </w:rPr>
      <w:instrText xml:space="preserve"> PAGE   \* MERGEFORMAT </w:instrText>
    </w:r>
    <w:r w:rsidRPr="006315D3">
      <w:rPr>
        <w:sz w:val="24"/>
      </w:rPr>
      <w:fldChar w:fldCharType="separate"/>
    </w:r>
    <w:r w:rsidR="00127103">
      <w:rPr>
        <w:noProof/>
        <w:sz w:val="24"/>
      </w:rPr>
      <w:t>1</w:t>
    </w:r>
    <w:r w:rsidRPr="006315D3">
      <w:rPr>
        <w:sz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30170"/>
    <w:multiLevelType w:val="hybridMultilevel"/>
    <w:tmpl w:val="B2A846DA"/>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
    <w:nsid w:val="08F7185C"/>
    <w:multiLevelType w:val="hybridMultilevel"/>
    <w:tmpl w:val="0C405E48"/>
    <w:lvl w:ilvl="0" w:tplc="662633D6">
      <w:start w:val="1"/>
      <w:numFmt w:val="decimal"/>
      <w:lvlText w:val="%1."/>
      <w:lvlJc w:val="left"/>
      <w:pPr>
        <w:ind w:left="1358" w:hanging="360"/>
      </w:pPr>
      <w:rPr>
        <w:b/>
      </w:rPr>
    </w:lvl>
    <w:lvl w:ilvl="1" w:tplc="04260019" w:tentative="1">
      <w:start w:val="1"/>
      <w:numFmt w:val="lowerLetter"/>
      <w:lvlText w:val="%2."/>
      <w:lvlJc w:val="left"/>
      <w:pPr>
        <w:ind w:left="2078" w:hanging="360"/>
      </w:pPr>
    </w:lvl>
    <w:lvl w:ilvl="2" w:tplc="0426001B" w:tentative="1">
      <w:start w:val="1"/>
      <w:numFmt w:val="lowerRoman"/>
      <w:lvlText w:val="%3."/>
      <w:lvlJc w:val="right"/>
      <w:pPr>
        <w:ind w:left="2798" w:hanging="180"/>
      </w:pPr>
    </w:lvl>
    <w:lvl w:ilvl="3" w:tplc="0426000F" w:tentative="1">
      <w:start w:val="1"/>
      <w:numFmt w:val="decimal"/>
      <w:lvlText w:val="%4."/>
      <w:lvlJc w:val="left"/>
      <w:pPr>
        <w:ind w:left="3518" w:hanging="360"/>
      </w:pPr>
    </w:lvl>
    <w:lvl w:ilvl="4" w:tplc="04260019" w:tentative="1">
      <w:start w:val="1"/>
      <w:numFmt w:val="lowerLetter"/>
      <w:lvlText w:val="%5."/>
      <w:lvlJc w:val="left"/>
      <w:pPr>
        <w:ind w:left="4238" w:hanging="360"/>
      </w:pPr>
    </w:lvl>
    <w:lvl w:ilvl="5" w:tplc="0426001B" w:tentative="1">
      <w:start w:val="1"/>
      <w:numFmt w:val="lowerRoman"/>
      <w:lvlText w:val="%6."/>
      <w:lvlJc w:val="right"/>
      <w:pPr>
        <w:ind w:left="4958" w:hanging="180"/>
      </w:pPr>
    </w:lvl>
    <w:lvl w:ilvl="6" w:tplc="0426000F" w:tentative="1">
      <w:start w:val="1"/>
      <w:numFmt w:val="decimal"/>
      <w:lvlText w:val="%7."/>
      <w:lvlJc w:val="left"/>
      <w:pPr>
        <w:ind w:left="5678" w:hanging="360"/>
      </w:pPr>
    </w:lvl>
    <w:lvl w:ilvl="7" w:tplc="04260019" w:tentative="1">
      <w:start w:val="1"/>
      <w:numFmt w:val="lowerLetter"/>
      <w:lvlText w:val="%8."/>
      <w:lvlJc w:val="left"/>
      <w:pPr>
        <w:ind w:left="6398" w:hanging="360"/>
      </w:pPr>
    </w:lvl>
    <w:lvl w:ilvl="8" w:tplc="0426001B" w:tentative="1">
      <w:start w:val="1"/>
      <w:numFmt w:val="lowerRoman"/>
      <w:lvlText w:val="%9."/>
      <w:lvlJc w:val="right"/>
      <w:pPr>
        <w:ind w:left="7118" w:hanging="180"/>
      </w:pPr>
    </w:lvl>
  </w:abstractNum>
  <w:abstractNum w:abstractNumId="2">
    <w:nsid w:val="113D0D62"/>
    <w:multiLevelType w:val="hybridMultilevel"/>
    <w:tmpl w:val="57E8E3D0"/>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
    <w:nsid w:val="13752F67"/>
    <w:multiLevelType w:val="hybridMultilevel"/>
    <w:tmpl w:val="5E08E50A"/>
    <w:lvl w:ilvl="0" w:tplc="EAC06502">
      <w:start w:val="1"/>
      <w:numFmt w:val="decimal"/>
      <w:lvlText w:val="%1)"/>
      <w:lvlJc w:val="left"/>
      <w:pPr>
        <w:ind w:left="394" w:hanging="360"/>
      </w:pPr>
      <w:rPr>
        <w:rFonts w:hint="default"/>
        <w:b/>
        <w:sz w:val="28"/>
      </w:rPr>
    </w:lvl>
    <w:lvl w:ilvl="1" w:tplc="04260019" w:tentative="1">
      <w:start w:val="1"/>
      <w:numFmt w:val="lowerLetter"/>
      <w:lvlText w:val="%2."/>
      <w:lvlJc w:val="left"/>
      <w:pPr>
        <w:ind w:left="1114" w:hanging="360"/>
      </w:pPr>
    </w:lvl>
    <w:lvl w:ilvl="2" w:tplc="0426001B" w:tentative="1">
      <w:start w:val="1"/>
      <w:numFmt w:val="lowerRoman"/>
      <w:lvlText w:val="%3."/>
      <w:lvlJc w:val="right"/>
      <w:pPr>
        <w:ind w:left="1834" w:hanging="180"/>
      </w:pPr>
    </w:lvl>
    <w:lvl w:ilvl="3" w:tplc="0426000F" w:tentative="1">
      <w:start w:val="1"/>
      <w:numFmt w:val="decimal"/>
      <w:lvlText w:val="%4."/>
      <w:lvlJc w:val="left"/>
      <w:pPr>
        <w:ind w:left="2554" w:hanging="360"/>
      </w:pPr>
    </w:lvl>
    <w:lvl w:ilvl="4" w:tplc="04260019" w:tentative="1">
      <w:start w:val="1"/>
      <w:numFmt w:val="lowerLetter"/>
      <w:lvlText w:val="%5."/>
      <w:lvlJc w:val="left"/>
      <w:pPr>
        <w:ind w:left="3274" w:hanging="360"/>
      </w:pPr>
    </w:lvl>
    <w:lvl w:ilvl="5" w:tplc="0426001B" w:tentative="1">
      <w:start w:val="1"/>
      <w:numFmt w:val="lowerRoman"/>
      <w:lvlText w:val="%6."/>
      <w:lvlJc w:val="right"/>
      <w:pPr>
        <w:ind w:left="3994" w:hanging="180"/>
      </w:pPr>
    </w:lvl>
    <w:lvl w:ilvl="6" w:tplc="0426000F" w:tentative="1">
      <w:start w:val="1"/>
      <w:numFmt w:val="decimal"/>
      <w:lvlText w:val="%7."/>
      <w:lvlJc w:val="left"/>
      <w:pPr>
        <w:ind w:left="4714" w:hanging="360"/>
      </w:pPr>
    </w:lvl>
    <w:lvl w:ilvl="7" w:tplc="04260019" w:tentative="1">
      <w:start w:val="1"/>
      <w:numFmt w:val="lowerLetter"/>
      <w:lvlText w:val="%8."/>
      <w:lvlJc w:val="left"/>
      <w:pPr>
        <w:ind w:left="5434" w:hanging="360"/>
      </w:pPr>
    </w:lvl>
    <w:lvl w:ilvl="8" w:tplc="0426001B" w:tentative="1">
      <w:start w:val="1"/>
      <w:numFmt w:val="lowerRoman"/>
      <w:lvlText w:val="%9."/>
      <w:lvlJc w:val="right"/>
      <w:pPr>
        <w:ind w:left="6154" w:hanging="180"/>
      </w:pPr>
    </w:lvl>
  </w:abstractNum>
  <w:abstractNum w:abstractNumId="4">
    <w:nsid w:val="17C75619"/>
    <w:multiLevelType w:val="hybridMultilevel"/>
    <w:tmpl w:val="778E07AC"/>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5">
    <w:nsid w:val="1C7727FE"/>
    <w:multiLevelType w:val="hybridMultilevel"/>
    <w:tmpl w:val="E33AACEC"/>
    <w:lvl w:ilvl="0" w:tplc="04260001">
      <w:start w:val="1"/>
      <w:numFmt w:val="bullet"/>
      <w:lvlText w:val=""/>
      <w:lvlJc w:val="left"/>
      <w:pPr>
        <w:tabs>
          <w:tab w:val="num" w:pos="1260"/>
        </w:tabs>
        <w:ind w:left="1260" w:hanging="360"/>
      </w:pPr>
      <w:rPr>
        <w:rFonts w:ascii="Symbol" w:hAnsi="Symbol" w:hint="default"/>
      </w:rPr>
    </w:lvl>
    <w:lvl w:ilvl="1" w:tplc="04260017">
      <w:start w:val="1"/>
      <w:numFmt w:val="lowerLetter"/>
      <w:lvlText w:val="%2)"/>
      <w:lvlJc w:val="left"/>
      <w:pPr>
        <w:tabs>
          <w:tab w:val="num" w:pos="1980"/>
        </w:tabs>
        <w:ind w:left="1980" w:hanging="360"/>
      </w:pPr>
      <w:rPr>
        <w:rFonts w:hint="default"/>
      </w:rPr>
    </w:lvl>
    <w:lvl w:ilvl="2" w:tplc="04260001">
      <w:start w:val="1"/>
      <w:numFmt w:val="bullet"/>
      <w:lvlText w:val=""/>
      <w:lvlJc w:val="left"/>
      <w:pPr>
        <w:tabs>
          <w:tab w:val="num" w:pos="2700"/>
        </w:tabs>
        <w:ind w:left="2700" w:hanging="360"/>
      </w:pPr>
      <w:rPr>
        <w:rFonts w:ascii="Symbol" w:hAnsi="Symbol" w:hint="default"/>
      </w:rPr>
    </w:lvl>
    <w:lvl w:ilvl="3" w:tplc="04260001" w:tentative="1">
      <w:start w:val="1"/>
      <w:numFmt w:val="bullet"/>
      <w:lvlText w:val=""/>
      <w:lvlJc w:val="left"/>
      <w:pPr>
        <w:tabs>
          <w:tab w:val="num" w:pos="3420"/>
        </w:tabs>
        <w:ind w:left="3420" w:hanging="360"/>
      </w:pPr>
      <w:rPr>
        <w:rFonts w:ascii="Symbol" w:hAnsi="Symbol" w:hint="default"/>
      </w:rPr>
    </w:lvl>
    <w:lvl w:ilvl="4" w:tplc="04260003" w:tentative="1">
      <w:start w:val="1"/>
      <w:numFmt w:val="bullet"/>
      <w:lvlText w:val="o"/>
      <w:lvlJc w:val="left"/>
      <w:pPr>
        <w:tabs>
          <w:tab w:val="num" w:pos="4140"/>
        </w:tabs>
        <w:ind w:left="4140" w:hanging="360"/>
      </w:pPr>
      <w:rPr>
        <w:rFonts w:ascii="Courier New" w:hAnsi="Courier New" w:cs="Courier New" w:hint="default"/>
      </w:rPr>
    </w:lvl>
    <w:lvl w:ilvl="5" w:tplc="04260005" w:tentative="1">
      <w:start w:val="1"/>
      <w:numFmt w:val="bullet"/>
      <w:lvlText w:val=""/>
      <w:lvlJc w:val="left"/>
      <w:pPr>
        <w:tabs>
          <w:tab w:val="num" w:pos="4860"/>
        </w:tabs>
        <w:ind w:left="4860" w:hanging="360"/>
      </w:pPr>
      <w:rPr>
        <w:rFonts w:ascii="Wingdings" w:hAnsi="Wingdings" w:hint="default"/>
      </w:rPr>
    </w:lvl>
    <w:lvl w:ilvl="6" w:tplc="04260001" w:tentative="1">
      <w:start w:val="1"/>
      <w:numFmt w:val="bullet"/>
      <w:lvlText w:val=""/>
      <w:lvlJc w:val="left"/>
      <w:pPr>
        <w:tabs>
          <w:tab w:val="num" w:pos="5580"/>
        </w:tabs>
        <w:ind w:left="5580" w:hanging="360"/>
      </w:pPr>
      <w:rPr>
        <w:rFonts w:ascii="Symbol" w:hAnsi="Symbol" w:hint="default"/>
      </w:rPr>
    </w:lvl>
    <w:lvl w:ilvl="7" w:tplc="04260003" w:tentative="1">
      <w:start w:val="1"/>
      <w:numFmt w:val="bullet"/>
      <w:lvlText w:val="o"/>
      <w:lvlJc w:val="left"/>
      <w:pPr>
        <w:tabs>
          <w:tab w:val="num" w:pos="6300"/>
        </w:tabs>
        <w:ind w:left="6300" w:hanging="360"/>
      </w:pPr>
      <w:rPr>
        <w:rFonts w:ascii="Courier New" w:hAnsi="Courier New" w:cs="Courier New" w:hint="default"/>
      </w:rPr>
    </w:lvl>
    <w:lvl w:ilvl="8" w:tplc="04260005" w:tentative="1">
      <w:start w:val="1"/>
      <w:numFmt w:val="bullet"/>
      <w:lvlText w:val=""/>
      <w:lvlJc w:val="left"/>
      <w:pPr>
        <w:tabs>
          <w:tab w:val="num" w:pos="7020"/>
        </w:tabs>
        <w:ind w:left="7020" w:hanging="360"/>
      </w:pPr>
      <w:rPr>
        <w:rFonts w:ascii="Wingdings" w:hAnsi="Wingdings" w:hint="default"/>
      </w:rPr>
    </w:lvl>
  </w:abstractNum>
  <w:abstractNum w:abstractNumId="6">
    <w:nsid w:val="2CB97BB6"/>
    <w:multiLevelType w:val="hybridMultilevel"/>
    <w:tmpl w:val="8F74E2CA"/>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7">
    <w:nsid w:val="30990FB5"/>
    <w:multiLevelType w:val="hybridMultilevel"/>
    <w:tmpl w:val="76E6BF06"/>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8">
    <w:nsid w:val="39E82D7C"/>
    <w:multiLevelType w:val="hybridMultilevel"/>
    <w:tmpl w:val="5568CCDE"/>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9">
    <w:nsid w:val="3E7B2B42"/>
    <w:multiLevelType w:val="hybridMultilevel"/>
    <w:tmpl w:val="269A3EE6"/>
    <w:lvl w:ilvl="0" w:tplc="270A22C4">
      <w:start w:val="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nsid w:val="3F9E6427"/>
    <w:multiLevelType w:val="hybridMultilevel"/>
    <w:tmpl w:val="CCA2058E"/>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1">
    <w:nsid w:val="426026E4"/>
    <w:multiLevelType w:val="hybridMultilevel"/>
    <w:tmpl w:val="4F001FD4"/>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2">
    <w:nsid w:val="60624F83"/>
    <w:multiLevelType w:val="multilevel"/>
    <w:tmpl w:val="15E8E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4462FB3"/>
    <w:multiLevelType w:val="hybridMultilevel"/>
    <w:tmpl w:val="425412B4"/>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4">
    <w:nsid w:val="6F83485F"/>
    <w:multiLevelType w:val="hybridMultilevel"/>
    <w:tmpl w:val="BB2648F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5"/>
  </w:num>
  <w:num w:numId="3">
    <w:abstractNumId w:val="8"/>
  </w:num>
  <w:num w:numId="4">
    <w:abstractNumId w:val="10"/>
  </w:num>
  <w:num w:numId="5">
    <w:abstractNumId w:val="13"/>
  </w:num>
  <w:num w:numId="6">
    <w:abstractNumId w:val="11"/>
  </w:num>
  <w:num w:numId="7">
    <w:abstractNumId w:val="7"/>
  </w:num>
  <w:num w:numId="8">
    <w:abstractNumId w:val="6"/>
  </w:num>
  <w:num w:numId="9">
    <w:abstractNumId w:val="0"/>
  </w:num>
  <w:num w:numId="10">
    <w:abstractNumId w:val="4"/>
  </w:num>
  <w:num w:numId="11">
    <w:abstractNumId w:val="3"/>
  </w:num>
  <w:num w:numId="12">
    <w:abstractNumId w:val="9"/>
  </w:num>
  <w:num w:numId="13">
    <w:abstractNumId w:val="12"/>
  </w:num>
  <w:num w:numId="14">
    <w:abstractNumId w:val="1"/>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stylePaneFormatFilter w:val="3F01"/>
  <w:defaultTabStop w:val="720"/>
  <w:characterSpacingControl w:val="doNotCompress"/>
  <w:footnotePr>
    <w:footnote w:id="-1"/>
    <w:footnote w:id="0"/>
  </w:footnotePr>
  <w:endnotePr>
    <w:endnote w:id="-1"/>
    <w:endnote w:id="0"/>
  </w:endnotePr>
  <w:compat/>
  <w:rsids>
    <w:rsidRoot w:val="00F00AE2"/>
    <w:rsid w:val="000037AB"/>
    <w:rsid w:val="0000717B"/>
    <w:rsid w:val="00007805"/>
    <w:rsid w:val="00007BF8"/>
    <w:rsid w:val="00013281"/>
    <w:rsid w:val="000165B5"/>
    <w:rsid w:val="00017112"/>
    <w:rsid w:val="00017515"/>
    <w:rsid w:val="00027162"/>
    <w:rsid w:val="00027E3A"/>
    <w:rsid w:val="00030938"/>
    <w:rsid w:val="000329D0"/>
    <w:rsid w:val="000339B1"/>
    <w:rsid w:val="000409CF"/>
    <w:rsid w:val="00040C6F"/>
    <w:rsid w:val="00043CFC"/>
    <w:rsid w:val="0005026E"/>
    <w:rsid w:val="00056EA9"/>
    <w:rsid w:val="00064A75"/>
    <w:rsid w:val="000743CD"/>
    <w:rsid w:val="00082F63"/>
    <w:rsid w:val="00083D57"/>
    <w:rsid w:val="00084AF3"/>
    <w:rsid w:val="0008724C"/>
    <w:rsid w:val="00096944"/>
    <w:rsid w:val="00097009"/>
    <w:rsid w:val="000A2B02"/>
    <w:rsid w:val="000A5998"/>
    <w:rsid w:val="000B370C"/>
    <w:rsid w:val="000B54A9"/>
    <w:rsid w:val="000B7EE1"/>
    <w:rsid w:val="000C32DB"/>
    <w:rsid w:val="000D30B6"/>
    <w:rsid w:val="000D3C44"/>
    <w:rsid w:val="000D3EAC"/>
    <w:rsid w:val="000E1E81"/>
    <w:rsid w:val="000E2D98"/>
    <w:rsid w:val="000E55F1"/>
    <w:rsid w:val="000F5D2D"/>
    <w:rsid w:val="001074CE"/>
    <w:rsid w:val="00110A36"/>
    <w:rsid w:val="001179B0"/>
    <w:rsid w:val="001229FD"/>
    <w:rsid w:val="00122D1E"/>
    <w:rsid w:val="00123A3C"/>
    <w:rsid w:val="00126269"/>
    <w:rsid w:val="00126FD2"/>
    <w:rsid w:val="00127103"/>
    <w:rsid w:val="00133083"/>
    <w:rsid w:val="00141446"/>
    <w:rsid w:val="00145D7F"/>
    <w:rsid w:val="00161F95"/>
    <w:rsid w:val="001633FA"/>
    <w:rsid w:val="001635CE"/>
    <w:rsid w:val="00171333"/>
    <w:rsid w:val="00174057"/>
    <w:rsid w:val="00174A18"/>
    <w:rsid w:val="001751EB"/>
    <w:rsid w:val="0018083B"/>
    <w:rsid w:val="00182683"/>
    <w:rsid w:val="001A02C7"/>
    <w:rsid w:val="001B0494"/>
    <w:rsid w:val="001B2E79"/>
    <w:rsid w:val="001B414D"/>
    <w:rsid w:val="001B6B30"/>
    <w:rsid w:val="001B7183"/>
    <w:rsid w:val="001C4B47"/>
    <w:rsid w:val="001C6397"/>
    <w:rsid w:val="001C6D90"/>
    <w:rsid w:val="001C7AE4"/>
    <w:rsid w:val="001D3517"/>
    <w:rsid w:val="001E24C0"/>
    <w:rsid w:val="001F209C"/>
    <w:rsid w:val="001F3CB2"/>
    <w:rsid w:val="001F4EDA"/>
    <w:rsid w:val="001F5246"/>
    <w:rsid w:val="001F5AD4"/>
    <w:rsid w:val="001F60E7"/>
    <w:rsid w:val="0020319C"/>
    <w:rsid w:val="002041F2"/>
    <w:rsid w:val="002063E1"/>
    <w:rsid w:val="00214271"/>
    <w:rsid w:val="0021582D"/>
    <w:rsid w:val="00217F3E"/>
    <w:rsid w:val="00224CB2"/>
    <w:rsid w:val="00225C79"/>
    <w:rsid w:val="00232F19"/>
    <w:rsid w:val="00235B31"/>
    <w:rsid w:val="0024138E"/>
    <w:rsid w:val="00243826"/>
    <w:rsid w:val="0025467F"/>
    <w:rsid w:val="00270099"/>
    <w:rsid w:val="00272DBF"/>
    <w:rsid w:val="00272E14"/>
    <w:rsid w:val="00275A54"/>
    <w:rsid w:val="00277944"/>
    <w:rsid w:val="00281544"/>
    <w:rsid w:val="0029393F"/>
    <w:rsid w:val="00296AAE"/>
    <w:rsid w:val="002A2995"/>
    <w:rsid w:val="002A6411"/>
    <w:rsid w:val="002B483D"/>
    <w:rsid w:val="002C31E0"/>
    <w:rsid w:val="002C3D4D"/>
    <w:rsid w:val="002C43D7"/>
    <w:rsid w:val="002C493C"/>
    <w:rsid w:val="002D369C"/>
    <w:rsid w:val="002D7E89"/>
    <w:rsid w:val="002E5686"/>
    <w:rsid w:val="002F24AD"/>
    <w:rsid w:val="002F2DCB"/>
    <w:rsid w:val="002F55DE"/>
    <w:rsid w:val="002F5C8F"/>
    <w:rsid w:val="003032DC"/>
    <w:rsid w:val="0030680D"/>
    <w:rsid w:val="00312F91"/>
    <w:rsid w:val="00317C33"/>
    <w:rsid w:val="003277EC"/>
    <w:rsid w:val="0033027F"/>
    <w:rsid w:val="003402F0"/>
    <w:rsid w:val="00341071"/>
    <w:rsid w:val="00344177"/>
    <w:rsid w:val="00350266"/>
    <w:rsid w:val="00351575"/>
    <w:rsid w:val="00352BB8"/>
    <w:rsid w:val="00355273"/>
    <w:rsid w:val="00363F7A"/>
    <w:rsid w:val="00365491"/>
    <w:rsid w:val="00374BE1"/>
    <w:rsid w:val="00374FD7"/>
    <w:rsid w:val="00383887"/>
    <w:rsid w:val="0039739E"/>
    <w:rsid w:val="003A3229"/>
    <w:rsid w:val="003A431D"/>
    <w:rsid w:val="003A51CD"/>
    <w:rsid w:val="003B048A"/>
    <w:rsid w:val="003B069C"/>
    <w:rsid w:val="003B3EC9"/>
    <w:rsid w:val="003B65C1"/>
    <w:rsid w:val="003C05CD"/>
    <w:rsid w:val="003C35B7"/>
    <w:rsid w:val="003C4412"/>
    <w:rsid w:val="003C7E11"/>
    <w:rsid w:val="003D3B69"/>
    <w:rsid w:val="003D44ED"/>
    <w:rsid w:val="003E2032"/>
    <w:rsid w:val="003E25E4"/>
    <w:rsid w:val="003E3464"/>
    <w:rsid w:val="003E7008"/>
    <w:rsid w:val="003F0679"/>
    <w:rsid w:val="003F4FD5"/>
    <w:rsid w:val="0040188A"/>
    <w:rsid w:val="004050C8"/>
    <w:rsid w:val="00416297"/>
    <w:rsid w:val="004176F4"/>
    <w:rsid w:val="0042101B"/>
    <w:rsid w:val="004301E6"/>
    <w:rsid w:val="00431300"/>
    <w:rsid w:val="00431811"/>
    <w:rsid w:val="0045407F"/>
    <w:rsid w:val="00457B7C"/>
    <w:rsid w:val="004626D8"/>
    <w:rsid w:val="004740B6"/>
    <w:rsid w:val="00475EFC"/>
    <w:rsid w:val="00477239"/>
    <w:rsid w:val="004776C5"/>
    <w:rsid w:val="00481A79"/>
    <w:rsid w:val="00481EC2"/>
    <w:rsid w:val="00484077"/>
    <w:rsid w:val="004848E8"/>
    <w:rsid w:val="00492552"/>
    <w:rsid w:val="00494124"/>
    <w:rsid w:val="004A20EF"/>
    <w:rsid w:val="004A36C2"/>
    <w:rsid w:val="004A7F0B"/>
    <w:rsid w:val="004B3A58"/>
    <w:rsid w:val="004E0BED"/>
    <w:rsid w:val="004E413C"/>
    <w:rsid w:val="004E41BC"/>
    <w:rsid w:val="0050208D"/>
    <w:rsid w:val="0050271A"/>
    <w:rsid w:val="005102EF"/>
    <w:rsid w:val="0051561D"/>
    <w:rsid w:val="00525023"/>
    <w:rsid w:val="00527AB8"/>
    <w:rsid w:val="005324D7"/>
    <w:rsid w:val="0053251B"/>
    <w:rsid w:val="005334F1"/>
    <w:rsid w:val="005336B5"/>
    <w:rsid w:val="00535242"/>
    <w:rsid w:val="00536603"/>
    <w:rsid w:val="00540649"/>
    <w:rsid w:val="00546891"/>
    <w:rsid w:val="00556087"/>
    <w:rsid w:val="005566B8"/>
    <w:rsid w:val="00565391"/>
    <w:rsid w:val="005720CD"/>
    <w:rsid w:val="00581915"/>
    <w:rsid w:val="005850BE"/>
    <w:rsid w:val="00593D8F"/>
    <w:rsid w:val="005969D8"/>
    <w:rsid w:val="0059798F"/>
    <w:rsid w:val="005A10FC"/>
    <w:rsid w:val="005A19E0"/>
    <w:rsid w:val="005A6CB1"/>
    <w:rsid w:val="005A6FBB"/>
    <w:rsid w:val="005A7080"/>
    <w:rsid w:val="005A7EB4"/>
    <w:rsid w:val="005B39C6"/>
    <w:rsid w:val="005B441A"/>
    <w:rsid w:val="005B5C1B"/>
    <w:rsid w:val="005D188B"/>
    <w:rsid w:val="005D6A3D"/>
    <w:rsid w:val="005E02C3"/>
    <w:rsid w:val="005E1B4C"/>
    <w:rsid w:val="005F2323"/>
    <w:rsid w:val="005F7095"/>
    <w:rsid w:val="00602969"/>
    <w:rsid w:val="00605B7B"/>
    <w:rsid w:val="0061663A"/>
    <w:rsid w:val="00617E67"/>
    <w:rsid w:val="00624589"/>
    <w:rsid w:val="00627130"/>
    <w:rsid w:val="006315D3"/>
    <w:rsid w:val="00633297"/>
    <w:rsid w:val="00640CCB"/>
    <w:rsid w:val="0064130E"/>
    <w:rsid w:val="006435AF"/>
    <w:rsid w:val="00646BE0"/>
    <w:rsid w:val="0066337C"/>
    <w:rsid w:val="0067216C"/>
    <w:rsid w:val="0067689C"/>
    <w:rsid w:val="00692C69"/>
    <w:rsid w:val="00695368"/>
    <w:rsid w:val="00696BE8"/>
    <w:rsid w:val="00697F6C"/>
    <w:rsid w:val="006A4154"/>
    <w:rsid w:val="006A4746"/>
    <w:rsid w:val="006A483F"/>
    <w:rsid w:val="006B0E5E"/>
    <w:rsid w:val="006C0FBA"/>
    <w:rsid w:val="006D3601"/>
    <w:rsid w:val="006D76C5"/>
    <w:rsid w:val="00701B80"/>
    <w:rsid w:val="0070658F"/>
    <w:rsid w:val="00710752"/>
    <w:rsid w:val="007153D1"/>
    <w:rsid w:val="00726D77"/>
    <w:rsid w:val="007273E6"/>
    <w:rsid w:val="007276FA"/>
    <w:rsid w:val="0073291D"/>
    <w:rsid w:val="00732EE1"/>
    <w:rsid w:val="00735D55"/>
    <w:rsid w:val="007366A4"/>
    <w:rsid w:val="00736A6D"/>
    <w:rsid w:val="00743472"/>
    <w:rsid w:val="007449C8"/>
    <w:rsid w:val="0075018C"/>
    <w:rsid w:val="007538FA"/>
    <w:rsid w:val="00763AC4"/>
    <w:rsid w:val="00784C19"/>
    <w:rsid w:val="007850B0"/>
    <w:rsid w:val="007869AC"/>
    <w:rsid w:val="007928BC"/>
    <w:rsid w:val="00792E18"/>
    <w:rsid w:val="007948D3"/>
    <w:rsid w:val="007A00E6"/>
    <w:rsid w:val="007A2000"/>
    <w:rsid w:val="007A2F8B"/>
    <w:rsid w:val="007A6DBC"/>
    <w:rsid w:val="007B1792"/>
    <w:rsid w:val="007C466A"/>
    <w:rsid w:val="007C551F"/>
    <w:rsid w:val="007D0C0D"/>
    <w:rsid w:val="007E330E"/>
    <w:rsid w:val="007F05EF"/>
    <w:rsid w:val="007F3873"/>
    <w:rsid w:val="007F39F7"/>
    <w:rsid w:val="00801D7C"/>
    <w:rsid w:val="0080631E"/>
    <w:rsid w:val="0081263D"/>
    <w:rsid w:val="0081728F"/>
    <w:rsid w:val="00817DA8"/>
    <w:rsid w:val="008247B4"/>
    <w:rsid w:val="00831668"/>
    <w:rsid w:val="0083280C"/>
    <w:rsid w:val="008409F9"/>
    <w:rsid w:val="0084206E"/>
    <w:rsid w:val="00853073"/>
    <w:rsid w:val="00853169"/>
    <w:rsid w:val="0085406B"/>
    <w:rsid w:val="0085661B"/>
    <w:rsid w:val="00862943"/>
    <w:rsid w:val="00864C2E"/>
    <w:rsid w:val="00865EE1"/>
    <w:rsid w:val="00874378"/>
    <w:rsid w:val="00877185"/>
    <w:rsid w:val="00883E15"/>
    <w:rsid w:val="008879C7"/>
    <w:rsid w:val="0089175A"/>
    <w:rsid w:val="008A5CD8"/>
    <w:rsid w:val="008A66C3"/>
    <w:rsid w:val="008C171C"/>
    <w:rsid w:val="008C584A"/>
    <w:rsid w:val="008D4F4F"/>
    <w:rsid w:val="008E3C3C"/>
    <w:rsid w:val="008F423B"/>
    <w:rsid w:val="00902B5F"/>
    <w:rsid w:val="00903EC8"/>
    <w:rsid w:val="00907267"/>
    <w:rsid w:val="0091510E"/>
    <w:rsid w:val="00925DE6"/>
    <w:rsid w:val="0092666D"/>
    <w:rsid w:val="00930589"/>
    <w:rsid w:val="00934739"/>
    <w:rsid w:val="00935642"/>
    <w:rsid w:val="009366CA"/>
    <w:rsid w:val="009417D8"/>
    <w:rsid w:val="0094293A"/>
    <w:rsid w:val="009472A1"/>
    <w:rsid w:val="00951854"/>
    <w:rsid w:val="00954135"/>
    <w:rsid w:val="0095518D"/>
    <w:rsid w:val="00960B75"/>
    <w:rsid w:val="0096328C"/>
    <w:rsid w:val="00970EEE"/>
    <w:rsid w:val="00983E0A"/>
    <w:rsid w:val="00986419"/>
    <w:rsid w:val="00990070"/>
    <w:rsid w:val="00992520"/>
    <w:rsid w:val="00995806"/>
    <w:rsid w:val="0099626C"/>
    <w:rsid w:val="00996549"/>
    <w:rsid w:val="009A026A"/>
    <w:rsid w:val="009A5244"/>
    <w:rsid w:val="009A686F"/>
    <w:rsid w:val="009B373C"/>
    <w:rsid w:val="009B4819"/>
    <w:rsid w:val="009B67FD"/>
    <w:rsid w:val="009C6AFC"/>
    <w:rsid w:val="009D0C6E"/>
    <w:rsid w:val="009D412F"/>
    <w:rsid w:val="009D4428"/>
    <w:rsid w:val="009D620F"/>
    <w:rsid w:val="009E75FD"/>
    <w:rsid w:val="009F25CB"/>
    <w:rsid w:val="009F5D8D"/>
    <w:rsid w:val="00A006FB"/>
    <w:rsid w:val="00A03EA6"/>
    <w:rsid w:val="00A051AC"/>
    <w:rsid w:val="00A10919"/>
    <w:rsid w:val="00A12733"/>
    <w:rsid w:val="00A12A49"/>
    <w:rsid w:val="00A13D2B"/>
    <w:rsid w:val="00A1522B"/>
    <w:rsid w:val="00A16A28"/>
    <w:rsid w:val="00A216D8"/>
    <w:rsid w:val="00A257F7"/>
    <w:rsid w:val="00A30397"/>
    <w:rsid w:val="00A30B61"/>
    <w:rsid w:val="00A33717"/>
    <w:rsid w:val="00A35059"/>
    <w:rsid w:val="00A35C7F"/>
    <w:rsid w:val="00A46008"/>
    <w:rsid w:val="00A54E9F"/>
    <w:rsid w:val="00A571FA"/>
    <w:rsid w:val="00A600A2"/>
    <w:rsid w:val="00A6425F"/>
    <w:rsid w:val="00A648E5"/>
    <w:rsid w:val="00A67058"/>
    <w:rsid w:val="00A8598A"/>
    <w:rsid w:val="00A86724"/>
    <w:rsid w:val="00A96F32"/>
    <w:rsid w:val="00A974B8"/>
    <w:rsid w:val="00AA3819"/>
    <w:rsid w:val="00AA39CE"/>
    <w:rsid w:val="00AA4B63"/>
    <w:rsid w:val="00AB3E06"/>
    <w:rsid w:val="00AB5376"/>
    <w:rsid w:val="00AB6541"/>
    <w:rsid w:val="00AC28D8"/>
    <w:rsid w:val="00AC39DC"/>
    <w:rsid w:val="00AD18F5"/>
    <w:rsid w:val="00AD280E"/>
    <w:rsid w:val="00AD3120"/>
    <w:rsid w:val="00AD5026"/>
    <w:rsid w:val="00AD652E"/>
    <w:rsid w:val="00AE01AA"/>
    <w:rsid w:val="00AE29F2"/>
    <w:rsid w:val="00AE7D6E"/>
    <w:rsid w:val="00AF2E65"/>
    <w:rsid w:val="00AF5F25"/>
    <w:rsid w:val="00AF6993"/>
    <w:rsid w:val="00B046EA"/>
    <w:rsid w:val="00B139DB"/>
    <w:rsid w:val="00B16DA8"/>
    <w:rsid w:val="00B177FB"/>
    <w:rsid w:val="00B20055"/>
    <w:rsid w:val="00B22A21"/>
    <w:rsid w:val="00B24AB8"/>
    <w:rsid w:val="00B2514D"/>
    <w:rsid w:val="00B30E9A"/>
    <w:rsid w:val="00B30FC0"/>
    <w:rsid w:val="00B32CB0"/>
    <w:rsid w:val="00B3302A"/>
    <w:rsid w:val="00B33D82"/>
    <w:rsid w:val="00B366D3"/>
    <w:rsid w:val="00B3758F"/>
    <w:rsid w:val="00B42B07"/>
    <w:rsid w:val="00B45A71"/>
    <w:rsid w:val="00B5709E"/>
    <w:rsid w:val="00B60CE1"/>
    <w:rsid w:val="00B64755"/>
    <w:rsid w:val="00B65967"/>
    <w:rsid w:val="00B66425"/>
    <w:rsid w:val="00B67882"/>
    <w:rsid w:val="00B67C3A"/>
    <w:rsid w:val="00B7343B"/>
    <w:rsid w:val="00B7545C"/>
    <w:rsid w:val="00B77E28"/>
    <w:rsid w:val="00B8205A"/>
    <w:rsid w:val="00B83ED8"/>
    <w:rsid w:val="00B942FF"/>
    <w:rsid w:val="00BA0DA2"/>
    <w:rsid w:val="00BA319B"/>
    <w:rsid w:val="00BA3717"/>
    <w:rsid w:val="00BA577E"/>
    <w:rsid w:val="00BB1B48"/>
    <w:rsid w:val="00BB2391"/>
    <w:rsid w:val="00BC005A"/>
    <w:rsid w:val="00BC1A88"/>
    <w:rsid w:val="00BD100E"/>
    <w:rsid w:val="00BD12D3"/>
    <w:rsid w:val="00BE0CB2"/>
    <w:rsid w:val="00BE4D49"/>
    <w:rsid w:val="00BE655D"/>
    <w:rsid w:val="00BF3811"/>
    <w:rsid w:val="00BF38D9"/>
    <w:rsid w:val="00BF67E3"/>
    <w:rsid w:val="00BF6A1F"/>
    <w:rsid w:val="00C0169F"/>
    <w:rsid w:val="00C0698F"/>
    <w:rsid w:val="00C07FE4"/>
    <w:rsid w:val="00C100F2"/>
    <w:rsid w:val="00C11397"/>
    <w:rsid w:val="00C14162"/>
    <w:rsid w:val="00C164E8"/>
    <w:rsid w:val="00C206D1"/>
    <w:rsid w:val="00C25FB9"/>
    <w:rsid w:val="00C30C8C"/>
    <w:rsid w:val="00C32849"/>
    <w:rsid w:val="00C43E69"/>
    <w:rsid w:val="00C4726F"/>
    <w:rsid w:val="00C47A7E"/>
    <w:rsid w:val="00C51072"/>
    <w:rsid w:val="00C51564"/>
    <w:rsid w:val="00C62013"/>
    <w:rsid w:val="00C6782A"/>
    <w:rsid w:val="00C7054D"/>
    <w:rsid w:val="00C84FC7"/>
    <w:rsid w:val="00C8767A"/>
    <w:rsid w:val="00C90AAB"/>
    <w:rsid w:val="00C956AB"/>
    <w:rsid w:val="00CA69F1"/>
    <w:rsid w:val="00CA6B73"/>
    <w:rsid w:val="00CB0E29"/>
    <w:rsid w:val="00CB2CB2"/>
    <w:rsid w:val="00CB3A94"/>
    <w:rsid w:val="00CB63E4"/>
    <w:rsid w:val="00CB66A7"/>
    <w:rsid w:val="00CC478A"/>
    <w:rsid w:val="00CD218C"/>
    <w:rsid w:val="00CD3D7C"/>
    <w:rsid w:val="00CD6960"/>
    <w:rsid w:val="00CE2174"/>
    <w:rsid w:val="00CE407E"/>
    <w:rsid w:val="00CE5A21"/>
    <w:rsid w:val="00CE6F95"/>
    <w:rsid w:val="00CF2AC2"/>
    <w:rsid w:val="00CF73A3"/>
    <w:rsid w:val="00D00C7F"/>
    <w:rsid w:val="00D032E1"/>
    <w:rsid w:val="00D07B08"/>
    <w:rsid w:val="00D2013E"/>
    <w:rsid w:val="00D2352A"/>
    <w:rsid w:val="00D24A9E"/>
    <w:rsid w:val="00D33D82"/>
    <w:rsid w:val="00D34F00"/>
    <w:rsid w:val="00D37824"/>
    <w:rsid w:val="00D403A0"/>
    <w:rsid w:val="00D4123E"/>
    <w:rsid w:val="00D444B1"/>
    <w:rsid w:val="00D445E9"/>
    <w:rsid w:val="00D47AF0"/>
    <w:rsid w:val="00D66665"/>
    <w:rsid w:val="00D75B9D"/>
    <w:rsid w:val="00D81BF4"/>
    <w:rsid w:val="00D81FAC"/>
    <w:rsid w:val="00D85B53"/>
    <w:rsid w:val="00D861DE"/>
    <w:rsid w:val="00D95C78"/>
    <w:rsid w:val="00D95E93"/>
    <w:rsid w:val="00D9767F"/>
    <w:rsid w:val="00D97EFF"/>
    <w:rsid w:val="00DA762C"/>
    <w:rsid w:val="00DA79BE"/>
    <w:rsid w:val="00DB07DF"/>
    <w:rsid w:val="00DB0C94"/>
    <w:rsid w:val="00DB632B"/>
    <w:rsid w:val="00DB7D27"/>
    <w:rsid w:val="00DC1BC4"/>
    <w:rsid w:val="00DC4268"/>
    <w:rsid w:val="00DD25A1"/>
    <w:rsid w:val="00DD6034"/>
    <w:rsid w:val="00DE1AE4"/>
    <w:rsid w:val="00DE72DC"/>
    <w:rsid w:val="00DF1E9F"/>
    <w:rsid w:val="00DF5828"/>
    <w:rsid w:val="00E00179"/>
    <w:rsid w:val="00E029CB"/>
    <w:rsid w:val="00E02A8E"/>
    <w:rsid w:val="00E04443"/>
    <w:rsid w:val="00E10B31"/>
    <w:rsid w:val="00E17DF5"/>
    <w:rsid w:val="00E30067"/>
    <w:rsid w:val="00E32322"/>
    <w:rsid w:val="00E34B37"/>
    <w:rsid w:val="00E43705"/>
    <w:rsid w:val="00E4465A"/>
    <w:rsid w:val="00E44EB1"/>
    <w:rsid w:val="00E5731C"/>
    <w:rsid w:val="00E63001"/>
    <w:rsid w:val="00E70F2B"/>
    <w:rsid w:val="00E73DBE"/>
    <w:rsid w:val="00E767AA"/>
    <w:rsid w:val="00E77166"/>
    <w:rsid w:val="00E83932"/>
    <w:rsid w:val="00E85C33"/>
    <w:rsid w:val="00E9127B"/>
    <w:rsid w:val="00E91383"/>
    <w:rsid w:val="00E942D4"/>
    <w:rsid w:val="00EA0F22"/>
    <w:rsid w:val="00EA3400"/>
    <w:rsid w:val="00EB15DF"/>
    <w:rsid w:val="00EB6582"/>
    <w:rsid w:val="00EB69CF"/>
    <w:rsid w:val="00EC2B6F"/>
    <w:rsid w:val="00EC59F5"/>
    <w:rsid w:val="00EC71DC"/>
    <w:rsid w:val="00ED05C8"/>
    <w:rsid w:val="00ED5758"/>
    <w:rsid w:val="00ED6899"/>
    <w:rsid w:val="00EE12BE"/>
    <w:rsid w:val="00EF2A1E"/>
    <w:rsid w:val="00EF40B0"/>
    <w:rsid w:val="00EF6CE6"/>
    <w:rsid w:val="00F00AE2"/>
    <w:rsid w:val="00F013DA"/>
    <w:rsid w:val="00F025F7"/>
    <w:rsid w:val="00F03844"/>
    <w:rsid w:val="00F04FAC"/>
    <w:rsid w:val="00F11EDC"/>
    <w:rsid w:val="00F15F54"/>
    <w:rsid w:val="00F16F08"/>
    <w:rsid w:val="00F23982"/>
    <w:rsid w:val="00F356B0"/>
    <w:rsid w:val="00F42C8E"/>
    <w:rsid w:val="00F56D9D"/>
    <w:rsid w:val="00F62B90"/>
    <w:rsid w:val="00F65AFB"/>
    <w:rsid w:val="00F73685"/>
    <w:rsid w:val="00F73EF0"/>
    <w:rsid w:val="00F745ED"/>
    <w:rsid w:val="00F7798A"/>
    <w:rsid w:val="00F82261"/>
    <w:rsid w:val="00F8742F"/>
    <w:rsid w:val="00F90642"/>
    <w:rsid w:val="00F913E5"/>
    <w:rsid w:val="00FA085F"/>
    <w:rsid w:val="00FA19E3"/>
    <w:rsid w:val="00FA1EAF"/>
    <w:rsid w:val="00FA24C5"/>
    <w:rsid w:val="00FA52FF"/>
    <w:rsid w:val="00FA59E0"/>
    <w:rsid w:val="00FA5F49"/>
    <w:rsid w:val="00FC0AC7"/>
    <w:rsid w:val="00FC1AD9"/>
    <w:rsid w:val="00FC33E0"/>
    <w:rsid w:val="00FC346F"/>
    <w:rsid w:val="00FC463C"/>
    <w:rsid w:val="00FC509F"/>
    <w:rsid w:val="00FD024B"/>
    <w:rsid w:val="00FD56A3"/>
    <w:rsid w:val="00FE2F9B"/>
    <w:rsid w:val="00FE4998"/>
    <w:rsid w:val="00FE4FA2"/>
    <w:rsid w:val="00FE6473"/>
    <w:rsid w:val="00FE7A6B"/>
    <w:rsid w:val="00FE7F44"/>
    <w:rsid w:val="00FF0772"/>
    <w:rsid w:val="00FF118A"/>
    <w:rsid w:val="00FF54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martTagType w:namespaceuri="urn:schemas-microsoft-com:office:smarttags" w:name="Street"/>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uiPriority="99"/>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00AE2"/>
    <w:rPr>
      <w:sz w:val="28"/>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uiPriority w:val="99"/>
    <w:rsid w:val="00F00AE2"/>
    <w:pPr>
      <w:spacing w:before="75" w:after="75"/>
      <w:jc w:val="center"/>
    </w:pPr>
    <w:rPr>
      <w:sz w:val="24"/>
      <w:lang w:eastAsia="lv-LV"/>
    </w:rPr>
  </w:style>
  <w:style w:type="paragraph" w:customStyle="1" w:styleId="naislab">
    <w:name w:val="naislab"/>
    <w:basedOn w:val="Normal"/>
    <w:rsid w:val="00F00AE2"/>
    <w:pPr>
      <w:spacing w:before="75" w:after="75"/>
      <w:jc w:val="right"/>
    </w:pPr>
    <w:rPr>
      <w:sz w:val="24"/>
      <w:lang w:eastAsia="lv-LV"/>
    </w:rPr>
  </w:style>
  <w:style w:type="paragraph" w:customStyle="1" w:styleId="naiskr">
    <w:name w:val="naiskr"/>
    <w:basedOn w:val="Normal"/>
    <w:uiPriority w:val="99"/>
    <w:rsid w:val="00F00AE2"/>
    <w:pPr>
      <w:spacing w:before="75" w:after="75"/>
    </w:pPr>
    <w:rPr>
      <w:sz w:val="24"/>
      <w:lang w:eastAsia="lv-LV"/>
    </w:rPr>
  </w:style>
  <w:style w:type="paragraph" w:customStyle="1" w:styleId="naisnod">
    <w:name w:val="naisnod"/>
    <w:basedOn w:val="Normal"/>
    <w:rsid w:val="00F00AE2"/>
    <w:pPr>
      <w:spacing w:before="150" w:after="150"/>
      <w:jc w:val="center"/>
    </w:pPr>
    <w:rPr>
      <w:b/>
      <w:bCs/>
      <w:sz w:val="24"/>
      <w:lang w:eastAsia="lv-LV"/>
    </w:rPr>
  </w:style>
  <w:style w:type="paragraph" w:customStyle="1" w:styleId="naisf">
    <w:name w:val="naisf"/>
    <w:basedOn w:val="Normal"/>
    <w:rsid w:val="00F00AE2"/>
    <w:pPr>
      <w:spacing w:before="75" w:after="75"/>
      <w:ind w:firstLine="375"/>
      <w:jc w:val="both"/>
    </w:pPr>
    <w:rPr>
      <w:sz w:val="24"/>
      <w:lang w:eastAsia="lv-LV"/>
    </w:rPr>
  </w:style>
  <w:style w:type="character" w:styleId="Hyperlink">
    <w:name w:val="Hyperlink"/>
    <w:rsid w:val="00F00AE2"/>
    <w:rPr>
      <w:color w:val="0000FF"/>
      <w:u w:val="single"/>
    </w:rPr>
  </w:style>
  <w:style w:type="character" w:styleId="Emphasis">
    <w:name w:val="Emphasis"/>
    <w:qFormat/>
    <w:rsid w:val="00F00AE2"/>
    <w:rPr>
      <w:i/>
      <w:iCs/>
    </w:rPr>
  </w:style>
  <w:style w:type="paragraph" w:styleId="Header">
    <w:name w:val="header"/>
    <w:basedOn w:val="Normal"/>
    <w:link w:val="HeaderChar"/>
    <w:uiPriority w:val="99"/>
    <w:rsid w:val="00F00AE2"/>
    <w:pPr>
      <w:tabs>
        <w:tab w:val="center" w:pos="4153"/>
        <w:tab w:val="right" w:pos="8306"/>
      </w:tabs>
    </w:pPr>
  </w:style>
  <w:style w:type="paragraph" w:styleId="Footer">
    <w:name w:val="footer"/>
    <w:basedOn w:val="Normal"/>
    <w:rsid w:val="00F00AE2"/>
    <w:pPr>
      <w:tabs>
        <w:tab w:val="center" w:pos="4153"/>
        <w:tab w:val="right" w:pos="8306"/>
      </w:tabs>
    </w:pPr>
  </w:style>
  <w:style w:type="paragraph" w:customStyle="1" w:styleId="tvhtmlmktable">
    <w:name w:val="tv_html mk_table"/>
    <w:basedOn w:val="Normal"/>
    <w:rsid w:val="004050C8"/>
    <w:pPr>
      <w:spacing w:before="100" w:beforeAutospacing="1" w:after="100" w:afterAutospacing="1"/>
    </w:pPr>
    <w:rPr>
      <w:rFonts w:ascii="Verdana" w:hAnsi="Verdana"/>
      <w:sz w:val="12"/>
      <w:szCs w:val="12"/>
      <w:lang w:eastAsia="lv-LV"/>
    </w:rPr>
  </w:style>
  <w:style w:type="table" w:styleId="TableGrid">
    <w:name w:val="Table Grid"/>
    <w:basedOn w:val="TableNormal"/>
    <w:rsid w:val="004E0B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rsid w:val="0081728F"/>
    <w:pPr>
      <w:spacing w:after="120" w:line="480" w:lineRule="auto"/>
      <w:ind w:left="283"/>
    </w:pPr>
    <w:rPr>
      <w:sz w:val="24"/>
      <w:lang w:eastAsia="lv-LV"/>
    </w:rPr>
  </w:style>
  <w:style w:type="character" w:styleId="Strong">
    <w:name w:val="Strong"/>
    <w:uiPriority w:val="22"/>
    <w:qFormat/>
    <w:rsid w:val="0081728F"/>
    <w:rPr>
      <w:b/>
      <w:bCs/>
    </w:rPr>
  </w:style>
  <w:style w:type="character" w:customStyle="1" w:styleId="dacesh">
    <w:name w:val="dacesh"/>
    <w:semiHidden/>
    <w:rsid w:val="00E4465A"/>
    <w:rPr>
      <w:rFonts w:ascii="Arial" w:hAnsi="Arial" w:cs="Arial"/>
      <w:color w:val="000080"/>
      <w:sz w:val="20"/>
      <w:szCs w:val="20"/>
    </w:rPr>
  </w:style>
  <w:style w:type="paragraph" w:styleId="BodyText">
    <w:name w:val="Body Text"/>
    <w:basedOn w:val="Normal"/>
    <w:link w:val="BodyTextChar"/>
    <w:rsid w:val="00FE6473"/>
    <w:pPr>
      <w:spacing w:after="120"/>
    </w:pPr>
    <w:rPr>
      <w:sz w:val="24"/>
    </w:rPr>
  </w:style>
  <w:style w:type="character" w:customStyle="1" w:styleId="BodyTextChar">
    <w:name w:val="Body Text Char"/>
    <w:link w:val="BodyText"/>
    <w:rsid w:val="00FE6473"/>
    <w:rPr>
      <w:sz w:val="24"/>
      <w:szCs w:val="24"/>
    </w:rPr>
  </w:style>
  <w:style w:type="paragraph" w:customStyle="1" w:styleId="tvhtml1">
    <w:name w:val="tv_html1"/>
    <w:basedOn w:val="Normal"/>
    <w:rsid w:val="00AB3E06"/>
    <w:pPr>
      <w:spacing w:before="100" w:beforeAutospacing="1" w:after="100" w:afterAutospacing="1" w:line="360" w:lineRule="auto"/>
    </w:pPr>
    <w:rPr>
      <w:rFonts w:ascii="Verdana" w:hAnsi="Verdana"/>
      <w:sz w:val="18"/>
      <w:szCs w:val="18"/>
      <w:lang w:eastAsia="lv-LV"/>
    </w:rPr>
  </w:style>
  <w:style w:type="paragraph" w:customStyle="1" w:styleId="tv2131">
    <w:name w:val="tv2131"/>
    <w:basedOn w:val="Normal"/>
    <w:rsid w:val="00930589"/>
    <w:pPr>
      <w:spacing w:before="240" w:line="360" w:lineRule="auto"/>
      <w:ind w:firstLine="300"/>
      <w:jc w:val="both"/>
    </w:pPr>
    <w:rPr>
      <w:rFonts w:ascii="Verdana" w:hAnsi="Verdana"/>
      <w:sz w:val="18"/>
      <w:szCs w:val="18"/>
      <w:lang w:eastAsia="lv-LV"/>
    </w:rPr>
  </w:style>
  <w:style w:type="character" w:customStyle="1" w:styleId="HeaderChar">
    <w:name w:val="Header Char"/>
    <w:link w:val="Header"/>
    <w:uiPriority w:val="99"/>
    <w:locked/>
    <w:rsid w:val="00E17DF5"/>
    <w:rPr>
      <w:sz w:val="28"/>
      <w:szCs w:val="24"/>
      <w:lang w:eastAsia="en-US"/>
    </w:rPr>
  </w:style>
  <w:style w:type="paragraph" w:customStyle="1" w:styleId="basetext">
    <w:name w:val="base text"/>
    <w:uiPriority w:val="99"/>
    <w:rsid w:val="00E17DF5"/>
    <w:pPr>
      <w:widowControl w:val="0"/>
      <w:tabs>
        <w:tab w:val="left" w:pos="357"/>
        <w:tab w:val="left" w:pos="1304"/>
        <w:tab w:val="left" w:pos="2608"/>
        <w:tab w:val="left" w:pos="3912"/>
        <w:tab w:val="left" w:pos="5216"/>
        <w:tab w:val="right" w:pos="7655"/>
      </w:tabs>
      <w:overflowPunct w:val="0"/>
      <w:autoSpaceDE w:val="0"/>
      <w:autoSpaceDN w:val="0"/>
      <w:adjustRightInd w:val="0"/>
      <w:spacing w:before="240"/>
      <w:jc w:val="both"/>
    </w:pPr>
    <w:rPr>
      <w:sz w:val="24"/>
      <w:lang w:val="en-US" w:eastAsia="en-US"/>
    </w:rPr>
  </w:style>
  <w:style w:type="character" w:styleId="CommentReference">
    <w:name w:val="annotation reference"/>
    <w:unhideWhenUsed/>
    <w:rsid w:val="00E17DF5"/>
    <w:rPr>
      <w:sz w:val="16"/>
      <w:szCs w:val="16"/>
    </w:rPr>
  </w:style>
  <w:style w:type="paragraph" w:styleId="CommentText">
    <w:name w:val="annotation text"/>
    <w:basedOn w:val="Normal"/>
    <w:link w:val="CommentTextChar"/>
    <w:unhideWhenUsed/>
    <w:rsid w:val="00E17DF5"/>
    <w:rPr>
      <w:sz w:val="20"/>
      <w:szCs w:val="20"/>
      <w:lang w:eastAsia="lv-LV"/>
    </w:rPr>
  </w:style>
  <w:style w:type="character" w:customStyle="1" w:styleId="CommentTextChar">
    <w:name w:val="Comment Text Char"/>
    <w:basedOn w:val="DefaultParagraphFont"/>
    <w:link w:val="CommentText"/>
    <w:rsid w:val="00E17DF5"/>
  </w:style>
  <w:style w:type="paragraph" w:styleId="BalloonText">
    <w:name w:val="Balloon Text"/>
    <w:basedOn w:val="Normal"/>
    <w:link w:val="BalloonTextChar"/>
    <w:rsid w:val="00E17DF5"/>
    <w:rPr>
      <w:rFonts w:ascii="Tahoma" w:hAnsi="Tahoma"/>
      <w:sz w:val="16"/>
      <w:szCs w:val="16"/>
    </w:rPr>
  </w:style>
  <w:style w:type="character" w:customStyle="1" w:styleId="BalloonTextChar">
    <w:name w:val="Balloon Text Char"/>
    <w:link w:val="BalloonText"/>
    <w:rsid w:val="00E17DF5"/>
    <w:rPr>
      <w:rFonts w:ascii="Tahoma" w:hAnsi="Tahoma" w:cs="Tahoma"/>
      <w:sz w:val="16"/>
      <w:szCs w:val="16"/>
      <w:lang w:eastAsia="en-US"/>
    </w:rPr>
  </w:style>
  <w:style w:type="character" w:customStyle="1" w:styleId="sourcevalue">
    <w:name w:val="source_value"/>
    <w:rsid w:val="002F55DE"/>
    <w:rPr>
      <w:rFonts w:ascii="Verdana" w:hAnsi="Verdana" w:hint="default"/>
      <w:vanish w:val="0"/>
      <w:webHidden w:val="0"/>
      <w:sz w:val="22"/>
      <w:szCs w:val="22"/>
      <w:specVanish w:val="0"/>
    </w:rPr>
  </w:style>
  <w:style w:type="paragraph" w:styleId="CommentSubject">
    <w:name w:val="annotation subject"/>
    <w:basedOn w:val="CommentText"/>
    <w:next w:val="CommentText"/>
    <w:semiHidden/>
    <w:rsid w:val="007D0C0D"/>
    <w:rPr>
      <w:b/>
      <w:bCs/>
      <w:lang w:eastAsia="en-US"/>
    </w:rPr>
  </w:style>
  <w:style w:type="paragraph" w:customStyle="1" w:styleId="tvhtml10">
    <w:name w:val="tvhtml1"/>
    <w:basedOn w:val="Normal"/>
    <w:rsid w:val="006C0FBA"/>
    <w:pPr>
      <w:spacing w:before="100" w:beforeAutospacing="1" w:after="100" w:afterAutospacing="1" w:line="360" w:lineRule="auto"/>
    </w:pPr>
    <w:rPr>
      <w:rFonts w:ascii="Verdana" w:hAnsi="Verdana"/>
      <w:sz w:val="18"/>
      <w:szCs w:val="18"/>
      <w:lang w:eastAsia="lv-LV"/>
    </w:rPr>
  </w:style>
  <w:style w:type="paragraph" w:styleId="BodyTextIndent3">
    <w:name w:val="Body Text Indent 3"/>
    <w:basedOn w:val="Normal"/>
    <w:link w:val="BodyTextIndent3Char"/>
    <w:rsid w:val="00EB15DF"/>
    <w:pPr>
      <w:spacing w:after="120"/>
      <w:ind w:left="283"/>
    </w:pPr>
    <w:rPr>
      <w:sz w:val="16"/>
      <w:szCs w:val="16"/>
    </w:rPr>
  </w:style>
  <w:style w:type="character" w:customStyle="1" w:styleId="BodyTextIndent3Char">
    <w:name w:val="Body Text Indent 3 Char"/>
    <w:link w:val="BodyTextIndent3"/>
    <w:rsid w:val="00EB15DF"/>
    <w:rPr>
      <w:sz w:val="16"/>
      <w:szCs w:val="16"/>
      <w:lang w:eastAsia="en-US"/>
    </w:rPr>
  </w:style>
  <w:style w:type="paragraph" w:customStyle="1" w:styleId="tv4441">
    <w:name w:val="tv4441"/>
    <w:basedOn w:val="Normal"/>
    <w:rsid w:val="008E3C3C"/>
    <w:pPr>
      <w:spacing w:before="240" w:line="360" w:lineRule="auto"/>
      <w:ind w:firstLine="200"/>
    </w:pPr>
    <w:rPr>
      <w:rFonts w:ascii="Verdana" w:hAnsi="Verdana"/>
      <w:sz w:val="12"/>
      <w:szCs w:val="12"/>
      <w:lang w:eastAsia="lv-LV"/>
    </w:rPr>
  </w:style>
  <w:style w:type="character" w:styleId="FollowedHyperlink">
    <w:name w:val="FollowedHyperlink"/>
    <w:uiPriority w:val="99"/>
    <w:rsid w:val="00D81FAC"/>
    <w:rPr>
      <w:rFonts w:cs="Times New Roman"/>
      <w:color w:val="800080"/>
      <w:u w:val="single"/>
    </w:rPr>
  </w:style>
  <w:style w:type="paragraph" w:customStyle="1" w:styleId="bdc">
    <w:name w:val="bdc"/>
    <w:basedOn w:val="Normal"/>
    <w:uiPriority w:val="99"/>
    <w:rsid w:val="005A7080"/>
    <w:pPr>
      <w:spacing w:before="100" w:beforeAutospacing="1" w:after="100" w:afterAutospacing="1"/>
    </w:pPr>
    <w:rPr>
      <w:b/>
      <w:bCs/>
      <w:sz w:val="24"/>
      <w:lang w:eastAsia="lv-LV"/>
    </w:rPr>
  </w:style>
  <w:style w:type="paragraph" w:styleId="FootnoteText">
    <w:name w:val="footnote text"/>
    <w:basedOn w:val="Normal"/>
    <w:link w:val="FootnoteTextChar"/>
    <w:rsid w:val="000409CF"/>
    <w:pPr>
      <w:spacing w:line="360" w:lineRule="auto"/>
      <w:jc w:val="both"/>
    </w:pPr>
    <w:rPr>
      <w:sz w:val="24"/>
      <w:lang w:eastAsia="fr-BE"/>
    </w:rPr>
  </w:style>
  <w:style w:type="character" w:customStyle="1" w:styleId="FootnoteTextChar">
    <w:name w:val="Footnote Text Char"/>
    <w:link w:val="FootnoteText"/>
    <w:rsid w:val="000409CF"/>
    <w:rPr>
      <w:sz w:val="24"/>
      <w:szCs w:val="24"/>
      <w:lang w:eastAsia="fr-BE"/>
    </w:rPr>
  </w:style>
  <w:style w:type="paragraph" w:customStyle="1" w:styleId="CM1">
    <w:name w:val="CM1"/>
    <w:basedOn w:val="Normal"/>
    <w:next w:val="Normal"/>
    <w:uiPriority w:val="99"/>
    <w:rsid w:val="000409CF"/>
    <w:pPr>
      <w:autoSpaceDE w:val="0"/>
      <w:autoSpaceDN w:val="0"/>
      <w:adjustRightInd w:val="0"/>
    </w:pPr>
    <w:rPr>
      <w:rFonts w:ascii="EUAlbertina" w:hAnsi="EUAlbertina"/>
      <w:sz w:val="24"/>
      <w:lang w:eastAsia="lv-LV"/>
    </w:rPr>
  </w:style>
  <w:style w:type="character" w:styleId="FootnoteReference">
    <w:name w:val="footnote reference"/>
    <w:rsid w:val="000409CF"/>
    <w:rPr>
      <w:vertAlign w:val="superscript"/>
    </w:rPr>
  </w:style>
  <w:style w:type="paragraph" w:customStyle="1" w:styleId="Default">
    <w:name w:val="Default"/>
    <w:rsid w:val="00365491"/>
    <w:pPr>
      <w:autoSpaceDE w:val="0"/>
      <w:autoSpaceDN w:val="0"/>
      <w:adjustRightInd w:val="0"/>
    </w:pPr>
    <w:rPr>
      <w:color w:val="000000"/>
      <w:sz w:val="24"/>
      <w:szCs w:val="24"/>
    </w:rPr>
  </w:style>
  <w:style w:type="paragraph" w:styleId="PlainText">
    <w:name w:val="Plain Text"/>
    <w:basedOn w:val="Normal"/>
    <w:link w:val="PlainTextChar"/>
    <w:uiPriority w:val="99"/>
    <w:rsid w:val="00171333"/>
    <w:rPr>
      <w:rFonts w:ascii="Courier New" w:hAnsi="Courier New" w:cs="Courier New"/>
      <w:sz w:val="20"/>
      <w:szCs w:val="20"/>
      <w:lang w:eastAsia="lv-LV"/>
    </w:rPr>
  </w:style>
  <w:style w:type="character" w:customStyle="1" w:styleId="PlainTextChar">
    <w:name w:val="Plain Text Char"/>
    <w:basedOn w:val="DefaultParagraphFont"/>
    <w:link w:val="PlainText"/>
    <w:uiPriority w:val="99"/>
    <w:rsid w:val="00171333"/>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206457949">
      <w:bodyDiv w:val="1"/>
      <w:marLeft w:val="0"/>
      <w:marRight w:val="0"/>
      <w:marTop w:val="0"/>
      <w:marBottom w:val="0"/>
      <w:divBdr>
        <w:top w:val="none" w:sz="0" w:space="0" w:color="auto"/>
        <w:left w:val="none" w:sz="0" w:space="0" w:color="auto"/>
        <w:bottom w:val="none" w:sz="0" w:space="0" w:color="auto"/>
        <w:right w:val="none" w:sz="0" w:space="0" w:color="auto"/>
      </w:divBdr>
    </w:div>
    <w:div w:id="223493728">
      <w:bodyDiv w:val="1"/>
      <w:marLeft w:val="30"/>
      <w:marRight w:val="30"/>
      <w:marTop w:val="60"/>
      <w:marBottom w:val="60"/>
      <w:divBdr>
        <w:top w:val="none" w:sz="0" w:space="0" w:color="auto"/>
        <w:left w:val="none" w:sz="0" w:space="0" w:color="auto"/>
        <w:bottom w:val="none" w:sz="0" w:space="0" w:color="auto"/>
        <w:right w:val="none" w:sz="0" w:space="0" w:color="auto"/>
      </w:divBdr>
      <w:divsChild>
        <w:div w:id="689141712">
          <w:marLeft w:val="0"/>
          <w:marRight w:val="0"/>
          <w:marTop w:val="240"/>
          <w:marBottom w:val="0"/>
          <w:divBdr>
            <w:top w:val="none" w:sz="0" w:space="0" w:color="auto"/>
            <w:left w:val="none" w:sz="0" w:space="0" w:color="auto"/>
            <w:bottom w:val="none" w:sz="0" w:space="0" w:color="auto"/>
            <w:right w:val="none" w:sz="0" w:space="0" w:color="auto"/>
          </w:divBdr>
        </w:div>
      </w:divsChild>
    </w:div>
    <w:div w:id="444665396">
      <w:bodyDiv w:val="1"/>
      <w:marLeft w:val="0"/>
      <w:marRight w:val="0"/>
      <w:marTop w:val="0"/>
      <w:marBottom w:val="0"/>
      <w:divBdr>
        <w:top w:val="none" w:sz="0" w:space="0" w:color="auto"/>
        <w:left w:val="none" w:sz="0" w:space="0" w:color="auto"/>
        <w:bottom w:val="none" w:sz="0" w:space="0" w:color="auto"/>
        <w:right w:val="none" w:sz="0" w:space="0" w:color="auto"/>
      </w:divBdr>
    </w:div>
    <w:div w:id="593973172">
      <w:bodyDiv w:val="1"/>
      <w:marLeft w:val="0"/>
      <w:marRight w:val="0"/>
      <w:marTop w:val="15"/>
      <w:marBottom w:val="15"/>
      <w:divBdr>
        <w:top w:val="none" w:sz="0" w:space="0" w:color="auto"/>
        <w:left w:val="none" w:sz="0" w:space="0" w:color="auto"/>
        <w:bottom w:val="none" w:sz="0" w:space="0" w:color="auto"/>
        <w:right w:val="none" w:sz="0" w:space="0" w:color="auto"/>
      </w:divBdr>
      <w:divsChild>
        <w:div w:id="445927570">
          <w:marLeft w:val="0"/>
          <w:marRight w:val="0"/>
          <w:marTop w:val="0"/>
          <w:marBottom w:val="0"/>
          <w:divBdr>
            <w:top w:val="single" w:sz="6" w:space="0" w:color="B1333F"/>
            <w:left w:val="single" w:sz="6" w:space="0" w:color="B1333F"/>
            <w:bottom w:val="single" w:sz="6" w:space="0" w:color="B1333F"/>
            <w:right w:val="single" w:sz="6" w:space="0" w:color="B1333F"/>
          </w:divBdr>
          <w:divsChild>
            <w:div w:id="1781535616">
              <w:marLeft w:val="0"/>
              <w:marRight w:val="0"/>
              <w:marTop w:val="0"/>
              <w:marBottom w:val="0"/>
              <w:divBdr>
                <w:top w:val="none" w:sz="0" w:space="0" w:color="auto"/>
                <w:left w:val="none" w:sz="0" w:space="0" w:color="auto"/>
                <w:bottom w:val="none" w:sz="0" w:space="0" w:color="auto"/>
                <w:right w:val="none" w:sz="0" w:space="0" w:color="auto"/>
              </w:divBdr>
              <w:divsChild>
                <w:div w:id="342366970">
                  <w:marLeft w:val="0"/>
                  <w:marRight w:val="0"/>
                  <w:marTop w:val="0"/>
                  <w:marBottom w:val="0"/>
                  <w:divBdr>
                    <w:top w:val="single" w:sz="6" w:space="0" w:color="AD2734"/>
                    <w:left w:val="none" w:sz="0" w:space="0" w:color="auto"/>
                    <w:bottom w:val="single" w:sz="6" w:space="15" w:color="AD2734"/>
                    <w:right w:val="none" w:sz="0" w:space="0" w:color="auto"/>
                  </w:divBdr>
                  <w:divsChild>
                    <w:div w:id="618992078">
                      <w:marLeft w:val="0"/>
                      <w:marRight w:val="0"/>
                      <w:marTop w:val="0"/>
                      <w:marBottom w:val="0"/>
                      <w:divBdr>
                        <w:top w:val="none" w:sz="0" w:space="0" w:color="auto"/>
                        <w:left w:val="none" w:sz="0" w:space="0" w:color="auto"/>
                        <w:bottom w:val="none" w:sz="0" w:space="0" w:color="auto"/>
                        <w:right w:val="none" w:sz="0" w:space="0" w:color="auto"/>
                      </w:divBdr>
                      <w:divsChild>
                        <w:div w:id="164878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8197359">
      <w:bodyDiv w:val="1"/>
      <w:marLeft w:val="0"/>
      <w:marRight w:val="0"/>
      <w:marTop w:val="0"/>
      <w:marBottom w:val="0"/>
      <w:divBdr>
        <w:top w:val="none" w:sz="0" w:space="0" w:color="auto"/>
        <w:left w:val="none" w:sz="0" w:space="0" w:color="auto"/>
        <w:bottom w:val="none" w:sz="0" w:space="0" w:color="auto"/>
        <w:right w:val="none" w:sz="0" w:space="0" w:color="auto"/>
      </w:divBdr>
      <w:divsChild>
        <w:div w:id="53282767">
          <w:marLeft w:val="0"/>
          <w:marRight w:val="0"/>
          <w:marTop w:val="0"/>
          <w:marBottom w:val="0"/>
          <w:divBdr>
            <w:top w:val="none" w:sz="0" w:space="0" w:color="auto"/>
            <w:left w:val="none" w:sz="0" w:space="0" w:color="auto"/>
            <w:bottom w:val="none" w:sz="0" w:space="0" w:color="auto"/>
            <w:right w:val="none" w:sz="0" w:space="0" w:color="auto"/>
          </w:divBdr>
        </w:div>
      </w:divsChild>
    </w:div>
    <w:div w:id="753091860">
      <w:bodyDiv w:val="1"/>
      <w:marLeft w:val="0"/>
      <w:marRight w:val="0"/>
      <w:marTop w:val="0"/>
      <w:marBottom w:val="0"/>
      <w:divBdr>
        <w:top w:val="none" w:sz="0" w:space="0" w:color="auto"/>
        <w:left w:val="none" w:sz="0" w:space="0" w:color="auto"/>
        <w:bottom w:val="none" w:sz="0" w:space="0" w:color="auto"/>
        <w:right w:val="none" w:sz="0" w:space="0" w:color="auto"/>
      </w:divBdr>
    </w:div>
    <w:div w:id="1182011343">
      <w:bodyDiv w:val="1"/>
      <w:marLeft w:val="0"/>
      <w:marRight w:val="0"/>
      <w:marTop w:val="0"/>
      <w:marBottom w:val="0"/>
      <w:divBdr>
        <w:top w:val="none" w:sz="0" w:space="0" w:color="auto"/>
        <w:left w:val="none" w:sz="0" w:space="0" w:color="auto"/>
        <w:bottom w:val="none" w:sz="0" w:space="0" w:color="auto"/>
        <w:right w:val="none" w:sz="0" w:space="0" w:color="auto"/>
      </w:divBdr>
    </w:div>
    <w:div w:id="1301301304">
      <w:bodyDiv w:val="1"/>
      <w:marLeft w:val="0"/>
      <w:marRight w:val="0"/>
      <w:marTop w:val="0"/>
      <w:marBottom w:val="0"/>
      <w:divBdr>
        <w:top w:val="none" w:sz="0" w:space="0" w:color="auto"/>
        <w:left w:val="none" w:sz="0" w:space="0" w:color="auto"/>
        <w:bottom w:val="none" w:sz="0" w:space="0" w:color="auto"/>
        <w:right w:val="none" w:sz="0" w:space="0" w:color="auto"/>
      </w:divBdr>
    </w:div>
    <w:div w:id="1316421994">
      <w:bodyDiv w:val="1"/>
      <w:marLeft w:val="0"/>
      <w:marRight w:val="0"/>
      <w:marTop w:val="0"/>
      <w:marBottom w:val="0"/>
      <w:divBdr>
        <w:top w:val="none" w:sz="0" w:space="0" w:color="auto"/>
        <w:left w:val="none" w:sz="0" w:space="0" w:color="auto"/>
        <w:bottom w:val="none" w:sz="0" w:space="0" w:color="auto"/>
        <w:right w:val="none" w:sz="0" w:space="0" w:color="auto"/>
      </w:divBdr>
    </w:div>
    <w:div w:id="1380276181">
      <w:bodyDiv w:val="1"/>
      <w:marLeft w:val="0"/>
      <w:marRight w:val="0"/>
      <w:marTop w:val="0"/>
      <w:marBottom w:val="0"/>
      <w:divBdr>
        <w:top w:val="none" w:sz="0" w:space="0" w:color="auto"/>
        <w:left w:val="none" w:sz="0" w:space="0" w:color="auto"/>
        <w:bottom w:val="none" w:sz="0" w:space="0" w:color="auto"/>
        <w:right w:val="none" w:sz="0" w:space="0" w:color="auto"/>
      </w:divBdr>
    </w:div>
    <w:div w:id="1617180510">
      <w:bodyDiv w:val="1"/>
      <w:marLeft w:val="0"/>
      <w:marRight w:val="0"/>
      <w:marTop w:val="0"/>
      <w:marBottom w:val="0"/>
      <w:divBdr>
        <w:top w:val="none" w:sz="0" w:space="0" w:color="auto"/>
        <w:left w:val="none" w:sz="0" w:space="0" w:color="auto"/>
        <w:bottom w:val="none" w:sz="0" w:space="0" w:color="auto"/>
        <w:right w:val="none" w:sz="0" w:space="0" w:color="auto"/>
      </w:divBdr>
    </w:div>
    <w:div w:id="1623655134">
      <w:bodyDiv w:val="1"/>
      <w:marLeft w:val="0"/>
      <w:marRight w:val="0"/>
      <w:marTop w:val="0"/>
      <w:marBottom w:val="0"/>
      <w:divBdr>
        <w:top w:val="none" w:sz="0" w:space="0" w:color="auto"/>
        <w:left w:val="none" w:sz="0" w:space="0" w:color="auto"/>
        <w:bottom w:val="none" w:sz="0" w:space="0" w:color="auto"/>
        <w:right w:val="none" w:sz="0" w:space="0" w:color="auto"/>
      </w:divBdr>
    </w:div>
    <w:div w:id="1748921736">
      <w:bodyDiv w:val="1"/>
      <w:marLeft w:val="0"/>
      <w:marRight w:val="0"/>
      <w:marTop w:val="15"/>
      <w:marBottom w:val="15"/>
      <w:divBdr>
        <w:top w:val="none" w:sz="0" w:space="0" w:color="auto"/>
        <w:left w:val="none" w:sz="0" w:space="0" w:color="auto"/>
        <w:bottom w:val="none" w:sz="0" w:space="0" w:color="auto"/>
        <w:right w:val="none" w:sz="0" w:space="0" w:color="auto"/>
      </w:divBdr>
      <w:divsChild>
        <w:div w:id="781337647">
          <w:marLeft w:val="0"/>
          <w:marRight w:val="0"/>
          <w:marTop w:val="0"/>
          <w:marBottom w:val="0"/>
          <w:divBdr>
            <w:top w:val="single" w:sz="6" w:space="0" w:color="B1333F"/>
            <w:left w:val="single" w:sz="6" w:space="0" w:color="B1333F"/>
            <w:bottom w:val="single" w:sz="6" w:space="0" w:color="B1333F"/>
            <w:right w:val="single" w:sz="6" w:space="0" w:color="B1333F"/>
          </w:divBdr>
          <w:divsChild>
            <w:div w:id="149297215">
              <w:marLeft w:val="0"/>
              <w:marRight w:val="0"/>
              <w:marTop w:val="0"/>
              <w:marBottom w:val="0"/>
              <w:divBdr>
                <w:top w:val="none" w:sz="0" w:space="0" w:color="auto"/>
                <w:left w:val="none" w:sz="0" w:space="0" w:color="auto"/>
                <w:bottom w:val="none" w:sz="0" w:space="0" w:color="auto"/>
                <w:right w:val="none" w:sz="0" w:space="0" w:color="auto"/>
              </w:divBdr>
              <w:divsChild>
                <w:div w:id="205408611">
                  <w:marLeft w:val="0"/>
                  <w:marRight w:val="0"/>
                  <w:marTop w:val="0"/>
                  <w:marBottom w:val="0"/>
                  <w:divBdr>
                    <w:top w:val="single" w:sz="6" w:space="0" w:color="AD2734"/>
                    <w:left w:val="none" w:sz="0" w:space="0" w:color="auto"/>
                    <w:bottom w:val="single" w:sz="6" w:space="15" w:color="AD2734"/>
                    <w:right w:val="none" w:sz="0" w:space="0" w:color="auto"/>
                  </w:divBdr>
                  <w:divsChild>
                    <w:div w:id="338772977">
                      <w:marLeft w:val="0"/>
                      <w:marRight w:val="0"/>
                      <w:marTop w:val="0"/>
                      <w:marBottom w:val="0"/>
                      <w:divBdr>
                        <w:top w:val="none" w:sz="0" w:space="0" w:color="auto"/>
                        <w:left w:val="none" w:sz="0" w:space="0" w:color="auto"/>
                        <w:bottom w:val="none" w:sz="0" w:space="0" w:color="auto"/>
                        <w:right w:val="none" w:sz="0" w:space="0" w:color="auto"/>
                      </w:divBdr>
                      <w:divsChild>
                        <w:div w:id="36845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5765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ara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ace.satrovska@varam.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6593EF-4705-4BDF-91A5-BD740BCC8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13</Pages>
  <Words>3431</Words>
  <Characters>19557</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Likumprojekta grozījumi Vides aizsardzības likumā anotācija</vt:lpstr>
    </vt:vector>
  </TitlesOfParts>
  <Company>VARAM</Company>
  <LinksUpToDate>false</LinksUpToDate>
  <CharactersWithSpaces>22943</CharactersWithSpaces>
  <SharedDoc>false</SharedDoc>
  <HLinks>
    <vt:vector size="12" baseType="variant">
      <vt:variant>
        <vt:i4>1835040</vt:i4>
      </vt:variant>
      <vt:variant>
        <vt:i4>3</vt:i4>
      </vt:variant>
      <vt:variant>
        <vt:i4>0</vt:i4>
      </vt:variant>
      <vt:variant>
        <vt:i4>5</vt:i4>
      </vt:variant>
      <vt:variant>
        <vt:lpwstr>mailto:dace.satrovska@varam.gov.lv</vt:lpwstr>
      </vt:variant>
      <vt:variant>
        <vt:lpwstr/>
      </vt:variant>
      <vt:variant>
        <vt:i4>1048649</vt:i4>
      </vt:variant>
      <vt:variant>
        <vt:i4>0</vt:i4>
      </vt:variant>
      <vt:variant>
        <vt:i4>0</vt:i4>
      </vt:variant>
      <vt:variant>
        <vt:i4>5</vt:i4>
      </vt:variant>
      <vt:variant>
        <vt:lpwstr>http://www.varam.gov.lv/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Vides aizsardzības likumā anotācija</dc:title>
  <dc:subject>anotācija</dc:subject>
  <dc:creator>Dace Šatrovska</dc:creator>
  <cp:keywords>VARAM</cp:keywords>
  <dc:description>67026521, dace.satrovska@varam.gov.lv</dc:description>
  <cp:lastModifiedBy>larisat</cp:lastModifiedBy>
  <cp:revision>9</cp:revision>
  <cp:lastPrinted>2013-08-14T13:43:00Z</cp:lastPrinted>
  <dcterms:created xsi:type="dcterms:W3CDTF">2013-09-18T07:50:00Z</dcterms:created>
  <dcterms:modified xsi:type="dcterms:W3CDTF">2013-09-19T11:21:00Z</dcterms:modified>
</cp:coreProperties>
</file>